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30437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830439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830441_73709187">
            <w:r>
              <w:rPr>
                <w:webHidden/>
                <w:rStyle w:val="IndexLink"/>
                <w:rtl w:val="true"/>
              </w:rPr>
              <w:t>حرمة التطفيف</w:t>
            </w:r>
            <w:r>
              <w:rPr>
                <w:rStyle w:val="IndexLink"/>
                <w:rtl w:val="true"/>
              </w:rPr>
              <w:tab/>
            </w:r>
            <w:r>
              <w:rPr>
                <w:rStyle w:val="IndexLink"/>
              </w:rPr>
              <w:t>11</w:t>
            </w:r>
          </w:hyperlink>
        </w:p>
        <w:p>
          <w:pPr>
            <w:pStyle w:val="Contents2"/>
            <w:tabs>
              <w:tab w:val="clear" w:pos="8743"/>
              <w:tab w:val="right" w:pos="9026" w:leader="dot"/>
            </w:tabs>
            <w:rPr/>
          </w:pPr>
          <w:hyperlink w:anchor="__RefHeading___Toc10830443_73709187">
            <w:r>
              <w:rPr>
                <w:webHidden/>
                <w:rStyle w:val="IndexLink"/>
                <w:rtl w:val="true"/>
              </w:rPr>
              <w:t>حكم المعاملة المطفّف فيها</w:t>
            </w:r>
            <w:r>
              <w:rPr>
                <w:rStyle w:val="IndexLink"/>
                <w:rtl w:val="true"/>
              </w:rPr>
              <w:tab/>
            </w:r>
            <w:r>
              <w:rPr>
                <w:rStyle w:val="IndexLink"/>
              </w:rPr>
              <w:t>13</w:t>
            </w:r>
          </w:hyperlink>
        </w:p>
        <w:p>
          <w:pPr>
            <w:pStyle w:val="Contents2"/>
            <w:tabs>
              <w:tab w:val="clear" w:pos="8743"/>
              <w:tab w:val="right" w:pos="9026" w:leader="dot"/>
            </w:tabs>
            <w:rPr/>
          </w:pPr>
          <w:hyperlink w:anchor="__RefHeading___Toc10830445_73709187">
            <w:r>
              <w:rPr>
                <w:webHidden/>
                <w:rStyle w:val="IndexLink"/>
                <w:rtl w:val="true"/>
              </w:rPr>
              <w:t>حرمة التنجيم</w:t>
            </w:r>
            <w:r>
              <w:rPr>
                <w:rStyle w:val="IndexLink"/>
                <w:rtl w:val="true"/>
              </w:rPr>
              <w:tab/>
            </w:r>
            <w:r>
              <w:rPr>
                <w:rStyle w:val="IndexLink"/>
              </w:rPr>
              <w:t>16</w:t>
            </w:r>
          </w:hyperlink>
        </w:p>
        <w:p>
          <w:pPr>
            <w:pStyle w:val="Contents2"/>
            <w:tabs>
              <w:tab w:val="clear" w:pos="8743"/>
              <w:tab w:val="right" w:pos="9026" w:leader="dot"/>
            </w:tabs>
            <w:rPr/>
          </w:pPr>
          <w:hyperlink w:anchor="__RefHeading___Toc10830447_73709187">
            <w:r>
              <w:rPr>
                <w:webHidden/>
                <w:rStyle w:val="IndexLink"/>
                <w:rtl w:val="true"/>
              </w:rPr>
              <w:t>حرمة حفظ كتب الضلال</w:t>
            </w:r>
            <w:r>
              <w:rPr>
                <w:rStyle w:val="IndexLink"/>
                <w:rtl w:val="true"/>
              </w:rPr>
              <w:tab/>
            </w:r>
            <w:r>
              <w:rPr>
                <w:rStyle w:val="IndexLink"/>
              </w:rPr>
              <w:t>27</w:t>
            </w:r>
          </w:hyperlink>
        </w:p>
        <w:p>
          <w:pPr>
            <w:pStyle w:val="Contents2"/>
            <w:tabs>
              <w:tab w:val="clear" w:pos="8743"/>
              <w:tab w:val="right" w:pos="9026" w:leader="dot"/>
            </w:tabs>
            <w:rPr/>
          </w:pPr>
          <w:hyperlink w:anchor="__RefHeading___Toc10830449_73709187">
            <w:r>
              <w:rPr>
                <w:webHidden/>
                <w:rStyle w:val="IndexLink"/>
                <w:rtl w:val="true"/>
              </w:rPr>
              <w:t>موضوع الرَّشوة وحكمها</w:t>
            </w:r>
            <w:r>
              <w:rPr>
                <w:rStyle w:val="IndexLink"/>
                <w:rtl w:val="true"/>
              </w:rPr>
              <w:tab/>
            </w:r>
            <w:r>
              <w:rPr>
                <w:rStyle w:val="IndexLink"/>
              </w:rPr>
              <w:t>38</w:t>
            </w:r>
          </w:hyperlink>
        </w:p>
        <w:p>
          <w:pPr>
            <w:pStyle w:val="Contents2"/>
            <w:tabs>
              <w:tab w:val="clear" w:pos="8743"/>
              <w:tab w:val="right" w:pos="9026" w:leader="dot"/>
            </w:tabs>
            <w:rPr/>
          </w:pPr>
          <w:hyperlink w:anchor="__RefHeading___Toc10830451_73709187">
            <w:r>
              <w:rPr>
                <w:webHidden/>
                <w:rStyle w:val="IndexLink"/>
                <w:rtl w:val="true"/>
              </w:rPr>
              <w:t>حكم الرَّشوة</w:t>
            </w:r>
            <w:r>
              <w:rPr>
                <w:rStyle w:val="IndexLink"/>
                <w:rtl w:val="true"/>
              </w:rPr>
              <w:tab/>
            </w:r>
            <w:r>
              <w:rPr>
                <w:rStyle w:val="IndexLink"/>
              </w:rPr>
              <w:t>41</w:t>
            </w:r>
          </w:hyperlink>
        </w:p>
        <w:p>
          <w:pPr>
            <w:pStyle w:val="Contents2"/>
            <w:tabs>
              <w:tab w:val="clear" w:pos="8743"/>
              <w:tab w:val="right" w:pos="9026" w:leader="dot"/>
            </w:tabs>
            <w:rPr/>
          </w:pPr>
          <w:hyperlink w:anchor="__RefHeading___Toc10830453_73709187">
            <w:r>
              <w:rPr>
                <w:webHidden/>
                <w:rStyle w:val="IndexLink"/>
                <w:rtl w:val="true"/>
              </w:rPr>
              <w:t>أُجور القضاة</w:t>
            </w:r>
            <w:r>
              <w:rPr>
                <w:rStyle w:val="IndexLink"/>
                <w:rtl w:val="true"/>
              </w:rPr>
              <w:tab/>
            </w:r>
            <w:r>
              <w:rPr>
                <w:rStyle w:val="IndexLink"/>
              </w:rPr>
              <w:t>43</w:t>
            </w:r>
          </w:hyperlink>
        </w:p>
        <w:p>
          <w:pPr>
            <w:pStyle w:val="Contents2"/>
            <w:tabs>
              <w:tab w:val="clear" w:pos="8743"/>
              <w:tab w:val="right" w:pos="9026" w:leader="dot"/>
            </w:tabs>
            <w:rPr/>
          </w:pPr>
          <w:hyperlink w:anchor="__RefHeading___Toc10830455_73709187">
            <w:r>
              <w:rPr>
                <w:webHidden/>
                <w:rStyle w:val="IndexLink"/>
                <w:rtl w:val="true"/>
              </w:rPr>
              <w:t>الارتزاق من بيت المال</w:t>
            </w:r>
            <w:r>
              <w:rPr>
                <w:rStyle w:val="IndexLink"/>
                <w:rtl w:val="true"/>
              </w:rPr>
              <w:tab/>
            </w:r>
            <w:r>
              <w:rPr>
                <w:rStyle w:val="IndexLink"/>
              </w:rPr>
              <w:t>48</w:t>
            </w:r>
          </w:hyperlink>
        </w:p>
        <w:p>
          <w:pPr>
            <w:pStyle w:val="Contents2"/>
            <w:tabs>
              <w:tab w:val="clear" w:pos="8743"/>
              <w:tab w:val="right" w:pos="9026" w:leader="dot"/>
            </w:tabs>
            <w:rPr/>
          </w:pPr>
          <w:hyperlink w:anchor="__RefHeading___Toc10830457_73709187">
            <w:r>
              <w:rPr>
                <w:webHidden/>
                <w:rStyle w:val="IndexLink"/>
                <w:rtl w:val="true"/>
              </w:rPr>
              <w:t>أخذ القاضي للهديّة</w:t>
            </w:r>
            <w:r>
              <w:rPr>
                <w:rStyle w:val="IndexLink"/>
                <w:rtl w:val="true"/>
              </w:rPr>
              <w:tab/>
            </w:r>
            <w:r>
              <w:rPr>
                <w:rStyle w:val="IndexLink"/>
              </w:rPr>
              <w:t>51</w:t>
            </w:r>
          </w:hyperlink>
        </w:p>
        <w:p>
          <w:pPr>
            <w:pStyle w:val="Contents2"/>
            <w:tabs>
              <w:tab w:val="clear" w:pos="8743"/>
              <w:tab w:val="right" w:pos="9026" w:leader="dot"/>
            </w:tabs>
            <w:rPr/>
          </w:pPr>
          <w:hyperlink w:anchor="__RefHeading___Toc10830459_73709187">
            <w:r>
              <w:rPr>
                <w:webHidden/>
                <w:rStyle w:val="IndexLink"/>
                <w:rtl w:val="true"/>
              </w:rPr>
              <w:t>حكم قبول الرَّشوة في غير الأحكام</w:t>
            </w:r>
            <w:r>
              <w:rPr>
                <w:rStyle w:val="IndexLink"/>
                <w:rtl w:val="true"/>
              </w:rPr>
              <w:tab/>
            </w:r>
            <w:r>
              <w:rPr>
                <w:rStyle w:val="IndexLink"/>
              </w:rPr>
              <w:t>54</w:t>
            </w:r>
          </w:hyperlink>
        </w:p>
        <w:p>
          <w:pPr>
            <w:pStyle w:val="Contents2"/>
            <w:tabs>
              <w:tab w:val="clear" w:pos="8743"/>
              <w:tab w:val="right" w:pos="9026" w:leader="dot"/>
            </w:tabs>
            <w:rPr/>
          </w:pPr>
          <w:hyperlink w:anchor="__RefHeading___Toc10830461_73709187">
            <w:r>
              <w:rPr>
                <w:webHidden/>
                <w:rStyle w:val="IndexLink"/>
                <w:rtl w:val="true"/>
              </w:rPr>
              <w:t>حكم المعاملة المحاباتيّة مع القاضي</w:t>
            </w:r>
            <w:r>
              <w:rPr>
                <w:rStyle w:val="IndexLink"/>
                <w:rtl w:val="true"/>
              </w:rPr>
              <w:tab/>
            </w:r>
            <w:r>
              <w:rPr>
                <w:rStyle w:val="IndexLink"/>
              </w:rPr>
              <w:t>57</w:t>
            </w:r>
          </w:hyperlink>
        </w:p>
        <w:p>
          <w:pPr>
            <w:pStyle w:val="Contents2"/>
            <w:tabs>
              <w:tab w:val="clear" w:pos="8743"/>
              <w:tab w:val="right" w:pos="9026" w:leader="dot"/>
            </w:tabs>
            <w:rPr/>
          </w:pPr>
          <w:hyperlink w:anchor="__RefHeading___Toc10830463_73709187">
            <w:r>
              <w:rPr>
                <w:webHidden/>
                <w:rStyle w:val="IndexLink"/>
                <w:rtl w:val="true"/>
              </w:rPr>
              <w:t>حكم الرَّشوة وضعاً</w:t>
            </w:r>
            <w:r>
              <w:rPr>
                <w:rStyle w:val="IndexLink"/>
                <w:rtl w:val="true"/>
              </w:rPr>
              <w:tab/>
            </w:r>
            <w:r>
              <w:rPr>
                <w:rStyle w:val="IndexLink"/>
              </w:rPr>
              <w:t>59</w:t>
            </w:r>
          </w:hyperlink>
        </w:p>
        <w:p>
          <w:pPr>
            <w:pStyle w:val="Contents2"/>
            <w:tabs>
              <w:tab w:val="clear" w:pos="8743"/>
              <w:tab w:val="right" w:pos="9026" w:leader="dot"/>
            </w:tabs>
            <w:rPr/>
          </w:pPr>
          <w:hyperlink w:anchor="__RefHeading___Toc10830465_73709187">
            <w:r>
              <w:rPr>
                <w:webHidden/>
                <w:rStyle w:val="IndexLink"/>
                <w:rtl w:val="true"/>
              </w:rPr>
              <w:t>بحث عن اختلاف الدافع والقابض</w:t>
            </w:r>
            <w:r>
              <w:rPr>
                <w:rStyle w:val="IndexLink"/>
                <w:rtl w:val="true"/>
              </w:rPr>
              <w:tab/>
            </w:r>
            <w:r>
              <w:rPr>
                <w:rStyle w:val="IndexLink"/>
              </w:rPr>
              <w:t>62</w:t>
            </w:r>
          </w:hyperlink>
        </w:p>
        <w:p>
          <w:pPr>
            <w:pStyle w:val="Contents2"/>
            <w:tabs>
              <w:tab w:val="clear" w:pos="8743"/>
              <w:tab w:val="right" w:pos="9026" w:leader="dot"/>
            </w:tabs>
            <w:rPr/>
          </w:pPr>
          <w:hyperlink w:anchor="__RefHeading___Toc10830467_73709187">
            <w:r>
              <w:rPr>
                <w:webHidden/>
                <w:rStyle w:val="IndexLink"/>
                <w:rtl w:val="true"/>
              </w:rPr>
              <w:t>حرمة سَبّ المؤمن</w:t>
            </w:r>
            <w:r>
              <w:rPr>
                <w:rStyle w:val="IndexLink"/>
                <w:rtl w:val="true"/>
              </w:rPr>
              <w:tab/>
            </w:r>
            <w:r>
              <w:rPr>
                <w:rStyle w:val="IndexLink"/>
              </w:rPr>
              <w:t>68</w:t>
            </w:r>
          </w:hyperlink>
        </w:p>
        <w:p>
          <w:pPr>
            <w:pStyle w:val="Contents2"/>
            <w:tabs>
              <w:tab w:val="clear" w:pos="8743"/>
              <w:tab w:val="right" w:pos="9026" w:leader="dot"/>
            </w:tabs>
            <w:rPr/>
          </w:pPr>
          <w:hyperlink w:anchor="__RefHeading___Toc10830469_73709187">
            <w:r>
              <w:rPr>
                <w:webHidden/>
                <w:rStyle w:val="IndexLink"/>
                <w:rtl w:val="true"/>
              </w:rPr>
              <w:t>المستشنيات</w:t>
            </w:r>
            <w:r>
              <w:rPr>
                <w:rStyle w:val="IndexLink"/>
                <w:rtl w:val="true"/>
              </w:rPr>
              <w:tab/>
            </w:r>
            <w:r>
              <w:rPr>
                <w:rStyle w:val="IndexLink"/>
              </w:rPr>
              <w:t>73</w:t>
            </w:r>
          </w:hyperlink>
        </w:p>
        <w:p>
          <w:pPr>
            <w:pStyle w:val="Contents2"/>
            <w:tabs>
              <w:tab w:val="clear" w:pos="8743"/>
              <w:tab w:val="right" w:pos="9026" w:leader="dot"/>
            </w:tabs>
            <w:rPr/>
          </w:pPr>
          <w:hyperlink w:anchor="__RefHeading___Toc10830471_73709187">
            <w:r>
              <w:rPr>
                <w:webHidden/>
                <w:rStyle w:val="IndexLink"/>
                <w:rtl w:val="true"/>
              </w:rPr>
              <w:t>السّحر، موضوعه وحكمه</w:t>
            </w:r>
            <w:r>
              <w:rPr>
                <w:rStyle w:val="IndexLink"/>
                <w:rtl w:val="true"/>
              </w:rPr>
              <w:tab/>
            </w:r>
            <w:r>
              <w:rPr>
                <w:rStyle w:val="IndexLink"/>
              </w:rPr>
              <w:t>77</w:t>
            </w:r>
          </w:hyperlink>
        </w:p>
        <w:p>
          <w:pPr>
            <w:pStyle w:val="Contents2"/>
            <w:tabs>
              <w:tab w:val="clear" w:pos="8743"/>
              <w:tab w:val="right" w:pos="9026" w:leader="dot"/>
            </w:tabs>
            <w:rPr/>
          </w:pPr>
          <w:hyperlink w:anchor="__RefHeading___Toc10830473_73709187">
            <w:r>
              <w:rPr>
                <w:webHidden/>
                <w:rStyle w:val="IndexLink"/>
                <w:rtl w:val="true"/>
              </w:rPr>
              <w:t>حقيقة السحر</w:t>
            </w:r>
            <w:r>
              <w:rPr>
                <w:rStyle w:val="IndexLink"/>
                <w:rtl w:val="true"/>
              </w:rPr>
              <w:tab/>
            </w:r>
            <w:r>
              <w:rPr>
                <w:rStyle w:val="IndexLink"/>
              </w:rPr>
              <w:t>80</w:t>
            </w:r>
          </w:hyperlink>
        </w:p>
        <w:p>
          <w:pPr>
            <w:pStyle w:val="Contents2"/>
            <w:tabs>
              <w:tab w:val="clear" w:pos="8743"/>
              <w:tab w:val="right" w:pos="9026" w:leader="dot"/>
            </w:tabs>
            <w:rPr/>
          </w:pPr>
          <w:hyperlink w:anchor="__RefHeading___Toc10830475_73709187">
            <w:r>
              <w:rPr>
                <w:webHidden/>
                <w:rStyle w:val="IndexLink"/>
                <w:rtl w:val="true"/>
              </w:rPr>
              <w:t>أقسام السِّحر</w:t>
            </w:r>
            <w:r>
              <w:rPr>
                <w:rStyle w:val="IndexLink"/>
                <w:rtl w:val="true"/>
              </w:rPr>
              <w:tab/>
            </w:r>
            <w:r>
              <w:rPr>
                <w:rStyle w:val="IndexLink"/>
              </w:rPr>
              <w:t>83</w:t>
            </w:r>
          </w:hyperlink>
        </w:p>
        <w:p>
          <w:pPr>
            <w:pStyle w:val="Contents2"/>
            <w:tabs>
              <w:tab w:val="clear" w:pos="8743"/>
              <w:tab w:val="right" w:pos="9026" w:leader="dot"/>
            </w:tabs>
            <w:rPr/>
          </w:pPr>
          <w:hyperlink w:anchor="__RefHeading___Toc10830477_73709187">
            <w:r>
              <w:rPr>
                <w:webHidden/>
                <w:rStyle w:val="IndexLink"/>
                <w:rtl w:val="true"/>
              </w:rPr>
              <w:t>دفع ضرر السِّحر بالسِّحر</w:t>
            </w:r>
            <w:r>
              <w:rPr>
                <w:rStyle w:val="IndexLink"/>
                <w:rtl w:val="true"/>
              </w:rPr>
              <w:tab/>
            </w:r>
            <w:r>
              <w:rPr>
                <w:rStyle w:val="IndexLink"/>
              </w:rPr>
              <w:t>92</w:t>
            </w:r>
          </w:hyperlink>
        </w:p>
        <w:p>
          <w:pPr>
            <w:pStyle w:val="Contents2"/>
            <w:tabs>
              <w:tab w:val="clear" w:pos="8743"/>
              <w:tab w:val="right" w:pos="9026" w:leader="dot"/>
            </w:tabs>
            <w:rPr/>
          </w:pPr>
          <w:hyperlink w:anchor="__RefHeading___Toc10830479_73709187">
            <w:r>
              <w:rPr>
                <w:webHidden/>
                <w:rStyle w:val="IndexLink"/>
                <w:rtl w:val="true"/>
              </w:rPr>
              <w:t>حكم التسخيرات</w:t>
            </w:r>
            <w:r>
              <w:rPr>
                <w:rStyle w:val="IndexLink"/>
                <w:rtl w:val="true"/>
              </w:rPr>
              <w:tab/>
            </w:r>
            <w:r>
              <w:rPr>
                <w:rStyle w:val="IndexLink"/>
              </w:rPr>
              <w:t>95</w:t>
            </w:r>
          </w:hyperlink>
        </w:p>
        <w:p>
          <w:pPr>
            <w:pStyle w:val="Contents2"/>
            <w:tabs>
              <w:tab w:val="clear" w:pos="8743"/>
              <w:tab w:val="right" w:pos="9026" w:leader="dot"/>
            </w:tabs>
            <w:rPr/>
          </w:pPr>
          <w:hyperlink w:anchor="__RefHeading___Toc10830481_73709187">
            <w:r>
              <w:rPr>
                <w:webHidden/>
                <w:rStyle w:val="IndexLink"/>
                <w:rtl w:val="true"/>
              </w:rPr>
              <w:t>حرمة الشّعبذة</w:t>
            </w:r>
            <w:r>
              <w:rPr>
                <w:rStyle w:val="IndexLink"/>
                <w:rtl w:val="true"/>
              </w:rPr>
              <w:tab/>
            </w:r>
            <w:r>
              <w:rPr>
                <w:rStyle w:val="IndexLink"/>
              </w:rPr>
              <w:t>97</w:t>
            </w:r>
          </w:hyperlink>
        </w:p>
        <w:p>
          <w:pPr>
            <w:pStyle w:val="Contents2"/>
            <w:tabs>
              <w:tab w:val="clear" w:pos="8743"/>
              <w:tab w:val="right" w:pos="9026" w:leader="dot"/>
            </w:tabs>
            <w:rPr/>
          </w:pPr>
          <w:hyperlink w:anchor="__RefHeading___Toc10830483_73709187">
            <w:r>
              <w:rPr>
                <w:webHidden/>
                <w:rStyle w:val="IndexLink"/>
                <w:rtl w:val="true"/>
              </w:rPr>
              <w:t>حرمة الغِشّ‌</w:t>
            </w:r>
            <w:r>
              <w:rPr>
                <w:rStyle w:val="IndexLink"/>
                <w:rtl w:val="true"/>
              </w:rPr>
              <w:tab/>
            </w:r>
            <w:r>
              <w:rPr>
                <w:rStyle w:val="IndexLink"/>
              </w:rPr>
              <w:t>99</w:t>
            </w:r>
          </w:hyperlink>
        </w:p>
        <w:p>
          <w:pPr>
            <w:pStyle w:val="Contents2"/>
            <w:tabs>
              <w:tab w:val="clear" w:pos="8743"/>
              <w:tab w:val="right" w:pos="9026" w:leader="dot"/>
            </w:tabs>
            <w:rPr/>
          </w:pPr>
          <w:hyperlink w:anchor="__RefHeading___Toc10830485_73709187">
            <w:r>
              <w:rPr>
                <w:webHidden/>
                <w:rStyle w:val="IndexLink"/>
                <w:rtl w:val="true"/>
              </w:rPr>
              <w:t>حكم المعاملة وضعاً</w:t>
            </w:r>
            <w:r>
              <w:rPr>
                <w:rStyle w:val="IndexLink"/>
                <w:rtl w:val="true"/>
              </w:rPr>
              <w:tab/>
            </w:r>
            <w:r>
              <w:rPr>
                <w:rStyle w:val="IndexLink"/>
              </w:rPr>
              <w:t>102</w:t>
            </w:r>
          </w:hyperlink>
        </w:p>
        <w:p>
          <w:pPr>
            <w:pStyle w:val="Contents2"/>
            <w:tabs>
              <w:tab w:val="clear" w:pos="8743"/>
              <w:tab w:val="right" w:pos="9026" w:leader="dot"/>
            </w:tabs>
            <w:rPr/>
          </w:pPr>
          <w:hyperlink w:anchor="__RefHeading___Toc10830487_73709187">
            <w:r>
              <w:rPr>
                <w:webHidden/>
                <w:rStyle w:val="IndexLink"/>
                <w:rtl w:val="true"/>
              </w:rPr>
              <w:t>حرمة الغناء</w:t>
            </w:r>
            <w:r>
              <w:rPr>
                <w:rStyle w:val="IndexLink"/>
                <w:rtl w:val="true"/>
              </w:rPr>
              <w:tab/>
            </w:r>
            <w:r>
              <w:rPr>
                <w:rStyle w:val="IndexLink"/>
              </w:rPr>
              <w:t>108</w:t>
            </w:r>
          </w:hyperlink>
        </w:p>
        <w:p>
          <w:pPr>
            <w:pStyle w:val="Contents2"/>
            <w:tabs>
              <w:tab w:val="clear" w:pos="8743"/>
              <w:tab w:val="right" w:pos="9026" w:leader="dot"/>
            </w:tabs>
            <w:rPr/>
          </w:pPr>
          <w:hyperlink w:anchor="__RefHeading___Toc10830489_73709187">
            <w:r>
              <w:rPr>
                <w:webHidden/>
                <w:rStyle w:val="IndexLink"/>
                <w:rtl w:val="true"/>
              </w:rPr>
              <w:t>حكم الغناء</w:t>
            </w:r>
            <w:r>
              <w:rPr>
                <w:rStyle w:val="IndexLink"/>
                <w:rtl w:val="true"/>
              </w:rPr>
              <w:tab/>
            </w:r>
            <w:r>
              <w:rPr>
                <w:rStyle w:val="IndexLink"/>
              </w:rPr>
              <w:t>112</w:t>
            </w:r>
          </w:hyperlink>
        </w:p>
        <w:p>
          <w:pPr>
            <w:pStyle w:val="Contents2"/>
            <w:tabs>
              <w:tab w:val="clear" w:pos="8743"/>
              <w:tab w:val="right" w:pos="9026" w:leader="dot"/>
            </w:tabs>
            <w:rPr/>
          </w:pPr>
          <w:hyperlink w:anchor="__RefHeading___Toc10830491_73709187">
            <w:r>
              <w:rPr>
                <w:webHidden/>
                <w:rStyle w:val="IndexLink"/>
                <w:rtl w:val="true"/>
              </w:rPr>
              <w:t>مستثنيات حرمة الغناء</w:t>
            </w:r>
            <w:r>
              <w:rPr>
                <w:rStyle w:val="IndexLink"/>
                <w:rtl w:val="true"/>
              </w:rPr>
              <w:tab/>
            </w:r>
            <w:r>
              <w:rPr>
                <w:rStyle w:val="IndexLink"/>
              </w:rPr>
              <w:t>122</w:t>
            </w:r>
          </w:hyperlink>
        </w:p>
        <w:p>
          <w:pPr>
            <w:pStyle w:val="Contents2"/>
            <w:tabs>
              <w:tab w:val="clear" w:pos="8743"/>
              <w:tab w:val="right" w:pos="9026" w:leader="dot"/>
            </w:tabs>
            <w:rPr/>
          </w:pPr>
          <w:hyperlink w:anchor="__RefHeading___Toc10830493_73709187">
            <w:r>
              <w:rPr>
                <w:webHidden/>
                <w:rStyle w:val="IndexLink"/>
                <w:rtl w:val="true"/>
              </w:rPr>
              <w:t>الغناء في قراءة القرآن</w:t>
            </w:r>
            <w:r>
              <w:rPr>
                <w:rStyle w:val="IndexLink"/>
                <w:rtl w:val="true"/>
              </w:rPr>
              <w:tab/>
            </w:r>
            <w:r>
              <w:rPr>
                <w:rStyle w:val="IndexLink"/>
              </w:rPr>
              <w:t>125</w:t>
            </w:r>
          </w:hyperlink>
        </w:p>
        <w:p>
          <w:pPr>
            <w:pStyle w:val="Contents2"/>
            <w:tabs>
              <w:tab w:val="clear" w:pos="8743"/>
              <w:tab w:val="right" w:pos="9026" w:leader="dot"/>
            </w:tabs>
            <w:rPr/>
          </w:pPr>
          <w:hyperlink w:anchor="__RefHeading___Toc10830495_73709187">
            <w:r>
              <w:rPr>
                <w:webHidden/>
                <w:rStyle w:val="IndexLink"/>
                <w:rtl w:val="true"/>
              </w:rPr>
              <w:t>الحُداء لسوق الإبل</w:t>
            </w:r>
            <w:r>
              <w:rPr>
                <w:rStyle w:val="IndexLink"/>
                <w:rtl w:val="true"/>
              </w:rPr>
              <w:tab/>
            </w:r>
            <w:r>
              <w:rPr>
                <w:rStyle w:val="IndexLink"/>
              </w:rPr>
              <w:t>127</w:t>
            </w:r>
          </w:hyperlink>
        </w:p>
        <w:p>
          <w:pPr>
            <w:pStyle w:val="Contents2"/>
            <w:tabs>
              <w:tab w:val="clear" w:pos="8743"/>
              <w:tab w:val="right" w:pos="9026" w:leader="dot"/>
            </w:tabs>
            <w:rPr/>
          </w:pPr>
          <w:hyperlink w:anchor="__RefHeading___Toc10830497_73709187">
            <w:r>
              <w:rPr>
                <w:webHidden/>
                <w:rStyle w:val="IndexLink"/>
                <w:rtl w:val="true"/>
              </w:rPr>
              <w:t>الغناء في زَفّ العرائس</w:t>
            </w:r>
            <w:r>
              <w:rPr>
                <w:rStyle w:val="IndexLink"/>
                <w:rtl w:val="true"/>
              </w:rPr>
              <w:tab/>
            </w:r>
            <w:r>
              <w:rPr>
                <w:rStyle w:val="IndexLink"/>
              </w:rPr>
              <w:t>129</w:t>
            </w:r>
          </w:hyperlink>
        </w:p>
        <w:p>
          <w:pPr>
            <w:pStyle w:val="Contents2"/>
            <w:tabs>
              <w:tab w:val="clear" w:pos="8743"/>
              <w:tab w:val="right" w:pos="9026" w:leader="dot"/>
            </w:tabs>
            <w:rPr/>
          </w:pPr>
          <w:hyperlink w:anchor="__RefHeading___Toc10830499_73709187">
            <w:r>
              <w:rPr>
                <w:webHidden/>
                <w:rStyle w:val="IndexLink"/>
                <w:rtl w:val="true"/>
              </w:rPr>
              <w:t>الغيبة</w:t>
            </w:r>
            <w:r>
              <w:rPr>
                <w:rStyle w:val="IndexLink"/>
                <w:rtl w:val="true"/>
              </w:rPr>
              <w:tab/>
            </w:r>
            <w:r>
              <w:rPr>
                <w:rStyle w:val="IndexLink"/>
              </w:rPr>
              <w:t>130</w:t>
            </w:r>
          </w:hyperlink>
        </w:p>
        <w:p>
          <w:pPr>
            <w:pStyle w:val="Contents2"/>
            <w:tabs>
              <w:tab w:val="clear" w:pos="8743"/>
              <w:tab w:val="right" w:pos="9026" w:leader="dot"/>
            </w:tabs>
            <w:rPr/>
          </w:pPr>
          <w:hyperlink w:anchor="__RefHeading___Toc10830501_73709187">
            <w:r>
              <w:rPr>
                <w:webHidden/>
                <w:rStyle w:val="IndexLink"/>
                <w:rtl w:val="true"/>
              </w:rPr>
              <w:t>الغيبة من الذنوب الكبيرة</w:t>
            </w:r>
            <w:r>
              <w:rPr>
                <w:rStyle w:val="IndexLink"/>
                <w:rtl w:val="true"/>
              </w:rPr>
              <w:tab/>
            </w:r>
            <w:r>
              <w:rPr>
                <w:rStyle w:val="IndexLink"/>
              </w:rPr>
              <w:t>135</w:t>
            </w:r>
          </w:hyperlink>
        </w:p>
        <w:p>
          <w:pPr>
            <w:pStyle w:val="Contents2"/>
            <w:tabs>
              <w:tab w:val="clear" w:pos="8743"/>
              <w:tab w:val="right" w:pos="9026" w:leader="dot"/>
            </w:tabs>
            <w:rPr/>
          </w:pPr>
          <w:hyperlink w:anchor="__RefHeading___Toc10830503_73709187">
            <w:r>
              <w:rPr>
                <w:webHidden/>
                <w:rStyle w:val="IndexLink"/>
                <w:rtl w:val="true"/>
              </w:rPr>
              <w:t>اشتراط الإيمان في حرمة الغيبة</w:t>
            </w:r>
            <w:r>
              <w:rPr>
                <w:rStyle w:val="IndexLink"/>
                <w:rtl w:val="true"/>
              </w:rPr>
              <w:tab/>
            </w:r>
            <w:r>
              <w:rPr>
                <w:rStyle w:val="IndexLink"/>
              </w:rPr>
              <w:t>137</w:t>
            </w:r>
          </w:hyperlink>
        </w:p>
        <w:p>
          <w:pPr>
            <w:pStyle w:val="Contents2"/>
            <w:tabs>
              <w:tab w:val="clear" w:pos="8743"/>
              <w:tab w:val="right" w:pos="9026" w:leader="dot"/>
            </w:tabs>
            <w:rPr/>
          </w:pPr>
          <w:hyperlink w:anchor="__RefHeading___Toc10830505_73709187">
            <w:r>
              <w:rPr>
                <w:webHidden/>
                <w:rStyle w:val="IndexLink"/>
                <w:rtl w:val="true"/>
              </w:rPr>
              <w:t>حكم غيبة الصبي</w:t>
            </w:r>
            <w:r>
              <w:rPr>
                <w:rStyle w:val="IndexLink"/>
                <w:rtl w:val="true"/>
              </w:rPr>
              <w:tab/>
            </w:r>
            <w:r>
              <w:rPr>
                <w:rStyle w:val="IndexLink"/>
              </w:rPr>
              <w:t>140</w:t>
            </w:r>
          </w:hyperlink>
        </w:p>
        <w:p>
          <w:pPr>
            <w:pStyle w:val="Contents2"/>
            <w:tabs>
              <w:tab w:val="clear" w:pos="8743"/>
              <w:tab w:val="right" w:pos="9026" w:leader="dot"/>
            </w:tabs>
            <w:rPr/>
          </w:pPr>
          <w:hyperlink w:anchor="__RefHeading___Toc10830507_73709187">
            <w:r>
              <w:rPr>
                <w:webHidden/>
                <w:rStyle w:val="IndexLink"/>
                <w:rtl w:val="true"/>
              </w:rPr>
              <w:t>بيان معنى الغيبة</w:t>
            </w:r>
            <w:r>
              <w:rPr>
                <w:rStyle w:val="IndexLink"/>
                <w:rtl w:val="true"/>
              </w:rPr>
              <w:tab/>
            </w:r>
            <w:r>
              <w:rPr>
                <w:rStyle w:val="IndexLink"/>
              </w:rPr>
              <w:t>143</w:t>
            </w:r>
          </w:hyperlink>
        </w:p>
        <w:p>
          <w:pPr>
            <w:pStyle w:val="Contents2"/>
            <w:tabs>
              <w:tab w:val="clear" w:pos="8743"/>
              <w:tab w:val="right" w:pos="9026" w:leader="dot"/>
            </w:tabs>
            <w:rPr/>
          </w:pPr>
          <w:hyperlink w:anchor="__RefHeading___Toc10830509_73709187">
            <w:r>
              <w:rPr>
                <w:webHidden/>
                <w:rStyle w:val="IndexLink"/>
                <w:rtl w:val="true"/>
              </w:rPr>
              <w:t>كفّارة الغيبة</w:t>
            </w:r>
            <w:r>
              <w:rPr>
                <w:rStyle w:val="IndexLink"/>
                <w:rtl w:val="true"/>
              </w:rPr>
              <w:tab/>
            </w:r>
            <w:r>
              <w:rPr>
                <w:rStyle w:val="IndexLink"/>
              </w:rPr>
              <w:t>154</w:t>
            </w:r>
          </w:hyperlink>
        </w:p>
        <w:p>
          <w:pPr>
            <w:pStyle w:val="Contents2"/>
            <w:tabs>
              <w:tab w:val="clear" w:pos="8743"/>
              <w:tab w:val="right" w:pos="9026" w:leader="dot"/>
            </w:tabs>
            <w:rPr/>
          </w:pPr>
          <w:hyperlink w:anchor="__RefHeading___Toc10830511_73709187">
            <w:r>
              <w:rPr>
                <w:webHidden/>
                <w:rStyle w:val="IndexLink"/>
                <w:rtl w:val="true"/>
              </w:rPr>
              <w:t>مستثنيات الغيبة</w:t>
            </w:r>
            <w:r>
              <w:rPr>
                <w:rStyle w:val="IndexLink"/>
                <w:rtl w:val="true"/>
              </w:rPr>
              <w:tab/>
            </w:r>
            <w:r>
              <w:rPr>
                <w:rStyle w:val="IndexLink"/>
              </w:rPr>
              <w:t>161</w:t>
            </w:r>
          </w:hyperlink>
        </w:p>
        <w:p>
          <w:pPr>
            <w:pStyle w:val="Contents2"/>
            <w:tabs>
              <w:tab w:val="clear" w:pos="8743"/>
              <w:tab w:val="right" w:pos="9026" w:leader="dot"/>
            </w:tabs>
            <w:rPr/>
          </w:pPr>
          <w:hyperlink w:anchor="__RefHeading___Toc10830513_73709187">
            <w:r>
              <w:rPr>
                <w:webHidden/>
                <w:rStyle w:val="IndexLink"/>
                <w:rtl w:val="true"/>
              </w:rPr>
              <w:t>غيبة المتجاهر بالفسق</w:t>
            </w:r>
            <w:r>
              <w:rPr>
                <w:rStyle w:val="IndexLink"/>
                <w:rtl w:val="true"/>
              </w:rPr>
              <w:tab/>
            </w:r>
            <w:r>
              <w:rPr>
                <w:rStyle w:val="IndexLink"/>
              </w:rPr>
              <w:t>162</w:t>
            </w:r>
          </w:hyperlink>
        </w:p>
        <w:p>
          <w:pPr>
            <w:pStyle w:val="Contents2"/>
            <w:tabs>
              <w:tab w:val="clear" w:pos="8743"/>
              <w:tab w:val="right" w:pos="9026" w:leader="dot"/>
            </w:tabs>
            <w:rPr/>
          </w:pPr>
          <w:hyperlink w:anchor="__RefHeading___Toc10830515_73709187">
            <w:r>
              <w:rPr>
                <w:webHidden/>
                <w:rStyle w:val="IndexLink"/>
                <w:rtl w:val="true"/>
              </w:rPr>
              <w:t>فروع الغيبة</w:t>
            </w:r>
            <w:r>
              <w:rPr>
                <w:rStyle w:val="IndexLink"/>
                <w:rtl w:val="true"/>
              </w:rPr>
              <w:tab/>
            </w:r>
            <w:r>
              <w:rPr>
                <w:rStyle w:val="IndexLink"/>
              </w:rPr>
              <w:t>171</w:t>
            </w:r>
          </w:hyperlink>
        </w:p>
        <w:p>
          <w:pPr>
            <w:pStyle w:val="Contents2"/>
            <w:tabs>
              <w:tab w:val="clear" w:pos="8743"/>
              <w:tab w:val="right" w:pos="9026" w:leader="dot"/>
            </w:tabs>
            <w:rPr/>
          </w:pPr>
          <w:hyperlink w:anchor="__RefHeading___Toc10830517_73709187">
            <w:r>
              <w:rPr>
                <w:webHidden/>
                <w:rStyle w:val="IndexLink"/>
                <w:rtl w:val="true"/>
              </w:rPr>
              <w:t>تظلّم المظلوم</w:t>
            </w:r>
            <w:r>
              <w:rPr>
                <w:rStyle w:val="IndexLink"/>
                <w:rtl w:val="true"/>
              </w:rPr>
              <w:tab/>
            </w:r>
            <w:r>
              <w:rPr>
                <w:rStyle w:val="IndexLink"/>
              </w:rPr>
              <w:t>176</w:t>
            </w:r>
          </w:hyperlink>
        </w:p>
        <w:p>
          <w:pPr>
            <w:pStyle w:val="Contents2"/>
            <w:tabs>
              <w:tab w:val="clear" w:pos="8743"/>
              <w:tab w:val="right" w:pos="9026" w:leader="dot"/>
            </w:tabs>
            <w:rPr/>
          </w:pPr>
          <w:hyperlink w:anchor="__RefHeading___Toc10830519_73709187">
            <w:r>
              <w:rPr>
                <w:webHidden/>
                <w:rStyle w:val="IndexLink"/>
                <w:rtl w:val="true"/>
              </w:rPr>
              <w:t>حكم غيبة تارك الأولى‌</w:t>
            </w:r>
            <w:r>
              <w:rPr>
                <w:rStyle w:val="IndexLink"/>
                <w:rtl w:val="true"/>
              </w:rPr>
              <w:tab/>
            </w:r>
            <w:r>
              <w:rPr>
                <w:rStyle w:val="IndexLink"/>
              </w:rPr>
              <w:t>181</w:t>
            </w:r>
          </w:hyperlink>
        </w:p>
        <w:p>
          <w:pPr>
            <w:pStyle w:val="Contents2"/>
            <w:tabs>
              <w:tab w:val="clear" w:pos="8743"/>
              <w:tab w:val="right" w:pos="9026" w:leader="dot"/>
            </w:tabs>
            <w:rPr/>
          </w:pPr>
          <w:hyperlink w:anchor="__RefHeading___Toc10830521_73709187">
            <w:r>
              <w:rPr>
                <w:webHidden/>
                <w:rStyle w:val="IndexLink"/>
                <w:rtl w:val="true"/>
              </w:rPr>
              <w:t>ضابط الغيبة الجائزة</w:t>
            </w:r>
            <w:r>
              <w:rPr>
                <w:rStyle w:val="IndexLink"/>
                <w:rtl w:val="true"/>
              </w:rPr>
              <w:tab/>
            </w:r>
            <w:r>
              <w:rPr>
                <w:rStyle w:val="IndexLink"/>
              </w:rPr>
              <w:t>184</w:t>
            </w:r>
          </w:hyperlink>
        </w:p>
        <w:p>
          <w:pPr>
            <w:pStyle w:val="Contents2"/>
            <w:tabs>
              <w:tab w:val="clear" w:pos="8743"/>
              <w:tab w:val="right" w:pos="9026" w:leader="dot"/>
            </w:tabs>
            <w:rPr/>
          </w:pPr>
          <w:hyperlink w:anchor="__RefHeading___Toc10830523_73709187">
            <w:r>
              <w:rPr>
                <w:webHidden/>
                <w:rStyle w:val="IndexLink"/>
                <w:rtl w:val="true"/>
              </w:rPr>
              <w:t>نُصح المستشير</w:t>
            </w:r>
            <w:r>
              <w:rPr>
                <w:rStyle w:val="IndexLink"/>
                <w:rtl w:val="true"/>
              </w:rPr>
              <w:tab/>
            </w:r>
            <w:r>
              <w:rPr>
                <w:rStyle w:val="IndexLink"/>
              </w:rPr>
              <w:t>185</w:t>
            </w:r>
          </w:hyperlink>
        </w:p>
        <w:p>
          <w:pPr>
            <w:pStyle w:val="Contents2"/>
            <w:tabs>
              <w:tab w:val="clear" w:pos="8743"/>
              <w:tab w:val="right" w:pos="9026" w:leader="dot"/>
            </w:tabs>
            <w:rPr/>
          </w:pPr>
          <w:hyperlink w:anchor="__RefHeading___Toc10830525_73709187">
            <w:r>
              <w:rPr>
                <w:webHidden/>
                <w:rStyle w:val="IndexLink"/>
                <w:rtl w:val="true"/>
              </w:rPr>
              <w:t>الاغتياب في مواضع الاستفتاء</w:t>
            </w:r>
            <w:r>
              <w:rPr>
                <w:rStyle w:val="IndexLink"/>
                <w:rtl w:val="true"/>
              </w:rPr>
              <w:tab/>
            </w:r>
            <w:r>
              <w:rPr>
                <w:rStyle w:val="IndexLink"/>
              </w:rPr>
              <w:t>187</w:t>
            </w:r>
          </w:hyperlink>
        </w:p>
        <w:p>
          <w:pPr>
            <w:pStyle w:val="Contents2"/>
            <w:tabs>
              <w:tab w:val="clear" w:pos="8743"/>
              <w:tab w:val="right" w:pos="9026" w:leader="dot"/>
            </w:tabs>
            <w:rPr/>
          </w:pPr>
          <w:hyperlink w:anchor="__RefHeading___Toc10830527_73709187">
            <w:r>
              <w:rPr>
                <w:webHidden/>
                <w:rStyle w:val="IndexLink"/>
                <w:rtl w:val="true"/>
              </w:rPr>
              <w:t>الاغتياب لردع المغتاب عن فعل المنكر</w:t>
            </w:r>
            <w:r>
              <w:rPr>
                <w:rStyle w:val="IndexLink"/>
                <w:rtl w:val="true"/>
              </w:rPr>
              <w:tab/>
            </w:r>
            <w:r>
              <w:rPr>
                <w:rStyle w:val="IndexLink"/>
              </w:rPr>
              <w:t>190</w:t>
            </w:r>
          </w:hyperlink>
        </w:p>
        <w:p>
          <w:pPr>
            <w:pStyle w:val="Contents2"/>
            <w:tabs>
              <w:tab w:val="clear" w:pos="8743"/>
              <w:tab w:val="right" w:pos="9026" w:leader="dot"/>
            </w:tabs>
            <w:rPr/>
          </w:pPr>
          <w:hyperlink w:anchor="__RefHeading___Toc10830529_73709187">
            <w:r>
              <w:rPr>
                <w:webHidden/>
                <w:rStyle w:val="IndexLink"/>
                <w:rtl w:val="true"/>
              </w:rPr>
              <w:t>الاغتياب لحسم مادّة الفساد وجرح الشهود</w:t>
            </w:r>
            <w:r>
              <w:rPr>
                <w:rStyle w:val="IndexLink"/>
                <w:rtl w:val="true"/>
              </w:rPr>
              <w:tab/>
            </w:r>
            <w:r>
              <w:rPr>
                <w:rStyle w:val="IndexLink"/>
              </w:rPr>
              <w:t>191</w:t>
            </w:r>
          </w:hyperlink>
        </w:p>
        <w:p>
          <w:pPr>
            <w:pStyle w:val="Contents2"/>
            <w:tabs>
              <w:tab w:val="clear" w:pos="8743"/>
              <w:tab w:val="right" w:pos="9026" w:leader="dot"/>
            </w:tabs>
            <w:rPr/>
          </w:pPr>
          <w:hyperlink w:anchor="__RefHeading___Toc10830531_73709187">
            <w:r>
              <w:rPr>
                <w:webHidden/>
                <w:rStyle w:val="IndexLink"/>
                <w:rtl w:val="true"/>
              </w:rPr>
              <w:t>الاغتياب لدفع الضرر عن المقول فيه</w:t>
            </w:r>
            <w:r>
              <w:rPr>
                <w:rStyle w:val="IndexLink"/>
                <w:rtl w:val="true"/>
              </w:rPr>
              <w:tab/>
            </w:r>
            <w:r>
              <w:rPr>
                <w:rStyle w:val="IndexLink"/>
              </w:rPr>
              <w:t>192</w:t>
            </w:r>
          </w:hyperlink>
        </w:p>
        <w:p>
          <w:pPr>
            <w:pStyle w:val="Contents2"/>
            <w:tabs>
              <w:tab w:val="clear" w:pos="8743"/>
              <w:tab w:val="right" w:pos="9026" w:leader="dot"/>
            </w:tabs>
            <w:rPr/>
          </w:pPr>
          <w:hyperlink w:anchor="__RefHeading___Toc10830533_73709187">
            <w:r>
              <w:rPr>
                <w:webHidden/>
                <w:rStyle w:val="IndexLink"/>
                <w:rtl w:val="true"/>
              </w:rPr>
              <w:t>الاغتياب بذكر الأوصاف الظاهرة</w:t>
            </w:r>
            <w:r>
              <w:rPr>
                <w:rStyle w:val="IndexLink"/>
                <w:rtl w:val="true"/>
              </w:rPr>
              <w:tab/>
            </w:r>
            <w:r>
              <w:rPr>
                <w:rStyle w:val="IndexLink"/>
              </w:rPr>
              <w:t>193</w:t>
            </w:r>
          </w:hyperlink>
        </w:p>
        <w:p>
          <w:pPr>
            <w:pStyle w:val="Contents2"/>
            <w:tabs>
              <w:tab w:val="clear" w:pos="8743"/>
              <w:tab w:val="right" w:pos="9026" w:leader="dot"/>
            </w:tabs>
            <w:rPr/>
          </w:pPr>
          <w:hyperlink w:anchor="__RefHeading___Toc10830535_73709187">
            <w:r>
              <w:rPr>
                <w:webHidden/>
                <w:rStyle w:val="IndexLink"/>
                <w:rtl w:val="true"/>
              </w:rPr>
              <w:t>الاغتياب لرد من يدّعي نسباً ليس له</w:t>
            </w:r>
            <w:r>
              <w:rPr>
                <w:rStyle w:val="IndexLink"/>
                <w:rtl w:val="true"/>
              </w:rPr>
              <w:tab/>
            </w:r>
            <w:r>
              <w:rPr>
                <w:rStyle w:val="IndexLink"/>
              </w:rPr>
              <w:t>194</w:t>
            </w:r>
          </w:hyperlink>
        </w:p>
        <w:p>
          <w:pPr>
            <w:pStyle w:val="Contents2"/>
            <w:tabs>
              <w:tab w:val="clear" w:pos="8743"/>
              <w:tab w:val="right" w:pos="9026" w:leader="dot"/>
            </w:tabs>
            <w:rPr/>
          </w:pPr>
          <w:hyperlink w:anchor="__RefHeading___Toc10830537_73709187">
            <w:r>
              <w:rPr>
                <w:webHidden/>
                <w:rStyle w:val="IndexLink"/>
                <w:rtl w:val="true"/>
              </w:rPr>
              <w:t>استماع الغيبة حرام</w:t>
            </w:r>
            <w:r>
              <w:rPr>
                <w:rStyle w:val="IndexLink"/>
                <w:rtl w:val="true"/>
              </w:rPr>
              <w:tab/>
            </w:r>
            <w:r>
              <w:rPr>
                <w:rStyle w:val="IndexLink"/>
              </w:rPr>
              <w:t>195</w:t>
            </w:r>
          </w:hyperlink>
        </w:p>
        <w:p>
          <w:pPr>
            <w:pStyle w:val="Contents2"/>
            <w:tabs>
              <w:tab w:val="clear" w:pos="8743"/>
              <w:tab w:val="right" w:pos="9026" w:leader="dot"/>
            </w:tabs>
            <w:rPr/>
          </w:pPr>
          <w:hyperlink w:anchor="__RefHeading___Toc10830539_73709187">
            <w:r>
              <w:rPr>
                <w:webHidden/>
                <w:rStyle w:val="IndexLink"/>
                <w:rtl w:val="true"/>
              </w:rPr>
              <w:t>جواز الغيبة لا يلازم جواز استماعها</w:t>
            </w:r>
            <w:r>
              <w:rPr>
                <w:rStyle w:val="IndexLink"/>
                <w:rtl w:val="true"/>
              </w:rPr>
              <w:tab/>
            </w:r>
            <w:r>
              <w:rPr>
                <w:rStyle w:val="IndexLink"/>
              </w:rPr>
              <w:t>199</w:t>
            </w:r>
          </w:hyperlink>
        </w:p>
        <w:p>
          <w:pPr>
            <w:pStyle w:val="Contents2"/>
            <w:tabs>
              <w:tab w:val="clear" w:pos="8743"/>
              <w:tab w:val="right" w:pos="9026" w:leader="dot"/>
            </w:tabs>
            <w:rPr/>
          </w:pPr>
          <w:hyperlink w:anchor="__RefHeading___Toc10830541_73709187">
            <w:r>
              <w:rPr>
                <w:webHidden/>
                <w:rStyle w:val="IndexLink"/>
                <w:rtl w:val="true"/>
              </w:rPr>
              <w:t>حرمة كون الإنسان ذا لسانين</w:t>
            </w:r>
            <w:r>
              <w:rPr>
                <w:rStyle w:val="IndexLink"/>
                <w:rtl w:val="true"/>
              </w:rPr>
              <w:tab/>
            </w:r>
            <w:r>
              <w:rPr>
                <w:rStyle w:val="IndexLink"/>
              </w:rPr>
              <w:t>204</w:t>
            </w:r>
          </w:hyperlink>
        </w:p>
        <w:p>
          <w:pPr>
            <w:pStyle w:val="Contents2"/>
            <w:tabs>
              <w:tab w:val="clear" w:pos="8743"/>
              <w:tab w:val="right" w:pos="9026" w:leader="dot"/>
            </w:tabs>
            <w:rPr/>
          </w:pPr>
          <w:hyperlink w:anchor="__RefHeading___Toc10830543_73709187">
            <w:r>
              <w:rPr>
                <w:webHidden/>
                <w:rStyle w:val="IndexLink"/>
                <w:rtl w:val="true"/>
              </w:rPr>
              <w:t>حرمة القمار</w:t>
            </w:r>
            <w:r>
              <w:rPr>
                <w:rStyle w:val="IndexLink"/>
                <w:rtl w:val="true"/>
              </w:rPr>
              <w:tab/>
            </w:r>
            <w:r>
              <w:rPr>
                <w:rStyle w:val="IndexLink"/>
              </w:rPr>
              <w:t>206</w:t>
            </w:r>
          </w:hyperlink>
        </w:p>
        <w:p>
          <w:pPr>
            <w:pStyle w:val="Contents2"/>
            <w:tabs>
              <w:tab w:val="clear" w:pos="8743"/>
              <w:tab w:val="right" w:pos="9026" w:leader="dot"/>
            </w:tabs>
            <w:rPr/>
          </w:pPr>
          <w:hyperlink w:anchor="__RefHeading___Toc10830545_73709187">
            <w:r>
              <w:rPr>
                <w:webHidden/>
                <w:rStyle w:val="IndexLink"/>
                <w:rtl w:val="true"/>
              </w:rPr>
              <w:t>اللّعب بالآلات المعدّة القمار مع الرّهن</w:t>
            </w:r>
            <w:r>
              <w:rPr>
                <w:rStyle w:val="IndexLink"/>
                <w:rtl w:val="true"/>
              </w:rPr>
              <w:tab/>
            </w:r>
            <w:r>
              <w:rPr>
                <w:rStyle w:val="IndexLink"/>
              </w:rPr>
              <w:t>208</w:t>
            </w:r>
          </w:hyperlink>
        </w:p>
        <w:p>
          <w:pPr>
            <w:pStyle w:val="Contents2"/>
            <w:tabs>
              <w:tab w:val="clear" w:pos="8743"/>
              <w:tab w:val="right" w:pos="9026" w:leader="dot"/>
            </w:tabs>
            <w:rPr/>
          </w:pPr>
          <w:hyperlink w:anchor="__RefHeading___Toc10830547_73709187">
            <w:r>
              <w:rPr>
                <w:webHidden/>
                <w:rStyle w:val="IndexLink"/>
                <w:rtl w:val="true"/>
              </w:rPr>
              <w:t>اللّعب بالآلات المُعدّة للقمار بدون الرّهن</w:t>
            </w:r>
            <w:r>
              <w:rPr>
                <w:rStyle w:val="IndexLink"/>
                <w:rtl w:val="true"/>
              </w:rPr>
              <w:tab/>
            </w:r>
            <w:r>
              <w:rPr>
                <w:rStyle w:val="IndexLink"/>
              </w:rPr>
              <w:t>209</w:t>
            </w:r>
          </w:hyperlink>
        </w:p>
        <w:p>
          <w:pPr>
            <w:pStyle w:val="Contents2"/>
            <w:tabs>
              <w:tab w:val="clear" w:pos="8743"/>
              <w:tab w:val="right" w:pos="9026" w:leader="dot"/>
            </w:tabs>
            <w:rPr/>
          </w:pPr>
          <w:hyperlink w:anchor="__RefHeading___Toc10830549_73709187">
            <w:r>
              <w:rPr>
                <w:webHidden/>
                <w:rStyle w:val="IndexLink"/>
                <w:rtl w:val="true"/>
              </w:rPr>
              <w:t>اللّعب بغير الآلات المعدّة للقمار مع الرّهن</w:t>
            </w:r>
            <w:r>
              <w:rPr>
                <w:rStyle w:val="IndexLink"/>
                <w:rtl w:val="true"/>
              </w:rPr>
              <w:tab/>
            </w:r>
            <w:r>
              <w:rPr>
                <w:rStyle w:val="IndexLink"/>
              </w:rPr>
              <w:t>216</w:t>
            </w:r>
          </w:hyperlink>
        </w:p>
        <w:p>
          <w:pPr>
            <w:pStyle w:val="Contents2"/>
            <w:tabs>
              <w:tab w:val="clear" w:pos="8743"/>
              <w:tab w:val="right" w:pos="9026" w:leader="dot"/>
            </w:tabs>
            <w:rPr/>
          </w:pPr>
          <w:hyperlink w:anchor="__RefHeading___Toc10830551_73709187">
            <w:r>
              <w:rPr>
                <w:webHidden/>
                <w:rStyle w:val="IndexLink"/>
                <w:rtl w:val="true"/>
              </w:rPr>
              <w:t>حكم المسابقة بغير رهان</w:t>
            </w:r>
            <w:r>
              <w:rPr>
                <w:rStyle w:val="IndexLink"/>
                <w:rtl w:val="true"/>
              </w:rPr>
              <w:tab/>
            </w:r>
            <w:r>
              <w:rPr>
                <w:rStyle w:val="IndexLink"/>
              </w:rPr>
              <w:t>222</w:t>
            </w:r>
          </w:hyperlink>
        </w:p>
        <w:p>
          <w:pPr>
            <w:pStyle w:val="Contents2"/>
            <w:tabs>
              <w:tab w:val="clear" w:pos="8743"/>
              <w:tab w:val="right" w:pos="9026" w:leader="dot"/>
            </w:tabs>
            <w:rPr/>
          </w:pPr>
          <w:hyperlink w:anchor="__RefHeading___Toc10830553_73709187">
            <w:r>
              <w:rPr>
                <w:webHidden/>
                <w:rStyle w:val="IndexLink"/>
                <w:rtl w:val="true"/>
              </w:rPr>
              <w:t>القيادة حرام</w:t>
            </w:r>
            <w:r>
              <w:rPr>
                <w:rStyle w:val="IndexLink"/>
                <w:rtl w:val="true"/>
              </w:rPr>
              <w:tab/>
            </w:r>
            <w:r>
              <w:rPr>
                <w:rStyle w:val="IndexLink"/>
              </w:rPr>
              <w:t>226</w:t>
            </w:r>
          </w:hyperlink>
        </w:p>
        <w:p>
          <w:pPr>
            <w:pStyle w:val="Contents2"/>
            <w:tabs>
              <w:tab w:val="clear" w:pos="8743"/>
              <w:tab w:val="right" w:pos="9026" w:leader="dot"/>
            </w:tabs>
            <w:rPr/>
          </w:pPr>
          <w:hyperlink w:anchor="__RefHeading___Toc10830555_73709187">
            <w:r>
              <w:rPr>
                <w:webHidden/>
                <w:rStyle w:val="IndexLink"/>
                <w:rtl w:val="true"/>
              </w:rPr>
              <w:t>القيافة وحكمها</w:t>
            </w:r>
            <w:r>
              <w:rPr>
                <w:rStyle w:val="IndexLink"/>
                <w:rtl w:val="true"/>
              </w:rPr>
              <w:tab/>
            </w:r>
            <w:r>
              <w:rPr>
                <w:rStyle w:val="IndexLink"/>
              </w:rPr>
              <w:t>228</w:t>
            </w:r>
          </w:hyperlink>
        </w:p>
        <w:p>
          <w:pPr>
            <w:pStyle w:val="Contents2"/>
            <w:tabs>
              <w:tab w:val="clear" w:pos="8743"/>
              <w:tab w:val="right" w:pos="9026" w:leader="dot"/>
            </w:tabs>
            <w:rPr/>
          </w:pPr>
          <w:hyperlink w:anchor="__RefHeading___Toc10830557_73709187">
            <w:r>
              <w:rPr>
                <w:webHidden/>
                <w:rStyle w:val="IndexLink"/>
                <w:rtl w:val="true"/>
              </w:rPr>
              <w:t>حرمة الكذب</w:t>
            </w:r>
            <w:r>
              <w:rPr>
                <w:rStyle w:val="IndexLink"/>
                <w:rtl w:val="true"/>
              </w:rPr>
              <w:tab/>
            </w:r>
            <w:r>
              <w:rPr>
                <w:rStyle w:val="IndexLink"/>
              </w:rPr>
              <w:t>233</w:t>
            </w:r>
          </w:hyperlink>
        </w:p>
        <w:p>
          <w:pPr>
            <w:pStyle w:val="Contents2"/>
            <w:tabs>
              <w:tab w:val="clear" w:pos="8743"/>
              <w:tab w:val="right" w:pos="9026" w:leader="dot"/>
            </w:tabs>
            <w:rPr/>
          </w:pPr>
          <w:hyperlink w:anchor="__RefHeading___Toc10830559_73709187">
            <w:r>
              <w:rPr>
                <w:webHidden/>
                <w:rStyle w:val="IndexLink"/>
                <w:rtl w:val="true"/>
              </w:rPr>
              <w:t>الكذب من الكبائر</w:t>
            </w:r>
            <w:r>
              <w:rPr>
                <w:rStyle w:val="IndexLink"/>
                <w:rtl w:val="true"/>
              </w:rPr>
              <w:tab/>
            </w:r>
            <w:r>
              <w:rPr>
                <w:rStyle w:val="IndexLink"/>
              </w:rPr>
              <w:t>233</w:t>
            </w:r>
          </w:hyperlink>
        </w:p>
        <w:p>
          <w:pPr>
            <w:pStyle w:val="Contents2"/>
            <w:tabs>
              <w:tab w:val="clear" w:pos="8743"/>
              <w:tab w:val="right" w:pos="9026" w:leader="dot"/>
            </w:tabs>
            <w:rPr/>
          </w:pPr>
          <w:hyperlink w:anchor="__RefHeading___Toc10830561_73709187">
            <w:r>
              <w:rPr>
                <w:webHidden/>
                <w:rStyle w:val="IndexLink"/>
                <w:rtl w:val="true"/>
              </w:rPr>
              <w:t>في حقيقة الوعد وحكمه</w:t>
            </w:r>
            <w:r>
              <w:rPr>
                <w:rStyle w:val="IndexLink"/>
                <w:rtl w:val="true"/>
              </w:rPr>
              <w:tab/>
            </w:r>
            <w:r>
              <w:rPr>
                <w:rStyle w:val="IndexLink"/>
              </w:rPr>
              <w:t>242</w:t>
            </w:r>
          </w:hyperlink>
        </w:p>
        <w:p>
          <w:pPr>
            <w:pStyle w:val="Contents2"/>
            <w:tabs>
              <w:tab w:val="clear" w:pos="8743"/>
              <w:tab w:val="right" w:pos="9026" w:leader="dot"/>
            </w:tabs>
            <w:rPr/>
          </w:pPr>
          <w:hyperlink w:anchor="__RefHeading___Toc10830563_73709187">
            <w:r>
              <w:rPr>
                <w:webHidden/>
                <w:rStyle w:val="IndexLink"/>
                <w:rtl w:val="true"/>
              </w:rPr>
              <w:t>حكم خلف الوعد</w:t>
            </w:r>
            <w:r>
              <w:rPr>
                <w:rStyle w:val="IndexLink"/>
                <w:rtl w:val="true"/>
              </w:rPr>
              <w:tab/>
            </w:r>
            <w:r>
              <w:rPr>
                <w:rStyle w:val="IndexLink"/>
              </w:rPr>
              <w:t>244</w:t>
            </w:r>
          </w:hyperlink>
        </w:p>
        <w:p>
          <w:pPr>
            <w:pStyle w:val="Contents2"/>
            <w:tabs>
              <w:tab w:val="clear" w:pos="8743"/>
              <w:tab w:val="right" w:pos="9026" w:leader="dot"/>
            </w:tabs>
            <w:rPr/>
          </w:pPr>
          <w:hyperlink w:anchor="__RefHeading___Toc10830565_73709187">
            <w:r>
              <w:rPr>
                <w:webHidden/>
                <w:rStyle w:val="IndexLink"/>
                <w:rtl w:val="true"/>
              </w:rPr>
              <w:t>حرمة الكذب عند الهزل</w:t>
            </w:r>
            <w:r>
              <w:rPr>
                <w:rStyle w:val="IndexLink"/>
                <w:rtl w:val="true"/>
              </w:rPr>
              <w:tab/>
            </w:r>
            <w:r>
              <w:rPr>
                <w:rStyle w:val="IndexLink"/>
              </w:rPr>
              <w:t>246</w:t>
            </w:r>
          </w:hyperlink>
        </w:p>
        <w:p>
          <w:pPr>
            <w:pStyle w:val="Contents2"/>
            <w:tabs>
              <w:tab w:val="clear" w:pos="8743"/>
              <w:tab w:val="right" w:pos="9026" w:leader="dot"/>
            </w:tabs>
            <w:rPr/>
          </w:pPr>
          <w:hyperlink w:anchor="__RefHeading___Toc10830567_73709187">
            <w:r>
              <w:rPr>
                <w:webHidden/>
                <w:rStyle w:val="IndexLink"/>
                <w:rtl w:val="true"/>
              </w:rPr>
              <w:t>المبالغة</w:t>
            </w:r>
            <w:r>
              <w:rPr>
                <w:rStyle w:val="IndexLink"/>
                <w:rtl w:val="true"/>
              </w:rPr>
              <w:tab/>
            </w:r>
            <w:r>
              <w:rPr>
                <w:rStyle w:val="IndexLink"/>
              </w:rPr>
              <w:t>249</w:t>
            </w:r>
          </w:hyperlink>
        </w:p>
        <w:p>
          <w:pPr>
            <w:pStyle w:val="Contents2"/>
            <w:tabs>
              <w:tab w:val="clear" w:pos="8743"/>
              <w:tab w:val="right" w:pos="9026" w:leader="dot"/>
            </w:tabs>
            <w:rPr/>
          </w:pPr>
          <w:hyperlink w:anchor="__RefHeading___Toc10830569_73709187">
            <w:r>
              <w:rPr>
                <w:webHidden/>
                <w:rStyle w:val="IndexLink"/>
                <w:rtl w:val="true"/>
              </w:rPr>
              <w:t>التورية</w:t>
            </w:r>
            <w:r>
              <w:rPr>
                <w:rStyle w:val="IndexLink"/>
                <w:rtl w:val="true"/>
              </w:rPr>
              <w:tab/>
            </w:r>
            <w:r>
              <w:rPr>
                <w:rStyle w:val="IndexLink"/>
              </w:rPr>
              <w:t>250</w:t>
            </w:r>
          </w:hyperlink>
        </w:p>
        <w:p>
          <w:pPr>
            <w:pStyle w:val="Contents2"/>
            <w:tabs>
              <w:tab w:val="clear" w:pos="8743"/>
              <w:tab w:val="right" w:pos="9026" w:leader="dot"/>
            </w:tabs>
            <w:rPr/>
          </w:pPr>
          <w:hyperlink w:anchor="__RefHeading___Toc10830571_73709187">
            <w:r>
              <w:rPr>
                <w:webHidden/>
                <w:rStyle w:val="IndexLink"/>
                <w:rtl w:val="true"/>
              </w:rPr>
              <w:t>الكذب لدفع الضرورة</w:t>
            </w:r>
            <w:r>
              <w:rPr>
                <w:rStyle w:val="IndexLink"/>
                <w:rtl w:val="true"/>
              </w:rPr>
              <w:tab/>
            </w:r>
            <w:r>
              <w:rPr>
                <w:rStyle w:val="IndexLink"/>
              </w:rPr>
              <w:t>257</w:t>
            </w:r>
          </w:hyperlink>
        </w:p>
        <w:p>
          <w:pPr>
            <w:pStyle w:val="Contents2"/>
            <w:tabs>
              <w:tab w:val="clear" w:pos="8743"/>
              <w:tab w:val="right" w:pos="9026" w:leader="dot"/>
            </w:tabs>
            <w:rPr/>
          </w:pPr>
          <w:hyperlink w:anchor="__RefHeading___Toc10830573_73709187">
            <w:r>
              <w:rPr>
                <w:webHidden/>
                <w:rStyle w:val="IndexLink"/>
                <w:rtl w:val="true"/>
              </w:rPr>
              <w:t>الكذب لإرادة الإصلاح</w:t>
            </w:r>
            <w:r>
              <w:rPr>
                <w:rStyle w:val="IndexLink"/>
                <w:rtl w:val="true"/>
              </w:rPr>
              <w:tab/>
            </w:r>
            <w:r>
              <w:rPr>
                <w:rStyle w:val="IndexLink"/>
              </w:rPr>
              <w:t>272</w:t>
            </w:r>
          </w:hyperlink>
        </w:p>
        <w:p>
          <w:pPr>
            <w:pStyle w:val="Contents2"/>
            <w:tabs>
              <w:tab w:val="clear" w:pos="8743"/>
              <w:tab w:val="right" w:pos="9026" w:leader="dot"/>
            </w:tabs>
            <w:rPr/>
          </w:pPr>
          <w:hyperlink w:anchor="__RefHeading___Toc10830575_73709187">
            <w:r>
              <w:rPr>
                <w:webHidden/>
                <w:rStyle w:val="IndexLink"/>
                <w:rtl w:val="true"/>
              </w:rPr>
              <w:t>الكهانة</w:t>
            </w:r>
            <w:r>
              <w:rPr>
                <w:rStyle w:val="IndexLink"/>
                <w:rtl w:val="true"/>
              </w:rPr>
              <w:tab/>
            </w:r>
            <w:r>
              <w:rPr>
                <w:rStyle w:val="IndexLink"/>
              </w:rPr>
              <w:t>275</w:t>
            </w:r>
          </w:hyperlink>
        </w:p>
        <w:p>
          <w:pPr>
            <w:pStyle w:val="Contents2"/>
            <w:tabs>
              <w:tab w:val="clear" w:pos="8743"/>
              <w:tab w:val="right" w:pos="9026" w:leader="dot"/>
            </w:tabs>
            <w:rPr/>
          </w:pPr>
          <w:hyperlink w:anchor="__RefHeading___Toc10830577_73709187">
            <w:r>
              <w:rPr>
                <w:webHidden/>
                <w:rStyle w:val="IndexLink"/>
                <w:rtl w:val="true"/>
              </w:rPr>
              <w:t>الإخبار عن الأُمور المستقبلة</w:t>
            </w:r>
            <w:r>
              <w:rPr>
                <w:rStyle w:val="IndexLink"/>
                <w:rtl w:val="true"/>
              </w:rPr>
              <w:tab/>
            </w:r>
            <w:r>
              <w:rPr>
                <w:rStyle w:val="IndexLink"/>
              </w:rPr>
              <w:t>277</w:t>
            </w:r>
          </w:hyperlink>
        </w:p>
        <w:p>
          <w:pPr>
            <w:pStyle w:val="Contents2"/>
            <w:tabs>
              <w:tab w:val="clear" w:pos="8743"/>
              <w:tab w:val="right" w:pos="9026" w:leader="dot"/>
            </w:tabs>
            <w:rPr/>
          </w:pPr>
          <w:hyperlink w:anchor="__RefHeading___Toc10830579_73709187">
            <w:r>
              <w:rPr>
                <w:webHidden/>
                <w:rStyle w:val="IndexLink"/>
                <w:rtl w:val="true"/>
              </w:rPr>
              <w:t>حرمة اللّهو</w:t>
            </w:r>
            <w:r>
              <w:rPr>
                <w:rStyle w:val="IndexLink"/>
                <w:rtl w:val="true"/>
              </w:rPr>
              <w:tab/>
            </w:r>
            <w:r>
              <w:rPr>
                <w:rStyle w:val="IndexLink"/>
              </w:rPr>
              <w:t>280</w:t>
            </w:r>
          </w:hyperlink>
        </w:p>
        <w:p>
          <w:pPr>
            <w:pStyle w:val="Contents2"/>
            <w:tabs>
              <w:tab w:val="clear" w:pos="8743"/>
              <w:tab w:val="right" w:pos="9026" w:leader="dot"/>
            </w:tabs>
            <w:rPr/>
          </w:pPr>
          <w:hyperlink w:anchor="__RefHeading___Toc10830581_73709187">
            <w:r>
              <w:rPr>
                <w:webHidden/>
                <w:rStyle w:val="IndexLink"/>
                <w:rtl w:val="true"/>
              </w:rPr>
              <w:t>اللَّعب واللَّغو</w:t>
            </w:r>
            <w:r>
              <w:rPr>
                <w:rStyle w:val="IndexLink"/>
                <w:rtl w:val="true"/>
              </w:rPr>
              <w:tab/>
            </w:r>
            <w:r>
              <w:rPr>
                <w:rStyle w:val="IndexLink"/>
              </w:rPr>
              <w:t>286</w:t>
            </w:r>
          </w:hyperlink>
        </w:p>
        <w:p>
          <w:pPr>
            <w:pStyle w:val="Contents2"/>
            <w:tabs>
              <w:tab w:val="clear" w:pos="8743"/>
              <w:tab w:val="right" w:pos="9026" w:leader="dot"/>
            </w:tabs>
            <w:rPr/>
          </w:pPr>
          <w:hyperlink w:anchor="__RefHeading___Toc10830583_73709187">
            <w:r>
              <w:rPr>
                <w:webHidden/>
                <w:rStyle w:val="IndexLink"/>
                <w:rtl w:val="true"/>
              </w:rPr>
              <w:t>مدح من لا يستحقّ المدح</w:t>
            </w:r>
            <w:r>
              <w:rPr>
                <w:rStyle w:val="IndexLink"/>
                <w:rtl w:val="true"/>
              </w:rPr>
              <w:tab/>
            </w:r>
            <w:r>
              <w:rPr>
                <w:rStyle w:val="IndexLink"/>
              </w:rPr>
              <w:t>289</w:t>
            </w:r>
          </w:hyperlink>
        </w:p>
        <w:p>
          <w:pPr>
            <w:pStyle w:val="Contents2"/>
            <w:tabs>
              <w:tab w:val="clear" w:pos="8743"/>
              <w:tab w:val="right" w:pos="9026" w:leader="dot"/>
            </w:tabs>
            <w:rPr/>
          </w:pPr>
          <w:hyperlink w:anchor="__RefHeading___Toc10830585_73709187">
            <w:r>
              <w:rPr>
                <w:webHidden/>
                <w:rStyle w:val="IndexLink"/>
                <w:rtl w:val="true"/>
              </w:rPr>
              <w:t>حرمة معونة الظالمين</w:t>
            </w:r>
            <w:r>
              <w:rPr>
                <w:rStyle w:val="IndexLink"/>
                <w:rtl w:val="true"/>
              </w:rPr>
              <w:tab/>
            </w:r>
            <w:r>
              <w:rPr>
                <w:rStyle w:val="IndexLink"/>
              </w:rPr>
              <w:t>292</w:t>
            </w:r>
          </w:hyperlink>
        </w:p>
        <w:p>
          <w:pPr>
            <w:pStyle w:val="Contents2"/>
            <w:tabs>
              <w:tab w:val="clear" w:pos="8743"/>
              <w:tab w:val="right" w:pos="9026" w:leader="dot"/>
            </w:tabs>
            <w:rPr/>
          </w:pPr>
          <w:hyperlink w:anchor="__RefHeading___Toc10830587_73709187">
            <w:r>
              <w:rPr>
                <w:webHidden/>
                <w:rStyle w:val="IndexLink"/>
                <w:rtl w:val="true"/>
              </w:rPr>
              <w:t>إعانة الظالم في غير جهة ظلمه</w:t>
            </w:r>
            <w:r>
              <w:rPr>
                <w:rStyle w:val="IndexLink"/>
                <w:rtl w:val="true"/>
              </w:rPr>
              <w:tab/>
            </w:r>
            <w:r>
              <w:rPr>
                <w:rStyle w:val="IndexLink"/>
              </w:rPr>
              <w:t>294</w:t>
            </w:r>
          </w:hyperlink>
        </w:p>
        <w:p>
          <w:pPr>
            <w:pStyle w:val="Contents2"/>
            <w:tabs>
              <w:tab w:val="clear" w:pos="8743"/>
              <w:tab w:val="right" w:pos="9026" w:leader="dot"/>
            </w:tabs>
            <w:rPr/>
          </w:pPr>
          <w:hyperlink w:anchor="__RefHeading___Toc10830589_73709187">
            <w:r>
              <w:rPr>
                <w:webHidden/>
                <w:rStyle w:val="IndexLink"/>
                <w:rtl w:val="true"/>
              </w:rPr>
              <w:t>حرمة النجش</w:t>
            </w:r>
            <w:r>
              <w:rPr>
                <w:rStyle w:val="IndexLink"/>
                <w:rtl w:val="true"/>
              </w:rPr>
              <w:tab/>
            </w:r>
            <w:r>
              <w:rPr>
                <w:rStyle w:val="IndexLink"/>
              </w:rPr>
              <w:t>297</w:t>
            </w:r>
          </w:hyperlink>
        </w:p>
        <w:p>
          <w:pPr>
            <w:pStyle w:val="Contents2"/>
            <w:tabs>
              <w:tab w:val="clear" w:pos="8743"/>
              <w:tab w:val="right" w:pos="9026" w:leader="dot"/>
            </w:tabs>
            <w:rPr/>
          </w:pPr>
          <w:hyperlink w:anchor="__RefHeading___Toc10830591_73709187">
            <w:r>
              <w:rPr>
                <w:webHidden/>
                <w:rStyle w:val="IndexLink"/>
                <w:rtl w:val="true"/>
              </w:rPr>
              <w:t>النميمة</w:t>
            </w:r>
            <w:r>
              <w:rPr>
                <w:rStyle w:val="IndexLink"/>
                <w:rtl w:val="true"/>
              </w:rPr>
              <w:tab/>
            </w:r>
            <w:r>
              <w:rPr>
                <w:rStyle w:val="IndexLink"/>
              </w:rPr>
              <w:t>302</w:t>
            </w:r>
          </w:hyperlink>
        </w:p>
        <w:p>
          <w:pPr>
            <w:pStyle w:val="Contents2"/>
            <w:tabs>
              <w:tab w:val="clear" w:pos="8743"/>
              <w:tab w:val="right" w:pos="9026" w:leader="dot"/>
            </w:tabs>
            <w:rPr/>
          </w:pPr>
          <w:hyperlink w:anchor="__RefHeading___Toc10830593_73709187">
            <w:r>
              <w:rPr>
                <w:webHidden/>
                <w:rStyle w:val="IndexLink"/>
                <w:rtl w:val="true"/>
              </w:rPr>
              <w:t>النميمة محرّمة بالأدلّة الأربعة</w:t>
            </w:r>
            <w:r>
              <w:rPr>
                <w:rStyle w:val="IndexLink"/>
                <w:rtl w:val="true"/>
              </w:rPr>
              <w:tab/>
            </w:r>
            <w:r>
              <w:rPr>
                <w:rStyle w:val="IndexLink"/>
              </w:rPr>
              <w:t>302</w:t>
            </w:r>
          </w:hyperlink>
        </w:p>
        <w:p>
          <w:pPr>
            <w:pStyle w:val="Contents2"/>
            <w:tabs>
              <w:tab w:val="clear" w:pos="8743"/>
              <w:tab w:val="right" w:pos="9026" w:leader="dot"/>
            </w:tabs>
            <w:rPr/>
          </w:pPr>
          <w:hyperlink w:anchor="__RefHeading___Toc10830595_73709187">
            <w:r>
              <w:rPr>
                <w:webHidden/>
                <w:rStyle w:val="IndexLink"/>
                <w:rtl w:val="true"/>
              </w:rPr>
              <w:t>النياحة</w:t>
            </w:r>
            <w:r>
              <w:rPr>
                <w:rStyle w:val="IndexLink"/>
                <w:rtl w:val="true"/>
              </w:rPr>
              <w:tab/>
            </w:r>
            <w:r>
              <w:rPr>
                <w:rStyle w:val="IndexLink"/>
              </w:rPr>
              <w:t>305</w:t>
            </w:r>
          </w:hyperlink>
        </w:p>
        <w:p>
          <w:pPr>
            <w:pStyle w:val="Contents2"/>
            <w:tabs>
              <w:tab w:val="clear" w:pos="8743"/>
              <w:tab w:val="right" w:pos="9026" w:leader="dot"/>
            </w:tabs>
            <w:rPr/>
          </w:pPr>
          <w:hyperlink w:anchor="__RefHeading___Toc10830597_73709187">
            <w:r>
              <w:rPr>
                <w:webHidden/>
                <w:rStyle w:val="IndexLink"/>
                <w:rtl w:val="true"/>
              </w:rPr>
              <w:t>حكم قبول ولاية الجائر</w:t>
            </w:r>
            <w:r>
              <w:rPr>
                <w:rStyle w:val="IndexLink"/>
                <w:rtl w:val="true"/>
              </w:rPr>
              <w:tab/>
            </w:r>
            <w:r>
              <w:rPr>
                <w:rStyle w:val="IndexLink"/>
              </w:rPr>
              <w:t>311</w:t>
            </w:r>
          </w:hyperlink>
        </w:p>
        <w:p>
          <w:pPr>
            <w:pStyle w:val="Contents2"/>
            <w:tabs>
              <w:tab w:val="clear" w:pos="8743"/>
              <w:tab w:val="right" w:pos="9026" w:leader="dot"/>
            </w:tabs>
            <w:rPr/>
          </w:pPr>
          <w:hyperlink w:anchor="__RefHeading___Toc10830599_73709187">
            <w:r>
              <w:rPr>
                <w:webHidden/>
                <w:rStyle w:val="IndexLink"/>
                <w:rtl w:val="true"/>
              </w:rPr>
              <w:t>أخذ الولاية للقيام بمصالح العباد</w:t>
            </w:r>
            <w:r>
              <w:rPr>
                <w:rStyle w:val="IndexLink"/>
                <w:rtl w:val="true"/>
              </w:rPr>
              <w:tab/>
            </w:r>
            <w:r>
              <w:rPr>
                <w:rStyle w:val="IndexLink"/>
              </w:rPr>
              <w:t>314</w:t>
            </w:r>
          </w:hyperlink>
        </w:p>
        <w:p>
          <w:pPr>
            <w:pStyle w:val="Contents2"/>
            <w:tabs>
              <w:tab w:val="clear" w:pos="8743"/>
              <w:tab w:val="right" w:pos="9026" w:leader="dot"/>
            </w:tabs>
            <w:rPr/>
          </w:pPr>
          <w:hyperlink w:anchor="__RefHeading___Toc10830601_73709187">
            <w:r>
              <w:rPr>
                <w:webHidden/>
                <w:rStyle w:val="IndexLink"/>
                <w:rtl w:val="true"/>
              </w:rPr>
              <w:t>أقسام الولاية من قِبل الجائر</w:t>
            </w:r>
            <w:r>
              <w:rPr>
                <w:rStyle w:val="IndexLink"/>
                <w:rtl w:val="true"/>
              </w:rPr>
              <w:tab/>
            </w:r>
            <w:r>
              <w:rPr>
                <w:rStyle w:val="IndexLink"/>
              </w:rPr>
              <w:t>319</w:t>
            </w:r>
          </w:hyperlink>
        </w:p>
        <w:p>
          <w:pPr>
            <w:pStyle w:val="Contents2"/>
            <w:tabs>
              <w:tab w:val="clear" w:pos="8743"/>
              <w:tab w:val="right" w:pos="9026" w:leader="dot"/>
            </w:tabs>
            <w:rPr/>
          </w:pPr>
          <w:hyperlink w:anchor="__RefHeading___Toc10830603_73709187">
            <w:r>
              <w:rPr>
                <w:webHidden/>
                <w:rStyle w:val="IndexLink"/>
                <w:rtl w:val="true"/>
              </w:rPr>
              <w:t>في حكم قبول الولاية عن كُره</w:t>
            </w:r>
            <w:r>
              <w:rPr>
                <w:rStyle w:val="IndexLink"/>
                <w:rtl w:val="true"/>
              </w:rPr>
              <w:tab/>
            </w:r>
            <w:r>
              <w:rPr>
                <w:rStyle w:val="IndexLink"/>
              </w:rPr>
              <w:t>327</w:t>
            </w:r>
          </w:hyperlink>
        </w:p>
        <w:p>
          <w:pPr>
            <w:pStyle w:val="Contents2"/>
            <w:tabs>
              <w:tab w:val="clear" w:pos="8743"/>
              <w:tab w:val="right" w:pos="9026" w:leader="dot"/>
            </w:tabs>
            <w:rPr/>
          </w:pPr>
          <w:hyperlink w:anchor="__RefHeading___Toc10830605_73709187">
            <w:r>
              <w:rPr>
                <w:webHidden/>
                <w:rStyle w:val="IndexLink"/>
                <w:rtl w:val="true"/>
              </w:rPr>
              <w:t>حكم الإضرار بالنّاس مع الإكراه عليه</w:t>
            </w:r>
            <w:r>
              <w:rPr>
                <w:rStyle w:val="IndexLink"/>
                <w:rtl w:val="true"/>
              </w:rPr>
              <w:tab/>
            </w:r>
            <w:r>
              <w:rPr>
                <w:rStyle w:val="IndexLink"/>
              </w:rPr>
              <w:t>328</w:t>
            </w:r>
          </w:hyperlink>
        </w:p>
        <w:p>
          <w:pPr>
            <w:pStyle w:val="Contents2"/>
            <w:tabs>
              <w:tab w:val="clear" w:pos="8743"/>
              <w:tab w:val="right" w:pos="9026" w:leader="dot"/>
            </w:tabs>
            <w:rPr/>
          </w:pPr>
          <w:hyperlink w:anchor="__RefHeading___Toc10830607_73709187">
            <w:r>
              <w:rPr>
                <w:webHidden/>
                <w:rStyle w:val="IndexLink"/>
                <w:rtl w:val="true"/>
              </w:rPr>
              <w:t>حكم قبول الولاية لدفع الضَّرر عن الغير</w:t>
            </w:r>
            <w:r>
              <w:rPr>
                <w:rStyle w:val="IndexLink"/>
                <w:rtl w:val="true"/>
              </w:rPr>
              <w:tab/>
            </w:r>
            <w:r>
              <w:rPr>
                <w:rStyle w:val="IndexLink"/>
              </w:rPr>
              <w:t>334</w:t>
            </w:r>
          </w:hyperlink>
        </w:p>
        <w:p>
          <w:pPr>
            <w:pStyle w:val="Contents2"/>
            <w:tabs>
              <w:tab w:val="clear" w:pos="8743"/>
              <w:tab w:val="right" w:pos="9026" w:leader="dot"/>
            </w:tabs>
            <w:rPr/>
          </w:pPr>
          <w:hyperlink w:anchor="__RefHeading___Toc10830609_73709187">
            <w:r>
              <w:rPr>
                <w:webHidden/>
                <w:rStyle w:val="IndexLink"/>
                <w:rtl w:val="true"/>
              </w:rPr>
              <w:t>اعتبار العجز عن التفصّي في الإكراه</w:t>
            </w:r>
            <w:r>
              <w:rPr>
                <w:rStyle w:val="IndexLink"/>
                <w:rtl w:val="true"/>
              </w:rPr>
              <w:tab/>
            </w:r>
            <w:r>
              <w:rPr>
                <w:rStyle w:val="IndexLink"/>
              </w:rPr>
              <w:t>336</w:t>
            </w:r>
          </w:hyperlink>
        </w:p>
        <w:p>
          <w:pPr>
            <w:pStyle w:val="Contents2"/>
            <w:tabs>
              <w:tab w:val="clear" w:pos="8743"/>
              <w:tab w:val="right" w:pos="9026" w:leader="dot"/>
            </w:tabs>
            <w:rPr/>
          </w:pPr>
          <w:hyperlink w:anchor="__RefHeading___Toc10830611_73709187">
            <w:r>
              <w:rPr>
                <w:webHidden/>
                <w:rStyle w:val="IndexLink"/>
                <w:rtl w:val="true"/>
              </w:rPr>
              <w:t>جواز الولاية مع الضرر المالي رخصة</w:t>
            </w:r>
            <w:r>
              <w:rPr>
                <w:rStyle w:val="IndexLink"/>
                <w:rtl w:val="true"/>
              </w:rPr>
              <w:tab/>
            </w:r>
            <w:r>
              <w:rPr>
                <w:rStyle w:val="IndexLink"/>
              </w:rPr>
              <w:t>339</w:t>
            </w:r>
          </w:hyperlink>
        </w:p>
        <w:p>
          <w:pPr>
            <w:pStyle w:val="Contents2"/>
            <w:tabs>
              <w:tab w:val="clear" w:pos="8743"/>
              <w:tab w:val="right" w:pos="9026" w:leader="dot"/>
            </w:tabs>
            <w:rPr/>
          </w:pPr>
          <w:hyperlink w:anchor="__RefHeading___Toc10830613_73709187">
            <w:r>
              <w:rPr>
                <w:webHidden/>
                <w:rStyle w:val="IndexLink"/>
                <w:rtl w:val="true"/>
              </w:rPr>
              <w:t>حكم قتل المؤمن بالإكراه أو بالتقيّة</w:t>
            </w:r>
            <w:r>
              <w:rPr>
                <w:rStyle w:val="IndexLink"/>
                <w:rtl w:val="true"/>
              </w:rPr>
              <w:tab/>
            </w:r>
            <w:r>
              <w:rPr>
                <w:rStyle w:val="IndexLink"/>
              </w:rPr>
              <w:t>340</w:t>
            </w:r>
          </w:hyperlink>
        </w:p>
        <w:p>
          <w:pPr>
            <w:pStyle w:val="Contents2"/>
            <w:tabs>
              <w:tab w:val="clear" w:pos="8743"/>
              <w:tab w:val="right" w:pos="9026" w:leader="dot"/>
            </w:tabs>
            <w:rPr/>
          </w:pPr>
          <w:hyperlink w:anchor="__RefHeading___Toc10830615_73709187">
            <w:r>
              <w:rPr>
                <w:webHidden/>
                <w:rStyle w:val="IndexLink"/>
                <w:rtl w:val="true"/>
              </w:rPr>
              <w:t>حكم المستحقّ للقتل</w:t>
            </w:r>
            <w:r>
              <w:rPr>
                <w:rStyle w:val="IndexLink"/>
                <w:rtl w:val="true"/>
              </w:rPr>
              <w:tab/>
            </w:r>
            <w:r>
              <w:rPr>
                <w:rStyle w:val="IndexLink"/>
              </w:rPr>
              <w:t>343</w:t>
            </w:r>
          </w:hyperlink>
        </w:p>
        <w:p>
          <w:pPr>
            <w:pStyle w:val="Contents2"/>
            <w:tabs>
              <w:tab w:val="clear" w:pos="8743"/>
              <w:tab w:val="right" w:pos="9026" w:leader="dot"/>
            </w:tabs>
            <w:rPr/>
          </w:pPr>
          <w:hyperlink w:anchor="__RefHeading___Toc10830617_73709187">
            <w:r>
              <w:rPr>
                <w:webHidden/>
                <w:rStyle w:val="IndexLink"/>
                <w:rtl w:val="true"/>
              </w:rPr>
              <w:t>حكم قتل المخالف</w:t>
            </w:r>
            <w:r>
              <w:rPr>
                <w:rStyle w:val="IndexLink"/>
                <w:rtl w:val="true"/>
              </w:rPr>
              <w:tab/>
            </w:r>
            <w:r>
              <w:rPr>
                <w:rStyle w:val="IndexLink"/>
              </w:rPr>
              <w:t>344</w:t>
            </w:r>
          </w:hyperlink>
        </w:p>
        <w:p>
          <w:pPr>
            <w:pStyle w:val="Contents2"/>
            <w:tabs>
              <w:tab w:val="clear" w:pos="8743"/>
              <w:tab w:val="right" w:pos="9026" w:leader="dot"/>
            </w:tabs>
            <w:rPr/>
          </w:pPr>
          <w:hyperlink w:anchor="__RefHeading___Toc10830619_73709187">
            <w:r>
              <w:rPr>
                <w:webHidden/>
                <w:rStyle w:val="IndexLink"/>
                <w:rtl w:val="true"/>
              </w:rPr>
              <w:t>حرمة هجاء المؤمن</w:t>
            </w:r>
            <w:r>
              <w:rPr>
                <w:rStyle w:val="IndexLink"/>
                <w:rtl w:val="true"/>
              </w:rPr>
              <w:tab/>
            </w:r>
            <w:r>
              <w:rPr>
                <w:rStyle w:val="IndexLink"/>
              </w:rPr>
              <w:t>346</w:t>
            </w:r>
          </w:hyperlink>
        </w:p>
        <w:p>
          <w:pPr>
            <w:pStyle w:val="Contents2"/>
            <w:tabs>
              <w:tab w:val="clear" w:pos="8743"/>
              <w:tab w:val="right" w:pos="9026" w:leader="dot"/>
            </w:tabs>
            <w:rPr/>
          </w:pPr>
          <w:hyperlink w:anchor="__RefHeading___Toc10830621_73709187">
            <w:r>
              <w:rPr>
                <w:webHidden/>
                <w:rStyle w:val="IndexLink"/>
                <w:rtl w:val="true"/>
              </w:rPr>
              <w:t>حرمة الهجر</w:t>
            </w:r>
            <w:r>
              <w:rPr>
                <w:rStyle w:val="IndexLink"/>
                <w:rtl w:val="true"/>
              </w:rPr>
              <w:tab/>
            </w:r>
            <w:r>
              <w:rPr>
                <w:rStyle w:val="IndexLink"/>
              </w:rPr>
              <w:t>351</w:t>
            </w:r>
          </w:hyperlink>
        </w:p>
        <w:p>
          <w:pPr>
            <w:pStyle w:val="Contents2"/>
            <w:tabs>
              <w:tab w:val="clear" w:pos="8743"/>
              <w:tab w:val="right" w:pos="9026" w:leader="dot"/>
            </w:tabs>
            <w:rPr/>
          </w:pPr>
          <w:hyperlink w:anchor="__RefHeading___Toc10830623_73709187">
            <w:r>
              <w:rPr>
                <w:webHidden/>
                <w:rStyle w:val="IndexLink"/>
                <w:rtl w:val="true"/>
              </w:rPr>
              <w:t>فهرس الموضوعات</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15_192509"/>
      <w:bookmarkStart w:id="1" w:name="pg11815_192509"/>
      <w:bookmarkEnd w:id="1"/>
    </w:p>
    <w:p>
      <w:pPr>
        <w:pStyle w:val="Heading2"/>
        <w:numPr>
          <w:ilvl w:val="1"/>
          <w:numId w:val="1"/>
        </w:numPr>
        <w:rPr/>
      </w:pPr>
      <w:bookmarkStart w:id="2" w:name="pg11815_192509"/>
      <w:bookmarkStart w:id="3" w:name="__RefHeading___Toc10830437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30439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الواحد والعشرون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بجميع أجزائه شرح لتبصرة الإمام المحقّق، الشيخ الأجل الأعظم، آية اللّه العظمى، العلّامة الحِلّي رحمه الله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خصوص الاجزاء المتعلّقة بالمكاسب تكون عمدة النظر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الأعظم، خاتمة الرعيل الأوّل من المجتهدين، وأفضل المتأخّرين، آية اللّه العظمى، الشيخ مرتضى الأنصاري رحمه الله الذي أصبح اليوم منتجع العلم، ومحور الدراسات في الحوزات العلميّة، ففي ضمن شرح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نتعرّض لآراء الشيخ الأنصاري رحمه الله، والقصد من ذلك أن يكون النفع أعمّ في هذه السلسلة من كتابنا، إذ كانت مباحث هذا الكتاب فاتحة عهد جديد مبارك في الدراسات الفقهيّة، والتتبّع والتحقيق يقتضيان مزيداً من العناية بشرحها وتيسير الاطّلاع عليها، وهذا ما توخّيناه في هذا الكتاب، واللّه من وراء القصد</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15_192515"/>
      <w:bookmarkStart w:id="8" w:name="pg11815_192515"/>
      <w:bookmarkEnd w:id="8"/>
    </w:p>
    <w:p>
      <w:pPr>
        <w:pStyle w:val="Heading2"/>
        <w:numPr>
          <w:ilvl w:val="1"/>
          <w:numId w:val="1"/>
        </w:numPr>
        <w:rPr/>
      </w:pPr>
      <w:bookmarkStart w:id="9" w:name="pg11815_192515"/>
      <w:bookmarkStart w:id="10" w:name="__RefHeading___Toc10830441_73709187"/>
      <w:bookmarkStart w:id="11" w:name="_Toc3"/>
      <w:bookmarkEnd w:id="9"/>
      <w:bookmarkEnd w:id="10"/>
      <w:r>
        <w:rPr>
          <w:rtl w:val="true"/>
        </w:rPr>
        <w:t>حرمة التطفيف</w:t>
      </w:r>
      <w:bookmarkEnd w:id="1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w:t>
      </w:r>
      <w:r>
        <w:rPr>
          <w:rStyle w:val="FootnoteAnchor"/>
          <w:rtl w:val="true"/>
        </w:rPr>
        <w:footnoteReference w:id="2"/>
      </w:r>
      <w:r>
        <w:rPr>
          <w:rFonts w:ascii="Amiri" w:hAnsi="Amiri" w:eastAsia="Amiri" w:cs="Amiri"/>
          <w:color w:val="111111"/>
          <w:sz w:val="28"/>
          <w:sz w:val="28"/>
          <w:szCs w:val="28"/>
          <w:rtl w:val="true"/>
          <w:lang w:bidi="ar-SA"/>
        </w:rPr>
        <w:t xml:space="preserve">بأنّه يحرمُ التطفيف، والظاهر أنّ معناه هو التقليل وزناً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ويشهد له ملاحظة سائر مشتقّاته كالطفيف الذي هو بمعنى القليل، واحتمال نقله عن ذلك والوضع لخصوص التنقيص في الكيل والوزن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والتخصيص في الآية الشريفة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
      </w:r>
      <w:r>
        <w:rPr>
          <w:rFonts w:ascii="Amiri" w:hAnsi="Amiri" w:eastAsia="Amiri" w:cs="Amiri"/>
          <w:color w:val="111111"/>
          <w:sz w:val="28"/>
          <w:sz w:val="28"/>
          <w:szCs w:val="28"/>
          <w:rtl w:val="true"/>
          <w:lang w:bidi="ar-SA"/>
        </w:rPr>
        <w:t>إمّا أن يكون من جهة الغلبة فلا خصوصيّة للبخس في الكيل والوزن، أو من باب إطلاق اللّفظ الموضوع للطبيعة على صنفٍ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أنّ ما ذكره الشيخ رحمه الله</w:t>
      </w:r>
      <w:r>
        <w:rPr>
          <w:rStyle w:val="FootnoteAnchor"/>
          <w:rtl w:val="true"/>
        </w:rPr>
        <w:footnoteReference w:id="5"/>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البَخس في العدّ والذرع يُلحق به حكماً، وإن خرج عن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تامٍّ‌، لشمول التطفيف له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يكون نظره قدس سره إلى أنّ الأدلّة المتضمّنة لحرمة التطفيف من الآية الشريفة والنصوص كلّها مختصّة بالبخس في الكيل والوزن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فتشهد لحرمته الأدلّة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تَبْخَسُوا اَلنّاسَ أَشْياءَهُمْ‌</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تَنْقُصُوا اَلْمِكْيالَ وَ اَلْمِيزانَ‌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نصوص كثيرة في الأبواب المتفرّقة دالّة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حمران، عن الإمام الصادق عليه السلام في حديثٍ عَدّ فيه جملة من الأوصاف المحرّمة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الرّجل معيشته من بخس المكيال والميزان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ادّعاه غير واحد، والظاهر أنّه كذلك، إذ لم يخالف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مستقلٌ بقُبح الظلم، وتنقيص حقّ الغير، واعتبار عدم الوفاء به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الأدلّة حرمة التطفيف بعنوانه، وبعنوان أنّه بخسٌ‌، لا بعنوان أنّه أكلٌ للمال بالباطل، فيحرم لو طفف ولم يتصرّف بعد في العوض، ولا بعنوان عدم دفع حقّ الغير، فيحرم قبل تسليم المعوّض أو العوض</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اختاره المحقّق الإيرواني رحمه الله</w:t>
      </w:r>
      <w:r>
        <w:rPr>
          <w:rStyle w:val="FootnoteAnchor"/>
          <w:rtl w:val="true"/>
        </w:rPr>
        <w:footnoteReference w:id="10"/>
      </w:r>
      <w:r>
        <w:rPr>
          <w:rFonts w:ascii="Amiri" w:hAnsi="Amiri" w:eastAsia="Amiri" w:cs="Amiri"/>
          <w:color w:val="111111"/>
          <w:sz w:val="28"/>
          <w:sz w:val="28"/>
          <w:szCs w:val="28"/>
          <w:rtl w:val="true"/>
          <w:lang w:bidi="ar-SA"/>
        </w:rPr>
        <w:t>من عدم كون التطفيف والبخس من العناوين المحرّمة 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 w:name="pg11815_192517"/>
    </w:p>
    <w:p>
      <w:pPr>
        <w:pStyle w:val="BookText"/>
        <w:rPr/>
      </w:pPr>
      <w:bookmarkEnd w:id="12"/>
      <w:r>
        <w:rPr>
          <w:rFonts w:ascii="Amiri" w:hAnsi="Amiri" w:eastAsia="Amiri" w:cs="Amiri"/>
          <w:color w:val="111111"/>
          <w:sz w:val="28"/>
          <w:sz w:val="28"/>
          <w:szCs w:val="28"/>
          <w:rtl w:val="true"/>
          <w:lang w:bidi="ar-SA"/>
        </w:rPr>
        <w:t>وأغرب من ذلك ما ذكره متفرّعاً على ذلك من أنّ الكيل بالمكيال الناقص، وكذا البخس في الميزان مع وفاء الحقّ كاملاً ليسا بحرامين، فإنّ المأخوذ في حقيقة التطفيف والبخس عدم الوفاء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ما اخترناه أنّ إجارة الإنسان نفسه على التطفيف محرّمة وضعاً وتكليفاً، كما هو الشأن في جميع المحرّمات الشرعيّة، فلو آجر نفسه على الكيل بالكيل التامّ‌، ثمّ طفف لا يستحقّ بذلك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استحقاقه أُجرة المسمّى، فلعدم إتيانه بالعمل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استحقاقه أُجرة المثل، فلأنّ العمل المحرّم لا أُجرة له</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0830443_73709187"/>
      <w:bookmarkStart w:id="14" w:name="_Toc4"/>
      <w:bookmarkEnd w:id="13"/>
      <w:r>
        <w:rPr>
          <w:rtl w:val="true"/>
        </w:rPr>
        <w:t>حكم المعاملة المطفّف فيها</w:t>
      </w:r>
      <w:bookmarkEnd w:id="1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يقع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المعاملة المطفف فيها إذا لم يكن البيع ربويّاً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البيع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وقعت المعاملة على الكلّي، صحّت بلا كلام، من غير فرقٍ بين وقوعها على الكلّي في الذّمة، أو الكلّي في المعيّن، إذ المعاملة حين وقوعها وقعت صحيحة، وتطفيف البائع أو من يباشر الإقباض لا يوجبُ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يوجب ذلك اشتغال ذمّة الدافع بالمقدار الذي أنقص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وقعت المعاملة على الموجود الخارجي، فهناك صور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ينشأ البيع معلّقاً على كون المبيع بذلك المقدار المعيّن، وهذا </w:t>
      </w:r>
    </w:p>
    <w:p>
      <w:pPr>
        <w:pStyle w:val="BookText"/>
        <w:rPr/>
      </w:pPr>
      <w:r>
        <w:rPr>
          <w:rFonts w:ascii="Amiri" w:hAnsi="Amiri" w:eastAsia="Amiri" w:cs="Amiri"/>
          <w:color w:val="111111"/>
          <w:sz w:val="28"/>
          <w:sz w:val="28"/>
          <w:szCs w:val="28"/>
          <w:rtl w:val="true"/>
          <w:lang w:bidi="ar-SA"/>
        </w:rPr>
        <w:t>لا ريب في فساده، وإنْ لم يظهر الخلاف، بل مع عدم التطفيف أيضاً للإجماع على بطلان التعليق 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ينشأ البيع منجّزاً على الموجود الخارجي، بشرط كونه بذلك المقدار، ثمّ ظهر الخلاف، صَحّ البيع في هذه الصورة، وثبت الخيار للمشتري، هذا بناءً على أنّ شرط المقدار كغيره من الشروط لا يقسّط عليه العوض، وإلّا فحكم هذه الصورة حكم الصورة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ينشأ البيع عليه منجّزاً بعنوان أنّه مقدّرٌ بكذا مقدار، فقد يقال، كما عن المحقّق الإيرواني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البيع باطلٌ إذا ظهر الخلاف، لظهور عدم الوجود للمبيع، فإنّ المبيع العنوان المتحقّق في هذا المُشاهَد، ولا عنوان متحقّق في هذا المشاهَد، وليس المبيع هذا المشاهَد بأيّ عنوإنْ كان، ولا العنوان في أيّمصداقٍ كان، إذ لا وجه لإلغاء الإشارة أو الوصف</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تخلّف العنوان الذي ليس من العناوين المقوّمة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تعدّ من الصور النوعيّة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إلّاالخيار، كما تقدّم في مبحث بيع هياكل العبادة، فراجع</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شراء الموجود الخارجي كائناً ما كان، وكان الكيل والوزن لأجل حصول العلم بالمعوّض ليخرج عن كونه بيع المجهول، صَحّ البيع في هذه الصورة مع عدم الخيار، إلّاإذا كان البائع جاهلاً بمقدار ما طفف، حيث يبطل البيع حينئذٍ للجهل بالمبيع، لاعتبار علم كلا الطرفين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الفرق بين هذه الصورة والصورتين السابقتين، حيث حكمتم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فيهما بالصحّة مطلقاً، وفي هذه قيّدتم الصحّة بماإذا كان البائع عالماًبمقدار ماطفف‌؟</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 الاشتراط وإنشاء البيع بعنوان أنّه مقدّر بكذا يوجبان الخروج عن كونه بيع المجهول، وهذا بخلاف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المقصود بيع الموجود الخارجي، وكان الغرض من الاشتراط الإشارة إلى تعيين مقدار العوضين، ووقوع كلّ منهما في مقابل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يصحّ البيع في المقدار الموجود، ويبطل في غيره كما في بيع ما يَملك وما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البيع ربويّاً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ربويّاً، فإن كان من قبيل البيع الكلّي، صَحَّ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البيع واقعاً على الشخص الموجود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من قبيل الصورة الأُولى بطل البيع للتعليق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من قبيل الصورة الرابعة، بطل البيع لكونه ربويّاً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من قبيل الصورة الخامسة، صَحّ البيع في المقدار الموجود، وبطل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من قبيل الصورة الثانية أو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أنّ شرط المقدار يقسّط عليه العوض، صَحّ البيع في المقدارالموجود، وبطل في غيره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عدم تقسيط العوض، بطل البيع لكونه ربويّاً، مع قطع النظر عن تخلّف الشرط</w:t>
      </w:r>
      <w:r>
        <w:rPr>
          <w:rFonts w:eastAsia="Amiri" w:cs="Amiri" w:ascii="Amiri" w:hAnsi="Amiri"/>
          <w:color w:val="111111"/>
          <w:sz w:val="28"/>
          <w:szCs w:val="28"/>
          <w:rtl w:val="true"/>
          <w:lang w:bidi="ar-SA"/>
        </w:rPr>
        <w:t xml:space="preserve">. </w:t>
      </w:r>
      <w:bookmarkStart w:id="15" w:name="pg11815_192520"/>
    </w:p>
    <w:p>
      <w:pPr>
        <w:pStyle w:val="Heading2"/>
        <w:numPr>
          <w:ilvl w:val="1"/>
          <w:numId w:val="1"/>
        </w:numPr>
        <w:rPr/>
      </w:pPr>
      <w:bookmarkStart w:id="16" w:name="__RefHeading___Toc10830445_73709187"/>
      <w:bookmarkStart w:id="17" w:name="_Toc5"/>
      <w:bookmarkEnd w:id="15"/>
      <w:bookmarkEnd w:id="16"/>
      <w:r>
        <w:rPr>
          <w:rtl w:val="true"/>
        </w:rPr>
        <w:t>حرمة التنجيم</w:t>
      </w:r>
      <w:bookmarkEnd w:id="1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التنجيم حرامٌ كما صرّح به غير واحد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يتوقّف على بيان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اتّصاف البالغ بالإسلام يتوقّف على اعترافه وإقراره بأنّ اللّه تعالى موجودٌ، وأنّه المتصرّف والخالق لجميع الموجودات على اختلافها، وأنّه واحدٌ لاشريك له، واعترافه بنبوّة محمّد صلى الله عليه و آله وأنّه نبيٌ مرسل، والاعتراف بالمعاد، فالمنكر لوجوده تعالى، أو لكونه خالقاً للموجودات كالدهريّة، أو إنكار وحدانيّته كالثنويّة، أو كون محمّد صلى الله عليه و آله نبيّاً مُرسلاً كاليهود والنصارى‌، أو للمعاد يعدّ كافراً بالضرورة، من غير فرقٍ بين أن يكون هذا الإنكار مستنداً إلى التقصير أو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المنكر للضروري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حَقّقنا في بحث منكر الضروري في الجزء الثالث من هذا الشرح، أنّ إنكار الضروري بنفسه ليس موجباً للكفر، بل إنّما يوجبه إذا رجع إلى تكذيب النبيّ صلى الله عليه و آله، ويترتّب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المنكر للضروري لشبهةٍ ليس بكافر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جاء به النبيّ صلى الله عليه و آله من الفرائض والسُّنن، إن ثبت كونه كذلك، فإنّ جحده وإنكاره يوجبان الكفر، كما دلّت على ذلك الأدلّة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لا ريب في أنّ الأوضاع الفلكيّة والكيفيّات الخاصّة الحاصلة بين الأجرام السماويّة الفلكيّة لها آثار ولوازم غير مربوطة بما يحدث في </w:t>
      </w:r>
    </w:p>
    <w:p>
      <w:pPr>
        <w:pStyle w:val="BookText"/>
        <w:rPr/>
      </w:pPr>
      <w:r>
        <w:rPr>
          <w:rFonts w:ascii="Amiri" w:hAnsi="Amiri" w:eastAsia="Amiri" w:cs="Amiri"/>
          <w:color w:val="111111"/>
          <w:sz w:val="28"/>
          <w:sz w:val="28"/>
          <w:szCs w:val="28"/>
          <w:rtl w:val="true"/>
          <w:lang w:bidi="ar-SA"/>
        </w:rPr>
        <w:t>عالم العناصر، مثلاً الخسوف لازم تحقّق حالة المقارنة بين النيّرين في حال كون المقارنة في إحدى عقدتي الرأس والذنب، كذلك لها آثار في الأوضاع السِّفلية، وما يحدث في عالم العناصر، مثلاً اختلاف الفصول من آثار قُرب الشمس وبُعدها عن خطّ الإستواء وغير ذلك من الآثار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جواز النظر إلى الأوضاع الفلكيّة والهيئات الكوكبيّة، والإذعان بها، وبما يترتّب عليها من الآثار في ذلك العالم، والإخبار عنها، كما هو الشأن في الحوادث السفليّة الواقعة في هذا العالم، وليس النظر فيها متوقّفاً على تعلّم علم النجوم المصطلح في المقام، ولا الإذعان بها وبتأثيرها في ما لا يكون مرتبطاً بالحوادث السفليّة، إلّاكالإذعان بتأثير بعض ما في هذا العالم في بعضٍ آخر كتأثير النار في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الإخبار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مستنداً إلى الأمارات القطعيّة، فلا إشكال فيه، وإن كان مستنداً إلى الأمارات الظنيّة، فإن كان الإخبار ظنيّاً فلا إشكال فيه أيضاً، وإن كان جزميّاً كان حراماً من جهة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المقدّمات، فاعلم أنّ محلّ الكلام هو الإذعان والاعتقاد بثبوت النسبة بين الحوادث السفليّة الواقعة في هذا العالم، والأوضاع الفلكيّة والإخبار عنه وتعلّمه، وعليه فالكلام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 ربط الحركات الفلكيّة بالكائنات، فإنّ الربط يتصوّر على وجوه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في التأثير، بمعنى أنّ المؤثّر التامّ في الحوادث السفليّة </w:t>
      </w:r>
    </w:p>
    <w:p>
      <w:pPr>
        <w:pStyle w:val="BookText"/>
        <w:rPr/>
      </w:pPr>
      <w:r>
        <w:rPr>
          <w:rFonts w:ascii="Amiri" w:hAnsi="Amiri" w:eastAsia="Amiri" w:cs="Amiri"/>
          <w:color w:val="111111"/>
          <w:sz w:val="28"/>
          <w:sz w:val="28"/>
          <w:szCs w:val="28"/>
          <w:rtl w:val="true"/>
          <w:lang w:bidi="ar-SA"/>
        </w:rPr>
        <w:t>من ازدياد الأموال ونقصانها وغير ذلك من الخيرات والشرور هي الأوضاع الفلكيّة، والكيفيّات الخاصّة الحاصلة بين الفلكيّات بعضها مع بعض بأنفسها، أي مستقلّة حتّى من جهة مشيّة الباري، والاعتقاد بذلك كفر وزندقة، سواءٌ رجع هذا الاعتقاد إلى إنكار وجوده تعالى‌، كما هو مذهب بعض المنجّمين، أم رجع إلى تعطيله تعالى عن التصرّف في الحوادث السفليّة بعد خلق الأجرام العلويّة، وأن الموجودات الممكنة بأجمعها مفوّضة إلى النفوس الفلكيّة والعقول الطوليّة، سواءٌ قيل بقدمها كما هو مذهب جماعة منهم، أم بحدوثها كما هو مذهب جماعة آخرين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كفر الطائفة الأُولى‌، فلإنكارهم وجوده تعالى‌، وأمّا كفر الطائفة الثانية فلإثباتهم الشريك له، وأمّا كفر الطائفة الثالثة فلإنكارهم الصانع، وقد أطبقت الآيات والروايات والأدلّة العقليّة على أنّه تعالى صانع، والموجودات الممكنة جميعها تحت قدرته واختياره، والظاهر أنّ كفر هؤلاء ممّا لا خلاف فيه بين علماء الإسلام، وجملةٌ من النصوص المتوهّم دلالتها على كفر المنجِّم واردة في خصوصهم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الأوضاع الفلكيّة، والكيفيّات الكوكبيّة، مؤثّرة في الحوادث على وجه الاشتراك مع الباري تعالى، بمعنى أنّها جزء المؤثّر، والجزء الآخر مشيئة الباري تعالى، ويعدّ المعتقد بذلك سواءٌ اعتقد قدمها أم حدوثها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إنكارٌ لتوحيده الوجودي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إنكارٌ لتوحيده الخَلْقي، الذي دلّت الأدلّة العقليّة والنقليّة عليه، وأنّ اللّه تعالى يفعل ما يشاء، ولا يُسأل عمّا يفعل وهم يُسألون، وقدر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صَرّح جمعٌ من الأساطين</w:t>
      </w:r>
      <w:r>
        <w:rPr>
          <w:rStyle w:val="FootnoteAnchor"/>
          <w:rtl w:val="true"/>
        </w:rPr>
        <w:footnoteReference w:id="15"/>
      </w:r>
      <w:r>
        <w:rPr>
          <w:rFonts w:ascii="Amiri" w:hAnsi="Amiri" w:eastAsia="Amiri" w:cs="Amiri"/>
          <w:color w:val="111111"/>
          <w:sz w:val="28"/>
          <w:sz w:val="28"/>
          <w:szCs w:val="28"/>
          <w:rtl w:val="true"/>
          <w:lang w:bidi="ar-SA"/>
        </w:rPr>
        <w:t>بكفر هذه الطائفة أيضاً، ولعلّ جملةٌ من النصوص التي توهم تضمّنها أنّ المنجِّم كافرٌ ناظرة إلى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بتأثيرها في الحوادث السفليّة على وجه الآلية، وكون المؤثّر في الوجود هو اللّه تعالى‌، وأنّه الفيّاض على الإطلاق، وهذا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تفعل الآثار المنسوبة إليها باختيارها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أودع في طبائع أوضاع الفلكيّات خصوصيّات تقتضي حدوث الحوادث، وتلك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كالخصوصيّة المودعة في النار المقتضية للإحراق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منهما بنفسه لا ينافي أصلاً من أُصول الإسلام كي يكون الاعتقاد به كفراً وزندقة، بل يكون من قبيل الالتزام بتأثير الجواهر السفليّة في الحوادث على سبيل الآليّة، إمّا اختياراً كالأفعال الصادرة عن العبيد، أو لا عن اختيارٍ كالآثار الصادرة عن الموارد العنصريّة كالإحراق الصادر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دلّت الآيات والروايات بظاهرها على أنّ حركة الأفلاك قسريّة، وأنّ محرّكها هو الملائكة، فالالتزام بأنّها حيّة مختارة مخالفٌ للشرع وتكذيبٌ للنبيّ المرسل صلى الله عليه و آله، فهو يوجبُ الكفر لذلك، وأمّا الالتزام بالآليّة على الوجه الثاني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التزاماً به على نحو لا يؤثّر الدعاء والصدقة وسائر وجوه البِرّ في المنع عن تأثيرها، فهو أيضاً تكذيبٌ لما جاء به النبيّ الصادق صلى الله عليه و آله، لما دلّ من النصوص</w:t>
      </w:r>
      <w:r>
        <w:rPr>
          <w:rStyle w:val="FootnoteAnchor"/>
          <w:rtl w:val="true"/>
        </w:rPr>
        <w:footnoteReference w:id="16"/>
      </w:r>
      <w:r>
        <w:rPr>
          <w:rFonts w:ascii="Amiri" w:hAnsi="Amiri" w:eastAsia="Amiri" w:cs="Amiri"/>
          <w:color w:val="111111"/>
          <w:sz w:val="28"/>
          <w:sz w:val="28"/>
          <w:szCs w:val="28"/>
          <w:rtl w:val="true"/>
          <w:lang w:bidi="ar-SA"/>
        </w:rPr>
        <w:t>المتواترة على أنّ الدّعاء والصدقة وسائر وجوه البرّ تردّ القضاء الذي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ينزل من السماء، وتدفع البلاء المبرم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التزاماً به بنحوٍ يؤثّر الدّعاء والصدقة وسائر وجوه البِرّ في منع تأثيرها، فكما لا يكون مخالفاً لأصلٍ من أُصول الإسلام لا يكون مخالفاً لما ثبت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أنّه لا طريق لنا في مقام الإثبات، بل دلّت النصوص الكثيرة على أنّ لعلم النجوم واقعاً لا يحيط به غير علّام الغيوب، فإنّ من ارتضاه لغيبه، لا يجوز له العمل به والاعتقاد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بأنّ أوضاع الفلكيّات من تقارن الكواكب وتباعدها ونحو ذلك علامةٌ على الحوادث السفليّة التي تحدث بإرادة اللّه تعالى‌، ويكون الربط من قبيل ربط الكاشف والمكشوف، كنصب العَلَم علامةً على مجلس العزاء، وكحركات النبض واختلاف أوضاعها التي هي علامة على ما يعرض للبدن من قُرب الصحّة واشتداد المرض ونحوه، وقد نُسب إلى جماعةٍ من الأساطين</w:t>
      </w:r>
      <w:r>
        <w:rPr>
          <w:rStyle w:val="FootnoteAnchor"/>
          <w:rtl w:val="true"/>
        </w:rPr>
        <w:footnoteReference w:id="17"/>
      </w:r>
      <w:r>
        <w:rPr>
          <w:rFonts w:ascii="Amiri" w:hAnsi="Amiri" w:eastAsia="Amiri" w:cs="Amiri"/>
          <w:color w:val="111111"/>
          <w:sz w:val="28"/>
          <w:sz w:val="28"/>
          <w:szCs w:val="28"/>
          <w:rtl w:val="true"/>
          <w:lang w:bidi="ar-SA"/>
        </w:rPr>
        <w:t>الالتزام بذلك، والاعتقاد بذلك ليس كفراً بلا كلام، ولم يحتمله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الاعتقاد به بنحو لا يؤثّر الدّعاء والصَدَقة وسائر وجوه البِرّ في عدم تحقّق المكشوف، كان ذلك منافياً للنصوص المتواترة الدالّة على أنّها تردّ القضاء والبلاء المُبرم، وأمّا الالتزام به بنحو تؤثّر وجوه البِرّ في رفع المكشوف فلا يترتّب عليه محذور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 جملة من النصوص الواردة في المقام، المتضمّنة أنّ عليّاً عليه السلام أعلم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الناس بهذا العلم</w:t>
      </w:r>
      <w:r>
        <w:rPr>
          <w:rStyle w:val="FootnoteAnchor"/>
          <w:rtl w:val="true"/>
        </w:rPr>
        <w:footnoteReference w:id="18"/>
      </w:r>
      <w:r>
        <w:rPr>
          <w:rFonts w:ascii="Amiri" w:hAnsi="Amiri" w:eastAsia="Amiri" w:cs="Amiri"/>
          <w:color w:val="111111"/>
          <w:sz w:val="28"/>
          <w:sz w:val="28"/>
          <w:szCs w:val="28"/>
          <w:rtl w:val="true"/>
          <w:lang w:bidi="ar-SA"/>
        </w:rPr>
        <w:t>، وأنّ أصل الحساب حَقّ‌</w:t>
      </w:r>
      <w:r>
        <w:rPr>
          <w:rStyle w:val="FootnoteAnchor"/>
          <w:rtl w:val="true"/>
        </w:rPr>
        <w:footnoteReference w:id="19"/>
      </w:r>
      <w:r>
        <w:rPr>
          <w:rFonts w:ascii="Amiri" w:hAnsi="Amiri" w:eastAsia="Amiri" w:cs="Amiri"/>
          <w:color w:val="111111"/>
          <w:sz w:val="28"/>
          <w:sz w:val="28"/>
          <w:szCs w:val="28"/>
          <w:rtl w:val="true"/>
          <w:lang w:bidi="ar-SA"/>
        </w:rPr>
        <w:t>، وأنّه عِلمٌ من علوم الأنبياء</w:t>
      </w:r>
      <w:r>
        <w:rPr>
          <w:rStyle w:val="FootnoteAnchor"/>
          <w:rtl w:val="true"/>
        </w:rPr>
        <w:footnoteReference w:id="20"/>
      </w:r>
      <w:r>
        <w:rPr>
          <w:rFonts w:ascii="Amiri" w:hAnsi="Amiri" w:eastAsia="Amiri" w:cs="Amiri"/>
          <w:color w:val="111111"/>
          <w:sz w:val="28"/>
          <w:sz w:val="28"/>
          <w:szCs w:val="28"/>
          <w:rtl w:val="true"/>
          <w:lang w:bidi="ar-SA"/>
        </w:rPr>
        <w:t>، وغير ذلك من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المستفاد من النصوص الكثيرة أنّ غير اللّه تعالى ومن ارتضاه لغيبه لا يحيط بواقع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العلامات ومعارضاتها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وصل إليه المنجِّمون أقلّ قليل من تلك العلامات، ولنِعم ماأفاده الشيخ رحمه الله في المقام حيث قال</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تتبّع هذه الأخبار لم يحصل له ظنّ بالإحكام المستخرجة عنها، فضلاً عن القطع، نعم قد يحصل من التجربة المنقولة خلفاً عن سلف الظنّ بل العلم بمقارنة حادثٍ من الحوادث لبعض الأوضاع الفلكيّة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النصوص</w:t>
      </w:r>
      <w:r>
        <w:rPr>
          <w:rStyle w:val="FootnoteAnchor"/>
          <w:rtl w:val="true"/>
        </w:rPr>
        <w:footnoteReference w:id="22"/>
      </w:r>
      <w:r>
        <w:rPr>
          <w:rFonts w:ascii="Amiri" w:hAnsi="Amiri" w:eastAsia="Amiri" w:cs="Amiri"/>
          <w:color w:val="111111"/>
          <w:sz w:val="28"/>
          <w:sz w:val="28"/>
          <w:szCs w:val="28"/>
          <w:rtl w:val="true"/>
          <w:lang w:bidi="ar-SA"/>
        </w:rPr>
        <w:t xml:space="preserve">المانعة، فلا يدلّ شيء منها على خلاف ما ذكرناه، إذ طائفة منها تمنع عن الاعتقاد بالأحكام المستخرجة عنها، معلّلة بما تقدّم من أنّ غير اللّه تعالى والأنبياء والأوصياء لا يحيط بواقع علم النجوم، وجملة منها متضمّنة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منجّماً أو كاهناً فقد كفر بما أُنزل على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المنجّم فقد استغنى عن الاستعانة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هذه النصوص على كفر المنجّم بجميع أقسامه، ولكنّه فاسدٌ، بل هي لا تدلّ إلّاعلى أنّ تصديق المنجّم مستلزم لتوالٍ فاسدة، من رفع اليد عن التضرّع والاستعانة باللّه وغيرهما ممّا يوجب رفع المكاره، ويُعين على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حصول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تضمّن ذَمّ المنجّم، فلو سُلّم شمول المنجّم لكلٍّ من الطوائف الأربع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للمنع عنه مجالاً واسعاً، وعن السيّد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المنجّم من يقول بقدم الأفلاك والنجوم، ولا يقول بمفلّك ولا خالق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يُحمل على ما تقدّم بقرينة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الإخبار عن الحادثات والحكم بها، فمحصّل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عن تأثير الأوضاع الفلكيّة في الحوادث السفليّة بنحو الاستدلال أو بالمدخليّة حرامٌ‌، لكونه كفراً وزندقة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بذلك كفر، لا الإخبار عنه، كما ترى‌، إذ لو لم نقل بتقوّم الكفر بالقول، لا ريب في أنّه كفر، والإخبار عن التأثير بنحو الآلية وأنّ المؤثّر حيٌّ مختار، أو مطلقاً مع كونه بنحوٍ لا يؤثّر وجوه البِرّ في رفع الأثر حرامٌ‌، لكونه تكذيباً للنبيّ الصادق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علم بكونه تكذيباً له، وإلّا فلا وجه للحرمة، إلّاإذا كان الإخبار جزميّاً، وأمّا مع عدم كونه جازماً بما أخبر به، فإنّه يحرم لكونه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حكم ما لو أخبر عن الربط بين الكائنات والفلكيّات لا بنحو التأثير، بل بنحو الكاشفيّة، وأنّه إنْ كان إخباراً عنه بنحوٍ لا يؤثّر وجوه البِرّ في عدم تحقّق المكشوف حَرُم لكونه تكذيباً للنبيّ صلى الله عليه و آله، وإلّا فلا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لحرمة الإخبار في الجملة أو مطلقاً بوجوه 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النصوص</w:t>
      </w:r>
      <w:r>
        <w:rPr>
          <w:rStyle w:val="FootnoteAnchor"/>
          <w:rtl w:val="true"/>
        </w:rPr>
        <w:footnoteReference w:id="24"/>
      </w:r>
      <w:r>
        <w:rPr>
          <w:rFonts w:ascii="Amiri" w:hAnsi="Amiri" w:eastAsia="Amiri" w:cs="Amiri"/>
          <w:color w:val="111111"/>
          <w:sz w:val="28"/>
          <w:sz w:val="28"/>
          <w:szCs w:val="28"/>
          <w:rtl w:val="true"/>
          <w:lang w:bidi="ar-SA"/>
        </w:rPr>
        <w:t>المتضمّنة على أنّ المنجّم ملعون، وما يقرب من ذلك من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التنجيم حقيقته استخراج أحكام النجوم عن أُصولها وقواعدها، وليس هو من مقولة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النصوص</w:t>
      </w:r>
      <w:r>
        <w:rPr>
          <w:rStyle w:val="FootnoteAnchor"/>
          <w:rtl w:val="true"/>
        </w:rPr>
        <w:footnoteReference w:id="25"/>
      </w:r>
      <w:r>
        <w:rPr>
          <w:rFonts w:ascii="Amiri" w:hAnsi="Amiri" w:eastAsia="Amiri" w:cs="Amiri"/>
          <w:color w:val="111111"/>
          <w:sz w:val="28"/>
          <w:sz w:val="28"/>
          <w:szCs w:val="28"/>
          <w:rtl w:val="true"/>
          <w:lang w:bidi="ar-SA"/>
        </w:rPr>
        <w:t>الدالّة على أنّ من صَدّق منجِّماً فقد كفر بما أُنزل على محمّد صلى الله عليه و آله، وأنّ من صَدّقه فقد استغنى عن الاستعانة باللّه، تدلّ على حرمة حكم المنجّم بأبلغ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حرمة التصديق وحرمة الإخبار، فإنّ التصديق يترتّب عليه التوال الفاسدة المتقدّمة، وليس الإخبار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المحقّق الإيرواني رحمه الله</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هذا الوجه، من أنّه يحرم تصديق الفاسق في الأحكام الشرعيّة ولا يحرم إخباره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تصديق الفاسق بمعنى الاعتقاد من قوله لا يكون حراماً بلا كلام، وبمعنى الأصل به مع عدم الاعتقاد لا يكون حراماً تكليفاً، بل وضعيّاً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مطلقاً تكذيبٌ للمعصوم الصادق، لما دلّ على أنّ لعلم النجوم واقعاً لا يحيط به غير اللّه تعالى والمعصومين عليهم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لا تدلّ على حرمة الاعتقاد لو حصل ولو من التجربة المنقولة خَلَفاً عن سلف بمقارنة حادثٍ من الحوادث لبعض الأوضاع الفلكيّة أو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غيرها، وحرمة الإخبار عنه على فرض حصول العلم والجزم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الاستدلال بالخبر الحسن الذي رواه عبد الملك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ابتليتُ بهذا العلم فأريد الحاجة، فإذا نظرتُ إلى الطالع ورأيتُ الطالع الشرَّ جلستُ ولم أذهب فيها، وإذا رأيتُ الطالع الخير ذهبتُ في الحاجة‌؟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كتبك</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بدعوى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تحكم للناس بأمثال ذلك، وتخبرهم بأحكام النجوم،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أحرق 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والمراد حينئذٍ أنّه إن كان حاجتك تُقضى فاحرق كتبك، من جهة أنّها مورثة لقطع التوكّل على اللّه والاعتماد على ما يعتقده من الكتاب، والاستغناء بها عن الدّعاء والصدقة، وهذا بخلاف ما إذا كانت تقضي تارةً ولا تقضي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أنّه بصيغة المعلوم، فالأمر بإحراق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من جهة أنّها داخلة في كتب الضلال حينئذٍ من جهة كثرة ما فيها من الخطأ، وأنّ جُلّ مطالبها مخالفة للواقع لولا كلّها كما دلّت على ذلك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توجبُ قطعه التوكّل عن اللّه أو غير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يدلّ على حرمة الإخبار من حيث هو، فالصحيح 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تعلّم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أطال المحقّق المجلسي رحمه الله الكلام في المقام، واستدلّ على حرمة التعلّم والنظر في علم النجوم بنصوص كثيرة غير دالّة، وملخَّص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استدلّ به على حرمة النظر فيها وتعلّم علمها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ذَمّ المنجّم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ضعيف السند، مثل ما رواه الصدوق بسند فيه ضعف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عن الإمام الباقر عليه السلام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خصال، 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النظر في النجوم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إيّاكم وتعلّم النجوم إلّاما يهتدى به في برٍّ أو بحر، فإنّها تدعو إلى الكهانة، المنجّم كالكاهن، والكاهن كالساحر، والساحر كالكافر، والكافر في النار، سيروا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الإستدلال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أنّه محمولٌ على المعتقد الذي يخالف أصلاً من أُصول الإسلام أو ضروريّاً من ضروريّات الدِّين، وعليه فهو أجنبي عن المقام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ظهوره في المنع مطلقاً، يتعيّن صرفه عن ظاهره، لما دلّ من النصوص المعتبرة وغير المعتبرة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الحسن الذي رواه عبد الملك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أنّه قال</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أنظر في النجوم وأعرفها وأعرف الطالع، فيدخلني من ذلك شيء، فشكوتُ ذلك إلى أبي الحسن موسى بن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نفسك شيءٌ فتصدّق على أوّل مسكين ثمّ امض فإنّ اللّه يدفع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المجلسي رحمه الله عن السيّد ابن طاوس، عن عبد اللّه بن جعفر الحميري، عن محمّد وهارون ابني أبي سهيل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كتبا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أبانا وجدّنا كان ينظر في النجوم، فهل يحلّ النظر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وفاقاً لجمعٍ من الأساطين</w:t>
      </w:r>
      <w:r>
        <w:rPr>
          <w:rStyle w:val="FootnoteAnchor"/>
          <w:rtl w:val="true"/>
        </w:rPr>
        <w:footnoteReference w:id="34"/>
      </w:r>
      <w:r>
        <w:rPr>
          <w:rFonts w:ascii="Amiri" w:hAnsi="Amiri" w:eastAsia="Amiri" w:cs="Amiri"/>
          <w:color w:val="111111"/>
          <w:sz w:val="28"/>
          <w:sz w:val="28"/>
          <w:szCs w:val="28"/>
          <w:rtl w:val="true"/>
          <w:lang w:bidi="ar-SA"/>
        </w:rPr>
        <w:t>جواز تعلّم علم النجوم والنظر فيه من غير إذعان بما يوجب خلاف أصلٍ من أُصول الإسلام، وخلاف ما ثبت من الشرع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مفصّلاً ما في كلمات الشيخ الأعظم رحمه الله</w:t>
      </w:r>
      <w:r>
        <w:rPr>
          <w:rStyle w:val="FootnoteAnchor"/>
          <w:rtl w:val="true"/>
        </w:rPr>
        <w:footnoteReference w:id="35"/>
      </w:r>
      <w:r>
        <w:rPr>
          <w:rFonts w:ascii="Amiri" w:hAnsi="Amiri" w:eastAsia="Amiri" w:cs="Amiri"/>
          <w:color w:val="111111"/>
          <w:sz w:val="28"/>
          <w:sz w:val="28"/>
          <w:szCs w:val="28"/>
          <w:rtl w:val="true"/>
          <w:lang w:bidi="ar-SA"/>
        </w:rPr>
        <w:t>، فلا حاجة إلى إطالة البحث فيها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8" w:name="pg11815_192531"/>
    </w:p>
    <w:p>
      <w:pPr>
        <w:pStyle w:val="Heading2"/>
        <w:numPr>
          <w:ilvl w:val="1"/>
          <w:numId w:val="1"/>
        </w:numPr>
        <w:rPr/>
      </w:pPr>
      <w:bookmarkStart w:id="19" w:name="__RefHeading___Toc10830447_73709187"/>
      <w:bookmarkStart w:id="20" w:name="_Toc6"/>
      <w:bookmarkEnd w:id="18"/>
      <w:bookmarkEnd w:id="19"/>
      <w:r>
        <w:rPr>
          <w:rtl w:val="true"/>
        </w:rPr>
        <w:t>حرمة حفظ كتب الضلال</w:t>
      </w:r>
      <w:bookmarkEnd w:id="2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حرامٌ في الجملة بلا خلاف، وتنقيح القول في المقام يتحقّق 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التكليفي، وأنّه حرام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استثنوه في المسألة من الحفظ للنقض والإحتجاج على أهلها، أو الإطّلاع على مطالبهم لتحصل به التقيّة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الموضوع والمتعلّق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المعاملة الواقعة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للحرمة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بوجوب قطع مادّة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الأستاذ الأعظم</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قبح الظلم، بدعوى أنّ حفظ هذه الكتب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 دفع الظلم في جميع الموارد، وإلّا لوجب على اللّه تعالى المنع عن الظلم تكويناً، مع أنّه تعالى هو الذي أقدر الإنسان على فعل الخير والشَّر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مدرك حكمه وجوب الإطاعة وحرمة المعصية لأمره تعالى بقلع مادّة الفساد، فلا دليل على ذلك إلّافي موارد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الحفظ ظلماً، فإنّه لا وجه لمنع قبحه وحرمته، إذ قبح الظلم من الأحكام العقليّة التي يستحيل تخلّفها عن موضوعاتها، إذ كلّ عنوانٍ حُكم عليه بالقبح، لابدّ وأن يكون بنفسه محكوماً به، أو بما هو منتهٍ إلى ما هو كذلك، وعنوان الظلم من العناوين التي بأنفسها يحكم عليها بالقبح، وعليه فمع حفظ عنوان الظلم، فإنّ عدم قبحه خلفٌ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هذا الحكم من العقل سواءٌ أكان بمعنى إدراك العقل وجود المفسدة الإلزاميّة فيه، أم كان بمعنى بناء العقلاء على ذَمّ فاعله، لما فيه من المفسدة النوعيّة المخلّة بالنظام التي تعدّ من الأحكام العقليّة الواقعة في سلسلة علل الأحكام، فبالملازمة يستكشف حرمته، وعليه فالالتزام بكون الحفظ ظلماً، مع عدم حرمته وعدم وجوب دفعه،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منه ما ذكره من أنّه لو وجب ذلك، لوجب على اللّه تعالى المنع عن الظلم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كون الحفظ بنفسه ظلماً فيحرم، والنقض بأنّه لو كان كذلك لزم على اللّه المنع من أن يظلم شخصٌ على آخر تكويناً غير مربوط بالاستدلال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نمنع كون كلّ واجبٍ عقلي واجباً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في الجواب عن هذا الوجه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مدرك حكمه إنْ كان قبح الظلم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حفظ هذه الكتب ظلماً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هو استقلال العقل بوجوب دفع المنكر، الذي منه ما نحن فيه، على ما صرّح به المحقّق الأردبيلي رحمه الله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استقلال العقل بقبح ترك النهي عن المنكر، فضلاً عن دفعه، وأنّه يكفي في اللّطف الواجب الترهيب الصادر عن الشارع المقدّس، فراجع</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الفساد الموجب لإحياء الباطل وتشيّيده، يجب دفعه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مستقلٌّ بقبح إلقاء الفساد، وعليه فيحرم تأليف كتب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بالاشتراء مطلق الأخذ والتسلّط ولو بغير الشراء، كما يشهد له ما دلّ على أنّ الغناء من لهو الحديث</w:t>
      </w:r>
      <w:r>
        <w:rPr>
          <w:rStyle w:val="FootnoteAnchor"/>
          <w:rtl w:val="true"/>
        </w:rPr>
        <w:footnoteReference w:id="40"/>
      </w:r>
      <w:r>
        <w:rPr>
          <w:rFonts w:ascii="Amiri" w:hAnsi="Amiri" w:eastAsia="Amiri" w:cs="Amiri"/>
          <w:color w:val="111111"/>
          <w:sz w:val="28"/>
          <w:sz w:val="28"/>
          <w:szCs w:val="28"/>
          <w:rtl w:val="true"/>
          <w:lang w:bidi="ar-SA"/>
        </w:rPr>
        <w:t>، وما دلّ على أنّه هو الطعن في الحَقّ والاستهزاء به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الكنائي، فالظاهر أنّه ليس هو الأخذ والتسلّط، بل هو التحدّث به، وعليه فهو داخلٌ في الاضلال عن سبيل اللّه بسبب التحدّث بلهو الحديث، وهذا لا ريب في حرمته، ولكنّه أجنبيٌ عمّا هو محلّ‌الكلام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منه معناه الحقيقي، فهو يدلّ على حرمة اشتراء كتب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لإرادة ذلك منه ما دلّ على ورود الآية الشريفة</w:t>
      </w:r>
      <w:r>
        <w:rPr>
          <w:rStyle w:val="FootnoteAnchor"/>
          <w:rtl w:val="true"/>
        </w:rPr>
        <w:footnoteReference w:id="42"/>
      </w:r>
      <w:r>
        <w:rPr>
          <w:rFonts w:ascii="Amiri" w:hAnsi="Amiri" w:eastAsia="Amiri" w:cs="Amiri"/>
          <w:color w:val="111111"/>
          <w:sz w:val="28"/>
          <w:sz w:val="28"/>
          <w:szCs w:val="28"/>
          <w:rtl w:val="true"/>
          <w:lang w:bidi="ar-SA"/>
        </w:rPr>
        <w:t>في النضر بن الحارث الذي كان يسافر إلى بلاد العجم، وكان يشتري كتباً فيها أحاديث الفرس من حديث رستم وغيره، وكان يلهي الناس بذلك ليصدّهم عن سماع القرآن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دلّ على حرمة الاشتراء، إلّاأنّه يدلّ على حرمة الإبقاء والحفظ بتنقيح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ملازمة بين حرمة الإشتراء وحرمة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حرمة الحدوث وحرمة البقاء، كما مَرّ مفصّلاً في مبحث اقتناء الصور المُحرّمة</w:t>
      </w:r>
      <w:r>
        <w:rPr>
          <w:rStyle w:val="FootnoteAnchor"/>
          <w:rtl w:val="true"/>
        </w:rPr>
        <w:footnoteReference w:id="44"/>
      </w:r>
      <w:r>
        <w:rPr>
          <w:rFonts w:ascii="Amiri" w:hAnsi="Amiri" w:eastAsia="Amiri" w:cs="Amiri"/>
          <w:color w:val="111111"/>
          <w:sz w:val="28"/>
          <w:sz w:val="28"/>
          <w:szCs w:val="28"/>
          <w:rtl w:val="true"/>
          <w:lang w:bidi="ar-SA"/>
        </w:rPr>
        <w:t>، مع أنّه إنّما يدلّ على الحرمة إذا كان الاشتراء للإضلال، فلو دلّ على ما هو محلّ الكلام فإنّما يدلّ على حرمة الإبقاء بقصد ترتّب الضلال عليه، ولا يشمل الإبقاء مع العلم بعدم ترتّب الضلال عليه أو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المحقّق الشيرازي رحمه الله</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ظاهراً في نفسه في التكلّم بالباطل، إلّاأنّه بعدما فُسّرت الآية الشريفة في الأخبار باستماع الغناء، يعلم أنّ المراد به أعمّ من تكلّم نفسه وتكلّم غيره به، وحينئذٍ يستفاد منها لزوم الاجتناب عن كتبه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منها الاجتناب عن مطلق الباطل قولاً كان أو 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الكتابة ممنوعٌ‌، ودعوى تنقيح المناط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المأمور به في الآية الشريفة ترك إيجاد كلّ ما يصدق عليه قول الزور، ولو كان هي الكتابة، لا ترك الموجود منه بمعنى إعدامه، ولذا ترى أنّه لم يفتِ أحدٌ بوجوب إعدام الكتب التي فيها الأكاذيب والمجعولات،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في بعض النصوص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اللّه تعالى الصناعة التي حرام كلّها التي يجيء منها الفساد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منه وفيه الفساد محضاً، ولا يكون منه وفيه شيءٌ من وجوه الصلاح، فحرامٌ تعليمه وتعلّمه، والعمل به وأخذ الاُجرة عليه وجميع التقلّب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بدعوى أنّه يدلّ على أنّ الصنعة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من شأنها ترتّب الفساد عليها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جميع التقلّب فيها، وكتب الضلال بما أنّها من شأنها ذلك، يحرم التقلّب فيها، ومنه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الخبر ضعيف السند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بعد إلغاء الخصوصيّة على حرمة التقلّب في كلّ ما هو منشأ الفساد، ولايدلّ عليحرمة التقلّب في المصنوع وما هو الموجود ممّا هو منشأ للفساد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التقلّب على الحفظ ممنوع</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يقوى به الكفر والشِّرك في جميع وجوه المعاصي، أو بابٌ يوهن به الحقّ‌، فهو حرام محرّم بيعه وشرائه وإمساكه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السند، ما تقدّم سابقاً</w:t>
      </w:r>
      <w:r>
        <w:rPr>
          <w:rStyle w:val="FootnoteAnchor"/>
          <w:rtl w:val="true"/>
        </w:rPr>
        <w:footnoteReference w:id="48"/>
      </w:r>
      <w:r>
        <w:rPr>
          <w:rFonts w:ascii="Amiri" w:hAnsi="Amiri" w:eastAsia="Amiri" w:cs="Amiri"/>
          <w:color w:val="111111"/>
          <w:sz w:val="28"/>
          <w:sz w:val="28"/>
          <w:szCs w:val="28"/>
          <w:rtl w:val="true"/>
          <w:lang w:bidi="ar-SA"/>
        </w:rPr>
        <w:t>من عدم شموله لغير الكفر والإلحاد من أفراد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الأُستاذ الأعظم</w:t>
      </w:r>
      <w:r>
        <w:rPr>
          <w:rStyle w:val="FootnoteAnchor"/>
          <w:rtl w:val="true"/>
        </w:rPr>
        <w:footnoteReference w:id="49"/>
      </w:r>
      <w:r>
        <w:rPr>
          <w:rFonts w:ascii="Amiri" w:hAnsi="Amiri" w:eastAsia="Amiri" w:cs="Amiri"/>
          <w:color w:val="111111"/>
          <w:sz w:val="28"/>
          <w:sz w:val="28"/>
          <w:szCs w:val="28"/>
          <w:rtl w:val="true"/>
          <w:lang w:bidi="ar-SA"/>
        </w:rPr>
        <w:t>من أنّ الحفظ ليس تقوية للكفر وإهانة للحقّ‌، فغريبٌ‌، إذ الخبر يدلّ حرمة إمساك شيء يكون كذلك، ومعلومٌ أنّ كتب الضلال مع قطع النظر عمّا ذكرناه تكون كذلك، فيحرم إمساكها وحفظها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جهاد أهل الضلال وإضعافهم بكلّ مايمكن، بدعوى أنّه يدلّ على لزوم تدمير مذهبهم بتدمير أهله، وبالأولى تدمير ما يقتضي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الحفظ خصوصاً إذا كان غرض الحافظ عدم وقوع الكتب في أيدي الناس ليؤدّي إلى إضلالهم لا يقتضي قوّة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وجود الكتب لا يوجب تقوية مذهبهم، فلا يجب تدميرها، مع أنّ المراد من أهل الضلال ليس كلّ من يعتقد باطلاً كما هو واضح، مع أنّ الأولويّة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بالخبر الحَسَن المرويّ عن عبد الملك المتقدّم في مبحث التنجيم، حيث شكا عن ابتلائه بالنجوم، فقال له عليه السلام</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احرق كتبك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أنّ الأمر للوجوب لا الإرشاد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التفصيل بين القضاء وعدمه، قرينة لحمل الأمر على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بمقتضى التفصيل القاطع للشركة يدلّ على جواز الحفظ مع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ثابت، وأفتى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بعدم الحرمة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ما يترتّب عليه 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إجماعاً تعبّديّاً، لاحتمال استناد المجمعين إلى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حفظ كتب الضلال في نفسه ومن حيث هو، نعم لو ترتّب عليه الإضلال، حرم من جهة حرمة إضلال الناس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فرعان أشار إليهما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w:t>
      </w:r>
      <w:r>
        <w:rPr>
          <w:rStyle w:val="FootnoteAnchor"/>
          <w:rtl w:val="true"/>
        </w:rPr>
        <w:footnoteReference w:id="5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الإستفصال في هذه الرواية أنّه إذا لم يترتّب على إبقاء كتب الضلال مفسدة، لم يحرم وهذا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وجود الدليل على حرمة الحفظ، هل يعتبر فيها ترتّب مفسدة عليه أم لا؟ فقد اختار الشيخ رحمه الله الأوّل، واستدلّ له بحسن عبد الملك</w:t>
      </w:r>
      <w:r>
        <w:rPr>
          <w:rStyle w:val="FootnoteAnchor"/>
          <w:rtl w:val="true"/>
        </w:rPr>
        <w:footnoteReference w:id="53"/>
      </w:r>
      <w:r>
        <w:rPr>
          <w:rFonts w:ascii="IRNazanin" w:hAnsi="IRNazanin" w:eastAsia="IRNazanin"/>
          <w:color w:val="111111"/>
          <w:sz w:val="28"/>
          <w:sz w:val="28"/>
          <w:szCs w:val="28"/>
          <w:rtl w:val="true"/>
          <w:lang w:bidi="fa-IR"/>
        </w:rPr>
        <w:t xml:space="preserve">،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ينافي ما ذكره تبعاً للقوم في مسألة بيع ما لا يقصد منه إلّاالحرام، حيث استدلّوا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ولم يعتبروا فيها ترتّب الفساد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فعلاً، وبنوا على أنّه يدلّ على حرمة بيع ما لا منفعة له إلّاالحرام، وإنْ لم يترتّب على هذا البيع تلك الفائدة، ولازم ذلك البناء على حرمة الحفظ في المقام وإن لم يترتّب عليه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ذكروه هناك هو المستفاد من الخبر بقرينة إطلاق ما فيه من الأمثلة، ومقابلة هذه الجملة بالجملة السابقة الواردة في بيان ما يَصحّ بيعه بما فيه الصلاح والمنافع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فرض دلالة حَسَن عبد الملك على حرمة الحفظ يصبح الاستدلال به تامّاً، لكنّك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w:t>
      </w:r>
      <w:r>
        <w:rPr>
          <w:rStyle w:val="FootnoteAnchor"/>
          <w:rtl w:val="true"/>
        </w:rPr>
        <w:footnoteReference w:id="5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المصلحة الموهومة أو المحقّقة النادرة لا اعتبار بها، فلا يجوز 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ترتّبت مصلحة على الحفظ أقوى من المفسدة المترتّبة عليه لا يحرم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المدرك لهذا إنْ كان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المحرّم هو ما فيه الفساد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لا مفهوم له كي يوجب تقيّيد 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يدلّ على عدم الحرمة، مع كونه ممّا تترتّب عليه مصلحة ولو لم تكن أقوى، بل ولو كانت أضعف، فلا وجه لاعتبار الأقوائيّة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هو مزاحمة المصلحة للمفسدة التي هي منشأ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وأن تكون المصلحة المزاحمة ممّا يجب تحصيله، وتكون أهمّ كي تقدّم على المفسدة، ولا تكون المفسدة منشئاً للحرمة، وإن كان هو عدم عموم لدليل الحرمة، فترفع اليد عنه بمجرّد وجود مصلحة، فلازمه البناء على عدم الحرمة مع وجود المصلحة ولو كانت أضعف، مع أنّه على فرض دلالة ما تقدّم على الحرمة، يكون مطلقاً وشاملاً للصورتين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ما يمكن أن يكون مدركاً لما استثنوه وما يرد عليه، فلا نطيل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المراد بالحفظ أعمٌّ من الحفظ من التلف، والحفظ بظهر القلب، بل النَسخ والمذاكرة، وجميع ماله دخلٌ في بقاء المطالب المُضلّة، لو كان المدرك للحرمة هو حكم العقل أو الآيتان الشريفتان أو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المدرك حَسَن عبد الملك، فالظاهر أنّ المراد به هو الحفظ من التلف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بها ما وضع لحصول الضلال في الإعتقادات أو الفروع، سواءٌ أكانت مطالبها حقّة في أنفسها، كبعض كتب العرفاء والحكماء المشتملة على ظواهر منكرة يدّعون أنّ المراد غير ظاهرها، أم لم تكن كذلك، بل مقتضى الوجوه التي استدلّ بها للحرمة أنّ الموضوع أعمّ من الكتب وغيرها ممّا يوجب الضلال والغواية كالمزار والمقبرة والمدرسة ونحو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كانت لها منافع محلّلة صَحّ بيعها وشرائها، سواءٌ أكان حفظها حراماً أم لم يكن، أمّا إذا لم يكن الحفظ حراماً فواضح، </w:t>
      </w:r>
    </w:p>
    <w:p>
      <w:pPr>
        <w:pStyle w:val="BookText"/>
        <w:rPr/>
      </w:pPr>
      <w:r>
        <w:rPr>
          <w:rFonts w:ascii="Amiri" w:hAnsi="Amiri" w:eastAsia="Amiri" w:cs="Amiri"/>
          <w:color w:val="111111"/>
          <w:sz w:val="28"/>
          <w:sz w:val="28"/>
          <w:szCs w:val="28"/>
          <w:rtl w:val="true"/>
          <w:lang w:bidi="ar-SA"/>
        </w:rPr>
        <w:t>وأمّا إن كان حراماً فلما تقدّم من أنّ بيع ماله منفعتان محلّلة ومحرّمة جائز، ولا يعتبر قصد المنفعة المحلّلة، بل يَصحّ وإن قصد المنفعة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لعدم جواز البيع والشراء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بآيتي لهو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الزور المتقدّمتين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يقوى به الكفر والشرك في جميع وجوه المعاصي، أو بابٌ يوهن به الحقّ‌، فهو حرامٌ محرّم بيعه وشرائه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يعتبر في صحّة البيع أن لا يكون البائع محجوراً عن التصرّف في المبيع، ليكون له السلطنة الفعليّة على التصرّف فيه، فإذا فرض تعلّق النهي بالحفظ ووجوب الإتلاف، كان النهي معجزاً مولويّاً للمكلّف عن البيع، ورافعاً لسلطنة عليه، ويترتّب عليه 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آية لهو الحديث</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تقدّم من أنّه على فرض إرادة المعنى الحقيقي للاشتراء منها، تختصّ بما إذا كان الاشتراء للإضلال، ولا تدلّ على الحرمة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إنّما تدلّ الآية على الحرمة التكليفيّة، وهي أعمّ من عدم الجواز وضعاً بناءً على ما حقّقناه في محلّه من عدم دلالة النهي عن المعاملة على الفساد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آية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من أنّ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للكتابة ممنوعٌ‌، وأنّه لا تشمل الآية إبقاء الكتاب لو سُلّم شموله لها، مضافاً إلى أنّها إنّما تدلّ على عدم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الجواز تكليفاً لا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ضعيف السند، مضافاً إلى ما تقدّم من عدم شموله لغير الكفر والإلحاد من أفراد الضلال، مع أنّه أيضاً يدلّ على الحرمة، ولا يدلّ على عدم الصحّة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النهي إنّما يدلّ على الزجر عن الحفظ، ولا يكون متعرّضاً لإمضاء البيع على تقدير تحقّقه وعدم إمضائه، مع أنّه قد عرفت عدم الدليل على حرمة الحفظ</w:t>
      </w:r>
      <w:r>
        <w:rPr>
          <w:rFonts w:eastAsia="Amiri" w:cs="Amiri" w:ascii="Amiri" w:hAnsi="Amiri"/>
          <w:color w:val="111111"/>
          <w:sz w:val="28"/>
          <w:szCs w:val="28"/>
          <w:rtl w:val="true"/>
          <w:lang w:bidi="ar-SA"/>
        </w:rPr>
        <w:t>.</w:t>
      </w:r>
      <w:bookmarkStart w:id="21" w:name="pg11815_192542"/>
    </w:p>
    <w:p>
      <w:pPr>
        <w:pStyle w:val="Heading2"/>
        <w:numPr>
          <w:ilvl w:val="1"/>
          <w:numId w:val="1"/>
        </w:numPr>
        <w:rPr/>
      </w:pPr>
      <w:bookmarkStart w:id="22" w:name="__RefHeading___Toc10830449_73709187"/>
      <w:bookmarkStart w:id="23" w:name="_Toc7"/>
      <w:bookmarkEnd w:id="21"/>
      <w:bookmarkEnd w:id="22"/>
      <w:r>
        <w:rPr>
          <w:rtl w:val="true"/>
        </w:rPr>
        <w:t>موضوع الرَّشوة وحكمها</w:t>
      </w:r>
      <w:bookmarkEnd w:id="23"/>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حرامٌ إجماعاً</w:t>
      </w:r>
      <w:r>
        <w:rPr>
          <w:rStyle w:val="FootnoteAnchor"/>
          <w:rtl w:val="true"/>
        </w:rPr>
        <w:footnoteReference w:id="59"/>
      </w:r>
      <w:r>
        <w:rPr>
          <w:rFonts w:ascii="Amiri" w:hAnsi="Amiri" w:eastAsia="Amiri" w:cs="Amiri"/>
          <w:color w:val="111111"/>
          <w:sz w:val="28"/>
          <w:sz w:val="28"/>
          <w:szCs w:val="28"/>
          <w:rtl w:val="true"/>
          <w:lang w:bidi="ar-SA"/>
        </w:rPr>
        <w:t>، وقد أدرج الشيخ رحمه الله</w:t>
      </w:r>
      <w:r>
        <w:rPr>
          <w:rStyle w:val="FootnoteAnchor"/>
          <w:rtl w:val="true"/>
        </w:rPr>
        <w:footnoteReference w:id="60"/>
      </w:r>
      <w:r>
        <w:rPr>
          <w:rFonts w:ascii="Amiri" w:hAnsi="Amiri" w:eastAsia="Amiri" w:cs="Amiri"/>
          <w:color w:val="111111"/>
          <w:sz w:val="28"/>
          <w:sz w:val="28"/>
          <w:szCs w:val="28"/>
          <w:rtl w:val="true"/>
          <w:lang w:bidi="ar-SA"/>
        </w:rPr>
        <w:t>في هذه المسألة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الرَّشوة موضوعاً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 اللّغويين والفقهاء في تحقيق مفهومها، ومجموع ما قيل في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تفسيرها بالجعل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الأستاذ الأعظم</w:t>
      </w:r>
      <w:r>
        <w:rPr>
          <w:rStyle w:val="FootnoteAnchor"/>
          <w:rtl w:val="true"/>
        </w:rPr>
        <w:footnoteReference w:id="61"/>
      </w:r>
      <w:r>
        <w:rPr>
          <w:rFonts w:ascii="Amiri" w:hAnsi="Amiri" w:eastAsia="Amiri" w:cs="Amiri"/>
          <w:color w:val="111111"/>
          <w:sz w:val="28"/>
          <w:sz w:val="28"/>
          <w:szCs w:val="28"/>
          <w:rtl w:val="true"/>
          <w:lang w:bidi="ar-SA"/>
        </w:rPr>
        <w:t>من أنّ الرَّشوة ما يعطيه أحد الشخصين للآخر لإحقاق حقّ‌، أو تمشية باطلٍ‌، أو للتملّق، أو الوصلة إلى الحاجة بالمصانعة، أو في عمل لا يقابل بالأُجرة والجعل عند العرف والعقلاء وإنْ كان محطّاً لنظرهم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الرَّشوة ما يبذله المتحاكمان من المال للحاكم، سواءٌ كان للقضاء وتصدّي فصل الخصومة، أم كان للحكم بالواقع أو لنفسه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جماعةٍ‌</w:t>
      </w:r>
      <w:r>
        <w:rPr>
          <w:rStyle w:val="FootnoteAnchor"/>
          <w:rtl w:val="true"/>
        </w:rPr>
        <w:footnoteReference w:id="63"/>
      </w:r>
      <w:r>
        <w:rPr>
          <w:rFonts w:ascii="Amiri" w:hAnsi="Amiri" w:eastAsia="Amiri" w:cs="Amiri"/>
          <w:color w:val="111111"/>
          <w:sz w:val="28"/>
          <w:sz w:val="28"/>
          <w:szCs w:val="28"/>
          <w:rtl w:val="true"/>
          <w:lang w:bidi="ar-SA"/>
        </w:rPr>
        <w:t xml:space="preserve">من أنّ الرَّشوة ما يبذله أحد المتحاكمين </w:t>
      </w:r>
    </w:p>
    <w:p>
      <w:pPr>
        <w:pStyle w:val="BookText"/>
        <w:rPr/>
      </w:pPr>
      <w:r>
        <w:rPr>
          <w:rFonts w:ascii="Amiri" w:hAnsi="Amiri" w:eastAsia="Amiri" w:cs="Amiri"/>
          <w:color w:val="111111"/>
          <w:sz w:val="28"/>
          <w:sz w:val="28"/>
          <w:szCs w:val="28"/>
          <w:rtl w:val="true"/>
          <w:lang w:bidi="ar-SA"/>
        </w:rPr>
        <w:t>للحاكم ليحكم له حقّاً كان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 يُبذل ليحكم بالواقع، لنفسه كان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القدر المتيقّن من مفهومها، وهو الجعل على الحكم بالباطل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لازم ذلك كون أُجرة الأجراء والجَعل في مثل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كذا من الرَّشوة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لا يَصحّ التفوّه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استشهد له بكلمات بعض اللّغويين، وباستعمالها فيما أعطى للحقّ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يرشو الرّجل الرَّشوة على أن يتحوّل من منزله فيسكنه‌؟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الأصل في الاستعمال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صحيح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الرَّشا في الحكم</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وقريب منه ما في غيره، بدعوى أنّه لو لم يكن مفهوم الرَّشوة عامّاً لغير الأحكام لزم إلغاء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خبر يوسف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عليه السلام من نظر إلى فرج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 احتاج الناس إليه لتفقّهه فسألهم الرَّشوة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بتوهم أنّه يشمل ما يُدفع لبذل الفقه من القضاء والفصل بين المتخاصمين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والتدريس ونحوهما، وما يدفع لأجل تصدّي ما هو من وظائف الفقيه كحفظ مال الصغير والغائب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شموله للأوّل فواضح، وأمّا شموله للثاني فلصدق الإحتياج إليه لفقهه على أن يكون الفقه واسطة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 اللّغويين ليس بحجّة، لا سيّما في صورة اختلافهم في تعيّين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الحقيقة إنّما يرجع إليها لتشخيص المراد، لا لتعيين الموضوع له بعد معلوميّة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ذكر القيود التوضيحيّة، سيّما في صورة إجمال المقيّد مفهوماً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يكون في مقام بيان موضوع الرَّشوة، فعلى فرض كونه هو ما كان بإزاء الحكم بالباطل، لا يكون عموم الصدر قرينةً على إرادة المعنى العام من الرَّشوة، بل المستفاد من الخبر حينئذٍ هو أنّ الملعون الصنف الخاص من الرّجل الذي احتاج الناس إليه لفقهه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الوجه الأخير الذي هو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يذكروا لشيء منها ما يعيّنه، فالمتيقّن هو القول السادس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دعوى شمولها لما يدفع بإزاء الحكم للباذل مع جهله، سواءٌ طابق الواقع أم لا قريبة جدّاً، كما أنّ دعوى عدم شمولها بحسب المتفاهم العرفي لما يُبذل بإزاء الحكم له بالحقّ مع العلم فضلاً عمّا يبذل بإزاء الحكم بالواقع لنفسه أو لغيره قويّة جدّاً</w:t>
      </w:r>
      <w:r>
        <w:rPr>
          <w:rFonts w:eastAsia="Amiri" w:cs="Amiri" w:ascii="Amiri" w:hAnsi="Amiri"/>
          <w:color w:val="111111"/>
          <w:sz w:val="28"/>
          <w:szCs w:val="28"/>
          <w:rtl w:val="true"/>
          <w:lang w:bidi="ar-SA"/>
        </w:rPr>
        <w:t xml:space="preserve">. </w:t>
      </w:r>
      <w:bookmarkStart w:id="24" w:name="pg11815_192545"/>
    </w:p>
    <w:p>
      <w:pPr>
        <w:pStyle w:val="Heading2"/>
        <w:numPr>
          <w:ilvl w:val="1"/>
          <w:numId w:val="1"/>
        </w:numPr>
        <w:rPr/>
      </w:pPr>
      <w:bookmarkStart w:id="25" w:name="__RefHeading___Toc10830451_73709187"/>
      <w:bookmarkStart w:id="26" w:name="_Toc8"/>
      <w:bookmarkEnd w:id="24"/>
      <w:bookmarkEnd w:id="25"/>
      <w:r>
        <w:rPr>
          <w:rtl w:val="true"/>
        </w:rPr>
        <w:t>حكم الرَّشوة</w:t>
      </w:r>
      <w:bookmarkEnd w:id="26"/>
    </w:p>
    <w:p>
      <w:pPr>
        <w:pStyle w:val="BookText"/>
        <w:rPr/>
      </w:pPr>
      <w:r>
        <w:rPr>
          <w:rFonts w:ascii="Amiri" w:hAnsi="Amiri" w:eastAsia="Amiri" w:cs="Amiri"/>
          <w:color w:val="111111"/>
          <w:sz w:val="28"/>
          <w:sz w:val="28"/>
          <w:szCs w:val="28"/>
          <w:rtl w:val="true"/>
          <w:lang w:bidi="ar-SA"/>
        </w:rPr>
        <w:t>وأمّا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على تحريمها إجماع المسلمين</w:t>
      </w:r>
      <w:r>
        <w:rPr>
          <w:rStyle w:val="FootnoteAnchor"/>
          <w:rtl w:val="true"/>
        </w:rPr>
        <w:footnoteReference w:id="69"/>
      </w:r>
      <w:r>
        <w:rPr>
          <w:rFonts w:ascii="Amiri" w:hAnsi="Amiri" w:eastAsia="Amiri" w:cs="Amiri"/>
          <w:color w:val="111111"/>
          <w:sz w:val="28"/>
          <w:sz w:val="28"/>
          <w:szCs w:val="28"/>
          <w:rtl w:val="true"/>
          <w:lang w:bidi="ar-SA"/>
        </w:rPr>
        <w:t>، لو لم تكن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دلّ من الأدلّة الأربعة على حرمة الحكم بالباطل، والقضاء مع الجهل بالمطابقة للواقع، بضميمة ما دلَّ على عدم جواز أخذ المال بإزاء العمل المُحرّم، وإلى النصوص الكثيرة، كقوله عليه السلام في صحيح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الرَّشا في الحكم، فإنّ ذلك الكفر باللّه العظيم وبرسوله</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 أَنْتُمْ تَعْلَمُونَ‌</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فإنّها تدلّ على أنّ إدلاء المال إلى الحكّام لإبطال الحقّ‌، أو لإقامة الباطل حرامٌ‌، وقد عرفت أنّ هذا هو الرَّشوة، وهي وإن دلّت بالمطابقة على حرمة الإعطاء، لكنّها في نفس الوقت تدلّ على حرمة الأخذ أيضاً بالملازمة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المحقّق الإيرواني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بها</w:t>
      </w:r>
      <w:r>
        <w:rPr>
          <w:rStyle w:val="FootnoteAnchor"/>
          <w:rtl w:val="true"/>
        </w:rPr>
        <w:footnoteReference w:id="72"/>
      </w:r>
      <w:r>
        <w:rPr>
          <w:rFonts w:ascii="Amiri" w:hAnsi="Amiri" w:eastAsia="Amiri" w:cs="Amiri"/>
          <w:color w:val="111111"/>
          <w:sz w:val="28"/>
          <w:sz w:val="28"/>
          <w:szCs w:val="28"/>
          <w:rtl w:val="true"/>
          <w:lang w:bidi="ar-SA"/>
        </w:rPr>
        <w:t>بأنّه يحتمل قريباً أن يكون المراد إدلاء المال المتنازع فيه إليهم، الحاصل ذلك برفع الخصومات إليهم، فيأكلوا مقداراً من ذلك المال ويحكموا لغير مستحقّه في مقدارٍ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مندفعٌ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تُدْلُوا بِها إِلَى اَلْحُكّامِ‌</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فإنّه لو لم يكن ظاهراً في كون ما يدفع إليهم مال المعطي لا ريب في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نزولها في خصوص أموال اليتامى والوديعة والمال المتنازع فيه، فلا يصلح دليلاً على عدم عموم الحكم لغير تلك الموارد بعد إطلاق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حكم أخذ المال ليُحكم للباذل بالحقّ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وجوب القضاء عليه خارجة عن محلّ النزاع، بمعنى أنّ فيها بحثاً آخر وهو جواز أخذ الأُجرة على الواجب وعدمه، وسيأتي الكلام في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عدم التعيّن، فمقتضى العمومات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وغيرهما جوازه وعدم المنع عنه، لكونه عملاً محترماً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الشريفة المتقدّمة</w:t>
      </w:r>
      <w:r>
        <w:rPr>
          <w:rStyle w:val="FootnoteAnchor"/>
          <w:rtl w:val="true"/>
        </w:rPr>
        <w:footnoteReference w:id="76"/>
      </w:r>
      <w:r>
        <w:rPr>
          <w:rFonts w:ascii="Amiri" w:hAnsi="Amiri" w:eastAsia="Amiri" w:cs="Amiri"/>
          <w:color w:val="111111"/>
          <w:sz w:val="28"/>
          <w:sz w:val="28"/>
          <w:szCs w:val="28"/>
          <w:rtl w:val="true"/>
          <w:lang w:bidi="ar-SA"/>
        </w:rPr>
        <w:t>، فلا تشمل المقام، لاختصاصها بالحكم بالباطل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الرَّشوة، فقد مرّ أنّها مختصّة بغير المقام، لعدم صدق الرَّشوة على ما يؤخذ للحكم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لحرمة أخذ الأُجرة على القضاء، فسيأتي التعرّض له في المسألة الثانية، وستعرف أنّه لا دليل عليها، مع أنّه لو سُلّم ذلك فكون المراد به الأُجرة وما يأخذه في مقابل الحكم غير ثابت، إذ يحتمل أن يكون المراد به ما يأخذه في مقابل تقلّد منصب الحكم والقضاء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7" w:name="pg11815_192547"/>
    </w:p>
    <w:p>
      <w:pPr>
        <w:pStyle w:val="Heading2"/>
        <w:numPr>
          <w:ilvl w:val="1"/>
          <w:numId w:val="1"/>
        </w:numPr>
        <w:rPr/>
      </w:pPr>
      <w:bookmarkStart w:id="28" w:name="__RefHeading___Toc10830453_73709187"/>
      <w:bookmarkStart w:id="29" w:name="_Toc9"/>
      <w:bookmarkEnd w:id="27"/>
      <w:bookmarkEnd w:id="28"/>
      <w:r>
        <w:rPr>
          <w:rtl w:val="true"/>
        </w:rPr>
        <w:t>أُجور القضاة</w:t>
      </w:r>
      <w:bookmarkEnd w:id="29"/>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إلى المشهور وهو المنع مطلقاً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w:t>
      </w:r>
      <w:r>
        <w:rPr>
          <w:rStyle w:val="FootnoteAnchor"/>
          <w:rtl w:val="true"/>
        </w:rPr>
        <w:footnoteReference w:id="78"/>
      </w:r>
      <w:r>
        <w:rPr>
          <w:rFonts w:ascii="Amiri" w:hAnsi="Amiri" w:eastAsia="Amiri" w:cs="Amiri"/>
          <w:color w:val="111111"/>
          <w:sz w:val="28"/>
          <w:sz w:val="28"/>
          <w:szCs w:val="28"/>
          <w:rtl w:val="true"/>
          <w:lang w:bidi="ar-SA"/>
        </w:rPr>
        <w:t>من الجواز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المنسوب إلى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كان القضاء واجباً عينيّاً، أو كان القاضي غنيّاً فالمنع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لو لم يكن واجباً عليه عيناً وكان محتاجاً فالجواز</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يوسف بن جابر المتقدّم</w:t>
      </w:r>
      <w:r>
        <w:rPr>
          <w:rStyle w:val="FootnoteAnchor"/>
          <w:rtl w:val="true"/>
        </w:rPr>
        <w:footnoteReference w:id="80"/>
      </w:r>
      <w:r>
        <w:rPr>
          <w:rFonts w:ascii="Amiri" w:hAnsi="Amiri" w:eastAsia="Amiri" w:cs="Amiri"/>
          <w:color w:val="111111"/>
          <w:sz w:val="28"/>
          <w:sz w:val="28"/>
          <w:szCs w:val="28"/>
          <w:rtl w:val="true"/>
          <w:lang w:bidi="ar-SA"/>
        </w:rPr>
        <w:t>، بدعوى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الجعل في مقابل الحكم، ولو كان بالحقّ‌، إمّا لأنّها حقيقة فيه، أو أنّه أطلق </w:t>
      </w:r>
    </w:p>
    <w:p>
      <w:pPr>
        <w:pStyle w:val="BookText"/>
        <w:rPr/>
      </w:pPr>
      <w:r>
        <w:rPr>
          <w:rFonts w:ascii="Amiri" w:hAnsi="Amiri" w:eastAsia="Amiri" w:cs="Amiri"/>
          <w:color w:val="111111"/>
          <w:sz w:val="28"/>
          <w:sz w:val="28"/>
          <w:szCs w:val="28"/>
          <w:rtl w:val="true"/>
          <w:lang w:bidi="ar-SA"/>
        </w:rPr>
        <w:t>عليه الرَّشوة تأكيداً للحرمة، وإنّ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احتاج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إلى نوعه لا إلى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والسُّحت أنواع كثيرة، منها ما أصيب من أعمال الولاة الظلمة، ومنها أُجور القضاة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بناءً على أنّ الأجر في العرف يشمل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جعل من السُّحت أجر القاضي</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بحسن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قاضٍ بين قريتين يأخذ من السلطان على القضاء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الشيخ رحمه الله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كون القاضي منصوباً من قِبل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المبذول له هو الرزق من بيت المال، وهو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عنهما بقوله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الرزق من غير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القاضي على إرادة من يشمل هو قابلٌ في نفسه للتصدّي، وحمل الرزق من السلطان على ما يُبذل من غير بيت المال بإزاء القضاء، 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الرَّشوة قد مرّ عدم شمولها لما يُبذل بإزاء الحكم بالحقّ‌، بل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مختصّة بما يُبذل بإزاء الحكم بالباطل، أو الحكم للباذل مع الجهل بالمطابقة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الرَّشوة في خصوص الخبر على مطلق الجعل، قد عرفت ما فيها في المسألة المتقدّمة، وأضف إلى ذلك ضعف الخبر في نفسه لجهالة يوسف وبعضٌ آخر من رجال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هو ما يأخذ من السلطان من بيت المال أو من جوائزه، وحيث أنّه ستعرف جواز الارتزاق من بيت المال إذا كان القاضي جامعاً للشرائط، فيتعيّن حمله على ما إذا كان في نفسه غير قابل لذلك، وحرمة أخذه الرزق حينئذٍ واضحة كما سيأتي، وهو غير مربوط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ما هو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فمنصرفه أو ظاهره ولو بملاحظة العهد إلى القضاة المنصوبون من قبل السلطان الجائر، فحكمه حكم خبر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ابن حمران،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استأكل بعلمه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شيعتك قوماً يتحمّلون علومكم، ويبثّونها في شيعتكم، فلا يعدمون منهم البِرّ والصلة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أُولئك بمستأكلين، إنّما ذلك الذي يفتي بغير علمٍ ولا هُدىً من اللّه ليبطل به الحقوق طمعاً في حطام الدُّنيا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منه حصر الاستيكال المذموم، فيما إذا كان بأخذ المال في مقابل الحكم بالباطل، أو مع الجهل بالواقع، فمقتضى مفهومه جواز الاستيكال مع العمل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بالحقّ والحكم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الحصر إضافي بالنسبة إلى الفرد الذي سأل عنه السائل، فمفهومه عدم الذّم على ذلك الفرد دون سائر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الأستاذ الأعظم الإيراد ووجّهه</w:t>
      </w:r>
      <w:r>
        <w:rPr>
          <w:rStyle w:val="FootnoteAnchor"/>
          <w:rtl w:val="true"/>
        </w:rPr>
        <w:footnoteReference w:id="87"/>
      </w:r>
      <w:r>
        <w:rPr>
          <w:rFonts w:ascii="Amiri" w:hAnsi="Amiri" w:eastAsia="Amiri" w:cs="Amiri"/>
          <w:color w:val="111111"/>
          <w:sz w:val="28"/>
          <w:sz w:val="28"/>
          <w:szCs w:val="28"/>
          <w:rtl w:val="true"/>
          <w:lang w:bidi="ar-SA"/>
        </w:rPr>
        <w:t>بأنّه لما توهم السائل أنّ من يحمل العلوم ويبثّها في الشيعة، ويصل إليه منهم البِرّ والإحسان من دون أن يطالب من المستأكل بعلمه المذموم، أجاب عليه السلام بأنّ ذلك ليس من الاستيكال المذموم، وأنّ المستأكل هو الذي يفتي بغير علم لإبطال الحقوق، وعليه فمفهوم الحصر هو العقد السلبي المذكور في الخبر صريحاً، ولا يكون الخبر متعرّضاً لحكم سائر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تسليم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فإنّه لا ينبغي التوقّف في دلالة الخبر على الحصر بالإضافة إلى جميع الأفراد، إذ لو كان المراد ما ذكره، لما كان وجه للتقييد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علمٍ ولا هُدىً من اللّه ليبطل به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خصوص هذا الفرد وحصر المذموم فيه مع عدم كونه مورداً للسؤال، كاشفٌ عن إرادة الحصر بالنسبة إلى جميع الأفراد، وعليه فالإيراد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يورد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إمكان منع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كما حقّقناه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الخبر ضعيف السند لتميم بن بهلول وأبيه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صورة تعيّن منصب القضاء عليه، لا يجوز له أخذ الأجر عليه، لما دلّ على عدم جواز أخذ الأُجرة على الواجب، وفي صورة عدم التعيّن وعدم كونه محتاجاً، لا يجوز الأخذ لما دلّ من النصوص على المنع من أخذ</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الأجر على القضاء، وأمّا في صورة عدم التعيّن والحاجة فيجوز لاختصاص نصوص المنع بصورة الإستغناء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التعيّن فلنا فيها كلام سيأتي التعرّض له في بحث أخذ الأُجرة على الواجبات، وأمّا في صورة عدم التعيّن، فعلى فرض تسليم دلالة النصوص على المنع، لم يظهر لي وجه اختصاصها بصورة الاستغناء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المنع من أجر القاضي، فلابدّ من الرجوع إلى ما تقتضيه القاعدة، وهي تقتضي جوازه سواء أكان المراد به ما يُبذل بإزاء حكمٍ بالحقّ‌، أم كان المراد به ما يُبذل بإزاء تقلّد منصب القضاء والتهيّؤ لحسم المرافعات، سواءٌ رُفعت إليه خصومة أم لا، لأنّه عملٌ محترم فلا يذهب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ظهر جواز أخذ الأُجرة على تبليغ الأحكام الشرعيّة، وتعليم المسائل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الأستاذ الأعظم</w:t>
      </w:r>
      <w:r>
        <w:rPr>
          <w:rStyle w:val="FootnoteAnchor"/>
          <w:rtl w:val="true"/>
        </w:rPr>
        <w:footnoteReference w:id="88"/>
      </w:r>
      <w:r>
        <w:rPr>
          <w:rFonts w:ascii="IRNazanin" w:hAnsi="IRNazanin" w:eastAsia="IRNazanin"/>
          <w:color w:val="111111"/>
          <w:sz w:val="28"/>
          <w:sz w:val="28"/>
          <w:szCs w:val="28"/>
          <w:rtl w:val="true"/>
          <w:lang w:bidi="fa-IR"/>
        </w:rPr>
        <w:t>للمنع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بالإطلاقات الناهية عن أخذ الرَّشوة على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يوسف بن جابر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صدق الرَّشوة على ما يؤخذ بإزاء الحكم بالحقّ‌، وبيان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مضافاً إلى ضعف سنده الذي اعترف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0" w:name="pg11815_192552"/>
    </w:p>
    <w:p>
      <w:pPr>
        <w:pStyle w:val="Heading2"/>
        <w:numPr>
          <w:ilvl w:val="1"/>
          <w:numId w:val="1"/>
        </w:numPr>
        <w:rPr/>
      </w:pPr>
      <w:bookmarkStart w:id="31" w:name="__RefHeading___Toc10830455_73709187"/>
      <w:bookmarkStart w:id="32" w:name="_Toc10"/>
      <w:bookmarkEnd w:id="30"/>
      <w:bookmarkEnd w:id="31"/>
      <w:r>
        <w:rPr>
          <w:rtl w:val="true"/>
        </w:rPr>
        <w:t>الارتزاق من بيت المال</w:t>
      </w:r>
      <w:bookmarkEnd w:id="32"/>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أنّه يجوز للقاضي الارتزاق من بيت المال مع حاجته، بل مطلقاً إذا رأى الإمام المصلحة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الاتزاق أمرٌ سوى الأُجرة، فإنّه يدفع بسبب كون الشخص قاضياً مثلاً أو مؤذّناً أو نحو ذلك، وهو منوط بنظر الحاكم من دون أن يقدّر بقدر خاص، بخلاف الأُجرة فإنّها تحتاج إلى تقدير العوض، وضبط المدّة، وتقدير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القاضي إن كان جامعاً لشرائط منصب القضاء جاز ارتزاقه من بيت المال مطلقاً كما هو المشهور، سواءٌ أكان منصوباً من قبل السلطان العادل، أم كان منصوباً من قبل السلطان الجائر، وفرض كونه منصوباً من قبل الجائر مع كونه جامعاً لشرائط منصب القضاء إنّما يكون فيما إذا كان غرضه من قبول المنصب قضاء حوائج الشيعة، وإنقاذهم من الهلكة والشدّة، والتحبّب إلى فقرائهم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بيت المال مُعدّ لمصالح المسلمين، سواءٌ أكان تحت يد العادل أو تحت يد الجائر، وهذا من مهمّاتها لتوقّف انتظام أُمور المسلمين عليه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حمّاد الطويل، وقد جاء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ويؤخذ الباقي، فيكون ذلك أرزاق أعوانه على دين اللّه، وفي مصلحة ما ينويه من تقوية الإسلام وتقوية الدِّين في وجوه الجهاد، وغير ذلك ممّا فيه مصلحة العامّة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كتبه أمير المؤمنين عليه السلام إلى مالك الأشتر،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صفات القاضي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وأفسح له في البذل ما يزيل علّته، وتقلّ معه حاجته إلى الناس</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قاضٍ ورزق للقاضي، وكره أن يكون رزق القاضي على الناس الذين يقضي لهم، ولكن من بيت المال</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لعدم جواز الارتزاق من بيت المال مطلقاً أو في ما إذا كان منصوباً من قبل السلطان الجائر بحسن عبد اللّه بن سنان المتقدّم</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قاضٍ بين قريتين يأخذ من السلطان على القضاء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تعيّن حمله على ما إذا كان القاضي فاقداً لشروط منصب القضاء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w:t>
      </w:r>
      <w:r>
        <w:rPr>
          <w:rStyle w:val="FootnoteAnchor"/>
          <w:rtl w:val="true"/>
        </w:rPr>
        <w:footnoteReference w:id="93"/>
      </w:r>
      <w:r>
        <w:rPr>
          <w:rFonts w:ascii="Amiri" w:hAnsi="Amiri" w:eastAsia="Amiri" w:cs="Amiri"/>
          <w:color w:val="111111"/>
          <w:sz w:val="28"/>
          <w:sz w:val="28"/>
          <w:szCs w:val="28"/>
          <w:rtl w:val="true"/>
          <w:lang w:bidi="ar-SA"/>
        </w:rPr>
        <w:t>إلى عدم جواز الارتزاق مع تعيّن القضاء عليه، معلّلاً بوجوب القضاء عليه، فلا يجوز له أخذ العوض كما في سائر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الارتزاق من بيت المال أمرٌ يُباين الأُجرة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جماعة</w:t>
      </w:r>
      <w:r>
        <w:rPr>
          <w:rStyle w:val="FootnoteAnchor"/>
          <w:rtl w:val="true"/>
        </w:rPr>
        <w:footnoteReference w:id="94"/>
      </w:r>
      <w:r>
        <w:rPr>
          <w:rFonts w:ascii="Amiri" w:hAnsi="Amiri" w:eastAsia="Amiri" w:cs="Amiri"/>
          <w:color w:val="111111"/>
          <w:sz w:val="28"/>
          <w:sz w:val="28"/>
          <w:szCs w:val="28"/>
          <w:rtl w:val="true"/>
          <w:lang w:bidi="ar-SA"/>
        </w:rPr>
        <w:t xml:space="preserve">عدم جواز الارتزاق مع عدم الحاجة،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للمسلم جواز الارتزاق من بيت المال مع الحاجة، ولو بواسطة تقلّد منصب القضاء المانع من التكسّب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بيت المال معدّ للمحاويج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 فإنّ بيت المال مُعدّ لمصالح المسلمين، سواءٌ أكان القائم بالمصالح محتاجاً أم لم يكن كذلك، مضافاً إلى إطلاق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لم يكن القاضي واجداً لشرائط منصب القضاء المقرّرة في الشريعة كجُلّ المنصوبين من قبل سلاطين الجور، لا يجوز ارتزاقه من بيت المال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الخبر الحسن المروي عن ابن سنان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ليس من موارد مصرف بيت المال</w:t>
      </w:r>
      <w:r>
        <w:rPr>
          <w:rFonts w:eastAsia="Amiri" w:cs="Amiri" w:ascii="Amiri" w:hAnsi="Amiri"/>
          <w:color w:val="111111"/>
          <w:sz w:val="28"/>
          <w:szCs w:val="28"/>
          <w:rtl w:val="true"/>
          <w:lang w:bidi="ar-SA"/>
        </w:rPr>
        <w:t>.</w:t>
      </w:r>
      <w:bookmarkStart w:id="33" w:name="pg11815_192555"/>
    </w:p>
    <w:p>
      <w:pPr>
        <w:pStyle w:val="Heading2"/>
        <w:numPr>
          <w:ilvl w:val="1"/>
          <w:numId w:val="1"/>
        </w:numPr>
        <w:rPr/>
      </w:pPr>
      <w:bookmarkStart w:id="34" w:name="__RefHeading___Toc10830457_73709187"/>
      <w:bookmarkStart w:id="35" w:name="_Toc11"/>
      <w:bookmarkEnd w:id="33"/>
      <w:bookmarkEnd w:id="34"/>
      <w:r>
        <w:rPr>
          <w:rtl w:val="true"/>
        </w:rPr>
        <w:t>أخذ القاضي للهديّة</w:t>
      </w:r>
      <w:bookmarkEnd w:id="35"/>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الهديّة وهي ما يبذله على وجه الهبة ليورِثَ المودّة الموجبة للحكم له، حقّاً كان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حرمتها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6"/>
      </w:r>
      <w:r>
        <w:rPr>
          <w:rFonts w:ascii="Amiri" w:hAnsi="Amiri" w:eastAsia="Amiri" w:cs="Amiri"/>
          <w:color w:val="111111"/>
          <w:sz w:val="28"/>
          <w:sz w:val="28"/>
          <w:szCs w:val="28"/>
          <w:rtl w:val="true"/>
          <w:lang w:bidi="ar-SA"/>
        </w:rPr>
        <w:t>، والشيخ</w:t>
      </w:r>
      <w:r>
        <w:rPr>
          <w:rStyle w:val="FootnoteAnchor"/>
          <w:rtl w:val="true"/>
        </w:rPr>
        <w:footnoteReference w:id="97"/>
      </w:r>
      <w:r>
        <w:rPr>
          <w:rFonts w:ascii="Amiri" w:hAnsi="Amiri" w:eastAsia="Amiri" w:cs="Amiri"/>
          <w:color w:val="111111"/>
          <w:sz w:val="28"/>
          <w:sz w:val="28"/>
          <w:szCs w:val="28"/>
          <w:rtl w:val="true"/>
          <w:lang w:bidi="ar-SA"/>
        </w:rPr>
        <w:t>وغيرهما</w:t>
      </w:r>
      <w:r>
        <w:rPr>
          <w:rStyle w:val="FootnoteAnchor"/>
          <w:rtl w:val="true"/>
        </w:rPr>
        <w:footnoteReference w:id="98"/>
      </w:r>
      <w:r>
        <w:rPr>
          <w:rFonts w:ascii="IRNazanin" w:hAnsi="IRNazanin" w:eastAsia="IRNazanin"/>
          <w:color w:val="111111"/>
          <w:sz w:val="28"/>
          <w:sz w:val="28"/>
          <w:szCs w:val="28"/>
          <w:rtl w:val="true"/>
          <w:lang w:bidi="fa-IR"/>
        </w:rPr>
        <w:t>، 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الرَّشوة، بدعوى أنّها تصدق على الهديّة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الرَّشوة هي ما كان بإزاء الحكم، لا ما يُبذل بداعي الحكم، ولا أقلّ من أنّ هذا هو المتيقّن منها، ويشهد له جعل ذلك في مقابل الرَّشوة في خبر الأصبغ</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مناط حرمة الرَّشوة، وهو صرف القاضي عن الحكم بالحقّ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قطع بالمناط كي يَصحّ التمسّك بتنقيح المناط، وإلّا لحرم مثل المدح له وتعظيمه، والمبادرة إلى سماع قوله، وقضاء حوائجه ونحو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بتقريب أنّ المال الذي يُهدى قبل الحكم إلى القاضي ليورث المودّة الموجبة للحكم له، وإن لم </w:t>
      </w:r>
    </w:p>
    <w:p>
      <w:pPr>
        <w:pStyle w:val="BookText"/>
        <w:rPr/>
      </w:pPr>
      <w:r>
        <w:rPr>
          <w:rFonts w:ascii="Amiri" w:hAnsi="Amiri" w:eastAsia="Amiri" w:cs="Amiri"/>
          <w:color w:val="111111"/>
          <w:sz w:val="28"/>
          <w:sz w:val="28"/>
          <w:szCs w:val="28"/>
          <w:rtl w:val="true"/>
          <w:lang w:bidi="ar-SA"/>
        </w:rPr>
        <w:t>يقابل بالدّاعي الذي دعا إلى البذل في الصورة، إلّاأنّه مقابله في اللب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غير مرّة من أنّ الدّواعي لا تُقابل بالمال، ولذا لا يضرّ تخلّف الدّاعي بصحّة المعاملة ولزومها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لا دليل على حرمة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من زجر النبيّ صلى الله عليه و آله عمّال الصدقة عن أخذهم الهدايا، كالنبوي المروي عن أبي حميد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يقبل أحدٌ منكم منها شيئاً إلّاجاء به يوم القيامة يحمله على عنقه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ضعيف السند لكونه نبويّاً مرويّاً عن 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الرضا عليه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هو الرّجل يقضي لأخيه الحاجة ثمّ يقبل هديّته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اعتبار الخبر 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حرمة أخذ الهديّة المتأخّرة عن قضاء الحاجة، وحيث أنّه لم يفتِ أحدٌ بالحرمة في الفرض، فيتعيّن حمله على الكراهة، ورجحان التجنّب عن قبول الهدايا من أهل الحاجة إليه، لئلّا يقع في الرَّشوة يوماً، فإنّ ذلك أولى من حمله على الهديّة المتقدّمة مقيّداً لها بما إذا كانت بداعي الحكم له بالباطل،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الأصبغ،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والٍ احتجب عن حوائج الناس احتجبَ اللّه عنه يوم القيامة وعن حوائجه، إن أخذ هديّة كان غلولاً، وإن أخذ الرشوة فهو مشرك</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لأبي الجارود وسعد الإسكاف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حرمة أخذ الوالي الهديّة لا أخذ القاضي لها، ولعلّ وجه حرمته ما ذكره بعض المحقّقين من أنّها تكون عن كُرهٍ‌، ودفعاً لظلمه وجوره، أو يُحمل دفعها على الكراهة أو غير ذلك من المحامل المذكورة في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هدايا العمّال غَلول، وفي آخر أنّها سحتٌ‌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يُراد من هذه النصوص ما يهديه العمّال إلى الرعيّة، أو يكون المراد ما يهديه العمّال إلى الولاة، وعلى أيّ تقديرٍ تكون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فإنّها حينئذٍ تكون من النصوص المتضمّنة عدم جواز أخذ جوائز السلطان وعمّاله، وسيجيء الكلام عن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أخذ القاضي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جوازه سواءً أكانت متقدّمة على الحكم أم متأخّرة عنه، وسواءٌ أكانت لإقامة العلاقات الشخصيّة، أم تقرّبها بها إلى اللّه، أم كانت بداعي الحكم بالباطل أو بالحقّ‌، أو الأعمّ منهما، لعموم دليل صحّة الهبة وجوازها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36" w:name="pg11815_192558"/>
    </w:p>
    <w:p>
      <w:pPr>
        <w:pStyle w:val="Heading2"/>
        <w:numPr>
          <w:ilvl w:val="1"/>
          <w:numId w:val="1"/>
        </w:numPr>
        <w:rPr/>
      </w:pPr>
      <w:bookmarkStart w:id="37" w:name="__RefHeading___Toc10830459_73709187"/>
      <w:bookmarkStart w:id="38" w:name="_Toc12"/>
      <w:bookmarkEnd w:id="36"/>
      <w:bookmarkEnd w:id="37"/>
      <w:r>
        <w:rPr>
          <w:rtl w:val="true"/>
        </w:rPr>
        <w:t>حكم قبول الرَّشوة في غير الأحكام</w:t>
      </w:r>
      <w:bookmarkEnd w:id="38"/>
    </w:p>
    <w:p>
      <w:pPr>
        <w:pStyle w:val="BookText"/>
        <w:rPr/>
      </w:pPr>
      <w:r>
        <w:rPr>
          <w:rFonts w:ascii="Amiri" w:hAnsi="Amiri" w:eastAsia="Amiri" w:cs="Amiri"/>
          <w:color w:val="111111"/>
          <w:sz w:val="28"/>
          <w:sz w:val="28"/>
          <w:szCs w:val="28"/>
          <w:rtl w:val="true"/>
          <w:lang w:bidi="ar-SA"/>
        </w:rPr>
        <w:t>يقع البحث في أنّه هل يحرم قبول القاضي الرَّشوة في غير الحكم أم لا؟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المال في مقابل غير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لإصلاح أمرٍ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لإتمام أمرٍ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لإتمام أمرٍ مشترك بين المحلّل والمحرّم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جوازه، إذ العمل في نفسه جائز، ويصلح أن يقابل بالمال،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يرشو الرجل الرَّشوة على أن يتحوّل عن منزله فيسكنه 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بالمنزل المشترك ما يشترك فيه الناس كالمدرسة والمسجد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الصيرفي،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وسأله حفص الأعور،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عمّال السلطان يشترون منّا القِرَب والأداوي، فيوكلون الوكيل حتّى يستوفيه منّا، ونرشوه حتّى لا يظلمنا؟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تصلح به مالك،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إذا أنتَ رشوته يأخذ أقلّ من الشرط؟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رشوتك</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الأستاذ الأعظم</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لإسماعيل بن أبي 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رحمه الله وإن ضعّفه، ولكن النجاشي وثّقه</w:t>
      </w:r>
      <w:r>
        <w:rPr>
          <w:rStyle w:val="FootnoteAnchor"/>
          <w:rtl w:val="true"/>
        </w:rPr>
        <w:footnoteReference w:id="109"/>
      </w:r>
      <w:r>
        <w:rPr>
          <w:rFonts w:ascii="Amiri" w:hAnsi="Amiri" w:eastAsia="Amiri" w:cs="Amiri"/>
          <w:color w:val="111111"/>
          <w:sz w:val="28"/>
          <w:sz w:val="28"/>
          <w:szCs w:val="28"/>
          <w:rtl w:val="true"/>
          <w:lang w:bidi="ar-SA"/>
        </w:rPr>
        <w:t>، والظاهر أنّ منشأ تضعيف العلّامة إيّاه كونه واقفيّاً،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صدق الرَّشوة على ما يُبذل بإزاء غير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حرمة الرَّشوة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حرمة الرَّشوة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حرمتها من دون تقيّيد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لا يشمل المقام، والقسم الثاني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الشيخ رحمه الله</w:t>
      </w:r>
      <w:r>
        <w:rPr>
          <w:rStyle w:val="FootnoteAnchor"/>
          <w:rtl w:val="true"/>
        </w:rPr>
        <w:footnoteReference w:id="110"/>
      </w:r>
      <w:r>
        <w:rPr>
          <w:rFonts w:ascii="Amiri" w:hAnsi="Amiri" w:eastAsia="Amiri" w:cs="Amiri"/>
          <w:color w:val="111111"/>
          <w:sz w:val="28"/>
          <w:sz w:val="28"/>
          <w:szCs w:val="28"/>
          <w:rtl w:val="true"/>
          <w:lang w:bidi="ar-SA"/>
        </w:rPr>
        <w:t>من انصراف النصوص إلى الرّشوة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شمولها للمقام، لابدّ من تقييد إطلاقها بالخبرين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التوقّف في حرمته لحرمة أخذ المال على عمل محرم،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الصيرفي المتقدّم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كون الرَّشوة لدفع الظلم، وأنّ أصل إلزامه بالشرط وقع ظلماً وعلى وجه الإجبار، فلا تكون الرَّشوة لأخذ الأقلّ من الشرط من أخذ المال بإزاء المحرّم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الخبر هو التفصيل بين ما يؤتي لدفع الظلم، وبين ما يُبذل بإزاء الأقلّ من الشرط، وليس فيه ما يكون ظاهراً في كون الشرط واقعاً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به الجهة المحرّمة فهو حرام،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المحلّلة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يقصد شيئاً منهما، بل بذل المال لإصلاح أمره حلالاً أم حراماً، فقد ذهب الشيخ رحمه الله</w:t>
      </w:r>
      <w:r>
        <w:rPr>
          <w:rStyle w:val="FootnoteAnchor"/>
          <w:rtl w:val="true"/>
        </w:rPr>
        <w:footnoteReference w:id="111"/>
      </w:r>
      <w:r>
        <w:rPr>
          <w:rFonts w:ascii="Amiri" w:hAnsi="Amiri" w:eastAsia="Amiri" w:cs="Amiri"/>
          <w:color w:val="111111"/>
          <w:sz w:val="28"/>
          <w:sz w:val="28"/>
          <w:szCs w:val="28"/>
          <w:rtl w:val="true"/>
          <w:lang w:bidi="ar-SA"/>
        </w:rPr>
        <w:t>إلى الحرمة،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أكلٌ للمال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إطلاق ما تقدّم في هديّة الولاة والعمّال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أكل المال في مقابل العمل المشترك بين المحلّل والمحرّم ليس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ضعف سند تلك النصوص، وأنّها محمولة على غير ظاهرها، فراجع</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أورده الأُستاذ الأعظم</w:t>
      </w:r>
      <w:r>
        <w:rPr>
          <w:rStyle w:val="FootnoteAnchor"/>
          <w:rtl w:val="true"/>
        </w:rPr>
        <w:footnoteReference w:id="113"/>
      </w:r>
      <w:r>
        <w:rPr>
          <w:rFonts w:ascii="Amiri" w:hAnsi="Amiri" w:eastAsia="Amiri" w:cs="Amiri"/>
          <w:color w:val="111111"/>
          <w:sz w:val="28"/>
          <w:sz w:val="28"/>
          <w:szCs w:val="28"/>
          <w:rtl w:val="true"/>
          <w:lang w:bidi="ar-SA"/>
        </w:rPr>
        <w:t>من أنّ حرمة الهديّة لها تقتضي حرمة إعطاء الرَّشوة لهما، ولا دلالة لها على حرمة الرَّشوة على غيرهما من الناس، فغير واردٍ، إذ مراد الشيخ رحمه الله أنّ تلك النصوص بإطلاقها تدلّ على حرمة الهديّة بداعي قضاء الحاجة المشتركة، فإذا كانت الهديّة بهذا الدّاعي حراماً، كان بذل المال بعنوان المقابلة أولى بالحرمة، فالصحيح 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9" w:name="pg11815_192561"/>
    </w:p>
    <w:p>
      <w:pPr>
        <w:pStyle w:val="Heading2"/>
        <w:numPr>
          <w:ilvl w:val="1"/>
          <w:numId w:val="1"/>
        </w:numPr>
        <w:rPr/>
      </w:pPr>
      <w:bookmarkStart w:id="40" w:name="__RefHeading___Toc10830461_73709187"/>
      <w:bookmarkStart w:id="41" w:name="_Toc13"/>
      <w:bookmarkEnd w:id="39"/>
      <w:bookmarkEnd w:id="40"/>
      <w:r>
        <w:rPr>
          <w:rtl w:val="true"/>
        </w:rPr>
        <w:t>حكم المعاملة المحاباتيّة مع القاضي</w:t>
      </w:r>
      <w:bookmarkEnd w:id="41"/>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بالرشوة أو تعدّ منها المعاملة المشتملة على المحاباة كبيعه من القاضي ما يساوي عشرة دراهم بدرهم، أم لا؟</w:t>
      </w:r>
    </w:p>
    <w:p>
      <w:pPr>
        <w:pStyle w:val="BookText"/>
        <w:rPr/>
      </w:pPr>
      <w:r>
        <w:rPr>
          <w:rFonts w:ascii="Amiri" w:hAnsi="Amiri" w:eastAsia="Amiri" w:cs="Amiri"/>
          <w:color w:val="111111"/>
          <w:sz w:val="28"/>
          <w:sz w:val="28"/>
          <w:szCs w:val="28"/>
          <w:rtl w:val="true"/>
          <w:lang w:bidi="ar-SA"/>
        </w:rPr>
        <w:t>أم هناك تفصيل‌؟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من المعاملة إلّاالمحاباة التي في ضمنها، لا بمعنى عدم إنشاء المعاوضة أصلاً، فإنّ ذلك خروج عن محلّ الكلام، بل بمعنى أنّ المقصود الأصلي من المعاملة إيصال الزائد إلى القاضي ليحكم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قصده للمعاملة تبعيّاً مقدميّاً لأجل أن يتوصّل إلى المحاباة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المعاملة ولكن قام بالمحاباة لأجل الحكم له، بمعنى أنّ الحكم له من قبيل الشروط التي تواطياً عليها، والتي هي بحكم التصريح بها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المعاملة وحابي فيها لأجل استمالة قلب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حكم هذه الصور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بالحرمة في الصورة الأُولى من جهة كون الناقص يعدّ من الرّشا المحرّم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الرَّشوة هي بذل المال بإزاء الحكم، وفي المقام المال إنّما يبذل بإزاء </w:t>
      </w:r>
    </w:p>
    <w:p>
      <w:pPr>
        <w:pStyle w:val="BookText"/>
        <w:rPr/>
      </w:pPr>
      <w:r>
        <w:rPr>
          <w:rFonts w:ascii="Amiri" w:hAnsi="Amiri" w:eastAsia="Amiri" w:cs="Amiri"/>
          <w:color w:val="111111"/>
          <w:sz w:val="28"/>
          <w:sz w:val="28"/>
          <w:szCs w:val="28"/>
          <w:rtl w:val="true"/>
          <w:lang w:bidi="ar-SA"/>
        </w:rPr>
        <w:t>الثمن، غاية الأمر أنّ الدّاعي 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المحقّق التّقي عليها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بأنّ عنوان الرَّشوة يصدق على نفس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عنوانٌ منتزع من بذل المال بإزاء الثمن وقبول صاحب الثمن، فالمقابلة إنّما هي بين المالين، وليس غير ذلك شيء يقابل الحكم كي تكون هو الرَّشوة،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الوجوه التي استدلّ بها على حرمة الهديّة يدلّ على حرمة المعاملة المحاباتيّة، لكن عرفت ما فيها فالأظهر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الشرط مطلقاً حتّى مثل هذا الشرط غير المذكور يقسّط عليه الثمن، ويحرم إعطاء مقدار ما قابل الشرط لكونه رشوة، وإلّا فحكم هذه الصورة حكم الصورة الأُولى‌، وأولى بعدم الحرمة الصورة الثالثة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عدم الصحّة، وتبعه الشيخ رحمه الله</w:t>
      </w:r>
      <w:r>
        <w:rPr>
          <w:rStyle w:val="FootnoteAnchor"/>
          <w:rtl w:val="true"/>
        </w:rPr>
        <w:footnoteReference w:id="11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فساد المعاملة المُحابى فيها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 في جميع الصور بالنصوص الدالّة على بقاء المال على ملك الراشي بأيّ طريق كان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مقتضى النهي عن الرَّشوة الصادقة على المعاملة في المقام، وبأنّ إعطاء الرَّشوة صادق على دفع المبيع الذي حابى في معاملته، فيكون الدفع حراماً، وهو لا يجامع صحّة المعاملة، إذ صحّتها ملازمة لوجوب الدفع</w:t>
      </w:r>
      <w:r>
        <w:rPr>
          <w:rFonts w:eastAsia="Amiri" w:cs="Amiri" w:ascii="Amiri" w:hAnsi="Amiri"/>
          <w:color w:val="111111"/>
          <w:sz w:val="28"/>
          <w:szCs w:val="28"/>
          <w:rtl w:val="true"/>
          <w:lang w:bidi="ar-SA"/>
        </w:rPr>
        <w:t xml:space="preserve">.). </w:t>
      </w:r>
      <w:bookmarkStart w:id="42" w:name="pg11815_192563"/>
    </w:p>
    <w:p>
      <w:pPr>
        <w:pStyle w:val="BookText"/>
        <w:rPr/>
      </w:pPr>
      <w:bookmarkEnd w:id="42"/>
      <w:r>
        <w:rPr>
          <w:rFonts w:ascii="Amiri" w:hAnsi="Amiri" w:eastAsia="Amiri" w:cs="Amiri"/>
          <w:color w:val="111111"/>
          <w:sz w:val="28"/>
          <w:sz w:val="28"/>
          <w:szCs w:val="28"/>
          <w:rtl w:val="true"/>
          <w:lang w:bidi="ar-SA"/>
        </w:rPr>
        <w:t>وفي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الفاسد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يستفاد من النصوص، بقاء المال على مِلْك الراشي إن لم يكن بعقدٍ من العقود، مع أنّك عرفت عدم صدق الرَّشوة على المعاملة المُحابى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منع صدق الرَّشوة عليها أنّ حرمة المعاملة غير ملازمة لفسادها، كما حقّقناه في محلّه، واعترف به الشيخ رحمه الله</w:t>
      </w:r>
      <w:r>
        <w:rPr>
          <w:rStyle w:val="FootnoteAnchor"/>
          <w:rtl w:val="true"/>
        </w:rPr>
        <w:footnoteReference w:id="116"/>
      </w:r>
      <w:r>
        <w:rPr>
          <w:rFonts w:ascii="Amiri" w:hAnsi="Amiri" w:eastAsia="Amiri" w:cs="Amiri"/>
          <w:color w:val="111111"/>
          <w:sz w:val="28"/>
          <w:sz w:val="28"/>
          <w:szCs w:val="28"/>
          <w:rtl w:val="true"/>
          <w:lang w:bidi="ar-SA"/>
        </w:rPr>
        <w:t>في مسألة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الدفع الواجب بمقتضى المعاملة الواقعة لا يكون مصداقاً للرشاء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يتأتّى فيما كان مقبوضاً قبل المعاملة، أو كان في حكم القبض ممّا هو ثابت في الذمّة، كما صرّح بذلك بعض مشايخنا المحقّقين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الفاسد لا يكون مفسداً كما سيأتي التعرّض لذلك في بحث الشرط الفاسد من هذا الشرح، فالأظهر هي الصحّة</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0830463_73709187"/>
      <w:bookmarkStart w:id="44" w:name="_Toc14"/>
      <w:bookmarkEnd w:id="43"/>
      <w:r>
        <w:rPr>
          <w:rtl w:val="true"/>
        </w:rPr>
        <w:t>حكم الرَّشوة وضعاً</w:t>
      </w:r>
      <w:bookmarkEnd w:id="44"/>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إنّه في مورد الحكم بحرمة الأخذ، فهل يجب الرَّد على الآخذ لو أخذ أم 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الكلام في هذا المقام أنّ كلّ ما يعطي الباذل بعنوان الرَّشوة التي حقيقتها على ما عرفت بذل المال للقاضي ليحكم له، لا ريب في ضمان القابض إيّاه، </w:t>
      </w:r>
    </w:p>
    <w:p>
      <w:pPr>
        <w:pStyle w:val="BookText"/>
        <w:rPr/>
      </w:pPr>
      <w:r>
        <w:rPr>
          <w:rFonts w:ascii="Amiri" w:hAnsi="Amiri" w:eastAsia="Amiri" w:cs="Amiri"/>
          <w:color w:val="111111"/>
          <w:sz w:val="28"/>
          <w:sz w:val="28"/>
          <w:szCs w:val="28"/>
          <w:rtl w:val="true"/>
          <w:lang w:bidi="ar-SA"/>
        </w:rPr>
        <w:t xml:space="preserve">فيجبُ عليه ردّه أو رَدّ بدله، لأنّ المال إنّما يقع في مقابل الحكم، فيكون ذلك في الحقيقة إجارة فاسدة أو شبيهاً بها، فيكون من صغريات القاعدة المصطادة من النصوص الواردة في باب الضمان والمعبّر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يُبذل بعد المعاملة المحاباتيّة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بنينا على فساد المعاملة، يكون القابض ضامناً له لقاعدة ما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البناء على فساد المعاملة فلا ضمان،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يُعطى مجّاناً بعنوان الهديّة، فالظاهر أنّ القابض لا يضمن، إذ غاية ما تدلّ عليه الأدلّة المتقدّمة كونها هبة فاسدة، فتكون من صغريات عكس القاعدة، والمعبّر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للضمان فيه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النصوص الدالّة على أنّ الرَّشوة سحتٌ‌، بقائها على مِلْك المالك، فإذا أخذها القابض 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إنّما تدلّ على حرمة الأخذ، ولزوم رَدّ المال إلى صاحبه مع بقائه، ولا تدلّ على الضمان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بغير اليد المتفرّعة على التسليط المجّاني، ولذا لا يضمن بالهبة الفاسدة في غير المقام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 بعض معاصري الشيخ رحمه الله</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احتمال عدم الضمان في الرَّشوة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مطلقاً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سلّطه عليها مجّاناً، فلا وجه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التسليط إنّما يكون في مقابل الحكم لا مجّانيّاً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تشبه المعاوضة،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بنحوٍ يندفع ما 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وما ذكره بعض مشايخناالمحقّقين رحمه الله من أنّه تصحيف من النسّاخ، والأصَحّ أنّها تشبه الهبة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إعطاء الرَّشوة مطلقاً شبيه بالعقد المشتمل على الإيجاب والقبول، الذي هو الموضوع للقاعدة، وليس مراده المعاوضة المشتملة على العوض من الطرفين حتّى يرد عليه ما ذكره الشيخ رحمه الله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في الجواب عنه هو أنّ إعطاء المال بإزاء الحكم إمّا أن يكون إجارة أو شبيهاً بها، فيكون موجباً للضمان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5" w:name="pg11815_192566"/>
    </w:p>
    <w:p>
      <w:pPr>
        <w:pStyle w:val="Heading2"/>
        <w:numPr>
          <w:ilvl w:val="1"/>
          <w:numId w:val="1"/>
        </w:numPr>
        <w:rPr/>
      </w:pPr>
      <w:bookmarkStart w:id="46" w:name="__RefHeading___Toc10830465_73709187"/>
      <w:bookmarkStart w:id="47" w:name="_Toc15"/>
      <w:bookmarkEnd w:id="45"/>
      <w:bookmarkEnd w:id="46"/>
      <w:r>
        <w:rPr>
          <w:rtl w:val="true"/>
        </w:rPr>
        <w:t>بحث عن اختلاف الدافع والقابض</w:t>
      </w:r>
      <w:bookmarkEnd w:id="4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اختلاف الدافع والقابض، فقد ذكر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فروعاً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يتسالم المترافعان على عقدٍ واحد، ولكن القابض يدّعي صحّته والدافع فساده، كما لو ادّعى القابض كونه هبةً صحيحة، والدافع ادّعى كونه هديّة على سبيل الرَّشوة، وهذا النزاع إنّما يترتّب عليه الأثر فيما إذا كانت الدعوى قبل التلف، مع كون الهبة لذي رحم، أو على وجه قربي، فإنّه يترتّب عليه حينئذٍ جواز استرجاع العين من الموهوب له وعدمه، وفيما إذا كانت الدعوى بعد الإتلاف، فإنّه يترتّب على النزاع حينئذٍ ضمان الموهوب له، إذ لو كان هبةً صحيحة لا يضمن الموهوب له لأنّه أتلف مال نفسه، ولو كان هبة فاسدة ضمن بمقتضى قاعدة اليد والإتلاف، وإنّما خرج من القاعدة صورة التلف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كلام الأستاذ الأعظم</w:t>
      </w:r>
      <w:r>
        <w:rPr>
          <w:rStyle w:val="FootnoteAnchor"/>
          <w:rtl w:val="true"/>
        </w:rPr>
        <w:footnoteReference w:id="120"/>
      </w:r>
      <w:r>
        <w:rPr>
          <w:rFonts w:ascii="Amiri" w:hAnsi="Amiri" w:eastAsia="Amiri" w:cs="Amiri"/>
          <w:color w:val="111111"/>
          <w:sz w:val="28"/>
          <w:sz w:val="28"/>
          <w:szCs w:val="28"/>
          <w:rtl w:val="true"/>
          <w:lang w:bidi="ar-SA"/>
        </w:rPr>
        <w:t>حيث قال إيراداً على ما ذكره الشيخ رحمه الله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ولأصالة الضمان إذا كانت الدّعوى بعد التلف، لأنّ النزاع بعد التلف لا أثر له، إذ لا ضمان للهبة بعد التلف، سواءٌ كانت صحيحة أم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استدلّ لتقديم قول الدافع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الدافع أعرف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تقديم قول الأعرف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يرجع إلى اعتبار قول الشخص فيما لا يعلم إلّامن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ونوقش في هذا الجواب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الإيرواني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تقديم قول من يدّعي ما لا يعلم إلّامن قِبله غير مرضيّ عند الشيخ رحمه الله، وقد صرّح في الخيارات بعدم نهوض الدليل على ذلك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في الخيارات اختصاص النصوص بموارد خاصّة، وإنّه لم يدلّ على العموم دليل، ولكن يمكن أن يكون نظره في المقام إلى ما ادّعاه الفقهاء في باب الحيض في مسألة إخبار المرأة بالحيض أو الطُهر من دلالة أدلّة قبول قول ذي اليد على حجيّة إخبار الشخص عمّا في نفسه؛ إمّا بأنفسها أو بالأولويّة، وعليه فلا يرد عليه 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التّقي رحمه الله، من أنّه</w:t>
      </w:r>
      <w:r>
        <w:rPr>
          <w:rStyle w:val="FootnoteAnchor"/>
          <w:rtl w:val="true"/>
        </w:rPr>
        <w:footnoteReference w:id="121"/>
      </w:r>
      <w:r>
        <w:rPr>
          <w:rFonts w:ascii="Amiri" w:hAnsi="Amiri" w:eastAsia="Amiri" w:cs="Amiri"/>
          <w:color w:val="111111"/>
          <w:sz w:val="28"/>
          <w:sz w:val="28"/>
          <w:szCs w:val="28"/>
          <w:rtl w:val="true"/>
          <w:lang w:bidi="ar-SA"/>
        </w:rPr>
        <w:t>لو تمّ ذلك فإنّما هو فيما إذا كان النزاع في نفس الأمر الخفي، لا في أنّ الأمارة التي أقامها عليه كانت كذا وكذا، كما في ما نحن فيه، حيث إنّ النزاع في أنّ الأمارة التي أقامها على نيّته عند المعاملة هل كانت دالّة على قصد الرَّشوة أو على قصد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الهبة الخارجيّة لا تختلف باختلاف القصد والنيّة كي يكون النزاع في دلالة الأمارة، بل هي على نسق واحد، وعلى ذلك فلا محالة يكون النزاع في نفس ذلك الأمر الخفيّ‌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الضمان في اليد إذا كانت الدعوى بعد التلف، إذ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 حتّى يقوم دليل مخرج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موضوع القاعدة هو اليد الواقعة على ملك الغير، حيث يدّعي القابض أنّ يده على ملكه، واستصحاب عدم السبب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الهبة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يعين حال اليد الخارجيّة، وأنّها يدٌ على مال الغير كي يَصحّ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تعليقة المحقّق الإيرواني</w:t>
      </w:r>
      <w:r>
        <w:rPr>
          <w:rStyle w:val="FootnoteAnchor"/>
          <w:rtl w:val="true"/>
        </w:rPr>
        <w:footnoteReference w:id="122"/>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باليد العادية، ومع الإغماض عنه، فإنّ الشبهة تكون مصداقيّة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الوجه في التقييد بما إذا كانت الدعوى بعد التلف، مع أنّ ما يمكن أن يستدلّ به على الضمان بعد التلف يدلّ عليه قبله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الدافع والقابض يتّفقان على ورود اليد على ملك الدافع، إذ القبض جزء المملك في الهبة، والقابض يدّعي أنّ ورودها مملّك والدافع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عامّة، غاية الأمر أنّها تختصّ في المورد بما إذا لم يكن المبذول على وجه الهبة الصحيحة، وعليه فيمكن إحراز هذا الجزء من الموضوع بالأصل، وبضمّ ذلك إلى الجزء الآخر المُحرَز وجداناً يلتئم الموضوع، ويترتّب عليه الحكم، ولا يعارض هذا الأصل أصالة عدم الهبة الفاسدة لعدم ترتّب الأثر عليها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الدعوى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وقعت قبل التلف، فلا مورد للتمسّك بقاعدة اليد، لوجود الأمارة على كونه مِلْكاً للقابض، وهي اليد التي تكون أمارة على الملكيّة حين وجودها، خاصّة بناءً على حجيّة اليد، مع الاعتراف بسبق مِلْك الغير لما في يده، كما استظهره الشيخ رحمه الله</w:t>
      </w:r>
      <w:r>
        <w:rPr>
          <w:rStyle w:val="FootnoteAnchor"/>
          <w:rtl w:val="true"/>
        </w:rPr>
        <w:footnoteReference w:id="124"/>
      </w:r>
      <w:r>
        <w:rPr>
          <w:rFonts w:ascii="Amiri" w:hAnsi="Amiri" w:eastAsia="Amiri" w:cs="Amiri"/>
          <w:color w:val="111111"/>
          <w:sz w:val="28"/>
          <w:sz w:val="28"/>
          <w:szCs w:val="28"/>
          <w:rtl w:val="true"/>
          <w:lang w:bidi="ar-SA"/>
        </w:rPr>
        <w:t>من الصحيح الوارد في محاجّة أمير المؤمنين عليه السلام مع أبي بكر في أمر فدك</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إنْ وقعت الدعوى بعد التلف، فحيث إنّه لا حكم لليد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اعتبار اليد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إلى قاعدة الضمان، ولكن التحقيق هو عدم الضمان لما ذكره الشيخ رحمه الله بقوله</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تقديم الثاني، لأنّه يدّعي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أصالة الصحّة في العقود، المقدّمة على جميع الأُصول الموضوعيّة التي عليها بناء العقلاء وإجماع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الدافع فساد العقد، والقابض يدّعي صحّته، مع الاختلاف في مصبّ الدعوى، كما إذا ادّعى الدافع أنّ المبذول رشوة أو أُجرة على المحرّم، والقابض يدّعي أنّه موهوب بهبة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الدافع أو القابض في المقام، يدور مدار حجيّة أصالة الصحّة فيما إذا لم يكن مصبّ الدعوى أمراً واحداً معلوماً للمترافعين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الأولى يُقدَّم قول القابض، لما تقدّم في الفرع السابق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يُقدَّم قول الدافع، إذ الأثر مترتّب على وقوع العقد الصحيح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وعدمه، فتجري أصالة عدمه غير المعارضة بأصالة عدم تحقّق الرَّشوة المحرّمة، أو الأُجرة الفاسدة لعدم ترتّب الأثر عليهما، إذ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وضع اليد على مِلْك الدافع مع عدم تحقّق السبب الناقل، سواءٌ تحقّق معه شيء من الأسباب الفاسدة أم لم يتحقّق، فإذا انضمّ إلى ما هو محرز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وضع القابض يده على ملك الدافع، فإنّ من خلال الأصل المزبور يلتئم الموضوع، ويترتّب عليه الحكم، وحيث إن مدرك أصالة الصحّة هي الأدلّة اللّبيّة، فلابدَّ من الأخذ بالقدر المتيقّن، وهو ما إذا كان مصبّ الدعوى عقداً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تقديم قول الدافع على قول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يتوافق المترافعان على فساد الأخذ والإعطاء، ولكن الدافع يدّعي أنّ المبذول رشوة مثلاً فيضمن القابض، لكن القابض يدّعي أنّه موهوب بهبة فاسدة، فلا يكون موجباً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هنا أيضاً تقديم قول الدافع، وذلك لأنّ موضوع الضمان هو وضع اليد على مِلْك الغير، إذا لم تكن متّصفة بالمجانيّة، لا ما إذا كانت متّصفة بعدم المجانيّة، إذ الخارج عن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التسليط المجّاني، وعليه فتجري أصالة عدم تحقّق التسليط المجّاني، ويضمّ ذلك إلى ما هو مُحرَزٌ بالوجدان وهو وضع اليد على مال الغير، فيترتّب عليه الحكم وهو الضمان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التقريب اندفع ما أورده المحقّق الإيرواني</w:t>
      </w:r>
      <w:r>
        <w:rPr>
          <w:rStyle w:val="FootnoteAnchor"/>
          <w:rtl w:val="true"/>
        </w:rPr>
        <w:footnoteReference w:id="127"/>
      </w:r>
      <w:r>
        <w:rPr>
          <w:rFonts w:ascii="Amiri" w:hAnsi="Amiri" w:eastAsia="Amiri" w:cs="Amiri"/>
          <w:color w:val="111111"/>
          <w:sz w:val="28"/>
          <w:sz w:val="28"/>
          <w:szCs w:val="28"/>
          <w:rtl w:val="true"/>
          <w:lang w:bidi="ar-SA"/>
        </w:rPr>
        <w:t>على هذا الوجه، بأنّ الأصل المزبور لا يثبت أنّ اليد الخارجيّة ليست يداً مجّانيّة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وتمام الكلام في جريان هذا الأصل، وأنّ تخصيص العام بمخصّص منفصل، أو كالاستثناء من المتّصل، يوجبُ تعنون موضوع العام بعدم كونه متّصفاً بعنوان الخاص، لا تعنونه بكونه متّصفاً بعدمه كي لا يفيد الأصل المزبور، موكولٌ إلى محلّه</w:t>
      </w:r>
      <w:r>
        <w:rPr>
          <w:rStyle w:val="FootnoteAnchor"/>
          <w:rtl w:val="true"/>
        </w:rPr>
        <w:footnoteReference w:id="128"/>
      </w:r>
      <w:r>
        <w:rPr>
          <w:rFonts w:ascii="Amiri" w:hAnsi="Amiri" w:eastAsia="Amiri" w:cs="Amiri"/>
          <w:color w:val="111111"/>
          <w:sz w:val="28"/>
          <w:sz w:val="28"/>
          <w:szCs w:val="28"/>
          <w:rtl w:val="true"/>
          <w:lang w:bidi="ar-SA"/>
        </w:rPr>
        <w:t xml:space="preserve">، وقد أشبعنا الكلام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لأن يعارض هذا الأصل أصالة عدم تحقّق سبب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عدم المركّب المتحقّق قبل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أثر للمركّب بما هو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وصف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الأثر يترتّب على ذوات الأجزاء التوأمة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الشيخ رحمه الله</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في وجه عدم الجريان من حكومة أصالة عدم تحقّق التسليط المجّاني على هذا الأصل، وتوضيحه بما أفاده المحقّق النائيني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لباس المشكوك</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من أنّ الشكّ في وجود المركّب مسبّبٌ عن الشكّ في وجود أجزائه، والأصل الجاري في السبب حاكمٌ على الأصل الجاري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حكومة الأصل السببي على الأصل المسبّبي إنّما تكون فيما إذا كانت السببيّة شرعيّة، والسببيّة في المقام ليست شرعيّة، ولعلّه لذلك أمر بالتأمّل، واللّه العالم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8" w:name="pg11815_192572"/>
    </w:p>
    <w:p>
      <w:pPr>
        <w:pStyle w:val="Heading2"/>
        <w:numPr>
          <w:ilvl w:val="1"/>
          <w:numId w:val="1"/>
        </w:numPr>
        <w:rPr/>
      </w:pPr>
      <w:bookmarkStart w:id="49" w:name="__RefHeading___Toc10830467_73709187"/>
      <w:bookmarkStart w:id="50" w:name="_Toc16"/>
      <w:bookmarkEnd w:id="48"/>
      <w:bookmarkEnd w:id="49"/>
      <w:r>
        <w:rPr>
          <w:rtl w:val="true"/>
        </w:rPr>
        <w:t>حرمة سَبّ المؤمن</w:t>
      </w:r>
      <w:bookmarkEnd w:id="50"/>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المؤمنين حرامٌ في الجملة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فإنّ السَّب من أوضح مصاديق قول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مستقلٌّ بذلك، لأنّ السَّب ظلمٌ وإيذاءٌ وإذلال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الإجماع</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فالظاهر أنّ على ذلك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المسلم فسوق، وقتاله كفر، وأكل لحمه معصية، وحرمة ماله كحرمة دمه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موثّقة، والتعبير فيها بالفسوق وفي أكل لحمه بالمعصية لا يبعد أن يكون تفنّناً في العبارة، وقد يقال إنّها ضعيفة الدلالة لاحتمال أن يكون سباب بصيغة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أبي عبد اللّه عليه السلام،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كالمُشرِف على الهلكة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ضعفه الاُستاذ الأعظم</w:t>
      </w:r>
      <w:r>
        <w:rPr>
          <w:rStyle w:val="FootnoteAnchor"/>
          <w:rtl w:val="true"/>
        </w:rPr>
        <w:footnoteReference w:id="135"/>
      </w:r>
      <w:r>
        <w:rPr>
          <w:rFonts w:ascii="Amiri" w:hAnsi="Amiri" w:eastAsia="Amiri" w:cs="Amiri"/>
          <w:color w:val="111111"/>
          <w:sz w:val="28"/>
          <w:sz w:val="28"/>
          <w:szCs w:val="28"/>
          <w:rtl w:val="true"/>
          <w:lang w:bidi="ar-SA"/>
        </w:rPr>
        <w:t>للنوفلي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ضَعّف بعضهم الحسين بن يزيد النوفلي وأهمله آخر، إلّاأنّه بعد ملاحظة أنّه لم يقدح فيه أحدٌ من أئمّة الرجال، وعمل بأخباره ورواياته جماعة من الأساطين 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والشيخ</w:t>
      </w:r>
      <w:r>
        <w:rPr>
          <w:rStyle w:val="FootnoteAnchor"/>
          <w:rtl w:val="true"/>
        </w:rPr>
        <w:footnoteReference w:id="137"/>
      </w:r>
      <w:r>
        <w:rPr>
          <w:rFonts w:ascii="Amiri" w:hAnsi="Amiri" w:eastAsia="Amiri" w:cs="Amiri"/>
          <w:color w:val="111111"/>
          <w:sz w:val="28"/>
          <w:sz w:val="28"/>
          <w:szCs w:val="28"/>
          <w:rtl w:val="true"/>
          <w:lang w:bidi="ar-SA"/>
        </w:rPr>
        <w:t xml:space="preserve">وغيرهما، بل واعتمدوا عليها وجعلوها من الموثّقات، فضلاً عن رواية جمع من القمّيين وإكثارهم من الرواية عنه، والمدائح التي كالوها 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لم نقل بأنّ رواياته موثّقات، لا ريب في أنّها بضميمة كون الرّجل إماميّاً بلا شبهة، توجب كون الرّجل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نُسب إلى جمع من القميّين أنّه غلا في آخر عمره، لا يوجب طرح رواياته،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الاعتناء برمي القدماء بالغلوّ، وأنّ الغلو في آخر عمره لا يضرّ فيما رواه قبل 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يوجب مغمزاً فيه كما في كثير من الفقهاء الثقات الأثبات كيونس بن عبد الرحمن كما صرّح بذلك السيّد الداماد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يرد على الاستدلال بالخبر أنّه ضعيف الدلالة، إذ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كالمشرف على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له في الحرمة كما لا يخفى‌، مع أنّه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المبالغة كشراب، بل هذا هو الأظهر منه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كالمُشرِف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منه خبر أبي بصير، عن الإمام الباقر عليه السلام، عن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الناس فتكسبوا العداوة لهم</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إذ ظاهره أنّ النهي عن السَّب إرشادي إلى ما يترتّب عليه من مفسدة العداوة التي لا تكون لزوميّة، لا سيّما مع إطلاق العداوة من حيث عداوة المؤمن وعداوة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الرجلين يتسابّان‌؟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البادئ منهما أظلم، ووزره على صاحبه ما لم يعتذر إلى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مرجع الضمائر اغتشاش</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رويت في الكتب المعتبرة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يتسابّان‌؟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البادئ منهما أظلم، ووزره ووزر صاحبه عليه ما لم يعتذر إلى المظلوم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باختلافٍ في صدر السند وذيل المتن، إذ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يتعدّ المظلوم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صحيحة، والثانية حسنة، وعلى هذا فلا اغتشاش في مرجع الضمائر، ويكون المستفاد منهما في بادي النظر أنّ الوزرين ثابتان على البادي، وليس على الراد وزر، غاية الأمر أنّ الأُولى تدلّ على البراءة من الوزرين بالاعتذار إلى المظلوم مع التوبة، والثانية تدلّ على أنّ الوزرين على البادي، وليس على الراد وزر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إذا تجاوز عن الاعتداء بالمثل، وإذا تجاوز كان هو البادي في خصوص القدر الزائد كما أفتى بذلك جمع من الأساطين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التدبّر في الخبرين، يظهر عدم تماميّة ذلك، فإنّ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ثبوت الوزر على الراد، وحمله على إرادة مقدار وزر صاحبه لو كان هو البادي، ليس بأولى من حمله على إرادة مثل وزر صاحبه من دون أن ينقص من وزره شيء، ولعلّ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ثبوت مثل وزر الراد على البادي إنّما يكون فيما إذا لم يتجاوز عن الاعتداء بالمثل، وإلّا فإن تجاوز لا يثبت مثل وزره في القدر الزائد على البادي، لا لقوله عليه السلام في 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يتعدّ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بعد كون الخبرين رواية واحدة مرويّة بطريقين،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البعيد جدّاً سؤال الحجّاج عن أبي الحسن موسى عليه السلام، هذه المسألة مرّتين، ثمّ نقلهما للراوي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للاستدلال بشيء من الجملتين اللّتين اختُلِف فيهما كما لا يخفى‌، بل من جهة عدم صدق الراد عليه في القدر الزائد بل هو البادي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دعوى عدم حرمة الرَّد، وعدم ثبوت الوزر على الرّاد للآيات الظاهرة في الاعتداء بالمثل، فإنّ فيها دلالة على جواز شتم المشتوم بمثل فعله، كما نبّه على ذلك المحقّق الأردبيلي رحمه الله</w:t>
      </w:r>
      <w:r>
        <w:rPr>
          <w:rStyle w:val="FootnoteAnchor"/>
          <w:rtl w:val="true"/>
        </w:rPr>
        <w:footnoteReference w:id="144"/>
      </w:r>
      <w:r>
        <w:rPr>
          <w:rFonts w:ascii="IRNazanin" w:hAnsi="IRNazanin" w:eastAsia="IRNazanin"/>
          <w:color w:val="111111"/>
          <w:sz w:val="28"/>
          <w:sz w:val="28"/>
          <w:szCs w:val="28"/>
          <w:rtl w:val="true"/>
          <w:lang w:bidi="fa-IR"/>
        </w:rPr>
        <w:t>، ولا وجه لحمل الخبر على الاحتمال الأوّل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الخبر على النحو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إنّه لا اغتشاش في مرجع الضمائر، فإنّ الضمير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السَّب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إليه يرجع الضمير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فاعل السَّب، فيكون مفاد الخبر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وزر كلّ سَبٍّ على فاعله لهتك كلّ منهما صاحبه، ولا يرتفع ذلك إلّابالاعتذار إلى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المرجع في السَّب إلى العُرف، والظاهر من العرف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كون ذلك هو المتيقّن لو سُلّم إجمال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السَّب متّحداً مع الشتم، وأنّه يعتبر فيه كونه تنقيصاً وإزراءً واعتبار الإهانة والتعيير في مفهومه، وعليه فيعتبر في مفهومه قصد الهتك، ولا يعتبر فيه مواجهة المسبوب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قصد الإنشاء، فلم يدلّ عليه دليل، بل الظاهر صدقه مع قصد الإخبار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ذكره المحقّق الإيرواني من أنّ النسبة بين السَّب والغيبة هو التباين، من جهة أنّ السَّب هو ما كان بقصد الإنشاء، وأمّا الغيبة فجملة خبريّة</w:t>
      </w:r>
      <w:r>
        <w:rPr>
          <w:rStyle w:val="FootnoteAnchor"/>
          <w:rtl w:val="true"/>
        </w:rPr>
        <w:footnoteReference w:id="145"/>
      </w:r>
      <w:r>
        <w:rPr>
          <w:rFonts w:ascii="Amiri" w:hAnsi="Amiri" w:eastAsia="Amiri" w:cs="Amiri"/>
          <w:color w:val="111111"/>
          <w:sz w:val="28"/>
          <w:sz w:val="28"/>
          <w:szCs w:val="28"/>
          <w:rtl w:val="true"/>
          <w:lang w:bidi="ar-SA"/>
        </w:rPr>
        <w:t>، غير تامّ‌، بل الصحيح ما ذكره الشيخ رحمه الله</w:t>
      </w:r>
      <w:r>
        <w:rPr>
          <w:rStyle w:val="FootnoteAnchor"/>
          <w:rtl w:val="true"/>
        </w:rPr>
        <w:footnoteReference w:id="146"/>
      </w:r>
      <w:r>
        <w:rPr>
          <w:rFonts w:ascii="Amiri" w:hAnsi="Amiri" w:eastAsia="Amiri" w:cs="Amiri"/>
          <w:color w:val="111111"/>
          <w:sz w:val="28"/>
          <w:sz w:val="28"/>
          <w:szCs w:val="28"/>
          <w:rtl w:val="true"/>
          <w:lang w:bidi="ar-SA"/>
        </w:rPr>
        <w:t>من أنّ النسبة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ربما يصدق السَّب ولا يصدق الغيبة، كما لو خاطب المسبوب بصفة مشهورة بقصد الإهانة، بل لو خاطبه بالمذمّة والتنقيص، فإن الغيبة لا تصدق مع المواجهة،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تصدق الغيبة ولا يصدق السَّب، كما لو أظهر عيوبه من دون قصدٍ إلى الإهانة والتنقيص</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يجتمعان ويتعدّد العقاب في مورد الاجتماع</w:t>
      </w:r>
      <w:r>
        <w:rPr>
          <w:rFonts w:eastAsia="Amiri" w:cs="Amiri" w:ascii="Amiri" w:hAnsi="Amiri"/>
          <w:color w:val="111111"/>
          <w:sz w:val="28"/>
          <w:szCs w:val="28"/>
          <w:rtl w:val="true"/>
          <w:lang w:bidi="ar-SA"/>
        </w:rPr>
        <w:t xml:space="preserve">.). </w:t>
      </w:r>
      <w:bookmarkStart w:id="51" w:name="pg11815_192577"/>
    </w:p>
    <w:p>
      <w:pPr>
        <w:pStyle w:val="Heading2"/>
        <w:numPr>
          <w:ilvl w:val="1"/>
          <w:numId w:val="1"/>
        </w:numPr>
        <w:rPr/>
      </w:pPr>
      <w:bookmarkStart w:id="52" w:name="__RefHeading___Toc10830469_73709187"/>
      <w:bookmarkStart w:id="53" w:name="_Toc17"/>
      <w:bookmarkEnd w:id="51"/>
      <w:bookmarkEnd w:id="52"/>
      <w:r>
        <w:rPr>
          <w:rtl w:val="true"/>
        </w:rPr>
        <w:t>المستشنيات</w:t>
      </w:r>
      <w:bookmarkEnd w:id="5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حكم حرمة السَّب؛ المؤمن المتظاهر بالفسق، إذ يدلّ على جواز سَبّ المتجاهر بالفسق في الجملة ما دلّ من النصوص على أنّ الفاسق إذا تجاهر بفسقه لا حُرمة له، وسيأتي ذكرها في مسألة الغيبة، فإنّها تدلّ على أنّ التظاهر بالفسق يوجبُ سلب احترام الفاسق، هذا بالنسبة إلى المعصية التي تجاهر فيها، وأمّا بالنسبة إلى المعاصي التي لم يتجاهر فيها، فجواز السَّب بها وعدمه مبنيان على ما سيأتي تحقيقه في تلك المسألة، من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على زوال الاحترام بقول مطلق، أو بالنسبة إلى خصوص تلك المعصية‌؟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سبّه بغير ما ليس في المسبوب، ولم يكن معصية، وأمّا السَّب بما ليس فيه فهو افتراء محرّم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منه المبتدع أيضاً، والمراد منه المبتدع في الأحكام الشرعيّة، إذ المبتدع في الأصول الاعتقاديّة كافرٌ لا يشمله ما دلّ على حرمة السَّب، فخروجه ليس إلّااستثناءً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لاستثناء المبتدع بالمعنى المذكور،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سرحان، عن الإمام الصادق عليه السلام،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يتعلّمون من بدعهم، يكتب اللّه لكم بذلك </w:t>
      </w:r>
    </w:p>
    <w:p>
      <w:pPr>
        <w:pStyle w:val="BookText"/>
        <w:rPr/>
      </w:pPr>
      <w:r>
        <w:rPr>
          <w:rFonts w:ascii="Amiri" w:hAnsi="Amiri" w:eastAsia="Amiri" w:cs="Amiri"/>
          <w:color w:val="111111"/>
          <w:sz w:val="28"/>
          <w:sz w:val="28"/>
          <w:szCs w:val="28"/>
          <w:rtl w:val="true"/>
          <w:lang w:bidi="ar-SA"/>
        </w:rPr>
        <w:t>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وأكثروا من سَبّهم والقول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صريحه، وصريح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وباهتوهم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السَّب بغير ما تظاهر فيه من البدعة، وبما ليس فيه، وبذلك يظهر أنّ هذا غير المستثني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الأستاذ الأعظم</w:t>
      </w:r>
      <w:r>
        <w:rPr>
          <w:rStyle w:val="FootnoteAnchor"/>
          <w:rtl w:val="true"/>
        </w:rPr>
        <w:footnoteReference w:id="148"/>
      </w:r>
      <w:r>
        <w:rPr>
          <w:rFonts w:ascii="Amiri" w:hAnsi="Amiri" w:eastAsia="Amiri" w:cs="Amiri"/>
          <w:color w:val="111111"/>
          <w:sz w:val="28"/>
          <w:sz w:val="28"/>
          <w:szCs w:val="28"/>
          <w:rtl w:val="true"/>
          <w:lang w:bidi="ar-SA"/>
        </w:rPr>
        <w:t>من أنّه لا وجه لجعله من المستثنيات باستقلاله، فإنّه إن كان المراد به المبتدع في الأحكام الشرعيّة فهو متجاهرٌ بالفسق،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يستثنى من ذلك ما إذا لم يتأثّر المسبوب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تأثّر المسبوب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كون السَّب إهانةً للمسبوب 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لعدم صدق السَّب عليه، فلا يحرم من هذه الجهة، وعليه فلا يَصحّ جعل ذلك استثناءً من حرمة السَّب إلّابنحو الاستثناء المنقطع، وأمّا إذا كان السَّب موجباً لإهانة المسبوب فهو حرام، سواءٌ أكان الساب أباً للمسبوب أو سيّداً أو معلّماً له أو غيرهم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لجواز سَبّ الوالد ولده، والمعلِّم متعلّمه، والسيّد عبده؛ بأنّ سب هؤلاء فخر للمسبوب وتأديبٌ له، وبالسيرة على الجواز في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عنواني التأديب والفخر منافيان لعنوان السَّب، فإنّ المأخوذ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حقيقة السَّب الهتك والإهانة، فلا يمكن اجتماعهما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السيرة المستمرّة إلى زمان المعصوم عليه السلام في موارد التهتّك والظلم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لجواز سَبّ السيّد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ما دلّ على جواز ضربه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حرمة السَّب لو كان بعينه مناط حرمة الضرب وهو الإيذاء، كان الاستدلال المزبور له وجه، وإنْ أمكن منعه أيضاً من جهة أنّ الإيذاء بالقول أشدّ من الإيذاء بالضرب، وأمّا إذا يكن ذلك مناطه، ولم تكن حرمة السَّب من جهة انطباق عنوانٍ محرّم عليه صادق على الضرب أيضاً، بل كان السَّب له خصوصيّة كما هو الظاهر من الأدلّة، فلا وجه للاستدلال المزبور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لجواز سَبّ الوالد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الجملة الواردة في النصوص الصحيحة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بالفحوى التي استدلّ بها في المملوك، فإنّه يستنتج من ذلك جواز سَبّ الأب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ما دلّ على جواز تأديب الولد الصغير بالضرب</w:t>
      </w:r>
      <w:r>
        <w:rPr>
          <w:rStyle w:val="FootnoteAnchor"/>
          <w:rtl w:val="true"/>
        </w:rPr>
        <w:footnoteReference w:id="152"/>
      </w:r>
      <w:r>
        <w:rPr>
          <w:rFonts w:ascii="Amiri" w:hAnsi="Amiri" w:eastAsia="Amiri" w:cs="Amiri"/>
          <w:color w:val="111111"/>
          <w:sz w:val="28"/>
          <w:sz w:val="28"/>
          <w:szCs w:val="28"/>
          <w:rtl w:val="true"/>
          <w:lang w:bidi="ar-SA"/>
        </w:rPr>
        <w:t>، فإنّه يدلّ على جواز سَبّه بالأولويّة، وبضميمة استصحاب الجواز إلى حال الكبر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الجملة ناظرة إلى الجهات الأخلاقيّة، ولا تدلّ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الملكيّة الحقيقيّة كي يكونا من مصاديق السيّد وعبده، ولا الملكيّة التنزيليّة كي يكونا بحكمهما لإطلاق التنزيل، إذ لا ريب في أنّه ليس للأب التصرّف في أموال الابن دون إذنه، وقد ورد في جملةٍ من النصوص أنّ للأب أن يستقرض من مال ابنه</w:t>
      </w:r>
      <w:r>
        <w:rPr>
          <w:rStyle w:val="FootnoteAnchor"/>
          <w:rtl w:val="true"/>
        </w:rPr>
        <w:footnoteReference w:id="153"/>
      </w:r>
      <w:r>
        <w:rPr>
          <w:rFonts w:ascii="Amiri" w:hAnsi="Amiri" w:eastAsia="Amiri" w:cs="Amiri"/>
          <w:color w:val="111111"/>
          <w:sz w:val="28"/>
          <w:sz w:val="28"/>
          <w:szCs w:val="28"/>
          <w:rtl w:val="true"/>
          <w:lang w:bidi="ar-SA"/>
        </w:rPr>
        <w:t>، ولو كان الأب مالكاً للابن وأمواله لما احتاج إلى الاستقراض، مع أنّك قد عرفت عدم ثبوت الفحوى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الأولويّة كما تقدّم، مضافاً إلى أنّ ذلك لدليل دلّ على جواز التأديب بالضرب، فيدلّ على جواز ذلك بالسَّب لا على جواز السَّب بنفسه الذي عرفت أنّه عنوانٌ مناف لعنوان التأديب، مع أنّا أشرنا في هذا الكتاب مراراً إلى أنّ الأظهر عندنا عدم جريان الاستصحاب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استثناء هذه الموارد في غير محلّه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4" w:name="pg11815_192581"/>
    </w:p>
    <w:p>
      <w:pPr>
        <w:pStyle w:val="Heading2"/>
        <w:numPr>
          <w:ilvl w:val="1"/>
          <w:numId w:val="1"/>
        </w:numPr>
        <w:rPr/>
      </w:pPr>
      <w:bookmarkStart w:id="55" w:name="__RefHeading___Toc10830471_73709187"/>
      <w:bookmarkStart w:id="56" w:name="_Toc18"/>
      <w:bookmarkEnd w:id="54"/>
      <w:bookmarkEnd w:id="55"/>
      <w:r>
        <w:rPr>
          <w:rtl w:val="true"/>
        </w:rPr>
        <w:t>السّحر، موضوعه وحكمه</w:t>
      </w:r>
      <w:bookmarkEnd w:id="56"/>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54"/>
      </w:r>
      <w:r>
        <w:rPr>
          <w:rFonts w:ascii="Amiri" w:hAnsi="Amiri" w:eastAsia="Amiri" w:cs="Amiri"/>
          <w:color w:val="111111"/>
          <w:sz w:val="28"/>
          <w:sz w:val="28"/>
          <w:szCs w:val="28"/>
          <w:rtl w:val="true"/>
          <w:lang w:bidi="ar-SA"/>
        </w:rPr>
        <w:t>أنّ السحر حرامٌ في الجملة، بل لا خلاف فيه، بل هو ضروري، فضلاً عن قيام إجماع المسلمين على حرمته</w:t>
      </w:r>
      <w:r>
        <w:rPr>
          <w:rStyle w:val="FootnoteAnchor"/>
          <w:rtl w:val="true"/>
        </w:rPr>
        <w:footnoteReference w:id="155"/>
      </w:r>
      <w:r>
        <w:rPr>
          <w:rFonts w:ascii="Amiri" w:hAnsi="Amiri" w:eastAsia="Amiri" w:cs="Amiri"/>
          <w:color w:val="111111"/>
          <w:sz w:val="28"/>
          <w:sz w:val="28"/>
          <w:szCs w:val="28"/>
          <w:rtl w:val="true"/>
          <w:lang w:bidi="ar-SA"/>
        </w:rPr>
        <w:t>، والأخبارُ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الساحر كالكافر</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أبي البختري، عن جعفر بن محمّد، عن أبيه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شيئاً من السحر قليلاً أو كثيراً فقد كفر، وكان آخر عهده بربّه، وحَدّه أن يُقتل، إلّاأن يتوب</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عنه عليه السلام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وساحر الكفّار لا يُقتل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يُقتل ساحر الكفّار؟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الشرك أعظم من </w:t>
      </w:r>
    </w:p>
    <w:p>
      <w:pPr>
        <w:pStyle w:val="BookText"/>
        <w:rPr/>
      </w:pPr>
      <w:r>
        <w:rPr>
          <w:rFonts w:ascii="Amiri" w:hAnsi="Amiri" w:eastAsia="Amiri" w:cs="Amiri"/>
          <w:color w:val="111111"/>
          <w:sz w:val="28"/>
          <w:sz w:val="28"/>
          <w:szCs w:val="28"/>
          <w:rtl w:val="true"/>
          <w:lang w:bidi="ar-SA"/>
        </w:rPr>
        <w:t>السحر، لأنّ السحر والشرك مقرونان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ضعّفه الأستاذ للنوفلي</w:t>
      </w:r>
      <w:r>
        <w:rPr>
          <w:rStyle w:val="FootnoteAnchor"/>
          <w:rtl w:val="true"/>
        </w:rPr>
        <w:footnoteReference w:id="159"/>
      </w:r>
      <w:r>
        <w:rPr>
          <w:rFonts w:ascii="Amiri" w:hAnsi="Amiri" w:eastAsia="Amiri" w:cs="Amiri"/>
          <w:color w:val="111111"/>
          <w:sz w:val="28"/>
          <w:sz w:val="28"/>
          <w:szCs w:val="28"/>
          <w:rtl w:val="true"/>
          <w:lang w:bidi="ar-SA"/>
        </w:rPr>
        <w:t>، وقد مرّ في المسألة السابقة أنّه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السِّحر والشرك مقرونان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الجملة الثانية بمنزلة الصغرى للأولى، فيكون مفاد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والسحر مقرونان ومجتمعان في المشرك السّاحر، والشرك أعظم من السحر، فإذا اجتمع السحر مع ما هو أعظم منه سقط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جملةٍ من نصوص الباب ما دلّ على أنّه يُقتل، وفي جملة أُخرى أنّه كافر، أمّا الحكم بقتله فهو المشهور بين الأصحاب، وعن غير واحدٍ دعوى الإجماع عليه، وعن بعض متأخّري المتأخّرين تقييده بكونه مستحِلّاً 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مستحِلّاً للسحر، فلا ينبغي التوقّف في الحكم بقتله، لصيرورته بذلك منكراً لضروري الدِّين، فتدبّر، مضافاً إلى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مستحِلّاً له، فيدلّ على أنّه يقتل إطلاق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المتقدّم،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ساحر المسلمين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البختري</w:t>
      </w:r>
      <w:r>
        <w:rPr>
          <w:rStyle w:val="FootnoteAnchor"/>
          <w:rtl w:val="true"/>
        </w:rPr>
        <w:footnoteReference w:id="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شيئاً من السحر قليلاً أو كثيراً فقد كفر، وكان آخر عهده بربّه، وحَدّه أن يُقتل، إلّاأن يتوب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توقّف الأستاذ الأعظم</w:t>
      </w:r>
      <w:r>
        <w:rPr>
          <w:rStyle w:val="FootnoteAnchor"/>
          <w:rtl w:val="true"/>
        </w:rPr>
        <w:footnoteReference w:id="162"/>
      </w:r>
      <w:r>
        <w:rPr>
          <w:rFonts w:ascii="Amiri" w:hAnsi="Amiri" w:eastAsia="Amiri" w:cs="Amiri"/>
          <w:color w:val="111111"/>
          <w:sz w:val="28"/>
          <w:sz w:val="28"/>
          <w:szCs w:val="28"/>
          <w:rtl w:val="true"/>
          <w:lang w:bidi="ar-SA"/>
        </w:rPr>
        <w:t>في الحكم بقتله، بدعوى أنّه وإن ورد في الروايات العديدة أنّ حَدّ الساحر هو القتل، إلّاأنّها روايات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عدم كون خبر السكوني ضعيفاً، وأمّا حسن إسحاق فقد اعترف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حسناً، مع أنّه لو سُلّم ضعف الروايات فهو مجبورٌ بالشهرة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بالكفر، فهو وإنْ كان ظاهر جملةٍ من النصوص، إلّاأنّه لا يمكن الأخذ بظاهرها، ويتعيّن حملها على إرادة مستحلّ السحر، أو من يدّعي به الرسالة، أو من يدّعي ما لا يقدر عليه إلّااللّه، أو حملها على المبالغة في الحرمة، وذلك لما في جملةٍ أُخرى منها ما ينافي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نهج البلاغة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السّاحر كالكافر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وجاءفي حسن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ساحر المسلمين يُقتل، وساحر الكفّار لايُقتل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 كان الساحر كافراً لما كان بينهما فرق، وفيه أيضاً تعليلُ الفرق بينهما، بأنّ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الإمام العسكري في قصّة هاروت وماروت،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تكفر باستعمال هذا السحر، وطلب الإضرار به ودعاء الناس إلى أن يعتقدوا إنّك به تُحيي وتُميت، وتفعل ما لا يقدر عليه إلّااللّه فإنّ ذلك كفر</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المرسل قال عليه السلام في حقّ مَن أخذ السِّحر صناعةً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ولا تعقد</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7" w:name="pg11815_192584"/>
    </w:p>
    <w:p>
      <w:pPr>
        <w:pStyle w:val="BookText"/>
        <w:rPr/>
      </w:pPr>
      <w:bookmarkEnd w:id="57"/>
      <w:r>
        <w:rPr>
          <w:rFonts w:ascii="Amiri" w:hAnsi="Amiri" w:eastAsia="Amiri" w:cs="Amiri"/>
          <w:color w:val="111111"/>
          <w:sz w:val="28"/>
          <w:sz w:val="28"/>
          <w:szCs w:val="28"/>
          <w:rtl w:val="true"/>
          <w:lang w:bidi="ar-SA"/>
        </w:rPr>
        <w:t>ولأنّه لا كلام عندهم في عدم ترتيب آثار الارتداد؛ من قسمة الأموال، وبينونة زوجته، وغيرهما عليه لو صار المسلم ساحراً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جميع ذلك، قيام السيرة المستمرّة إلى زمان المعصوم عليه السلام على عدم معاملة الكافر مع 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ترتّب حكم السحر عليه كون ذلك مضرّاً بالمسحور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لأجل دعوى اعتبار الإضرار في موضوع السحر كما عن الشهيدين</w:t>
      </w:r>
      <w:r>
        <w:rPr>
          <w:rStyle w:val="FootnoteAnchor"/>
          <w:rtl w:val="true"/>
        </w:rPr>
        <w:footnoteReference w:id="165"/>
      </w:r>
      <w:r>
        <w:rPr>
          <w:rFonts w:ascii="Amiri" w:hAnsi="Amiri" w:eastAsia="Amiri" w:cs="Amiri"/>
          <w:color w:val="111111"/>
          <w:sz w:val="28"/>
          <w:sz w:val="28"/>
          <w:szCs w:val="28"/>
          <w:rtl w:val="true"/>
          <w:lang w:bidi="ar-SA"/>
        </w:rPr>
        <w:t>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لأجل النصوص الخاصّة، بدعوى أنّ بعض النصوص الواردة في قصّة هاروت وماروت يدلّ على ذلك</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له كي يدلّ على عدم حرمة غير المضرّ منه، ويوجب 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اعتبار الإضرار في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مطلقاً سواءٌ أكان مضرّاً أم لا، كما عن جمعٍ من الأساطين لإطلاق الأدلّة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10830473_73709187"/>
      <w:bookmarkStart w:id="59" w:name="_Toc19"/>
      <w:bookmarkEnd w:id="58"/>
      <w:r>
        <w:rPr>
          <w:rtl w:val="true"/>
        </w:rPr>
        <w:t>حقيقة السحر</w:t>
      </w:r>
      <w:bookmarkEnd w:id="59"/>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السحر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كلمات أئمّة اللّغة والفقه في بيان حقيقة السحر، وقد ذكر الشيخ رحمه الله</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جملة منها، والذي يظهر بعد المراجعة إلى موارد استعمال هذه الكلمة ومشتقّاتها عند أهل اللّسان، والتدبّر في مجموع التفاسير المنقولة عن الفقهاء العظام، وأئمّة اللّغة، وضَمّ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 هو صَرف الشيء عن وجهه</w:t>
      </w:r>
      <w:r>
        <w:rPr>
          <w:rStyle w:val="FootnoteAnchor"/>
          <w:rtl w:val="true"/>
        </w:rPr>
        <w:footnoteReference w:id="169"/>
      </w:r>
      <w:r>
        <w:rPr>
          <w:rFonts w:ascii="Amiri" w:hAnsi="Amiri" w:eastAsia="Amiri" w:cs="Amiri"/>
          <w:color w:val="111111"/>
          <w:sz w:val="28"/>
          <w:sz w:val="28"/>
          <w:szCs w:val="28"/>
          <w:rtl w:val="true"/>
          <w:lang w:bidi="ar-SA"/>
        </w:rPr>
        <w:t>على سبيل التمويه والخدعة، وقلبه من جنسه في الظاهر لا في الحقيقة، وتصويره على خلاف صورته الواقعيّة، فهو أمرٌ لا واقعيّة له، بل مجرّد تصرّفات 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عبارة عن مجموعة من التمويهات التي لا حقيقة لها، بل يخيّل إلى المسحور أنّ لها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يترتّب عليه أمرٌ واقعي، كما لو أظهر الساحر للمسحور شيئاً مهولاً فخاف منه ومات أو صار مجنوناً، فإنّ الموت أو الجنون وإن هما أمران واقعيّان، إلّا أنّه من آثار السحر لا أنّه بنفسه السحر، وبهذا الاعتبار يطلق السحر على طَلي الفضّة بالذّهب، وقد أطلق المشركون عنوان الساحر على النبيّ الصادق، حيث تخيّلوا أنّه صلى الله عليه و آله يظهر الباطل بصورة الحقّ بتسحير أعين الناس وقلوبهم، وهو ما نفاه عنه سبحانه وتعالى‌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لَطُف مأخذه ودَقّ‌</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فهو تفسير بالأعمّ بلا كلام، فإنّ كثيراً من ما لطف مأخذه ودَقّ كالقوّة الكهربائيّة وما شابهما ليست من السِّحر قطعاً، كما أنّ ما عن جمعٍ من تفسيره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الشيء عن وجهه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تفسير بالأعمّ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وجه بحسب المتفاهم العرفي لاعتبار الإضرار في صدق السِّحر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ولا لاعتبار كون السحر مؤثّراً في بدن المسحور أو عقله أو قلبه من غير مباشرة، كما عن العلّامة رحمه الله</w:t>
      </w:r>
      <w:r>
        <w:rPr>
          <w:rStyle w:val="FootnoteAnchor"/>
          <w:rtl w:val="true"/>
        </w:rPr>
        <w:footnoteReference w:id="173"/>
      </w:r>
      <w:r>
        <w:rPr>
          <w:rFonts w:ascii="Amiri" w:hAnsi="Amiri" w:eastAsia="Amiri" w:cs="Amiri"/>
          <w:color w:val="111111"/>
          <w:sz w:val="28"/>
          <w:sz w:val="28"/>
          <w:szCs w:val="28"/>
          <w:rtl w:val="true"/>
          <w:lang w:bidi="ar-SA"/>
        </w:rPr>
        <w:t>، كما يظهر ذلك من الرجوع إلى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أطلق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جملةٍ أُمور غير ما ذكر كالسّرعة والخِفّة والنميمة، فيستكشف من ذلك كون السحر أعمّ من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الخبر للإرسال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أعمّ من الحقيقة، بل الظاهر أنّ إطلاق السحر على بعض تلك الأُمور إنّما يكون بنحوٍ من العناية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التي صنعت شيئاً ليعطف زوجها عليها،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كدّرت البحار، وكدّرت الطين، ولعنتكِ الملائكة الأخيار، وملائكة السّماء والأرض، الحديث</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أنّ من السحر إحداث حُبّ مفرط في الشخص، كما استدلّ به الشيخ رحمه الله</w:t>
      </w:r>
      <w:r>
        <w:rPr>
          <w:rStyle w:val="FootnoteAnchor"/>
          <w:rtl w:val="true"/>
        </w:rPr>
        <w:footnoteReference w:id="175"/>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0" w:name="pg11815_192587"/>
    </w:p>
    <w:p>
      <w:pPr>
        <w:pStyle w:val="BookText"/>
        <w:rPr/>
      </w:pPr>
      <w:bookmarkEnd w:id="60"/>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لتضمّنه توبيخ النبيّ صلى الله عليه و آله إيّاها، وحكمه عليها بعدم قبول التوبة، واستقباله إيّاها باللّعن، وإن كان دالّاً على الحرمة، إلّاأنّه ليس فيه شهادة على أنّ وجه الحرمة انطباق عنوان السحر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فَيَتَعَلَّمُونَ مِنْهُما ما يُفَرِّقُونَ بِهِ بَيْنَ اَلْمَرْءِ وَ زَوْجِهِ‌</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تدلّ على أنّ من السحر إيجاد التفرقة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أقوالاً للمفسِّرين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شرع سليمان إنّ من تعلّم السّحر بانَت منه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تعلّم السِّحر كَفَر فحرُمت عليه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أقوالٌ أُخر، فمن أراد الإطلاع عليها فليراجع كتب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العمل بإطلاق الخبر، وإلّا لزم الالتزام بحرمة إحداث الحُبّ في قلب الزوج بالأخلاق الحسنة التي ورد الأمر بها في النصوص، وهذا ممّا لا يمكن الالتزام به، وعليه فلابدّ من حمله على كون آلة إحداث الحبّ ما يكون محرّماً بل موجباً للإرتداد، وإلّا لما كان وجه لعدم قبوله صلى الله عليه و آله توبتها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في بيان حقيقة السحر، ظهر الفرق بينه وبين المعجزة، فإنّ المعجزة أمرٌ واقعي ولها حقيقة ملموسة مشاهدة، لكنّها غير جارية على الطرق المتعارفة الطبيعيّة، بل هي أمرٌ خارق العادة</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0830475_73709187"/>
      <w:bookmarkStart w:id="62" w:name="_Toc20"/>
      <w:bookmarkEnd w:id="61"/>
      <w:r>
        <w:rPr>
          <w:rtl w:val="true"/>
        </w:rPr>
        <w:t>أقسام السِّحر</w:t>
      </w:r>
      <w:bookmarkEnd w:id="6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بأس بذكر أقسام السحر التي ذكرها بعض الأصحاب، وقد جمعها المحقّق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وحاصل ما ذكره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للسحر أنواعاً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والكذّابون هم الذين كانوا في قديم الدهر، وكانوا يعبدون الكواكب، ويزعمون أنّها مدبّرة العالم السفلي، ومنها تصدر الخيرات والشرور والسعادات والنحوسات، وهم الذين بعث اللّه إبراهيم عليه السلام مبطلاً لمقالتهم، وهؤلاء فرق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زعموا أنّ هذه الأفلاك والكواكب واجبة الوجود في ذواتها، وهؤلاء هم الصائبة الدهريّة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يزعمون أنّها قديمة لقِدم 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يزعمون أنّها حادثة 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والسّاحر عند هذه الفرق من يَعرف القوى العالية الفعالة بسائطها ومركّباتها، ويعرف ما يليق بالعالم السفلي، ويعرف معدّاتها ليعدها، وعوائقها ليرفعها بحسب الطاقة البشريّة، فيكون متمكِّناً من استحداث ما يخرق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في مبحث التنجيم أنّ معتقد تأثير الكواكب في العناصر السفليّة استقلالاً كافرٌ، من غير فرقٍ بين مقولات ومزاعم الفرق الثلاث، ولكن الكلام في أنّ استحداث ما يخرق به العادة هل يصدق عليه السحر أم لا؟</w:t>
      </w:r>
    </w:p>
    <w:p>
      <w:pPr>
        <w:pStyle w:val="BookText"/>
        <w:rPr/>
      </w:pPr>
      <w:r>
        <w:rPr>
          <w:rFonts w:ascii="Amiri" w:hAnsi="Amiri" w:eastAsia="Amiri" w:cs="Amiri"/>
          <w:color w:val="111111"/>
          <w:sz w:val="28"/>
          <w:sz w:val="28"/>
          <w:szCs w:val="28"/>
          <w:rtl w:val="true"/>
          <w:lang w:bidi="ar-SA"/>
        </w:rPr>
        <w:t>والأظهر عدمه، لعدم انطباق ما ذكرناه في تفسيره الذي ذكره المحقّق المجلسي أيضاً قبل بيان هذه الأنواع على ذلك، فإنّه عبارة عن صَرف الشيء عن وجهه على سبيل الخدعة من دون أن يكون له واقعيّة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أصحاب الأوهام والنفوس القويّة، فقد ثبت إمكان تأثير </w:t>
      </w:r>
    </w:p>
    <w:p>
      <w:pPr>
        <w:pStyle w:val="BookText"/>
        <w:rPr/>
      </w:pPr>
      <w:r>
        <w:rPr>
          <w:rFonts w:ascii="Amiri" w:hAnsi="Amiri" w:eastAsia="Amiri" w:cs="Amiri"/>
          <w:color w:val="111111"/>
          <w:sz w:val="28"/>
          <w:sz w:val="28"/>
          <w:szCs w:val="28"/>
          <w:rtl w:val="true"/>
          <w:lang w:bidi="ar-SA"/>
        </w:rPr>
        <w:t>النفوس في موادّ هذا العالم، وهذه النفوس الفعالة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بواسطة الرياضات قويّة شديدة الانجذاب إلى عالم السماوات، وتكون مستغنية في التأثير في صدور الأُمور الغريبة الخارقة للعادة عن الاستعانة بأدوات سحريّة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ضعيفة ممزوجة بأوساخ المواد، فتحتاج إلى الاستعانة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عدم انطباق ما اخترناه من معنى السحر على ذلك، فإنّ النفوس الصافية بالرياضات المؤثّرة في الأُمورالتكوينيّة التي منها نفوس أولياء اللّه تعالى‌، وإنْ كانت تصرف الأشياء عن وجهها، لكنّه ليس صَرفاً على سبيل الخدعة، من دون أن يكون له واقعيّة، بل يكون صرفاً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تكون تصفية النفس بنفسها من المحرّمات، بل تصفيتها بالرياضات الحقّة مطلوبة للشارع، نعم التصفية بالأُمور الباطلة محرّمة لحرمة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المعتقد بتأثير النفوس في الأُمور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اعتقد تأثيرها فيها استقلالاً، أو مع اللّه تعالى‌، فهو كافرٌ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اعتقد أنّ اللّه تعالى هو المؤثّر الأعظم، ويكون تأثيرها فيها كتأثير سائر العلل والموجدات التكوينيّة، فلا وجه للحكم بكفره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الثالث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بالأرواح الأرضيّة، والمراد بها الأجنّة، وهي مختلفة الأصناف، فمنها خيّرة ومنها شرّيرة، وهي قادرة عالمة مدركة للجزئيّات، واتّصال النفوس الناطقة بها أسهل من اتّصالها بالأرواح السماويّة، إلّا </w:t>
      </w:r>
    </w:p>
    <w:p>
      <w:pPr>
        <w:pStyle w:val="BookText"/>
        <w:rPr/>
      </w:pPr>
      <w:r>
        <w:rPr>
          <w:rFonts w:ascii="Amiri" w:hAnsi="Amiri" w:eastAsia="Amiri" w:cs="Amiri"/>
          <w:color w:val="111111"/>
          <w:sz w:val="28"/>
          <w:sz w:val="28"/>
          <w:szCs w:val="28"/>
          <w:rtl w:val="true"/>
          <w:lang w:bidi="ar-SA"/>
        </w:rPr>
        <w:t>أنّ القوّة الحاصلة للنفوس الناطقة بواسطة الاتّصال بهذه الأرواح أضعف من القوّة الحاصلة لها بسبب اتّصالها بتلك الأرواح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أصحاب التجربة شاهدوا أنّ الاتّصال بهذه الأرواح يحصل بأعمال سهلة قليلة، من الرِّق والتجريد والدخن، فهذا النوع هو المسمّى بالعزائم وعمل تسخير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ما تقدّم عدم صدق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وأمّا من حيث حكمه فسيأتي الكلام فيه في آخر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تكفير من يجوّز ذلك، لأنّه مع هذا الاعتقاد لا يمكنه أن يعرف صدق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يظهر هذه الأشياء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لا يدّعي النبوّة، فلا يفضي الأمر إلى 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النبوّة، فعلى اللّه تعالى أن لا يُظهر على يده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التخيّلات والأخذ بالعيون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مبنيٌّ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أغلاط البصر كثيرة، كراكب السفينة يرى نفسه ساكناً والماء متحرِّكاً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المحسوسات قد تختلط ولا يتميّز بعضها عن بعض، وذلك فيما إذا أدركت القوّة الباصرة المحسوس في زمان قصير جدّاً، ثمّ أدرك بعده محسوساً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تشتغل النفس بشيء ولا يدرك الإنسان حينئذٍ شيئاً حاضراً عنده كالوارد على السلطان، فإنّه قد يلقاه شخص آخر ويتكلّم معه وهو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هذه الأُمور يتّضح تصوير هذا النوع من السحر، لأنّ المشعبد الحاذق يظهر عمل شيء يشغل أذهان الناظرين به، ويأخذ عيونهم إليه، ثمّ يعمل عملاً آخر بسرعة شديدة وحركة خفيفة، وحينئذٍ يظهر لهم شيءٌ غير ما انتظروه، فيتعجّبون منه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هو الشعبدة، والفرق بينها وبين السحر أنّ السحر لا واقعيّة له أصلاً، وهي أمرٌ له واقعيّة، وليس خياليّاً محضاً، وإطلاق السحر على هذا النوع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مبنيٌّ على العناية والمجاز، وأمّا حكم هذا القسم فسيأتي الكلام فيه في المسألة الآتية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العجيبة التي تظهر من تركيب الآلات المركّبة على النسب الهندسيّة تارةً‌، وعلى ضرورة الخلاء أُخرى‌؛ مثل فارسين يقتتلان فيقتل أحدهما الآخر، وكفارسٍ على فرس في يده بوق كلّما مضت ساعة من النهار ضرب البوق من غير أن يمسّه أحد، ومنها الصور التي تصوّرها الروم وأهل الهند حتّى لا يفرّق الناظر بينها وبين الإنسان، حتّى يصوّرونها ضاحكة وباكية، وحتّى يفرق فيها بين ضحك السرور وضحك الخَجَل وضحك الشامت، فهذه الوجوه من لطيف أُمور التخائيل، وكان سحر سَحَرة فرعون من هذا القبيل، ومن هذا الباب تركيب صندوق الساعات، وعلم جَرّ الأثقال بآلات خفيفة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العجيبة التي تظهر من تركيب الآلات المركّبة المتعارفة في زماننا كالطائرات و الراديوات وغيرها ليست من السحر قطعاً كما اعترف به المجلسي رحمه الله</w:t>
      </w:r>
      <w:r>
        <w:rPr>
          <w:rStyle w:val="FootnoteAnchor"/>
          <w:rtl w:val="true"/>
        </w:rPr>
        <w:footnoteReference w:id="178"/>
      </w:r>
      <w:r>
        <w:rPr>
          <w:rFonts w:ascii="Amiri" w:hAnsi="Amiri" w:eastAsia="Amiri" w:cs="Amiri"/>
          <w:color w:val="111111"/>
          <w:sz w:val="28"/>
          <w:sz w:val="28"/>
          <w:szCs w:val="28"/>
          <w:rtl w:val="true"/>
          <w:lang w:bidi="ar-SA"/>
        </w:rPr>
        <w:t>، وكون سحر سَحَرة فرعون من هذا النوع غير ثابت، ولا دليل على حرمة ذلك لو لم نقل برجحانه، ما لم ينطبق عليه أحد العناوين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السادس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بخواصّ الأدوية؛ مثل أن يجعل في الطعام بعض الأدوية المبلدة أو المزيلة للعقل أو الدُّخن المسكر، أو عصارة البنج المجعول في الملبس، وهذا ممّا لا سبيل إلى إنكاره، لأنّ أثر المغناطيس 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أنّ هذا ليس من السحر، فإنّ إطعام الغير طعاماً يوجب زوال عقله كإطعامه طعاماً يوجب وجع بطنه، ومجرّد عدم معلوميّة ذلك على عامّة الناس، لا يوجب صدق عنوان السحر عليه، وإلّا لزم كون علم الطب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انطبق عليه أحد العناوين المحرّمة كعنوان الإضرار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وإلّا فلا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السابع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القلب، وهو أن يدّعي الساحر أنّي أعرف الاسم الأعظم، وأنّ الجنّ يطيعونني، وينقادون لي في أكثر الأُمور، فإذا اتّفق أن كان السامع ضعيف العقل، قليل التمييز، اعتقد أنّه حقّ‌، وتعلّق قلبه بذلك، وحصل في نفسه نوعٌ من الرعب والمخافة، فإذا حصل الخوف ضعفت القوي الحساسة، فحينئذٍ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يتمكّن الساحر من أن يفعل ما يشاء، ومن جرّب الأُمور، وعرف أهل العالم، علم أنّ لتعلّق القلب أثراً عظيماً في تنفيذ الأعمال وإخفاء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أنّ الدعاوى المذكورة بأنفسها، أو من حيث ترتّب ميل العوام إلى المدّعي لها من السِّحر، فهو بديهي الفساد، إذ مجرّد ذلك لا يصدق عليه السحر، وإلّا لزم كون الاستمالة بمطلقها سحراً،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 السِّحر هو ما يفعله المدّعى لهذه الدّعاوي من الخوارق بعد حصول تعلّق القلب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أمرٌ واقعي، والسِّحر هو ما لا واقعيّة له، بل خيالي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بالنميمة والتضريب من وجوه خفيّة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النميمة وإن كانت من المحرّمات، ومن المعاصي الكبيرة، إلّاأنّها ليست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 هذه الأقسام ليس من السحر موضوعاً بما فسّروا له من المعنى، ولعلّ غرضهم مشاركة تلك الأُمور للسحر حكماً، لا دخولها فيه موضوعاً كما تنادي بذلك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نقلها، كما نبّه على ذلك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يخفى أنّ الجمع بين ما ذُكر في معنى السحر في غاية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 السحر من المفاهيم المبيّنة، وأنّ كلمات القوم إمّا صريحة فيما ذكرناه، أو قابلة للحمل عليه، وما ذكروه من الأقسام أرادوا بها أنّها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ملحقة به حكماً لا موضوعاً كما ينادي بذلك ما ذكره المجلسي رحمه الله</w:t>
      </w:r>
      <w:r>
        <w:rPr>
          <w:rStyle w:val="FootnoteAnchor"/>
          <w:rtl w:val="true"/>
        </w:rPr>
        <w:footnoteReference w:id="180"/>
      </w:r>
      <w:r>
        <w:rPr>
          <w:rFonts w:ascii="Amiri" w:hAnsi="Amiri" w:eastAsia="Amiri" w:cs="Amiri"/>
          <w:color w:val="111111"/>
          <w:sz w:val="28"/>
          <w:sz w:val="28"/>
          <w:szCs w:val="28"/>
          <w:rtl w:val="true"/>
          <w:lang w:bidi="ar-SA"/>
        </w:rPr>
        <w:t>، فإنّه فسَّر السحر أوّلاً بما ذكرناه، ثم بعد ذلك ذكر الأقسام الثمانية، وحيث إنّه لا يمكن الجمع بين كلماته، لعدم انطباق الضابط المذكور على شيء من تلك الأنواع، فلا محيص إلّا عن الحمل على ما نبّهنا عليه، فراجع</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الشيخ رحمه الله</w:t>
      </w:r>
      <w:r>
        <w:rPr>
          <w:rStyle w:val="FootnoteAnchor"/>
          <w:rtl w:val="true"/>
        </w:rPr>
        <w:footnoteReference w:id="182"/>
      </w:r>
      <w:r>
        <w:rPr>
          <w:rFonts w:ascii="Amiri" w:hAnsi="Amiri" w:eastAsia="Amiri" w:cs="Amiri"/>
          <w:color w:val="111111"/>
          <w:sz w:val="28"/>
          <w:sz w:val="28"/>
          <w:szCs w:val="28"/>
          <w:rtl w:val="true"/>
          <w:lang w:bidi="ar-SA"/>
        </w:rPr>
        <w:t xml:space="preserve">حرمة الأقسام الأربعة التي ذكرها فخر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عنه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استحداث الخوارق إمّا بمجرّد التأثيرات النفسانيّة وهو السحر، أو بالاستعانة بالفلكيّات فقط، وهو دعوة الكواكب، أو بتمزيج القوى السماويّة بالقوى الأرضيّة وهي الطلّسمات، أو على سبيل الاستعانة بالأرواح الساذجة وهي العزائم، ويدخل فيها النيرنجات، والكلّ حرامٌ في شريعة الإسلام، ومستحلّه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المحدِّث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بدخولها في المعنى المعروف للسحر عند أهل الشرع، فيشملها الإطلاقات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شهادة المجلسي رحمه الله</w:t>
      </w:r>
      <w:r>
        <w:rPr>
          <w:rStyle w:val="FootnoteAnchor"/>
          <w:rtl w:val="true"/>
        </w:rPr>
        <w:footnoteReference w:id="185"/>
      </w:r>
      <w:r>
        <w:rPr>
          <w:rFonts w:ascii="Amiri" w:hAnsi="Amiri" w:eastAsia="Amiri" w:cs="Amiri"/>
          <w:color w:val="111111"/>
          <w:sz w:val="28"/>
          <w:sz w:val="28"/>
          <w:szCs w:val="28"/>
          <w:rtl w:val="true"/>
          <w:lang w:bidi="ar-SA"/>
        </w:rPr>
        <w:t>بكونها من 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الشهادة معارضة بشهادة فخر المحقّقين رحمه الله</w:t>
      </w:r>
      <w:r>
        <w:rPr>
          <w:rStyle w:val="FootnoteAnchor"/>
          <w:rtl w:val="true"/>
        </w:rPr>
        <w:footnoteReference w:id="186"/>
      </w:r>
      <w:r>
        <w:rPr>
          <w:rFonts w:ascii="Amiri" w:hAnsi="Amiri" w:eastAsia="Amiri" w:cs="Amiri"/>
          <w:color w:val="111111"/>
          <w:sz w:val="28"/>
          <w:sz w:val="28"/>
          <w:szCs w:val="28"/>
          <w:rtl w:val="true"/>
          <w:lang w:bidi="ar-SA"/>
        </w:rPr>
        <w:t>من عدم كون أكثرها منه، وبشهادة الشهيد رحمه الله</w:t>
      </w:r>
      <w:r>
        <w:rPr>
          <w:rStyle w:val="FootnoteAnchor"/>
          <w:rtl w:val="true"/>
        </w:rPr>
        <w:footnoteReference w:id="187"/>
      </w:r>
      <w:r>
        <w:rPr>
          <w:rFonts w:ascii="Amiri" w:hAnsi="Amiri" w:eastAsia="Amiri" w:cs="Amiri"/>
          <w:color w:val="111111"/>
          <w:sz w:val="28"/>
          <w:sz w:val="28"/>
          <w:szCs w:val="28"/>
          <w:rtl w:val="true"/>
          <w:lang w:bidi="ar-SA"/>
        </w:rPr>
        <w:t>بعدم كون ما لا يكون مضرّاً من السحر، وسيأتي تصريح الشيخ رحمه الله</w:t>
      </w:r>
      <w:r>
        <w:rPr>
          <w:rStyle w:val="FootnoteAnchor"/>
          <w:rtl w:val="true"/>
        </w:rPr>
        <w:footnoteReference w:id="188"/>
      </w:r>
      <w:r>
        <w:rPr>
          <w:rFonts w:ascii="Amiri" w:hAnsi="Amiri" w:eastAsia="Amiri" w:cs="Amiri"/>
          <w:color w:val="111111"/>
          <w:sz w:val="28"/>
          <w:sz w:val="28"/>
          <w:szCs w:val="28"/>
          <w:rtl w:val="true"/>
          <w:lang w:bidi="ar-SA"/>
        </w:rPr>
        <w:t>بتقديم شهادة النافي في المقام على شهادة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شهادته بعد كون المفهوم مبيّناً عندنا، ونرى عدم صدقه عليها، لا تصلح أن تكون مدركاً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فخر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على أنّ حرمتها من ضروريّات الدِّين، وأنّ مستحلّها كافر،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90"/>
      </w:r>
      <w:r>
        <w:rPr>
          <w:rFonts w:ascii="Amiri" w:hAnsi="Amiri" w:eastAsia="Amiri" w:cs="Amiri"/>
          <w:color w:val="111111"/>
          <w:sz w:val="28"/>
          <w:sz w:val="28"/>
          <w:szCs w:val="28"/>
          <w:rtl w:val="true"/>
          <w:lang w:bidi="ar-SA"/>
        </w:rPr>
        <w:t>، وذلك يوجب الاطمئنان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الضرورة لو أوجبت الاطمئنان باتّفاق العلماء، مع أنّ للمنع عنه مجالاً في المقام، لما أفتى به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وحكى عن بعض الأصحاب جواز بعض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الأقسام، لكنّها لا توجب الاطمئنان بالحكم بعد استناد المجمعين، أو احتمال استنادهم إلى ما بأيدينا من الأدلّة الضعيفة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أورده عليه جمعٌ من المحشِّين منهم الأستاذ الأعظم</w:t>
      </w:r>
      <w:r>
        <w:rPr>
          <w:rStyle w:val="FootnoteAnchor"/>
          <w:rtl w:val="true"/>
        </w:rPr>
        <w:footnoteReference w:id="192"/>
      </w:r>
      <w:r>
        <w:rPr>
          <w:rFonts w:ascii="Amiri" w:hAnsi="Amiri" w:eastAsia="Amiri" w:cs="Amiri"/>
          <w:color w:val="111111"/>
          <w:sz w:val="28"/>
          <w:sz w:val="28"/>
          <w:szCs w:val="28"/>
          <w:rtl w:val="true"/>
          <w:lang w:bidi="ar-SA"/>
        </w:rPr>
        <w:t xml:space="preserve">بمعارضة هذه الدعوى بشهادة الفخر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فغريبٌ‌، إذ المشهود به في كلمات هؤلاء الأعلام عدم كونها من السحر موضوعاً لا عدم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3" w:name="pg11815_192596"/>
    </w:p>
    <w:p>
      <w:pPr>
        <w:pStyle w:val="Heading2"/>
        <w:numPr>
          <w:ilvl w:val="1"/>
          <w:numId w:val="1"/>
        </w:numPr>
        <w:rPr/>
      </w:pPr>
      <w:bookmarkStart w:id="64" w:name="__RefHeading___Toc10830477_73709187"/>
      <w:bookmarkStart w:id="65" w:name="_Toc21"/>
      <w:bookmarkEnd w:id="63"/>
      <w:bookmarkEnd w:id="64"/>
      <w:r>
        <w:rPr>
          <w:rtl w:val="true"/>
        </w:rPr>
        <w:t>دفع ضرر السِّحر بالسِّحر</w:t>
      </w:r>
      <w:bookmarkEnd w:id="6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جواز دفع ضرر السِّحر بالسِّحر، إذ أنّه المشهور بين الأصحاب على ما نُسب إليهم ذلك</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العلّامة في جملةٍ من كتبه</w:t>
      </w:r>
      <w:r>
        <w:rPr>
          <w:rStyle w:val="FootnoteAnchor"/>
          <w:rtl w:val="true"/>
        </w:rPr>
        <w:footnoteReference w:id="194"/>
      </w:r>
      <w:r>
        <w:rPr>
          <w:rFonts w:ascii="Amiri" w:hAnsi="Amiri" w:eastAsia="Amiri" w:cs="Amiri"/>
          <w:color w:val="111111"/>
          <w:sz w:val="28"/>
          <w:sz w:val="28"/>
          <w:szCs w:val="28"/>
          <w:rtl w:val="true"/>
          <w:lang w:bidi="ar-SA"/>
        </w:rPr>
        <w:t>، والشهيدين</w:t>
      </w:r>
      <w:r>
        <w:rPr>
          <w:rStyle w:val="FootnoteAnchor"/>
          <w:rtl w:val="true"/>
        </w:rPr>
        <w:footnoteReference w:id="195"/>
      </w:r>
      <w:r>
        <w:rPr>
          <w:rFonts w:ascii="Amiri" w:hAnsi="Amiri" w:eastAsia="Amiri" w:cs="Amiri"/>
          <w:color w:val="111111"/>
          <w:sz w:val="28"/>
          <w:sz w:val="28"/>
          <w:szCs w:val="28"/>
          <w:rtl w:val="true"/>
          <w:lang w:bidi="ar-SA"/>
        </w:rPr>
        <w:t>، والميسي</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ذلك إلّا مع انحصار سبب الحِلّ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للجواز مطلقاً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من انصراف الأدلّة إلى غير ما قصد به غرضٌ راجح شرعاً، فمع تعلّق غرض الدفع به لا وجه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أيضاً من أنّ أخبار الساحر ظاهرة في إرادة من يخشى ضرره، فلو أراد الساحر دفع ضرر السِّحر به، فإنّه لا وجه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المتقدّم بعضها والآتي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الضرر في مفهوم السِّحر، فمع عدم الإضرار لا يصدق عليه السحر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الأستاذ الأعظم</w:t>
      </w:r>
      <w:r>
        <w:rPr>
          <w:rStyle w:val="FootnoteAnchor"/>
          <w:rtl w:val="true"/>
        </w:rPr>
        <w:footnoteReference w:id="199"/>
      </w:r>
      <w:r>
        <w:rPr>
          <w:rFonts w:ascii="Amiri" w:hAnsi="Amiri" w:eastAsia="Amiri" w:cs="Amiri"/>
          <w:color w:val="111111"/>
          <w:sz w:val="28"/>
          <w:sz w:val="28"/>
          <w:szCs w:val="28"/>
          <w:rtl w:val="true"/>
          <w:lang w:bidi="ar-SA"/>
        </w:rPr>
        <w:t>، من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أُنْزِلَ </w:t>
      </w:r>
    </w:p>
    <w:p>
      <w:pPr>
        <w:pStyle w:val="BookText"/>
        <w:rPr/>
      </w:pPr>
      <w:r>
        <w:rPr>
          <w:rFonts w:ascii="Amiri" w:hAnsi="Amiri" w:eastAsia="Amiri" w:cs="Amiri"/>
          <w:color w:val="111111"/>
          <w:sz w:val="28"/>
          <w:sz w:val="28"/>
          <w:szCs w:val="28"/>
          <w:rtl w:val="true"/>
          <w:lang w:bidi="ar-SA"/>
        </w:rPr>
        <w:t>عَلَى اَلْمَلَكَيْنِ بِبابِلَ هارُوتَ وَ مارُوتَ وَ ما يُعَلِّمانِ مِنْ أَحَدٍ حَتّى يَقُولا إِنَّما نَحْنُ فِتْنَةٌ‌</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السحر لو لم يكن جائز الاستعمال حتّى في مقام دفع الضرر، لم يجز تعليمه أصلاً، فجواز التعليم يدلّ على جواز العمل به في الجملة، والقدر المتيقّن منه هو صورة دفع ضرر 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شيئاً من السحر قليلاً أو كثيراً فقد كفر، وكان آخر عهده بربّه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 أخذ الإضرار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انصرافه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الأستاذ الأعظم</w:t>
      </w:r>
      <w:r>
        <w:rPr>
          <w:rStyle w:val="FootnoteAnchor"/>
          <w:rtl w:val="true"/>
        </w:rPr>
        <w:footnoteReference w:id="202"/>
      </w:r>
      <w:r>
        <w:rPr>
          <w:rFonts w:ascii="Amiri" w:hAnsi="Amiri" w:eastAsia="Amiri" w:cs="Amiri"/>
          <w:color w:val="111111"/>
          <w:sz w:val="28"/>
          <w:sz w:val="28"/>
          <w:szCs w:val="28"/>
          <w:rtl w:val="true"/>
          <w:lang w:bidi="ar-SA"/>
        </w:rPr>
        <w:t>من الحكم بضعف تلك الأخبار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وإنْ تمّ في بعضها، إلّاأنّه لا يتمّ في الجميع، لاحظ ما رواه الشيخ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 عن أبيه، عن شيخ من أصحابنا الكوفيّين،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عيسيبن شفقي علي أبي عبد اللّه عليه السلام وكان ساحراً يأتيه الناس، ويأخذ على ذلك الأجر، وسأله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ولا تعقد</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ذلك توثيقاً له، لا ريب في كونه من ألفاظ المدح، فإذا انضمّ إليه كونه إماميّاً كما 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يدخل الرّجل في الحسان، مع أنّه لو سُلّم ضعف السند يكون الخبر منجبراً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وهو إمكان حمل الحِلّ على ما كان بغير السحر من الدعاء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جدّاً، فإنّ الظاهر منه كون الحِلّ والعقد كليهما بالسحر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إنّ‌النصوص محمولة على حالة الضرورة، وانحصار سبب الحِلّفيه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لهذا الحمل بعد إطلاق الأخبار، وعدم الوجه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منع أخذ الإضرار في مفهوم السحر، فراجع</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أنّه يمكن أن يقال بعدم دلالة الآية الشريفة على جواز التعليم، إذ لا وجه لهذه الدعوى سوى ظهورها في أنّ الملكين علّما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ربما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جمعٍ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حيث قال ما خلاصته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سَحَرة اليهود زعموا أنّ اللّه عزّ وجلّ أنزل السِّحر على لسان جبرائيل وميكائيل إلى سليمان، فأكذبهم اللّه بذلك، وفي الكلام تقدير وتأخير، فتقديره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كَفَر سليمان، وما أنزل على المَلَكين، ولكن الشياطين كفروا، يعلّمان الناس السِّحر ببابل هاروت وماروت، وهما رجلان ببابل غير المَلَكين، اسم أحدهما هاروت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6" w:name="pg11815_192599"/>
    </w:p>
    <w:p>
      <w:pPr>
        <w:pStyle w:val="BookText"/>
        <w:rPr/>
      </w:pPr>
      <w:bookmarkEnd w:id="66"/>
      <w:r>
        <w:rPr>
          <w:rFonts w:ascii="Amiri" w:hAnsi="Amiri" w:eastAsia="Amiri" w:cs="Amiri"/>
          <w:color w:val="111111"/>
          <w:sz w:val="28"/>
          <w:sz w:val="28"/>
          <w:szCs w:val="28"/>
          <w:rtl w:val="true"/>
          <w:lang w:bidi="ar-SA"/>
        </w:rPr>
        <w:t>والآخر ماروت، ويكون هاروت وماروت بياناً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جماعةٍ آخرين </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إنّ الملكين وإن علما السِّحر، إلّاأنّهما خالفا ربّهما، فعن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أمسيا من يومهما الذي اُهبطا فيه حتّى استكملا جميع ما نهيا عنه، فتعجّبت الملائكة من ذلك، ثمّ لم يقدر هاروت وماروت على الصعود إلى السماء، وكانا يعلِّمان الناس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جمعٍ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الملكين أهبطا ليأمرا بالدِّين، وينهيا عن السِّحر، حيث إنّه كان كثيراً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فالتعليم كان من جهة أنّ من لا يعرف الشيء لا يمكن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جواز التعليم في تلك الشريعة أعمٌّ من جوازه في شريعتنا، والاستصحاب قد مرّ غير مرّة أنّه لا يجري في الأحكام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شيءٌ من هذه الوجوه الخمسة إلّاالوجه الثالث، ومنه يظهر حكم التعليم والتعلّم</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0830479_73709187"/>
      <w:bookmarkStart w:id="68" w:name="_Toc22"/>
      <w:bookmarkEnd w:id="67"/>
      <w:r>
        <w:rPr>
          <w:rtl w:val="true"/>
        </w:rPr>
        <w:t>حكم التسخيرات</w:t>
      </w:r>
      <w:bookmarkEnd w:id="68"/>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الظاهر أنّ التسخيرات بأقسامها داخلة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عند ذكر أقسام السِّحر، أنّ السِّحر بما له من المفهوم لا يصدق على </w:t>
      </w:r>
    </w:p>
    <w:p>
      <w:pPr>
        <w:pStyle w:val="BookText"/>
        <w:rPr/>
      </w:pPr>
      <w:r>
        <w:rPr>
          <w:rFonts w:ascii="Amiri" w:hAnsi="Amiri" w:eastAsia="Amiri" w:cs="Amiri"/>
          <w:color w:val="111111"/>
          <w:sz w:val="28"/>
          <w:sz w:val="28"/>
          <w:szCs w:val="28"/>
          <w:rtl w:val="true"/>
          <w:lang w:bidi="ar-SA"/>
        </w:rPr>
        <w:t>التسخيرات، فهي من هذه الجهة لا تكون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فإن انطبق على التسخير عنوانٌ آخر محرّم كالإضرار بمن يعدّ ذلك ظلماً عليه، ويحرم إضراره، أو صيرورة المسخّر في معرض التلف، فيحرم، وإلّا فلا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فتسخير أشرار الإنس والجنّ جائزٌ وإن استلزم إيذائهم، وأولى بالجواز تسخير الحيوانات، فإنّه لا ينطبق عليه شيء من العناوين المحرّمة، والشاهد على ذلك أنّه لا يتوهّم أحد جواز تسخير الحيوانات بالضرب والغلبة ونحوهما، ولا يجوز تسخيرها بما يوجب إطاعتها للإنسان طوعاً</w:t>
      </w:r>
      <w:r>
        <w:rPr>
          <w:rFonts w:eastAsia="Amiri" w:cs="Amiri" w:ascii="Amiri" w:hAnsi="Amiri"/>
          <w:color w:val="111111"/>
          <w:sz w:val="28"/>
          <w:szCs w:val="28"/>
          <w:rtl w:val="true"/>
          <w:lang w:bidi="ar-SA"/>
        </w:rPr>
        <w:t>.</w:t>
      </w:r>
      <w:bookmarkStart w:id="69" w:name="pg11815_192601"/>
    </w:p>
    <w:p>
      <w:pPr>
        <w:pStyle w:val="Heading2"/>
        <w:numPr>
          <w:ilvl w:val="1"/>
          <w:numId w:val="1"/>
        </w:numPr>
        <w:rPr/>
      </w:pPr>
      <w:bookmarkStart w:id="70" w:name="__RefHeading___Toc10830481_73709187"/>
      <w:bookmarkStart w:id="71" w:name="_Toc23"/>
      <w:bookmarkEnd w:id="69"/>
      <w:bookmarkEnd w:id="70"/>
      <w:r>
        <w:rPr>
          <w:rtl w:val="true"/>
        </w:rPr>
        <w:t>حرمة الشّعبذة</w:t>
      </w:r>
      <w:bookmarkEnd w:id="71"/>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الشعبدة حرام، وتنقيح القول بالبحث عنها يتحقّق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فسّرها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الحركة السريعة، بحيث يوجب على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أنّ ذلك تفسيرٌ بالأعمّ‌، إذ لا ريب في أنّ مجرّد تحريك اليد على الاستدارة بسرعة ليرى الناظر دائرة ليس من الشعبذة، ثم مع الإغماض عن ذلك لم يظهر وجه تعليله ذلك بعدم إدراك السكونات المتخلّلة، إذ الموجب لتوهم الدائرة هو سرعة حركة اليد الموجبة لتوهم بقاء ذلك الشيء في مبدء حركته بعد انتقاله عنه في حال أنّه يراه في محلّه الحقيقي في ذلك الوقت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المتحصّل من مجموع كلمات اللّغويين والفقهاء، والمتبادر عند أهل العرف من هذه الكلمة، أنّها عبارة عن فعل ما يفعله سائر الناس من الأفعال المتعارفة بسرعة حركةٍ وخفّة يد، بحيث يظهر لهم غير ما هو واقع الأمر، وكانوا ينتظرونه، والذي يعبّر عنه بالفارسيّة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والمرادفة لخفّة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الفرق بينها وبين السحر، وأنّ النسبة بينهما هي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لحرمتها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وغيره بوجوه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وقد صرّح بقيامه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الشعبذة </w:t>
      </w:r>
    </w:p>
    <w:p>
      <w:pPr>
        <w:pStyle w:val="BookText"/>
        <w:rPr/>
      </w:pPr>
      <w:r>
        <w:rPr>
          <w:rFonts w:ascii="Amiri" w:hAnsi="Amiri" w:eastAsia="Amiri" w:cs="Amiri"/>
          <w:color w:val="111111"/>
          <w:sz w:val="28"/>
          <w:sz w:val="28"/>
          <w:szCs w:val="28"/>
          <w:rtl w:val="true"/>
          <w:lang w:bidi="ar-SA"/>
        </w:rPr>
        <w:t>المحرّمة بالإجماع المحكي والمحصّل</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مثل هذا الإجماع، لأن يكون مدركاً للحكم الشرعي بعد استناد المُجمِعين أو احتمال استنادهم إلى الوجوه الآتية، كما أشرنا إلى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بعض تعاريف السِّحر عليها، فيدلّ على حرمتها ما دلّ على حرمة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مفهوم السِّحر مغايرٌ لمفهوم الشعبذة، وليست الشعبذة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2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ونوعٌ آخر منه خطفة وسرعة ومخاريق وخفّة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أنّ هذا الإطلاق مبنيٌ على نوع من العناية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غير منجبرٍ بعمل المشهور، لعدم إحراز استنادهم إليه في هذا الحكم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الباطل واللّهو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حرمة اللّهو والباطل مطلقاً، وإنّما المحرّم هو قسم خاص من ذلك، مع أنّه إذا ترتّب عليها غرض عقلائي لا تكون من اللّهو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الشعبذة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72" w:name="pg11815_192603"/>
    </w:p>
    <w:p>
      <w:pPr>
        <w:pStyle w:val="Heading2"/>
        <w:numPr>
          <w:ilvl w:val="1"/>
          <w:numId w:val="1"/>
        </w:numPr>
        <w:rPr/>
      </w:pPr>
      <w:bookmarkStart w:id="73" w:name="__RefHeading___Toc10830483_73709187"/>
      <w:bookmarkStart w:id="74" w:name="_Toc24"/>
      <w:bookmarkEnd w:id="72"/>
      <w:bookmarkEnd w:id="73"/>
      <w:r>
        <w:rPr>
          <w:rtl w:val="true"/>
        </w:rPr>
        <w:t>حرمة الغِشّ‌</w:t>
      </w:r>
      <w:bookmarkEnd w:id="74"/>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حرمة الغِشّ‌، وتنقيح القول فيها يتحقّق بالبحث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حكمه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حكمه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بمعنى الخديعة والتلبيس، ويعتبر في صدقه علم الغاش وجهل المغشوش، فلو كانا عالمين بالواقع أو جاهلين به، أو كان الغاش جاهلاً والمغشوش عالماً لما تحقّق مفهوم الغِشّ عرفاً، ويعتبر في صدقه أيضاً كون المزج بما يخفي في متعارف الإختبار الذي يختلف باختلاف الأشياء، فلو كان المزج بها يظهر في متعارف الاختيار لما صدق الغِشّ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زائداً على ذلك كونه ممّا لا يُعرف إلّامن قبل البائع، لعدم مساعدة العرف عليه، فإنّه وإن كان بعض أفراد الغِشّ كذلك كمزج اللّبن بالماء، إلّاأنّ أغلب أفراد الغِشّ التي لا يشكّ أحد من أهل العرف في كونها من الغِشّ‌، تُعرف بإمعان النظر، بل قيل لا غِشّ إلّاويعرفه أولو الفطانة، خصوصاً من كان مداوماً على الغِشّ‌</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في صدقه قصد مفهومه، فما يكون ملتبساً في نفسه لا يجب الإعلام، كما يظهر من الشيخ رحمه الله</w:t>
      </w:r>
      <w:r>
        <w:rPr>
          <w:rStyle w:val="FootnoteAnchor"/>
          <w:rtl w:val="true"/>
        </w:rPr>
        <w:footnoteReference w:id="213"/>
      </w:r>
      <w:r>
        <w:rPr>
          <w:rFonts w:ascii="Amiri" w:hAnsi="Amiri" w:eastAsia="Amiri" w:cs="Amiri"/>
          <w:color w:val="111111"/>
          <w:sz w:val="28"/>
          <w:sz w:val="28"/>
          <w:szCs w:val="28"/>
          <w:rtl w:val="true"/>
          <w:lang w:bidi="ar-SA"/>
        </w:rPr>
        <w:t xml:space="preserve">، أم لا يعتبر ذلك‌؟ </w:t>
      </w:r>
    </w:p>
    <w:p>
      <w:pPr>
        <w:pStyle w:val="BookText"/>
        <w:rPr/>
      </w:pPr>
      <w:r>
        <w:rPr>
          <w:rFonts w:ascii="Amiri" w:hAnsi="Amiri" w:eastAsia="Amiri" w:cs="Amiri"/>
          <w:color w:val="111111"/>
          <w:sz w:val="28"/>
          <w:sz w:val="28"/>
          <w:szCs w:val="28"/>
          <w:rtl w:val="true"/>
          <w:lang w:bidi="ar-SA"/>
        </w:rPr>
        <w:t>وجهان، أقواهما الثاني، لأنّ الغِشّ من الأُمور الواقعيّة التي لا تختلف باختلاف القصود، وليس القصد من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طعاماً فيكون أحسن له وأنفق له أن يبلّه من غير أن يلتمس زيادته‌؟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بيعاً لا يصلحه إلّاذلك ولا ينفقه غيره من غير أن يلتمس فيه زيادةً فلا بأس، وإن كان إنّما يغشّ به المسلمين فلا يصلح</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عليه السلام فصّل في الحرمة بين التماس الزيادة وعدمه، وحكم بالحرمة وكونه غشّاً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الخبر هو التفصيل في بَلّ الطعام بين كونه للإصلاح ورفع العيب أو دفعه، وبين كونه موجباً لإيهام الناس والالتباس، فحَكَم بالجواز في الصورة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فمقتضى إطلاقه عدم الفرق بين كون الغِشّ والمزج مع قصد مفهومه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 قصد مفهومه في صدقه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حرمة الغِشّ في نفسه، كما هو المتّفق عليه نصّاً وفتوىً‌، فقد ذكر الشيخ رحمه الله</w:t>
      </w:r>
      <w:r>
        <w:rPr>
          <w:rStyle w:val="FootnoteAnchor"/>
          <w:rtl w:val="true"/>
        </w:rPr>
        <w:footnoteReference w:id="215"/>
      </w:r>
      <w:r>
        <w:rPr>
          <w:rFonts w:ascii="Amiri" w:hAnsi="Amiri" w:eastAsia="Amiri" w:cs="Amiri"/>
          <w:color w:val="111111"/>
          <w:sz w:val="28"/>
          <w:sz w:val="28"/>
          <w:szCs w:val="28"/>
          <w:rtl w:val="true"/>
          <w:lang w:bidi="ar-SA"/>
        </w:rPr>
        <w:t>جملة من النصوص المتظافرة الدالّة على ذلك فلا حاجة إلى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فما ذكره المحقّق الإيرواني رحمه الله</w:t>
      </w:r>
      <w:r>
        <w:rPr>
          <w:rStyle w:val="FootnoteAnchor"/>
          <w:rtl w:val="true"/>
        </w:rPr>
        <w:footnoteReference w:id="216"/>
      </w:r>
      <w:r>
        <w:rPr>
          <w:rFonts w:ascii="Amiri" w:hAnsi="Amiri" w:eastAsia="Amiri" w:cs="Amiri"/>
          <w:color w:val="111111"/>
          <w:sz w:val="28"/>
          <w:sz w:val="28"/>
          <w:szCs w:val="28"/>
          <w:rtl w:val="true"/>
          <w:lang w:bidi="ar-SA"/>
        </w:rPr>
        <w:t>من أنّ الغِشّ ليس بنفسه من المحرّمات، وإنّما يحرم من جهة انطباق عنوان الكذب وأكل مال الغير بلا رضى صاحبه عليه، مستنداً إلى أنّه لو لم يكن المحرّم ذلك، فإمّا أن يكون المحرّم شوب اللّبن بالماء، ومن المعلوم أنّه ليس ذلك من المحرّمات، أو يكون عرض المشوب للبيع، ومن المعلوم أن مجرّد ذلك ليس بحرامٍ حتّى إذا اتّفق أنّه لم يبع، أو يكون المحرّم هو إنشاء البيع، ومن المعلوم أنّ مجرّد الإنشاء ليس بحرامٍ لو نبّه على الغشّ قبل أن يقبض، أو حَطّ من ثمنه، أو أبرء ذمّته من الثمن، أو خيّره بين الأخذ والترك، فيتعيّن أن يكون الغِشّ هو أخذ قيمة غير المغشوش بإزاء المغشوش غير صحيح، لأنّ ذلك كلّه لا يعتنى به في مقابل ظاهر النصوص الدالّة على حرمة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شوب اللّبن بالماء لا يحرم، لعدم صدق الغِشّ عليه، كما أنّه لا يصدق على مجرّد العرض للبيع، وأمّا إنشاء البيع واعتبار ملكيّة المشتري للمغشوش بعنوان أنّه غير مغشوشٍ‌، فهو حرامٌ بمقتضى النصوص لكونه غِشّاً، وعدم حرمته في صورة التنبيه إنّما يكون لخروجه بذلك عن كونه غِشّاً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حَطّ من الثمن، أو أبرء ذمّته منه، أو خيّره بين الأخذ والترك، مع كون البيع واقعاً على المعنون بعنوان أنّه غير مغشوشٍ‌، فلا يؤثّر في رفع الحرمة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النصوص وإن كان في بادي النظر حرمة الغِشّمطلقاً، سواءٌ أكان في المعاملة أم في غيرها، إلّاأنّه لو لم ندّع اختصاص الغِشّ بالمعاملة، فلو سقي اللّبن الممزوج بالماء للضيف لا يصدق الغِشّ‌، وإن كان يحرم لو أخبر، ولو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5" w:name="pg11815_192606"/>
    </w:p>
    <w:p>
      <w:pPr>
        <w:pStyle w:val="BookText"/>
        <w:rPr/>
      </w:pPr>
      <w:bookmarkEnd w:id="75"/>
      <w:r>
        <w:rPr>
          <w:rFonts w:ascii="Amiri" w:hAnsi="Amiri" w:eastAsia="Amiri" w:cs="Amiri"/>
          <w:color w:val="111111"/>
          <w:sz w:val="28"/>
          <w:sz w:val="28"/>
          <w:szCs w:val="28"/>
          <w:rtl w:val="true"/>
          <w:lang w:bidi="ar-SA"/>
        </w:rPr>
        <w:t>عملاً بموافقة الظاهر للواقع من جهة الكذب، فلا ينبغي التوقّف في تعيّن حمل الأخبار على خصوص المعاملات</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0830485_73709187"/>
      <w:bookmarkStart w:id="77" w:name="_Toc25"/>
      <w:bookmarkEnd w:id="76"/>
      <w:r>
        <w:rPr>
          <w:rtl w:val="true"/>
        </w:rPr>
        <w:t>حكم المعاملة وضعاً</w:t>
      </w:r>
      <w:bookmarkEnd w:id="77"/>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لفساد المعاملة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تعلّق بالمبيع المعنون بكونه غير مغشوش، لا بذات المبيع بأيّ عنوان اتّفق، فلو تبيّن كونه مغشوشاً فقد ظهر أنّه لا وجود للمبيع، وما هو موجودٌ غير واقعٍ عليه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القول في المقام هو أنّ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كليّاً، وكان الغِشّ في الفرد المقبوض الخارجي، فإنّه لا شبهة في صحّة البيع لعدم الغِشّ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للمشتري تبديل المقبوض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المبيع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عُلّق البيع على ذلك بطل، وإنْ لم يكن مغشوشاً، للإجماع على اعتبار التنجيز في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البيع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الوصف الذي يقع البيع عليه من الصور النوعيّة عند العرف، كما لو باع الموجود الخارجي بعنوان أنّه ذهب، فبانَ أنّه نحاس مُذّهب، بطل البيع، لأنّ ما وقع عليه البيع لا تحقّق له في الخارج، وما له تحقّقٌ لم يقع عليه البيع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من الأوصاف الكماليّة، ككون العبد كاتباً، أو من أوصاف الصحّة، </w:t>
      </w:r>
    </w:p>
    <w:p>
      <w:pPr>
        <w:pStyle w:val="BookText"/>
        <w:rPr/>
      </w:pPr>
      <w:r>
        <w:rPr>
          <w:rFonts w:ascii="Amiri" w:hAnsi="Amiri" w:eastAsia="Amiri" w:cs="Amiri"/>
          <w:color w:val="111111"/>
          <w:sz w:val="28"/>
          <w:sz w:val="28"/>
          <w:szCs w:val="28"/>
          <w:rtl w:val="true"/>
          <w:lang w:bidi="ar-SA"/>
        </w:rPr>
        <w:t>ككونه بصيراً، 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المتخلّف من أوصاف الكمال، ثبت خيار الشرط، وإن كان من أوصاف الصحّة تخيّر المشتري بين الفسخ والإمضاء مع أخذ الأرش أو بدونه، ولا يفرّق في ذلك بين أخذه عنواناً للمبيع، أو شرطاً كما حُقّق ذلك كلّه في محلّه، وأشرنا إليه في مسألة التطفيف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ما هو الحقّ عندنا، وأنّه إنّما يبطل البيع في خصوص ما إذا كان الوصف المتخلّف من قبيل الصور النوعيّة، وكان المبيع شخصيّاً، ولا يبطل في سائر الصور، إلّاإذا كان العقد معلّقاً على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موسى بن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الحسن عليه السلام وإذا دنانير مصبوبة بين يديه، فنظر إلى دينارٍ فأخذه بيده ثمّ قطعه بنصفين،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 التعليل في أنّ كلّ ما فيه غِشٌّ لا يَصحّ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الخبر بقرينة الأمر بالإلقاء في البالوعة، هو كون المورد داخلاً فيما يكون المقصود منه حراماً نظير آلات اللّهو، وأين هو من اللّبن الممزوج بالماء وشبهه‌؟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الاستدلال هو عموم التعليل، لا خصوص المورد، والظاهر منه أنّ تمام العلّة هو بيع ما فيه الغِشّ‌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فالصحيح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ضعيف السند للإرسال</w:t>
      </w:r>
      <w:r>
        <w:rPr>
          <w:rStyle w:val="FootnoteAnchor"/>
          <w:rtl w:val="true"/>
        </w:rPr>
        <w:footnoteReference w:id="219"/>
      </w:r>
      <w:r>
        <w:rPr>
          <w:rFonts w:ascii="Amiri" w:hAnsi="Amiri" w:eastAsia="Amiri" w:cs="Amiri"/>
          <w:color w:val="111111"/>
          <w:sz w:val="28"/>
          <w:sz w:val="28"/>
          <w:szCs w:val="28"/>
          <w:rtl w:val="true"/>
          <w:lang w:bidi="ar-SA"/>
        </w:rPr>
        <w:t>، ولحسن بن علي ابن عثمان</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أبي عثمان، الملقّب سجادة أبو محمّد، كوفي، ضعّفه أصحابنا، وذكر أنّ أباه علي بن أبي عثمان روى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أخبرناه إجازة الحسين بن عبيد اللّه، عن أحمد بن جعفر ابن سفيان، عن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عبيد اللّه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استقامته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عثمان سجادة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عبد الجبّار النهاوندي، وروى عنه محمّد بن الحسين بن أبي الخطّاب، والحسين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بكاء جميع ما خلق اللّه على الحسين بن علي عليهما السلام،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أبي عثمان، أبو محمّد الملقّب بسجادة، في عداد القمّيين، ضعيف، وفي مذهبه ارتفاع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رجاله، في أصحاب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أبي عثمان السجادة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قال في أصحاب الهادي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بن أبي عثمان سجادة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السجادة الحسن ابن علي ابن أبي عثمان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محمّد بن أبي زينب، ومحمّد بن عبد اللّه بن عبد المطّلب صلى الله عليه و آله 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محمّد بن أبي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اللّه عزّ وجلّ‌، عاتب في القرآن محمّد بن عبداللّه صلى الله عليه و آله في مواضع، ولم يعاتب محمّد بن أبي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لمحمّد بن عبد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غيرهما، ولم يعاتب محمّد بن أبي زينب بشيء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السجادة لعنة اللّه ولعنة اللّاعنين والملائكة والناس أجمعين، فلقد كان من العليائيّة الذين يقعون في رسول اللّه صلى الله عليه و آله وليس لهم في الإسلام نصيب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وإن وثّقه علي بن إبراهيم، لوقوعه في إسناد تفسيره، إلّاأنّه مع ذلك لا يمكن الاعتماد على رواياته لشهادة النجاشي بأنّ الأصحاب ضعّفوه، وكذلك ضعّفه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في البين تضعيف، لأمكننا الحكم بوثاقته، مع فساد عقيدته، بل مع كفره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بعنوان الحسن ابن علي بن عثمان سجادة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فطريق الشيخ إليه ضعيف بأبي المفضّل، وبابن 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بعض النصوص النهي عن بيع المغشوش، وهو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شيء من النصوص التي بأيدنا النهي عن بيع المغشوش إلّا خبر موسى المتقدّم، وقد مرَّ ما فيه، وخبر الجُعفي</w:t>
      </w:r>
      <w:r>
        <w:rPr>
          <w:rStyle w:val="FootnoteAnchor"/>
          <w:rtl w:val="true"/>
        </w:rPr>
        <w:footnoteReference w:id="221"/>
      </w:r>
      <w:r>
        <w:rPr>
          <w:rFonts w:ascii="Amiri" w:hAnsi="Amiri" w:eastAsia="Amiri" w:cs="Amiri"/>
          <w:color w:val="111111"/>
          <w:sz w:val="28"/>
          <w:sz w:val="28"/>
          <w:szCs w:val="28"/>
          <w:rtl w:val="true"/>
          <w:lang w:bidi="ar-SA"/>
        </w:rPr>
        <w:t>الضعيف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منطبقٌ على عنوان الغِشّ‌، كما يشهد له خبر هشام،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في الظلال غش</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محرّم منهيٌ عنه، والنهي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النفسي المتعلّق بالمعاملة نفسها أو بأمرٍ خارج منطبقٍ عليها لا يدلّ على الفساد، كما حُقّق في أوّل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منع المصنّف رحمه الله</w:t>
      </w:r>
      <w:r>
        <w:rPr>
          <w:rStyle w:val="FootnoteAnchor"/>
          <w:rtl w:val="true"/>
        </w:rPr>
        <w:footnoteReference w:id="223"/>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بيع المعيب مطلقاً مع عدم الإعلام بالعيب غشّاً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التفصيل المذكور في خبر الحلبي إشارة إلى هذا المعنى، حيث إنّه عليه السلام جوّز بلّ الطعام بدون قيد الإعلام إذا لم يقصد به الزيادة، وإن حصلت به، وحرّمه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قصد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الشيخ قدس سره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 في صورة تعيّب المبيع بخروجه عن مقتضى خلقته الأصليّة بعيب خفي أو جَلي أنّ التزام البائع بسلامته عن العيب مع علمه به غِشّ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السلامة من الشروط المبنيّ عليها العقد التي تكون بحكم الشروط المصرّح بها، فكما أنّه مع التصريح به يصدق الغِشّ‌، كذلك مع الإقدام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عند تبيّن الغِشّ أنّه إن كان الغِشّ من قبيل التراب الكثير في الحنطة، كان له حكم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المجموع المركّب من جزئين أو من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للهيئة الاجتماعيّة دخلٌ في زيادة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مصراعي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في ثبوت خيار تبعض الصفقة بالنسبة إلى المصراع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لم يكن لها دخلٌ في ازدياده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بيع منّين من الحنطة بدينارين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الخيار، بل البيع بالنسبة إلى المَنّ الموجود صحيحٌ ولازم، وبالنسبة إلى المفقود باطلٌ‌، فإنّ مآل مثل هذا البيع إلى بيع كلّ مَنّ من الحنطة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مورد لخيار تبعّض الصفقة فيما فرضه الشيخ رحمه الله</w:t>
      </w:r>
      <w:r>
        <w:rPr>
          <w:rStyle w:val="FootnoteAnchor"/>
          <w:rtl w:val="true"/>
        </w:rPr>
        <w:footnoteReference w:id="224"/>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8" w:name="pg11815_192611"/>
    </w:p>
    <w:p>
      <w:pPr>
        <w:pStyle w:val="Heading2"/>
        <w:numPr>
          <w:ilvl w:val="1"/>
          <w:numId w:val="1"/>
        </w:numPr>
        <w:rPr/>
      </w:pPr>
      <w:bookmarkStart w:id="79" w:name="__RefHeading___Toc10830487_73709187"/>
      <w:bookmarkStart w:id="80" w:name="_Toc26"/>
      <w:bookmarkEnd w:id="78"/>
      <w:bookmarkEnd w:id="79"/>
      <w:r>
        <w:rPr>
          <w:rtl w:val="true"/>
        </w:rPr>
        <w:t>حرمة الغناء</w:t>
      </w:r>
      <w:bookmarkEnd w:id="80"/>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Style w:val="FootnoteAnchor"/>
          <w:rtl w:val="true"/>
        </w:rPr>
        <w:footnoteReference w:id="225"/>
      </w:r>
      <w:r>
        <w:rPr>
          <w:rFonts w:ascii="Amiri" w:hAnsi="Amiri" w:eastAsia="Amiri" w:cs="Amiri"/>
          <w:color w:val="111111"/>
          <w:sz w:val="28"/>
          <w:sz w:val="28"/>
          <w:szCs w:val="28"/>
          <w:rtl w:val="true"/>
          <w:lang w:bidi="ar-SA"/>
        </w:rPr>
        <w:t>في حرمة الغناء في الجملة، وتنقيح القول في هذه المسألة يستدعي البحث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موضوع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كلمات الفقهاء واللّغويين في ذلك، وكلماتهم ما بين إفراطٍ وتفريط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 الصوت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تحسينُ الصوت وترقيقه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رفع صوتاً ووالاه فصوته عند العرب غناء</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آخرين</w:t>
      </w:r>
      <w:r>
        <w:rPr>
          <w:rStyle w:val="FootnoteAnchor"/>
          <w:rtl w:val="true"/>
        </w:rPr>
        <w:footnoteReference w:id="229"/>
      </w:r>
      <w:r>
        <w:rPr>
          <w:rFonts w:ascii="Amiri" w:hAnsi="Amiri" w:eastAsia="Amiri" w:cs="Amiri"/>
          <w:color w:val="111111"/>
          <w:sz w:val="28"/>
          <w:sz w:val="28"/>
          <w:szCs w:val="28"/>
          <w:rtl w:val="true"/>
          <w:lang w:bidi="ar-SA"/>
        </w:rPr>
        <w:t>غير ذلك ممّا يقرب من هذه التعاريف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بعض مصاديق هذه التعاريف ليس من أفراد الغناء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 الصوت بالأذان الذي هو من المستحبّات الشرعيّة، وتحسينه بقراءة القرآن </w:t>
      </w:r>
    </w:p>
    <w:p>
      <w:pPr>
        <w:pStyle w:val="BookText"/>
        <w:rPr/>
      </w:pPr>
      <w:r>
        <w:rPr>
          <w:rFonts w:ascii="Amiri" w:hAnsi="Amiri" w:eastAsia="Amiri" w:cs="Amiri"/>
          <w:color w:val="111111"/>
          <w:sz w:val="28"/>
          <w:sz w:val="28"/>
          <w:szCs w:val="28"/>
          <w:rtl w:val="true"/>
          <w:lang w:bidi="ar-SA"/>
        </w:rPr>
        <w:t xml:space="preserve">والمدائح والمراثي، مضافاً إلى السيرة القطعيّة على جواز ذلك كلّه، وقد دلّت النصوص على رجحان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من ذلك عدم تماميّة هذه التعاريف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هذه التعاريف ما اختاره المحقّق الإيرواني رحمه الله</w:t>
      </w:r>
      <w:r>
        <w:rPr>
          <w:rStyle w:val="FootnoteAnchor"/>
          <w:rtl w:val="true"/>
        </w:rPr>
        <w:footnoteReference w:id="230"/>
      </w:r>
      <w:r>
        <w:rPr>
          <w:rFonts w:ascii="Amiri" w:hAnsi="Amiri" w:eastAsia="Amiri" w:cs="Amiri"/>
          <w:color w:val="111111"/>
          <w:sz w:val="28"/>
          <w:sz w:val="28"/>
          <w:szCs w:val="28"/>
          <w:rtl w:val="true"/>
          <w:lang w:bidi="ar-SA"/>
        </w:rPr>
        <w:t>، من أنّ المتيقّن من الغناء المحرّم هو الكلام الباطل في ذاته وبحسب المدلول، والمشتمل على المَدّ والترجيع والإطراب، والمراد من بطلان الكلام هو أن يكون معناه معنى لهويّاً، فالكلام الباطل غير المشتمل على الكيفيّة ذات القيود الثلاثة لا يكون حراماً، كما أنّ المشتمل على الكيفيّة المزبورة لا يكون حراماً إلّاأن يكون باطلاً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الوجه خروج بعض أفراد الغناء الذي لا يتوقّف أحدٌ في كونه غناءً‌، وقد دلّت النصوص عليه، كقراءة القرآن بألحان أهل الفسوق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إليهم</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 الصوت المشتمل على الترجيع المطرب، وقد اختلفت كلماتهم في تفسير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خِفّةٌ تعتري الإنسان لشدّة السرور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خِفّة تعتري لشدّة حزنٍ أو سرور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الإطراب المأخوذ في تعريف الغناء غير الطرب المفسّر لخفّةٍ لشدّة السرور أو الحزن، وأنّ المراد به مَدّ الصوت وتحسينه، وخير هذه الأقوال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فساد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التصريح بفساد وهم من خَصّ الطرب بالسرور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فساد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 مجرّد مَدّ الصوت وتحسينه ليس غناءً قطعاً، لا سيّما وقد ورد أنّ اللّه ما بعث نبيّاً إلّاحَسَن الصوت</w:t>
      </w:r>
      <w:r>
        <w:rPr>
          <w:rStyle w:val="FootnoteAnchor"/>
          <w:rtl w:val="true"/>
        </w:rPr>
        <w:footnoteReference w:id="235"/>
      </w:r>
      <w:r>
        <w:rPr>
          <w:rFonts w:ascii="Amiri" w:hAnsi="Amiri" w:eastAsia="Amiri" w:cs="Amiri"/>
          <w:color w:val="111111"/>
          <w:sz w:val="28"/>
          <w:sz w:val="28"/>
          <w:szCs w:val="28"/>
          <w:rtl w:val="true"/>
          <w:lang w:bidi="ar-SA"/>
        </w:rPr>
        <w:t>، وأنّه كان عليّ بن الحسين عليهما السلام يقرأ القرآن فربما مرَّ به المار فصعق من حُسن صوته</w:t>
      </w:r>
      <w:r>
        <w:rPr>
          <w:rStyle w:val="FootnoteAnchor"/>
          <w:rtl w:val="true"/>
        </w:rPr>
        <w:footnoteReference w:id="236"/>
      </w:r>
      <w:r>
        <w:rPr>
          <w:rFonts w:ascii="Amiri" w:hAnsi="Amiri" w:eastAsia="Amiri" w:cs="Amiri"/>
          <w:color w:val="111111"/>
          <w:sz w:val="28"/>
          <w:sz w:val="28"/>
          <w:szCs w:val="28"/>
          <w:rtl w:val="true"/>
          <w:lang w:bidi="ar-SA"/>
        </w:rPr>
        <w:t>، وإنّ اللّه تعالى يُحبّ الصوت الحَسَن يرجع فيه ترجيعاً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هذا التعريف، أنّه غير مطردٍ ولا منعكس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قيل من أنّ أظهر أفراد الغناء الألحان التي يستعملها أهل الفسوق، مع أنّها لا توجبُ الطرب إلّاأحياناً، مضافاً إلى أنّ من الغناء عند العرف ما ليس فيه مَدٌّ ولا ترجيع مع كونه مطرباً بالفعل، ومن ألحان أهل الفسوق بالمعنى الذي سيمرّ عليك، والظاهر أنّ إطلاق الغناء على قول أهل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جئناكم جئناكم، حيّونا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الأعلى الآتي من هذا القبيل، لعدم مناسبته مع المَدّ والترجيع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ربما يكون الصوت مرجّعاً مشجياً ومثيراً للحزن والبكاء، ولا يصدق عليه الغناء، كما إذا كانت مادّة الكلام حقّاً كمرثية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ما قيل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أيضاً لا يخلو عن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أفاده الشيخ رحمه الله</w:t>
      </w:r>
      <w:r>
        <w:rPr>
          <w:rStyle w:val="FootnoteAnchor"/>
          <w:rtl w:val="true"/>
        </w:rPr>
        <w:footnoteReference w:id="238"/>
      </w:r>
      <w:r>
        <w:rPr>
          <w:rFonts w:ascii="Amiri" w:hAnsi="Amiri" w:eastAsia="Amiri" w:cs="Amiri"/>
          <w:color w:val="111111"/>
          <w:sz w:val="28"/>
          <w:sz w:val="28"/>
          <w:szCs w:val="28"/>
          <w:rtl w:val="true"/>
          <w:lang w:bidi="ar-SA"/>
        </w:rPr>
        <w:t>من أنّ الغناء عبارة عن الصوت اللّهوي، وما يعدّ في الخارج من ألحان أهل الفسوق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الصوت إذا كان مناسباً مع آلات اللّهو والرقص، ولحضور ما يستلذّه القوي الشهويّة من كون المغنّي جاريةً أو نحو ذلك، فهو في العرف صوت لهوي وقول زور، وهو الغناء، ولمّا كان ظاهر هذا التعريف اعتبار فعليّة التلهّي، ولازم ذلك خروج أكثر ما هو غناء عرفاً عنه، عمّمه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اللّهو يتحقّق بأمرين، أي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التلهّي وإنْ لم يكن لهواً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لهواً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أظن وإن كان خلاف ظاهر كلامه في بادي النظر، هو إنّ الصوت تارةً لا يكون لهواً فعلاً بالنسبة إلى المستمعين لعدم وجود المستمع، أو لمانعٍ عن التلهّي من شدّة المرض ونحوها، فهو أيضاً من مصاديق الغناء، ولا ينحصر الغناء بما إذا كان لهواً فعلاً، وهذا التعريف أحسن ما قيل في تعريف الغناء وموافق للمتفاهم العرفي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يرد على الشيخ رحمه الله أنّه لم يظهر لي وجه اعتباره الترجيع في</w:t>
      </w:r>
      <w:r>
        <w:rPr>
          <w:rFonts w:eastAsia="Amiri" w:cs="Amiri" w:ascii="Amiri" w:hAnsi="Amiri"/>
          <w:color w:val="111111"/>
          <w:sz w:val="28"/>
          <w:szCs w:val="28"/>
          <w:rtl w:val="true"/>
          <w:lang w:bidi="ar-SA"/>
        </w:rPr>
        <w:t xml:space="preserve">). </w:t>
      </w:r>
      <w:bookmarkStart w:id="81" w:name="pg11815_192615"/>
    </w:p>
    <w:p>
      <w:pPr>
        <w:pStyle w:val="BookText"/>
        <w:rPr/>
      </w:pPr>
      <w:bookmarkEnd w:id="81"/>
      <w:r>
        <w:rPr>
          <w:rFonts w:ascii="Amiri" w:hAnsi="Amiri" w:eastAsia="Amiri" w:cs="Amiri"/>
          <w:color w:val="111111"/>
          <w:sz w:val="28"/>
          <w:sz w:val="28"/>
          <w:szCs w:val="28"/>
          <w:rtl w:val="true"/>
          <w:lang w:bidi="ar-SA"/>
        </w:rPr>
        <w:t>صدقه، فإنّه لا يعتبر فيه لا بحسب الأدلّة ولا بحسب المتفاهم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هذا التعريف وما ذكره المشهور هي العموم من وجه، لصدق تعريف المشهور على الصوت الموجب للخِفّة الحاصلة من حزن واختصاص هذا التعريف بالخِفّة الحاصلة من شدّة السرور، وصدق هذا التعريف عليكلّ صوتٍ‌أوجب الخِفّة المزبورة، وإنْ لم يكن فيه مَدٌّ ولا ترجيع، ولا يصدق عليه تعريف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كيفيّة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بنفسها لا تصلح إلّاللرقص وموجبة لحصول الخِفّة، فالكلام حينئذٍ يكون غناءً‌، وإن كانت مادّته حقّاً، كالقرآن ونهج البلاغة ونحوهما، وعلى هذا يُحمل ما دلَّ على النهي عن التغنّي بالقرآن وقراءته بألحان أهل الفسوق والكبائر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كذلك، إلّافيما إذا كانت مادّة الكلام باطلة ككونها من المعاني المهيّجة للشهوة الباطلة، كبعض أنحاء التصانيف المتداولة في هذا العصر، وفي مثل ذلك لو كانت مادّة الكلام حقّاً لا يصدق عليه الغناء</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0830489_73709187"/>
      <w:bookmarkStart w:id="83" w:name="_Toc27"/>
      <w:bookmarkEnd w:id="82"/>
      <w:r>
        <w:rPr>
          <w:rtl w:val="true"/>
        </w:rPr>
        <w:t>حكم الغناء</w:t>
      </w:r>
      <w:bookmarkEnd w:id="83"/>
    </w:p>
    <w:p>
      <w:pPr>
        <w:pStyle w:val="BookText"/>
        <w:rPr/>
      </w:pPr>
      <w:r>
        <w:rPr>
          <w:rFonts w:ascii="Amiri" w:hAnsi="Amiri" w:eastAsia="Amiri" w:cs="Amiri"/>
          <w:color w:val="111111"/>
          <w:sz w:val="28"/>
          <w:sz w:val="28"/>
          <w:szCs w:val="28"/>
          <w:rtl w:val="true"/>
          <w:lang w:bidi="ar-SA"/>
        </w:rPr>
        <w:t>المقام الثاني في بيان حكم الغناء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نفى الشيخ الأعظم</w:t>
      </w:r>
      <w:r>
        <w:rPr>
          <w:rStyle w:val="FootnoteAnchor"/>
          <w:rtl w:val="true"/>
        </w:rPr>
        <w:footnoteReference w:id="239"/>
      </w:r>
      <w:r>
        <w:rPr>
          <w:rFonts w:ascii="Amiri" w:hAnsi="Amiri" w:eastAsia="Amiri" w:cs="Amiri"/>
          <w:color w:val="111111"/>
          <w:sz w:val="28"/>
          <w:sz w:val="28"/>
          <w:szCs w:val="28"/>
          <w:rtl w:val="true"/>
          <w:lang w:bidi="ar-SA"/>
        </w:rPr>
        <w:t>الخلاف في حرمته في الجملة، فكأنّه لم يعبأ بما سينقله من المحدِّث الكاشاني</w:t>
      </w:r>
      <w:r>
        <w:rPr>
          <w:rStyle w:val="FootnoteAnchor"/>
          <w:rtl w:val="true"/>
        </w:rPr>
        <w:footnoteReference w:id="240"/>
      </w:r>
      <w:r>
        <w:rPr>
          <w:rFonts w:ascii="IRNazanin" w:hAnsi="IRNazanin" w:eastAsia="IRNazanin"/>
          <w:color w:val="111111"/>
          <w:sz w:val="28"/>
          <w:sz w:val="28"/>
          <w:szCs w:val="28"/>
          <w:rtl w:val="true"/>
          <w:lang w:bidi="fa-IR"/>
        </w:rPr>
        <w:t>من عدم حرمته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بل عن بعضهم دعوى كونها من الضروريّات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للحرمة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لمعلوميّة مدرك المجمعين لا يكون الإجماع تعبّديّاً، فلا يصلح أن يكون مدركاً لهذا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الآيات الشريفة بضميمة النصوص الواردة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ففي جملةٍ من النصوص</w:t>
      </w:r>
      <w:r>
        <w:rPr>
          <w:rStyle w:val="FootnoteAnchor"/>
          <w:rtl w:val="true"/>
        </w:rPr>
        <w:footnoteReference w:id="243"/>
      </w:r>
      <w:r>
        <w:rPr>
          <w:rFonts w:ascii="Amiri" w:hAnsi="Amiri" w:eastAsia="Amiri" w:cs="Amiri"/>
          <w:color w:val="111111"/>
          <w:sz w:val="28"/>
          <w:sz w:val="28"/>
          <w:szCs w:val="28"/>
          <w:rtl w:val="true"/>
          <w:lang w:bidi="ar-SA"/>
        </w:rPr>
        <w:t xml:space="preserve">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الغناء، وأكثرها وإن كانت ضعيفة السند، إلّا أنّ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وفيه غنى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على الاستدلال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ظاهر هذه النصوص كون الغناء من مقولة الكلام، 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 علي بن الحسين عليهما السلام في المرسل في الجارية التي لها صوت بأنّه لا بأس لو اشتريتها فذكّرتك الجنّة، يعني بقراءة القرآن والزهد والفضائل التي ليست بغناء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وأيّده بما في بعض الأخبار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قول الزور أن يقول للذي يُغنّي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المحقّق الإيرواني</w:t>
      </w:r>
      <w:r>
        <w:rPr>
          <w:rStyle w:val="FootnoteAnchor"/>
          <w:rtl w:val="true"/>
        </w:rPr>
        <w:footnoteReference w:id="245"/>
      </w:r>
      <w:r>
        <w:rPr>
          <w:rFonts w:ascii="IRNazanin" w:hAnsi="IRNazanin" w:eastAsia="IRNazanin"/>
          <w:color w:val="111111"/>
          <w:sz w:val="28"/>
          <w:sz w:val="28"/>
          <w:szCs w:val="28"/>
          <w:rtl w:val="true"/>
          <w:lang w:bidi="fa-IR"/>
        </w:rPr>
        <w:t>والأستاذ الأعظم</w:t>
      </w:r>
      <w:r>
        <w:rPr>
          <w:rStyle w:val="FootnoteAnchor"/>
          <w:rtl w:val="true"/>
        </w:rPr>
        <w:footnoteReference w:id="246"/>
      </w:r>
      <w:r>
        <w:rPr>
          <w:rFonts w:ascii="Amiri" w:hAnsi="Amiri" w:eastAsia="Amiri" w:cs="Amiri"/>
          <w:color w:val="111111"/>
          <w:sz w:val="28"/>
          <w:sz w:val="28"/>
          <w:szCs w:val="28"/>
          <w:rtl w:val="true"/>
          <w:lang w:bidi="ar-SA"/>
        </w:rPr>
        <w:t>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تفسير قول الزور بالغناء، لا يقتضي أن يكون الغناء من مقولة الكلام، لصحّة هذا التفسير وإن كان الغناء من كيفيّة الكلام المتّحد الكيفيّة في الخارج مع المكيف بالكيفيّة، فإذا كانت الكيفيّة زوراً باطلاً صدق أنّ الكلام زور وباطل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اتّحاد المادّة مع الكيفيّة في الوجود اللّفظي وإن كان لا يُنكر، إلّاأنّه لا ريب في أنّ لكلّ واحدةٍ منها أوصافاً وعناوين مختصّة بها، مثلاً الكذِب من عناوين المادّة لا الكيفيّة، ولا يَصحّ نسبته إلى الكيفيّة باعتبار اتّحادها وجوداً مع المكيّف بها، والشيخ رحمه الله يدّعي ظهور هذا التفسير في أنّ الغناء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المحقّقان الشيرازيّان</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بالغناء ليس بالتصرّف في الغناء بجعله عبارة عن الكلام المشتمل على المعاني الباطلة، إذ كون الكلام المشتمل على الكيفيّة والمعاني الباطلة معدودٌ من قول الزور واضحٌ غير محتاج إلى بيان وتفسير، فيتعيّن التصرّف في قول الزور بالحمل على البطون، أو بإرادة الأعمّ من الزوريّة بحسب المعنى الذي هو الظاهر منه، وعليه فلا تسقط دلالتها على حرمة الكيفيّة الخاصّة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المعنى الأوّل يمكن أن يقال إنّ التفسير إنّما هو بلحاظ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ليس بحرام مطلقاً، فأراد عليه السلام التنبيه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منه الغناء، وعليه فليس هذا واضحاً غير محتاج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فالأولى في الإيراد على الشيخ رحمه الله أن يقال إنّ المادّة حيث لا تكون من حيث هي زوراً بل زوريتها إمّا أن تكون بلحاظ ما يكون متّحداً معها وجوداً من الكيفيّة الخاصّة، أو تكون بلحاظ معناها، فلا شهادة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بالغناء كون الغناء من مقولة الكلام لملائمته مع كونه من كيفيّات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لا يكون مطلق الصوت غناءً‌، والإمام عليه السلام نفى البأس عن شراء الجارية التي لها صوت إذا لم تتغن بصوتها، فلا شهادة فيه لكون الغناء من مقولة الكلام، والتفسير المزبور لو لم يدلّ على أنّ الغنائيّة متقوّمة بالكيفيّة من جهة دلالته على أنّ من المذكورات ما هو غناء ومنها ما ليس بغناء، لما دلّ على أنّ الغناء من مقولة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الوجه الأخير المذكور تأييداً، أنّ عَدّ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الزور بلحاظ مدلوله، لا يدلّ على أنّه ليس من قول الزور ما يكون كذلك بلحاظ الكيفيّة، إذ لعلّه عام يصدق مع كلّ من اللّحاظين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ففي جملةٍ من الرويات كون الغناء من لهو الحديث، وفيها حسن محمّد ابن مسلم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وتقريب الإيراد على الاستدلال به، والجواب عنه ما تقدّم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الصباح الكناني بالغناء</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الشيخ رحمه الله</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مشاهد الزور هي مجالس التغنّي بالأباطيل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مصادرة، لكون ذلك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فقد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بالغناء</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 على المستدلّ بهذه الآيات، بأنّ النصوص الواردة في تفسيرها بالغناء معارضة مع النصوص الأخر المفسّرة إيّاها بتفسير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في تفسير القرآن كلّها من قبيل تعيين المصداق، ولا تدلّ على الانحصار، فلا تعارض بينها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Style w:val="FootnoteAnchor"/>
          <w:rtl w:val="true"/>
        </w:rPr>
        <w:footnoteReference w:id="256"/>
      </w:r>
      <w:r>
        <w:rPr>
          <w:rFonts w:ascii="Amiri" w:hAnsi="Amiri" w:eastAsia="Amiri" w:cs="Amiri"/>
          <w:color w:val="111111"/>
          <w:sz w:val="28"/>
          <w:sz w:val="28"/>
          <w:szCs w:val="28"/>
          <w:rtl w:val="true"/>
          <w:lang w:bidi="ar-SA"/>
        </w:rPr>
        <w:t>المستفيضة الواردة في بيان حرمته وحرمة التكسّب به واستماعه، وحرمة تعليمه وتعلّمه، وما يترتّب عليه من المفاسد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الغناء لا ينبغي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إلى المحدِّث الكاشاني</w:t>
      </w:r>
      <w:r>
        <w:rPr>
          <w:rStyle w:val="FootnoteAnchor"/>
          <w:rtl w:val="true"/>
        </w:rPr>
        <w:footnoteReference w:id="257"/>
      </w:r>
      <w:r>
        <w:rPr>
          <w:rFonts w:ascii="Amiri" w:hAnsi="Amiri" w:eastAsia="Amiri" w:cs="Amiri"/>
          <w:color w:val="111111"/>
          <w:sz w:val="28"/>
          <w:sz w:val="28"/>
          <w:szCs w:val="28"/>
          <w:rtl w:val="true"/>
          <w:lang w:bidi="ar-SA"/>
        </w:rPr>
        <w:t>القول بجواز الغناء من حيث هو، وإنّما يحرم إذا اشتمل على محرّم من الخارج، مثل اللّعب بآلات اللّهو، ودخول الرِّجال، والكلام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البحث عن صحّة هذه النسبة وبطلانها، وفي الجمع بين كلمات الشيخ رحمه الله حيث إنّه ينسب إليه أوّلاً القول بالجواز، ثمّ ينسب إليه غير ذلك، وإنّما المهمّ بيان أصل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يدّعي عدم حرمة الغناء، واستدلّ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النصوص رواية معتبرة دالّة على حرمة الغناء، فالمتعيّن الأخذ بالمتيقّن، والمتيقّن هو ما إذا اقترن بأحد المحرّمات الأُخر، كما كان متعارفاً في زمن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تواتر الروايات الدالّة على ذلك، وقد مرّ أنّ فيها روايات معتبرة، فراجع</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حرمة الغناء منصرفة إلى الغناء من خلال الصوت الخارج من آلات اللّهو من المزمار ونحوه بإيجادٍ فيها، فالغناء المجرّد لا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لدعوى الانصراف، بل ظاهر النصوص النهي عن نفس الغناء ومن حيث هو</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بقرينة دلالة بعضها على أنّ المنع بمناط اللّهو،د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محمولة على مطلق المرجوحيّة، إذ من المعلوم أنّ اللّهو بما هو لا يقتضي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سيأتي في مبحث اللّهو</w:t>
      </w:r>
      <w:r>
        <w:rPr>
          <w:rStyle w:val="FootnoteAnchor"/>
          <w:rtl w:val="true"/>
        </w:rPr>
        <w:footnoteReference w:id="259"/>
      </w:r>
      <w:r>
        <w:rPr>
          <w:rFonts w:ascii="Amiri" w:hAnsi="Amiri" w:eastAsia="Amiri" w:cs="Amiri"/>
          <w:color w:val="111111"/>
          <w:sz w:val="28"/>
          <w:sz w:val="28"/>
          <w:szCs w:val="28"/>
          <w:rtl w:val="true"/>
          <w:lang w:bidi="ar-SA"/>
        </w:rPr>
        <w:t xml:space="preserve">من حرمته على بعض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إنّما تدلّ على حرمة الغناء من حيث إنّه صوت لهوي، وهذا لا يستلزمُ حرمة كلّ ما يكون لهواً، كي يُستكشف جوازه من جواز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لم يبعّد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إلحاقة بالصحاح، عن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الغناء في الفطر والأضحى والفرح‌؟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يُعص به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وإن كان ضعيف السند لعبداللّه بن الحسن، وعدم استبعاد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إلحاقه بالصّحاح، يمكن أن يكون لأجل أنّه اطّلع على أمارة مفيدة للظنّ بوثاقته، غير مفيدة بالنسبة إلينا، إلّاأنّ الخبر 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المذكور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حرمة الغناء إذا اقترن بالمعاصي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محتملات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لم يقترن بضرب المزمار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لم يوجد الغناء في المزمار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لم يكن الصوت صوتاً مزماريّاً ولحناً راقصاً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بالخبر يتوقّف على إرادة المعنى الأوّل، ولا ريب في كونه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 الظاهر، إذ لو كان المراد ذلك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يقترن بالمزمار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من الخبر هو إرادة المعنى الثالث،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كون إطلاق الغناء على الجامع بين القسمين إطلاقاً على المعنى الأعمّ كإطلاق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علي بن الحسين عليهما السلام عن شراء جارية لها صوت‌؟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اشتريتها فذكّرتك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بقراءة القرآن والزهد والفضائل التي ليست بغناء، وأمّا الغناء فمحظور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وراد في الجارية التي لها صوت، لا المغنّية، إذ الظاهر أنّ التفسير إنّما هو من الشيخ الصدوق، وعلى فرض كونه من الإمام عليه السلام فهو يدلّ على أنّ المذكورات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على أنّ الغناء محرّم في نفسه وبحدّ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المغنّية التي تزفّ العرائس ليس به بأس، وليست بالتي يدخل عليها الرِّجال</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كسب 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يَدخل عليها الرجال حرام، والتي تُدعى إلى الأعراس ليس به بأس، وهو قول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مَنْ يَشْتَرِي لَهْوَ اَلْحَدِيثِ‌</w:t>
      </w:r>
      <w:r>
        <w:rPr>
          <w:rFonts w:eastAsia="Amiri" w:cs="Amiri" w:ascii="Amiri" w:hAnsi="Amiri"/>
          <w:color w:val="111111"/>
          <w:sz w:val="28"/>
          <w:szCs w:val="28"/>
          <w:rtl w:val="true"/>
          <w:lang w:bidi="ar-SA"/>
        </w:rPr>
        <w:t>)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يدلّان على أنّ حرمة الغناء في الفرض مختصّة بما إذا دخل الرجال على المغنّية، وبعد الغاء خصوصيّة كون من يغني امرأة، وكون المحرّم دخول الرِّجال يتمّ المطلوب، فيكون مفادهما جواز الغناء ما لم ينضمّ إليه أحد المحرّمات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 الخبر الأوّل، بأنّها ليست بالتي يدخل عليها الرِّجال، ودلالة الثاني على أنّ غناء المغنّية التي يدخل عليها الرجال داخلٌ في لهو الحديث، المقصود به إدخال الناس في المعاصي، والإخراج عن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الثاني ضعيف السند لعلي بن أبي حمزة البطائني الواقفي، الكذّاب 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الأوّل، فغاية ما يستفاد منه أنّ المغنّية التي تزفّ العرائس لا باس بغنائها ما لم يقترن بأحد المحرّمات الاُخر، دون أن يكون متعرّضاً لحكم الغناء في ما عدا زف العرائس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مدح الصوت الحَسَن، وأنّه ما بعث اللّه نبيّاً إلّاوهو حَسن الصوت، واستحباب قراءة القرآن بالصوت الحسن، وأنّ عليّ ابن الحسين عليهما السلام كان أحسن الناس صوتاً بالقرآن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يستفاد منها جواز الغناء، بل استحبابه في القرآن، وأنّ الحرمة إنّما تكون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للاُمور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مربوطة بالغناء، إذ صوت الحسن غير الغناء كما تقدّم، هذا كلّه مضافاً أنّه لو تمّت دلالة ما تقدّم على هذا القول، بما أنّه لا يمكن حمل جميع ما دلّ على حرمة الغناء على أنّ حرمته إنّما تكون للأُمور الخارجيّة، ولا يمكن رفع اليد عن ظهورها في حرمة الغناء نفسه، فلا محالة يقع التعارض بينهما، والترجيع معها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وأضف إلى ذلك أنّه لم يُنسب القول بالجواز إلى أحدٍ سوى المحدِّث المذكور</w:t>
      </w:r>
      <w:r>
        <w:rPr>
          <w:rStyle w:val="FootnoteAnchor"/>
          <w:rtl w:val="true"/>
        </w:rPr>
        <w:footnoteReference w:id="265"/>
      </w:r>
      <w:r>
        <w:rPr>
          <w:rFonts w:ascii="Amiri" w:hAnsi="Amiri" w:eastAsia="Amiri" w:cs="Amiri"/>
          <w:color w:val="111111"/>
          <w:sz w:val="28"/>
          <w:sz w:val="28"/>
          <w:szCs w:val="28"/>
          <w:rtl w:val="true"/>
          <w:lang w:bidi="ar-SA"/>
        </w:rPr>
        <w:t>والمحقّق السبزواري</w:t>
      </w:r>
      <w:r>
        <w:rPr>
          <w:rStyle w:val="FootnoteAnchor"/>
          <w:rtl w:val="true"/>
        </w:rPr>
        <w:footnoteReference w:id="266"/>
      </w:r>
      <w:r>
        <w:rPr>
          <w:rFonts w:ascii="Amiri" w:hAnsi="Amiri" w:eastAsia="Amiri" w:cs="Amiri"/>
          <w:color w:val="111111"/>
          <w:sz w:val="28"/>
          <w:sz w:val="28"/>
          <w:szCs w:val="28"/>
          <w:rtl w:val="true"/>
          <w:lang w:bidi="ar-SA"/>
        </w:rPr>
        <w:t>، وقد عرفت دعوى بعضهم أنّ عدم الجواز من الضروريّات، فإذاً لا ينبغي التوقّف في الحكم بالحرمة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84" w:name="pg11815_192625"/>
    </w:p>
    <w:p>
      <w:pPr>
        <w:pStyle w:val="Heading2"/>
        <w:numPr>
          <w:ilvl w:val="1"/>
          <w:numId w:val="1"/>
        </w:numPr>
        <w:rPr/>
      </w:pPr>
      <w:bookmarkStart w:id="85" w:name="__RefHeading___Toc10830491_73709187"/>
      <w:bookmarkStart w:id="86" w:name="_Toc28"/>
      <w:bookmarkEnd w:id="84"/>
      <w:bookmarkEnd w:id="85"/>
      <w:r>
        <w:rPr>
          <w:rtl w:val="true"/>
        </w:rPr>
        <w:t>مستثنيات حرمة الغناء</w:t>
      </w:r>
      <w:bookmarkEnd w:id="8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القوم من الغناء المحرّم موارد،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لم يُسمّ قائله</w:t>
      </w:r>
      <w:r>
        <w:rPr>
          <w:rStyle w:val="FootnoteAnchor"/>
          <w:rtl w:val="true"/>
        </w:rPr>
        <w:footnoteReference w:id="267"/>
      </w:r>
      <w:r>
        <w:rPr>
          <w:rFonts w:ascii="Amiri" w:hAnsi="Amiri" w:eastAsia="Amiri" w:cs="Amiri"/>
          <w:color w:val="111111"/>
          <w:sz w:val="28"/>
          <w:sz w:val="28"/>
          <w:szCs w:val="28"/>
          <w:rtl w:val="true"/>
          <w:lang w:bidi="ar-SA"/>
        </w:rPr>
        <w:t>عن جواز الغناء في المراثي، دون أن يذكر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وقرّبه المحقّق الأردبيلي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وعلّل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ثبت الإجماع إلّافي غيرها، والأخبار ليست بصحيحة صريحة في التحريم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وجود روايات صحيحة دالّة على حرمة الغناء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على ذلك، لأنّه المتعارف دائماً في بلاد المسلمين من زمان المشايخ إلى زماننا هذا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السيرة على الرثاء وإقامة التعزية مسلّم، إلّاأنّه لا نُسلِّم قيام السيرة على التغنّي فيها، بل المسلّم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النياحة لا تكون إلّامعه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البكاء والتفجّع مطلوبٌ مرغوب فيه، وفيه ثوابٌ عظيم، والغناء معينٌ على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الغناء لا يكون مُعيناً على البكاء، لما تقدّم في مقام بيان حقيقته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كونه معيناً عليه، لا وجه للقول بجوازه من جهة وقوعه مقدّمة للمستحبّ‌، إذ لو وقعت المزاحمة بين حكمين أحدهما إلزامي والآخر غير إلزامي، فإنّه لا شبهة في تقديم الدليل الأوّل على الثاني لكونه صالحاً لأن يكون معجزاً عن غيره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أدلّة الإبكاء والرثاء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المستحبّات لا تقاوم أدلّة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 ما ذكره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الاستحباب إنّما يتضمّن ثبوت الحكم لوجود جهته المقتضية له، مع عدم تحقّق ما يقتضي الإلزام بترك مورده، فالفعل إنّما يتّصف بالاستحباب إذا خلا في طبعه عمّا يقتضي الحرمة، فمع طروء عنوان ملزم لتركه يكون محرما ولا يقاومه دليل الاستحباب، فالإبكاء مستحبٌّ ما لم يطرء عليه أحد العناوين المحرّمة منها الغناء، فلا يصلح دليل مطلوبيّته لمقاومة أدلّة حرمة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عدم مقاومة أدلّة الأحكام غير الإلزاميّة لأدلّة الأحكام الإلزاميّة إنّما يتمّ في مواضع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وقعت المزاحمة بين الطائفتين في مقام الامتثال من دون أن تتصادقا على مورد واحد، كما إذا وقعت المزاحمة بين وجوب الصوم واستحباب قراءة القرآن، إذا لم يتمكّن من الجمع بينهما، فإنّه في مثل ذلك لا شبهة في تقديم الأوّل، لأنّ دليله يكون معجزاً عن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الموضوع فيهما واحداً، ويكون الحكم غير الإلزامي مشروطاً بأن لا يلزم من موافقته مخالفة حكم إلزامي كقضاء حاجة المؤمن، حيث إنّ استحبابه مقيّدٌ بعدم لزوم فعل الحرام من امتثاله، وعليه يبتني عدم توقّف أحد من أنّه لا يجوز شيء من المحرّمات بعنوان قضاء حاجة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الحكم غير الإلزامي مترتّباً على الشيء بعنوانه الأوّلي، والحكم الإلزامي متعلّقاً به بعنوانه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هذه الموارد الثلاثة، وهو ما إذا كان الثابت في الواقع حكماً واحداً، وكانت الأدلّة متعارضة في ثبوت الحكم الإلزامي أو غير الإلزامي، بنحو التباين أو العموم من وجه، مع عدم كون الحكم غير الإلزامي مشروطاً بعدم مخالفة الحكم الإلزامي، فلا وجه لدعوى تقدّم دليل الحكم الإلزامي إلّادعوى أحد أُمورٍ ثلاثة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الإطلاق لدليل الحكم غير الإلزامي، بنحوٍ يشمل مورد أقام فيه دليلٌ على حكم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عن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تقيّيد ما تضمّنه من الحكم بعدم المخالفة للحكم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مقتضيات الأحكام الترخيصيّة لا تصلح لمزاحمة مقتضيات الأحكام الإلزاميّة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فأجنبيّة عن المقام، إذ تلك إنّما هي فيما إذا ثبت المقتضيان، وهو في الفرض معلومُ العدم، لفرض التعارض بين الدليلين، ولا أقلّ من عدم المعلوميّة، وعليه فلا </w:t>
      </w:r>
      <w:bookmarkStart w:id="87" w:name="pg11815_192628"/>
    </w:p>
    <w:p>
      <w:pPr>
        <w:pStyle w:val="BookText"/>
        <w:rPr/>
      </w:pPr>
      <w:bookmarkEnd w:id="87"/>
      <w:r>
        <w:rPr>
          <w:rFonts w:ascii="IRNazanin" w:hAnsi="IRNazanin" w:eastAsia="IRNazanin"/>
          <w:color w:val="111111"/>
          <w:sz w:val="28"/>
          <w:sz w:val="28"/>
          <w:szCs w:val="28"/>
          <w:rtl w:val="true"/>
          <w:lang w:bidi="fa-IR"/>
        </w:rPr>
        <w:t>مناص عن الرجوع إلى مرجّحات باب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نحن فيه من هذا القبيل، وليس من قبيل الموارد الثلاثة الأوّل، كما هو واضح، فلابدّ من تقديم أدلّة الغناء لمخالفتها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إنّما هو للطرب، وليس في المراثي طرب، بل ليس فيها إلّا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يكون الصوت صوتاً لهويّاً ولحناً راقصاً، ويوجب حصول النشاط والإنبساط للسّامع، ولكن ربما يبكي المستمع في خلاله لأجل الهموم المركوزة في قلبه، الغائبة عن خاطره، من فقد ما تستحضره القوى الشهويّة، ويتخيّل أنّه بكى في المرثية، أو أنّه يبكي من جهة أقوائيّة المادّة في حصول الحزن من الكيفيّة المطربة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بنفسه موجباً لحصول الحزن والبكاء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صدق الغناء على الثاني، وإن كان هو الحقّ كما عرفت، إلّاأنّه صادق على الأوّل، فاللّازم هو مراعاة ذلك وتميّيز الغناء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الغناء في المراثي حرامٌ‌، إلّاأنّ الصوت غير الموجب لحصول الخِفّة الحاصلة عن شدّة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غيرالملهي لايكون غناءاً فلايكون محرّماً</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10830493_73709187"/>
      <w:bookmarkStart w:id="89" w:name="_Toc29"/>
      <w:bookmarkEnd w:id="88"/>
      <w:r>
        <w:rPr>
          <w:rtl w:val="true"/>
        </w:rPr>
        <w:t>الغناء في قراءة القرآن</w:t>
      </w:r>
      <w:bookmarkEnd w:id="89"/>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قراءة القرآن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نُسب استثناء ذلك إلى المحقّق السبزواري</w:t>
      </w:r>
      <w:r>
        <w:rPr>
          <w:rStyle w:val="FootnoteAnchor"/>
          <w:rtl w:val="true"/>
        </w:rPr>
        <w:footnoteReference w:id="270"/>
      </w:r>
      <w:r>
        <w:rPr>
          <w:rFonts w:ascii="Amiri" w:hAnsi="Amiri" w:eastAsia="Amiri" w:cs="Amiri"/>
          <w:color w:val="111111"/>
          <w:sz w:val="28"/>
          <w:sz w:val="28"/>
          <w:szCs w:val="28"/>
          <w:rtl w:val="true"/>
          <w:lang w:bidi="ar-SA"/>
        </w:rPr>
        <w:t>، وتبعه بعض المحقّقين</w:t>
      </w:r>
      <w:r>
        <w:rPr>
          <w:rStyle w:val="FootnoteAnchor"/>
          <w:rtl w:val="true"/>
        </w:rPr>
        <w:footnoteReference w:id="27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القرآن خارجة عن الغناء موضوعاً، إذ يعتبر في صدق الغناء كون معنى الكلام ومضمونه لهويّاً،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والمحقّق الإيرواني رحمه الله</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7754</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في المقام الأوّل فساد هذا المسلك، وأنّ الغناء كيفيّة خاصّة في الصوت، وهو الصوت اللّهوي المجامع مع كون المادّة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دلّت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على استحباب تحسين الصوت في قراءة القرآن والتحزين والترجيع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منها لا يوجد بدون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أنّ هذه العناوين غير الغناء، إذ الغناء هو الصوت اللّهوي واللّحن الذي يُرقص، ومجرّد حسن الصوت والترجيع به والتحزين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تنافي بين هذه النصوص، وبين ما دلّ على ذمّ التغنّي بالقرآن كخبر عبد اللّه بن سنان،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القرآن بألحان العرب وأصواتها، وإيّاكم ولحون أهل الفسق وأهل الكبائر، فإنّه سيجيءُ بعدي أقوامٌ يرجعون القرآن ترجيع الغناء والنوح والرهبانيّة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السبزواري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لبنائه عليملازمة تحسين الصوت و الترجيع به للغناء، بني على التعارض بين الطائفتين، وجَمَع بينهما بنحوين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على هذا المسلك،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تلك الأخبار الواردة المانعة بما عدا القرآن، وحمل ما يدلّ على ذمّ التغنّي بالقرآن على قراءةٍ تكون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0" w:name="pg11815_192630"/>
    </w:p>
    <w:p>
      <w:pPr>
        <w:pStyle w:val="BookText"/>
        <w:rPr/>
      </w:pPr>
      <w:bookmarkEnd w:id="90"/>
      <w:r>
        <w:rPr>
          <w:rFonts w:ascii="Amiri" w:hAnsi="Amiri" w:eastAsia="Amiri" w:cs="Amiri"/>
          <w:color w:val="111111"/>
          <w:sz w:val="28"/>
          <w:sz w:val="28"/>
          <w:szCs w:val="28"/>
          <w:rtl w:val="true"/>
          <w:lang w:bidi="ar-SA"/>
        </w:rPr>
        <w:t>على سبيل اللّهو، كما يصنعه الفسّاق في غنائهم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الغناء معارضة مع الأخبار</w:t>
      </w:r>
      <w:r>
        <w:rPr>
          <w:rStyle w:val="FootnoteAnchor"/>
          <w:rtl w:val="true"/>
        </w:rPr>
        <w:footnoteReference w:id="273"/>
      </w:r>
      <w:r>
        <w:rPr>
          <w:rFonts w:ascii="Amiri" w:hAnsi="Amiri" w:eastAsia="Amiri" w:cs="Amiri"/>
          <w:color w:val="111111"/>
          <w:sz w:val="28"/>
          <w:sz w:val="28"/>
          <w:szCs w:val="28"/>
          <w:rtl w:val="true"/>
          <w:lang w:bidi="ar-SA"/>
        </w:rPr>
        <w:t>الكثيرة الدالّة على فضل قراءة القرآن، والنسبة عموم من وجه، فتتساقطان في مورد الاجتماع فيرجع إلى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المختار في التعارض بين العامين من وجه هو الرجوع إلى المرجّحات، وهي تقتضي تقديم نصوص الغناء لكونها مخالفة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أجابه الشيخ رحمه الله</w:t>
      </w:r>
      <w:r>
        <w:rPr>
          <w:rStyle w:val="FootnoteAnchor"/>
          <w:rtl w:val="true"/>
        </w:rPr>
        <w:footnoteReference w:id="274"/>
      </w:r>
      <w:r>
        <w:rPr>
          <w:rFonts w:ascii="Amiri" w:hAnsi="Amiri" w:eastAsia="Amiri" w:cs="Amiri"/>
          <w:color w:val="111111"/>
          <w:sz w:val="28"/>
          <w:sz w:val="28"/>
          <w:szCs w:val="28"/>
          <w:rtl w:val="true"/>
          <w:lang w:bidi="ar-SA"/>
        </w:rPr>
        <w:t>من أنّ أدلّة الأحكام غير الإلزاميّة لا تقاوم أدلّة الأحكام الإلزاميّة، فقد مَرّ ما فيه مفصّلاً في المستثنى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حرمة الغناء في قراءة القرآن، ويدلّ عليه خبر عبد اللّه ابن سنان المتقدّم، ولكنّه ضعيف السند لأنّ في طريقه إبراهيم الأحمر، لكن نقول إنّ الغناء في ذلك أبغض لكونه هتكاً للدِّين</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0830495_73709187"/>
      <w:bookmarkStart w:id="92" w:name="_Toc30"/>
      <w:bookmarkEnd w:id="91"/>
      <w:r>
        <w:rPr>
          <w:rtl w:val="true"/>
        </w:rPr>
        <w:t>الحُداء لسوق الإبل</w:t>
      </w:r>
      <w:bookmarkEnd w:id="92"/>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الحُداء لسوق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استثنائه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استدلّ له بوجوه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المرسل الذي ذكره في كتاب الشهادات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المتضمّن تقرير النبيّ صلى الله عليه و آله لعبداللّه بن رواحة حيث حَدا للإبل وكان حَسَن الصوت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دلالته وسنده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الشيرازي</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 لم أعرف وجه ضعفها على تقدير كون الحُداء من الغناء، وضعف سنده منجبرٌ بنقل الشهرة، وفتوى جمعٍ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متضمّنٌ لواقعة شخصيّة، فيمكن أن لا يكون الحُداء الذي جوّزه النبيّ صلى الله عليه و آله غناءاً، فلا يدلّ على جواز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السكوني، عن جعفر بن محمّد عليهما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المسافر الحُداء والشّعر ما كان منه ليس فيه خناء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جفاء، أو حنان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أي الطرب على اختلاف النسخ، بناءً على رجوع القيد إلى خصوص الشعر كما يشهد به أفراد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الاستدلال به مبنيٌّ على كون الحُداء منحصراً بالغناء، ولكنّه ممنوعٌ‌، فلا يدلّ على جواز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الوجه الثالث وهو استقرار السيرة على جواز الحُداء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 وهو</w:t>
      </w:r>
      <w:r>
        <w:rPr>
          <w:rStyle w:val="FootnoteAnchor"/>
          <w:rtl w:val="true"/>
        </w:rPr>
        <w:footnoteReference w:id="282"/>
      </w:r>
      <w:r>
        <w:rPr>
          <w:rFonts w:ascii="Amiri" w:hAnsi="Amiri" w:eastAsia="Amiri" w:cs="Amiri"/>
          <w:color w:val="111111"/>
          <w:sz w:val="28"/>
          <w:sz w:val="28"/>
          <w:szCs w:val="28"/>
          <w:rtl w:val="true"/>
          <w:lang w:bidi="ar-SA"/>
        </w:rPr>
        <w:t>أنّ الحُداء قسيمٌ للغناء بشهادة العرف، فهو خارجٌ عن الغناء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تنافي بين العنوانين كي يكون صدق أحدهما مانعاً من صدق الآخر، بل الأظهر أنّ النسبة بينهما عموم من وجه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ممّا ذكرناه أنّه لا دليل على استثناء الغناء في الحُداء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3" w:name="pg11815_192632"/>
    </w:p>
    <w:p>
      <w:pPr>
        <w:pStyle w:val="Heading2"/>
        <w:numPr>
          <w:ilvl w:val="1"/>
          <w:numId w:val="1"/>
        </w:numPr>
        <w:rPr/>
      </w:pPr>
      <w:bookmarkStart w:id="94" w:name="__RefHeading___Toc10830497_73709187"/>
      <w:bookmarkStart w:id="95" w:name="_Toc31"/>
      <w:bookmarkEnd w:id="93"/>
      <w:bookmarkEnd w:id="94"/>
      <w:r>
        <w:rPr>
          <w:rtl w:val="true"/>
        </w:rPr>
        <w:t>الغناء في زَفّ العرائس</w:t>
      </w:r>
      <w:bookmarkEnd w:id="95"/>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المغنّية في الأعراس، إذا لم يكتنف به محرّم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استثنائه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بصير،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وليست بالتي يدخل عليها الرِّجال</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ونحوه خبره الآخر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الثالث،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كسب 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يدخل عليها الرِّجال حرام، والتي تُدعى إلى الأعراس ليس به بأس</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الثاني مجهولٌ‌، والثالث ضعيف، ودعوى ضعف الأوّل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يدلّ على إباحة الأجر لا الفعل، مندفعٌ بالتلازم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الأجر لمجرّد الزَّف، خلاف الظاهر، وبالتالي فالأظهر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تعليمه وتعلّمه، وملخّص القول فيه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التعليم والتعلّم بالتغنّي والاستماع حرامٌ بلا كلام، وأمّا بغير ذلك فحرمة التعليم مستفادة من خبرين مرويّين في الوسائل، وحرمة التعلّم تستفاد من المرسل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كلاهما ضعيفا السند، إذ أحد الخبرين المرويّين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والآخر في طريقه محمّد الطاطري وهو مهمل،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هو الجواز</w:t>
      </w:r>
      <w:r>
        <w:rPr>
          <w:rFonts w:eastAsia="Amiri" w:cs="Amiri" w:ascii="Amiri" w:hAnsi="Amiri"/>
          <w:color w:val="111111"/>
          <w:sz w:val="28"/>
          <w:szCs w:val="28"/>
          <w:rtl w:val="true"/>
          <w:lang w:bidi="ar-SA"/>
        </w:rPr>
        <w:t>.</w:t>
      </w:r>
      <w:bookmarkStart w:id="96" w:name="pg11815_192633"/>
    </w:p>
    <w:p>
      <w:pPr>
        <w:pStyle w:val="Heading2"/>
        <w:numPr>
          <w:ilvl w:val="1"/>
          <w:numId w:val="1"/>
        </w:numPr>
        <w:rPr/>
      </w:pPr>
      <w:bookmarkStart w:id="97" w:name="__RefHeading___Toc10830499_73709187"/>
      <w:bookmarkStart w:id="98" w:name="_Toc32"/>
      <w:bookmarkEnd w:id="96"/>
      <w:bookmarkEnd w:id="97"/>
      <w:r>
        <w:rPr>
          <w:rtl w:val="true"/>
        </w:rPr>
        <w:t>الغيبة</w:t>
      </w:r>
      <w:bookmarkEnd w:id="98"/>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حرام، ويدلّ عليه من الكتاب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بهذه الآية الشريفة إنّما يكون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النهي عن الاغتياب، وظاهر النهي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المؤمن أخاً، لأنّ المؤمنين إخوة، وشبّه عِرض المؤمن باللّحم لانتقاصه بالتفكّه به، كما أنّ اللّحم ينتقص بالأكل، وشبّه التفكّه به بالأكل، أي شبه بهتك عِرضه بأكل الميتة، إمّا لأنّه يأكل الجيف في الآخرة كما في بعض النصوص، أو لتشبيه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بالكلاب والسّباع كما في بعض النصوص الاُخر، ولا ريب في أنّ التشبيه إنّما يكون بلحاظ الحكم، وهو الحرمة، ويؤكّده تصدير هذه التشبيهات بالاستفهام الإنكاري، الدالّ على قبح صدور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كما يتنفّر طبع الإنسان عن أكل لحم أخيه الميّت، لابدّ وأن يتنفّر عن اغتيابه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ببعض الآيات الشريفة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فَكَرِهْتُمُوهُ‌</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ومفاده أنّه كما تكرهون أكل لحم الأخ، كذلك لابدَّ وأن تكرهوا اغتيابه، أي تجتنبوا عنه، ولكن جَعْلُ هذا من تتمة الوجه </w:t>
      </w:r>
    </w:p>
    <w:p>
      <w:pPr>
        <w:pStyle w:val="BookText"/>
        <w:rPr/>
      </w:pPr>
      <w:r>
        <w:rPr>
          <w:rFonts w:ascii="Amiri" w:hAnsi="Amiri" w:eastAsia="Amiri" w:cs="Amiri"/>
          <w:color w:val="111111"/>
          <w:sz w:val="28"/>
          <w:sz w:val="28"/>
          <w:szCs w:val="28"/>
          <w:rtl w:val="true"/>
          <w:lang w:bidi="ar-SA"/>
        </w:rPr>
        <w:t>الثاني أولى من جَعْله وجهاً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بالأولى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الطعان، 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بالثانية المغتاب، والمراد بالأولى الطعان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دلالته على الوعيد للمغتاب ظاهرة، وحيث إنّ ثبوت العقاب مستلزمٌ لكون الفعل حراماً، فبثبوته يستدلّ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في معناهما 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الهُمَزة هو الذي يؤذي جليسه بسوء لفظه، واللُّمزة هو الذي يكسر عينيه على جليسه، ويؤمي بطرفهما ويشير إليه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الهُمَزة هو الذي يهمز النّاس ويضربهم بيده، واللُّمزة هو الذي يلمزهم بلسانه وعينه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بهما كثير الطعن على غيره بغير حقّ‌، سواءٌ أكان في غيبته أم في حضوره، وسواءٌ أكان باللِّسان أم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على هذه التفاسير تصبح الآية مجملة، فلا تدلّ على حرمة الغيبة، فضلاً عن أنّه لا يَصحّ الاستدلال بها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الهُمَزَة على التفسير الأوّل، واللُّمزة على التفسير الثاني ليس هو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يعيبك على ظهر الغيب، والنسبة بينه وبين الغيبة عموم من وجه، إذ هذا المعنى يشمل ذكره أخاه بما ليس فيه، والغيبة أيضاً أعمٌّ‌، من جهة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اختصاصها بما إذا كان المغتاب في مقام بيان عيوبه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هي الجهر بالسوء المتعلّق بالأخ المؤمن، والآية تدلّ على أنّ اللّه لا يحبّذ وقوعها من غير المظلوم، وهذا لازمه ثبوت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المحبوبيّة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الحبّ والإرادة لا يلازم الحرمة، بل الملازم لها إرادة عدم تحقّق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الآية الشريفة ما يدلّ علي أنّ الغيبة من الجهر بالسوء، بل لا يبعد دعوى أنّ الظاهر منه إرادة القول المُنشَأ به السوء لا الحاكي عنه، فيكون المراد به الشتم والدّعاء على الغير، ويشهد به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 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الشتم إلّامن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من الجهر بالسوء حتّى بناءً على إرادة القول المُنشَأ به السوء، فإنّها إظهار ما ستره اللّه من العيوب الموجب لهتك المقول فيه وإهانته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اختصاص الجهر بالسوء بالشتم، وإنّما يدلّ على أنّه أحد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هو الإيراد الأوّل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الحُبّ هو ما انتهى إلى فعل المحبوب، والآية الشريفة إنّما تدلّ على ترتّب العقاب على إشاعة الفاحشة، ومن مصاديقها الغيبة، فبالدلالة الالتزاميّة تدلّ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أنّ حُبّ شيوع الفاحشة بين الناس بارتكابهم المحرّمات من المحرّمات، فلا صلة لها بالغيبة التي هي إعلام الناس بالفاحشة، والعيب المستور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فسّر في بعض النصوص إشاعة الفاحشة بما يشمل الغيبة، مثلاً ورد في مرسل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رأته عيناه وسمعته اذناه فهو من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فالآية تدلّ على حرمة الغيبة، لكن بما أنّها أخصّ من المُدّعى كما لا يخفى‌، فالاستدلال بها لا يتمّ إلّابضميمة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من الأخبار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المروي بعدّة 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أشدّ من الزنا، وإنّ الرّجل يزني فيتوب ويتوب اللّه عليه، وأنّ صاحب الغيبة لا يغفر له حتّى يغفر له صاحبه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خَطَب يوماً فذكر الرِّبا وعظّم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الدرهم يصيبه الرّجل من الرِّبا أعظم من ستّة وثلاثين زِنية، وإنّ أربى الربى عِرض الرّجل</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مُسلماً أو مسلمة لم يقبل اللّه صلاته ولا صيامه أربعين صباحاً إلّاأن يغفر له صاحبه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حرامٌ على كلّ مسلم، وأنّ الغيبة لتأكل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أكل الحسنات إنّما يكون على وجه الإحباط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المتواتره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99" w:name="pg11815_192638"/>
    </w:p>
    <w:p>
      <w:pPr>
        <w:pStyle w:val="Heading2"/>
        <w:numPr>
          <w:ilvl w:val="1"/>
          <w:numId w:val="1"/>
        </w:numPr>
        <w:rPr/>
      </w:pPr>
      <w:bookmarkStart w:id="100" w:name="__RefHeading___Toc10830501_73709187"/>
      <w:bookmarkStart w:id="101" w:name="_Toc33"/>
      <w:bookmarkEnd w:id="99"/>
      <w:bookmarkEnd w:id="100"/>
      <w:r>
        <w:rPr>
          <w:rtl w:val="true"/>
        </w:rPr>
        <w:t>الغيبة من الذنوب الكبيرة</w:t>
      </w:r>
      <w:bookmarkEnd w:id="101"/>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ظاهر هذه الأخبار كون الغيبة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تقسيم الذنوب إلى الكبائر والصغائر، ثم في الفرق بين القسمين بدعوى أنّ الكبائر تضرّ بالعدالة، والصغائر لا تضرّ بها، كلاماً محرّراً في محلّه، والمختار هو أنّ المعاصي كلّها كبيرة، وإن كان بعضها أكبر من الآخر، ثمّ على فرض وجود القسمين، فإنّ الأظهر أنّ الصغيرة أيضاً تضرّ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المقام إنّما هو في أنّه على فرض انقسام المعاصي إلى قسمين، هل تكون الغيبة من الكبائر أم من غيرها؟</w:t>
      </w:r>
    </w:p>
    <w:p>
      <w:pPr>
        <w:pStyle w:val="BookText"/>
        <w:rPr/>
      </w:pPr>
      <w:r>
        <w:rPr>
          <w:rFonts w:ascii="Amiri" w:hAnsi="Amiri" w:eastAsia="Amiri" w:cs="Amiri"/>
          <w:color w:val="111111"/>
          <w:sz w:val="28"/>
          <w:sz w:val="28"/>
          <w:szCs w:val="28"/>
          <w:rtl w:val="true"/>
          <w:lang w:bidi="ar-SA"/>
        </w:rPr>
        <w:t>فيه وجهان، أقواهما الأوّل، وذلك لأنّ الكبيرة هو الذنب العظيم عند الشارع، وثبوت كونه كذلك إنّما يكون بالتوعيد عليه في الكتاب أو السُنّة المعتبرة، أو بالنص على كونه كذلك، أو يجعله أشدّ ممّا ثبت كونه من الكبائر أو مثله أو بترتيب آثار الكبيرة عليه، وعلى ذلك فيدلّ على كون الغيبة من الكبائر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تضمّنت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آية إشاعة الفاحشة</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w:t>
      </w:r>
      <w:r>
        <w:rPr>
          <w:rStyle w:val="FootnoteAnchor"/>
          <w:rtl w:val="true"/>
        </w:rPr>
        <w:footnoteReference w:id="300"/>
      </w:r>
      <w:r>
        <w:rPr>
          <w:rFonts w:ascii="Amiri" w:hAnsi="Amiri" w:eastAsia="Amiri" w:cs="Amiri"/>
          <w:color w:val="111111"/>
          <w:sz w:val="28"/>
          <w:sz w:val="28"/>
          <w:szCs w:val="28"/>
          <w:rtl w:val="true"/>
          <w:lang w:bidi="ar-SA"/>
        </w:rPr>
        <w:t>المعتبرة في التوعيد على الغيبة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w:t>
      </w:r>
      <w:r>
        <w:rPr>
          <w:rStyle w:val="FootnoteAnchor"/>
          <w:rtl w:val="true"/>
        </w:rPr>
        <w:footnoteReference w:id="301"/>
      </w:r>
      <w:r>
        <w:rPr>
          <w:rFonts w:ascii="Amiri" w:hAnsi="Amiri" w:eastAsia="Amiri" w:cs="Amiri"/>
          <w:color w:val="111111"/>
          <w:sz w:val="28"/>
          <w:sz w:val="28"/>
          <w:szCs w:val="28"/>
          <w:rtl w:val="true"/>
          <w:lang w:bidi="ar-SA"/>
        </w:rPr>
        <w:t xml:space="preserve">أشدّ وأعظم من الزنا والرِّبا، ولا إشكال في كونهما من </w:t>
      </w:r>
    </w:p>
    <w:p>
      <w:pPr>
        <w:pStyle w:val="BookText"/>
        <w:rPr/>
      </w:pPr>
      <w:r>
        <w:rPr>
          <w:rFonts w:ascii="Amiri" w:hAnsi="Amiri" w:eastAsia="Amiri" w:cs="Amiri"/>
          <w:color w:val="111111"/>
          <w:sz w:val="28"/>
          <w:sz w:val="28"/>
          <w:szCs w:val="28"/>
          <w:rtl w:val="true"/>
          <w:lang w:bidi="ar-SA"/>
        </w:rPr>
        <w:t>الكبائر،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 هذا الوجه بأنّ النصوص المتضمّنة لذلك كلّها ضعيف السند، مع أنّ الرواية المتضمّنة لجعلها أشدّ من الزِّنا علّلت الأشديّة فيها بأنّ الزاني يتوب فيُغفر له، والمغتاب لا يُغفر له حتّى يغفر له صاحبه، وهذا التعليل يدلّ على أنّ المراد بالأشديّة ليس هو الأشديّة في الحكم، بل الأشديّة من حيث ما يوجب رفع الأثر، فهو نظير أشديّة المني من البول لاحتياجه إلى الدلك دونه، مع كون البول أشدّ من حيث النجاسة، والرواية التي توهم تضمّنها لجعلها أشدّ من الرِّبا قد مرَّ عدم دلالتها على ذلك، وبالتالي فهذا الوجه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302"/>
      </w:r>
      <w:r>
        <w:rPr>
          <w:rFonts w:ascii="Amiri" w:hAnsi="Amiri" w:eastAsia="Amiri" w:cs="Amiri"/>
          <w:color w:val="111111"/>
          <w:sz w:val="28"/>
          <w:sz w:val="28"/>
          <w:szCs w:val="28"/>
          <w:rtl w:val="true"/>
          <w:lang w:bidi="ar-SA"/>
        </w:rPr>
        <w:t>الدالّة على كون الخيانة من الكبائر والغيبة منها، إذ أيُّ خيانةٍ أعظم من التفكّه بلحم الأخ على غفلةٍ منه، مع أنّه يدلّ على كونها منها قول النبيّ صلى الله عليه و آله في وصيته لأبي ذرّ المروي بطريق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لعدم كونها من الكبائر بالنصوص</w:t>
      </w:r>
      <w:r>
        <w:rPr>
          <w:rStyle w:val="FootnoteAnchor"/>
          <w:rtl w:val="true"/>
        </w:rPr>
        <w:footnoteReference w:id="303"/>
      </w:r>
      <w:r>
        <w:rPr>
          <w:rFonts w:ascii="Amiri" w:hAnsi="Amiri" w:eastAsia="Amiri" w:cs="Amiri"/>
          <w:color w:val="111111"/>
          <w:sz w:val="28"/>
          <w:sz w:val="28"/>
          <w:szCs w:val="28"/>
          <w:rtl w:val="true"/>
          <w:lang w:bidi="ar-SA"/>
        </w:rPr>
        <w:t>الحاصرة للكبائر في جملةٍ من المعاصي التي ليست منها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رفع اليد عن إطلاق مفهوم الحصر بما تقدّم ممّا دلّ على كونها من الكبائر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02" w:name="pg11815_192640"/>
    </w:p>
    <w:p>
      <w:pPr>
        <w:pStyle w:val="Heading2"/>
        <w:numPr>
          <w:ilvl w:val="1"/>
          <w:numId w:val="1"/>
        </w:numPr>
        <w:rPr/>
      </w:pPr>
      <w:bookmarkStart w:id="103" w:name="__RefHeading___Toc10830503_73709187"/>
      <w:bookmarkStart w:id="104" w:name="_Toc34"/>
      <w:bookmarkEnd w:id="102"/>
      <w:bookmarkEnd w:id="103"/>
      <w:r>
        <w:rPr>
          <w:rtl w:val="true"/>
        </w:rPr>
        <w:t>اشتراط الإيمان في حرمة الغيبة</w:t>
      </w:r>
      <w:bookmarkEnd w:id="10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304"/>
      </w:r>
      <w:r>
        <w:rPr>
          <w:rFonts w:ascii="Amiri" w:hAnsi="Amiri" w:eastAsia="Amiri" w:cs="Amiri"/>
          <w:color w:val="111111"/>
          <w:sz w:val="28"/>
          <w:sz w:val="28"/>
          <w:szCs w:val="28"/>
          <w:rtl w:val="true"/>
          <w:lang w:bidi="ar-SA"/>
        </w:rPr>
        <w:t>بأنّ ظاهر الأخبار اختصاص حرمة الغيبة بالمؤمن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بحرمة غيبة المخالفين لإطلاق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للجواز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الأستاذ الأعظم</w:t>
      </w:r>
      <w:r>
        <w:rPr>
          <w:rStyle w:val="FootnoteAnchor"/>
          <w:rtl w:val="true"/>
        </w:rPr>
        <w:footnoteReference w:id="306"/>
      </w:r>
      <w:r>
        <w:rPr>
          <w:rFonts w:ascii="Amiri" w:hAnsi="Amiri" w:eastAsia="Amiri" w:cs="Amiri"/>
          <w:color w:val="111111"/>
          <w:sz w:val="28"/>
          <w:sz w:val="28"/>
          <w:szCs w:val="28"/>
          <w:rtl w:val="true"/>
          <w:lang w:bidi="ar-SA"/>
        </w:rPr>
        <w:t>من أنّ المستفاد من الآية والروايات هو تحريم غيبة الأخ المؤمن، ومن البديهي أنّه لا إخاء ولا عصمة بيننا وبين المخالفين، وهذا هو المراد من المطلقات بملاحظة مناسبة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ذُكر الإيمان في صدر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بَعْضاً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يرجع إلى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هذه الآية إنّما نزلت قبل عرض الولاية على النّاس في عام حَجّة الوداع، وفي ذلك الزمان لم يكن يفترق الإسلام عن الإيمان بذلك، فليس المراد من الإيمان في الآية هو الولاية، وعليه فالآية ككثير من الأخبار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تُحمل على غير المخالف لمناسبة الحكم والموضوع، كماترى‌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المطلقات تقيّد بالنصوص المخصّصة للحرمة بالأخ المؤمن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يُحمل على المقيّد إذا كانا متنافيين، وإلّا فلا يحمل عليه، وفي المقام لا تنافي بينهما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لا يمكن التمسّك بعموم الآية وبعض الروايات لما عُلم بضرورة المذهب من عدم احترامهم، وعدم جريان أحكام الإسلام عليهم، إلّافي قليلٍ من الأحكام</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على أنّ تمام مناط حرمة الغيبة هو الاحترام، إلّاما في بعض النصوص الآتية الدالّة على عدم حرمة غيبة المُعلِن بفسقه، المتضمّن أنّه لا حرمة له فتجوز غيبته، لكنّها ضعيفة السند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عدم جريان 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عدم جريان ما لدليله إطلاقٌ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عدم جريان ما لا إطلاق لدليله فهو مسلّم، إلّاأنّه لا يفيد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الأستاذ الأعظم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المخالفين بأجمعهم متجاهرون بالفسق لبطلان عملهم رأساً، بل التزموا بما هو أعظم من الفسق، وسيجيء أنّ المتجاهر بالفسق تجوز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سيجيء عدم شمول المتجاهر بالفسق لمن لا يعلم بأنّ ما يفعله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عنده هو عدم جواز غيبة المتجاهر بالفسق في غير ما تجاهر به، والمطلوب في المقام إثبات جواز غيبتهم مطلقاً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الأستاذ الأعظم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ثبت في الروايات والأدعية والزيارات جواز لعن المخالفين، ووجوب البراءة منهم وإكثار السَّب عليهم،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واتّهامهم والوقيعة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 أهل البِدع والرّيب، بل لا شبهة في كفرهم، واستشهد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الروايات والأدعية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البديهي أنّ جواز غيبتهم أهون من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 الإسلام الكفر في الثلاثة، والذي لا كلام فيه هو جواز غيبة الكافر بالمعنى المقابل للمسلم بالمعنى الأوّل، وأمّا جواز غيبة الكافر بالمعنى المقابل للمسلم بالمعنى الأخير، فهو أوّل الكلام، فمجرّد تضمّن النصوص أنّ المخالف كافر لا يكفي في الحكم بالجواز، وجواز لعنهم ووجوب البراءة منهم وإكثار السَّب عليهم أعمٌّ من جواز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الغيبة أهون من هذه الأُمور، كما ترى، لعدم ثبوت مناط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المتضمّنة لجواز الوقيعة فيهم إنّما وردت في أهل البدع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لمن راجعها، ولا تشمل جميع المخالفين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كلّه جواز غيبة المخالف من المسلّمات عند الأصحاب، وقد ادّعى بعضهم قيام السيرة المستمرّة على غيبة المخالفين، بل صرّح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جواز ذلك من الضروريّات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5" w:name="pg11815_192643"/>
    </w:p>
    <w:p>
      <w:pPr>
        <w:pStyle w:val="BookText"/>
        <w:rPr/>
      </w:pPr>
      <w:bookmarkEnd w:id="105"/>
      <w:r>
        <w:rPr>
          <w:rFonts w:ascii="Amiri" w:hAnsi="Amiri" w:eastAsia="Amiri" w:cs="Amiri"/>
          <w:color w:val="111111"/>
          <w:sz w:val="28"/>
          <w:sz w:val="28"/>
          <w:szCs w:val="28"/>
          <w:rtl w:val="true"/>
          <w:lang w:bidi="ar-SA"/>
        </w:rPr>
        <w:t>ويمكن أن يُستشهد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الأخبار المفسِّرة للغيبة دخل عنوان الإخاء في صدقها، ومن طبيعة الإخاء أن يكون بينهم تحابب وتوادد، فجعل الشارع المؤمن أخاً للمؤمن، مرجعه إلى جعله مُحبّاً صديقاً له، فهي تتحقّق فيمن لم يأمر الشارع الأقدس بالاجتناب والتبرّؤ عنه، وبعدم اتّخاذه وليّاً ومحبّاً، بل واتّخاذه عدوّاً له، فالإخاء منحصر بالمؤمنين بالمعنى الأخصّ‌، إذ الشارع أمر بالتبرّؤ عن المخالفين، والتقيّة منهم في الدِّين حفظاً للدِّماء، ومرجع ذلك إلى الأمر بأخذهم أعداء لأنفسهم وأعراضهم وجواز 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غيبة المخالف، لعدم صدق الغيبة عليها موضوعاً، فإخراجهم إنّما يكون موضوعيّاً، ولا بأس بجعل بعض ما تقدّم مؤيّداً للجواز الموجب ذلك الاطمئنان بالحكم بضميمة ما ذكرناه</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10830505_73709187"/>
      <w:bookmarkStart w:id="107" w:name="_Toc35"/>
      <w:bookmarkEnd w:id="106"/>
      <w:r>
        <w:rPr>
          <w:rtl w:val="true"/>
        </w:rPr>
        <w:t>حكم غيبة الصبي</w:t>
      </w:r>
      <w:bookmarkEnd w:id="107"/>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الظاهر دخول الصبي المميّز المتأثّر بالغيبة لو 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 والمجنون المميّزين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الصبيان والمجانين غير المميّزين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صدق المؤمن عليها حقيقةً إذا أقّرا بما يعتبر فيه بناءً على قبول إسلامهما كما حقّقناه في محلّه، أو حكماً وتنزيلاً، وبه يتحقّق الإخاء بينهما </w:t>
      </w:r>
    </w:p>
    <w:p>
      <w:pPr>
        <w:pStyle w:val="BookText"/>
        <w:rPr/>
      </w:pPr>
      <w:r>
        <w:rPr>
          <w:rFonts w:ascii="Amiri" w:hAnsi="Amiri" w:eastAsia="Amiri" w:cs="Amiri"/>
          <w:color w:val="111111"/>
          <w:sz w:val="28"/>
          <w:sz w:val="28"/>
          <w:szCs w:val="28"/>
          <w:rtl w:val="true"/>
          <w:lang w:bidi="ar-SA"/>
        </w:rPr>
        <w:t>وبين سائر المؤمنين، ولأجل ذلك أطلق الإخاء على الصبيان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تُخالِطُوهُمْ فَإِخْوانُكُمْ‌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ريب في أنّ صدور بعض الأُمور من الصبيان يعدّ عيباً فيهم، وعلى ذلك فتصدق الغيبة على كشف أمرٍ منهم قد ستره اللّه ويكون عيباً فيهم، فيشملها إطلاق جملةٍ من النصوص الدالّة على حرمة اغتياب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بوجهين آخرين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يُحِبُّ أَحَدُكُمْ أَنْ يَأْكُلَ لَحْمَ أَخِيهِ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12"/>
      </w:r>
      <w:r>
        <w:rPr>
          <w:rFonts w:ascii="Amiri" w:hAnsi="Amiri" w:eastAsia="Amiri" w:cs="Amiri"/>
          <w:color w:val="111111"/>
          <w:sz w:val="28"/>
          <w:sz w:val="28"/>
          <w:szCs w:val="28"/>
          <w:rtl w:val="true"/>
          <w:lang w:bidi="ar-SA"/>
        </w:rPr>
        <w:t>بناءً على صدق الأخ على الصبي، فإنّه يدلّ على أنّ تمام الموضوع لحرمة الغيبة ذكر الأخ في غيابه بما يسوءه، فمقتضى عمومه حرمة غيبة الصبي، وإنْ لم يشمله صدر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صدر الآية الشريفة أيضاً، فإنّ أطفال المؤمنين منهم إمّا تغليباً أو حقيقةً كما مَرّ، فيشملهم البعض الثاني الذي يكون المراد به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يشملهم البعض الأوّل لحديث رفع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وحدة المراد من البعض في الموردين، فمع فرض عدم شمول البعض الأوّل لا يشملهم البعض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صدق الغيبة على اغتيابهم، وذلك لوجهين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صدور شيء منهم عيباً، حتّى يكون ذكره كشفاً لما ستره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تأثّرهم لو سمعوا، وقد أُخذ في حقيقة الغيبة الكراهة، كما في النصوص وكلمات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ظهرت المسامحة في عبارة الكتاب،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أنّ الإطلاقات منصرفة إلى من يتأثّر لو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ظهر عدم تماميّة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الصغير والكبير، الظاهر في الشمول لغير المميّز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 في صدر المبحث</w:t>
      </w:r>
      <w:r>
        <w:rPr>
          <w:rStyle w:val="FootnoteAnchor"/>
          <w:rtl w:val="true"/>
        </w:rPr>
        <w:footnoteReference w:id="313"/>
      </w:r>
      <w:r>
        <w:rPr>
          <w:rFonts w:ascii="Amiri" w:hAnsi="Amiri" w:eastAsia="Amiri" w:cs="Amiri"/>
          <w:color w:val="111111"/>
          <w:sz w:val="28"/>
          <w:sz w:val="28"/>
          <w:szCs w:val="28"/>
          <w:rtl w:val="true"/>
          <w:lang w:bidi="ar-SA"/>
        </w:rPr>
        <w:t>أنّ الغيبة حرامٌ بالأدلّة الأربعة، ثمّ ذكر من الكتاب آيات، ومن السُنّة روايات، لكنّه لم يذكر من العقل والإجماع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انطبق الظلم على الغيبة في موردٍ فلا كلام في قُبحه، وإلّا لا يكون العقل مستقلّاً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كشف أمرٍ ستره اللّه لا يعدّ من القبائح العقليّة، ودعوى ملازمة ذلك لعنوان الظلم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قيامه على الحرمة، بل هي من ضروريّات الدِّين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8" w:name="pg11815_192646"/>
    </w:p>
    <w:p>
      <w:pPr>
        <w:pStyle w:val="Heading2"/>
        <w:numPr>
          <w:ilvl w:val="1"/>
          <w:numId w:val="1"/>
        </w:numPr>
        <w:rPr/>
      </w:pPr>
      <w:bookmarkStart w:id="109" w:name="__RefHeading___Toc10830507_73709187"/>
      <w:bookmarkStart w:id="110" w:name="_Toc36"/>
      <w:bookmarkEnd w:id="108"/>
      <w:bookmarkEnd w:id="109"/>
      <w:r>
        <w:rPr>
          <w:rtl w:val="true"/>
        </w:rPr>
        <w:t>بيان معنى الغيبة</w:t>
      </w:r>
      <w:bookmarkEnd w:id="110"/>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كلمات اللّغويين والفقهاء في مفهوم الغيبة موضوعاً، ولا يستفاد جميع ما قيل باعتباره من القيود من الأخبار، فلابدَّ من البحث في كلّ واحدٍ من تلك القيود مستقلّاً، حتّى يتّضح الأمر بذلك، فإن أمكن تحديدها بنحو يكون جامعاً ومانعاً فهو، وإلّا وجب الاقتصار في الحكم بالتحريم على المتيقّن، والرجوع فيما زاد إلى أصالة البراءة، وستعرف في آخر هذا المبحث ما هو الحقّ عندنا في بيان الضابط،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ومنه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قيل ويمكن أن يقال باعتباره فيها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في الدِّين، وتدلّ على اعتباره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عبد الرحمان بن سيّابة،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أن تقول في أخيك ما سَتَره اللّه عليه، وأمّا الأمر الظاهر مثل الحِدّة والعَجَلة فلا، والبهتان أن تقول فيه ما ليس فيه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داود بن سرحان،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تقول لأخيك في دينه ما لم يفعل، وتبثّ عليه أمراً قد ستره اللّه عليه لم يقم عليه فيه حَدّ</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آنفا في غيبة المخالف أنّ الإخاء منحصر بالمؤمنين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المذكور من الأوصاف الذميمة، أو الأفعال القبيحة، فلو ذُكر الإنسان بما يوجب تعظيمه بين الناس بالأوصاف الحميدة، أو الأفعال المستحبّة كقضاء حاجة المؤمن، والمواظبة على النوافل ونحو ذلك، أو ذَكَره بالأوصاف المتعارفة غير الموجبة للمدح أو الذّم ولو بالاستلزام، أو الأفعال المباحة لم يكن ذلك من الغيبة، وإنْ كره ذكره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هذا القيد لعلّه اتفاقي، ويستفاد من الخبرين المتقدّمين، إذ الأُمور الموجبة للتعظيم والأُمور العادية ليست ممّا ستره اللّه تعالى، ولا يوجب ذكرها نقصاً فيه وافتضاحه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ما يوجب نقصاً في المقول فيه، بين أن يوجب نقصاً في دينه أو بدنه أو نَسَبه أو خُلقه أو فعله أو قوله أو عشيرته أو ثوبه أو داره أو دابّته أو غير ذلك ممّا يوجب نقصاً فيه،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الخبر المرويّ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الغيبة تقع بذكر عيب في الخلق والفعل والمعاملة والمذهب والجهل وأشباهه، الحديث</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حسن ابن سيّابة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لاعتبار كونه نقصاً دينيّاً، بقوله عليه السلام في خبر ابن سرحان المتقدّم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لأخيك في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الأخ الذي كان إخاءه بسبب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يفعل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 ما لم يفعل العيب الذي لم يكن باختياره، وفعله اللّه فيه كالعيوب البدنيّة، وعلى ذلك فهو أيضاً يدلّ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الانتقاص، فقد نَسب الشهيد رحمه الله</w:t>
      </w:r>
      <w:r>
        <w:rPr>
          <w:rStyle w:val="FootnoteAnchor"/>
          <w:rtl w:val="true"/>
        </w:rPr>
        <w:footnoteReference w:id="317"/>
      </w:r>
      <w:r>
        <w:rPr>
          <w:rFonts w:ascii="Amiri" w:hAnsi="Amiri" w:eastAsia="Amiri" w:cs="Amiri"/>
          <w:color w:val="111111"/>
          <w:sz w:val="28"/>
          <w:sz w:val="28"/>
          <w:szCs w:val="28"/>
          <w:rtl w:val="true"/>
          <w:lang w:bidi="ar-SA"/>
        </w:rPr>
        <w:t xml:space="preserve">اعتباره في صدق الغيبة إلى المشهور، والأظهر عدم اعتباره، وذلك لأنّ الأخبار الواردة في تحديد موضوع الغيبة غير متعرّضة لاعتباره، وكلمات اللّغويين خالية عنه، وصدق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ستره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على قصد الانتقاص، لعدم كونه من الأُمور القصديّة، وعليه فلا مقيّد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الغالب كون المغتابين في مقام التنقيص، وهذا بنفسه بمنزلة التقييد، فيكون الإطلاق وارداً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مناسبة الحكم والموضوع تقضي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يستفاد من تنزيل المغتاب منزلة آكل لحم الأخ ميّتاً، فلو لم يكن في مقام التنقيص، لما كان لهذا التنظير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غلبة الوجود أوجب الانصراف الموجب لتقييد إطلاق الأدلّة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مناسبة الحكم والموضوع اقتضت باعتبار كون المذكور عيباً،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كون الذاكر في مقام التنقيص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فرض كون المذكور عيباً، يكون التنظير في محلّه وإنْ لم يكن الذاكر في مقام التنقيص، لأنّه يُنتقص عِرض المؤمن بذلك كانتقاص اللّحم بالأكل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شيء من هذه الوجوه، لكان ذلك قيداً للحكم لا للموضوع، وبالتالي فالأظهر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المذكور ممّا يسوءه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ويكرهه، فلو كان ممّا لا يسوءه لم يكن ذلك 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لاعتباره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تصريح اللّغويين به، وذكره في النبويّين المذكورين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تلازم كون المذكور عيباً ونقصاً في المقول فيه مع كراهة وجوده، إذ الطباع السليمة تكره العيوب والصفات الذميمة والأفعال القبيحة، وهي من حيث هي مكروهة للطباع السليمة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الخلاف في أنّ تعلّق الكراهة هل هو علم الناس باتصافه بتلك الصفة، وإن لم يكن كارهاً لوجودها، أو أنّ متعلّقها نفس وجود تلك الصفة فيه، وحيثُ أنّ الظاهر تلازم الكراهتين، إذ لم يذكر لمورد كراهة الذِكْر مع عدم كراهة المذكور إلّاذكره بارتكاب المعصية التي صدرت عنه اختياراً عن ميلٍ ورغبة، بدعوى أنّ المفروض أنّه كاره لظهورها، وراغب إلى نفس وجودها، وهو غير تامّ‌، إذ المؤمن بما هو مؤمن لا يعقل رغبته إلى المعصية، لأنّ إيمانه بنفسه من الموانع وموجب لكراهته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بما أنّ له قوّة عاقلة درّاكة يكره وجود المعصية من حيث هي، ويكون ميله إليها لأمرٍ خارجي عارضي، كغَلَبة الهوى والشهوة، فلا فائدة مترتّبة على النزاع في أنّ المراد كراهة الذِكر أو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احتمالاً آخر ذكره الشيخ رحمه الله</w:t>
      </w:r>
      <w:r>
        <w:rPr>
          <w:rStyle w:val="FootnoteAnchor"/>
          <w:rtl w:val="true"/>
        </w:rPr>
        <w:footnoteReference w:id="318"/>
      </w:r>
      <w:r>
        <w:rPr>
          <w:rFonts w:ascii="Amiri" w:hAnsi="Amiri" w:eastAsia="Amiri" w:cs="Amiri"/>
          <w:color w:val="111111"/>
          <w:sz w:val="28"/>
          <w:sz w:val="28"/>
          <w:szCs w:val="28"/>
          <w:rtl w:val="true"/>
          <w:lang w:bidi="ar-SA"/>
        </w:rPr>
        <w:t>وهو أن يكون المراد كراهة الذِكر، لكن لا بما أنّه إظهارٌ للعيب من جهة كونه ظاهراً بنفسه، بل لكونه صادراً على جهة المذمّة والاستخفاف، أو لكونه مُشعراً بالذّم وإنْ لم يقصد المتكلّم الذّم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ضعيفٌ جدّاً، إذ لو فرضنا كون المذكور غير عيب، أو كان عيباً ولكن لظهوره بنفسه لا يكره الإنسان إظهاره من حيث إنّه إظهارٌ للعيب، لا تصدق الغيبة على ذكره به لعدم كونه سوءاً، أو لعدم كونه ممّا سَتَره اللّه، ومع كونه عيباً خفيّاً لا محالة يكره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من النبوي وكلمات اللّغويين، اعتبار كراهة المذكور، إذ الظاهر من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ما عرفت من أنّ الطباع السليمة تكره العيوب، وملاحظة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حيث جعل من العيوب بياناً للموصول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العيب لا الكلام، فظاهر الضمير في يكرهه الرجوع إلى العيب نفسه، إلّاأنّ الظاهر من ما قيل إنّه تطابق الإجماع والأخبار على أنّ الغيبة هي ذكر الغير بما يكرهه لو سمعه، أنّ المراد بالموصول هو الكلام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المقول مستوراً غير ظاهر، ويشهد لاعتباره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الحسنان المتقدّمان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أبان، عن رجلٍ لا يعرفه إلّايحيى الأزرق،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رجلاً مِن خَلفه بما هو فيه ممّا عرفه الناس لم يغتبه، ومن ذكره مِنْ خَلفه بما هو فيه ممّا لا يعرفه الناس اغتابه، ومن ذكره بما ليس فيه فقد بهته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ويحيى الأزرق وإن كان محلّ توقّف، إلّاأنّه لرواية أبان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الخبر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سنان، عن مولانا الصادق عليه السلام</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أن تقول في أخيك ما قد سَتَره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ظاهراً للمخاطب نفسه، فإنّه لا إشكال في جواز ذكره وعدم كونه غيبةً‌، لعدم كونه إظهار ما ستره اللّه، فما عن بعض الأكابر من الترديد فيه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ظاهراً له، ولكن كان ظاهراً للناس، فيستفاد عدم كونه غيبة حينئذٍ من خبر الأزرق المتقدّم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عرفه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المخاطب خلاف الظاهر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العيب ظاهراً بالفعل لا للمخاطب ولا للناس ولكن له ظهوراً شأنيّاً، بمعنى أنّه يكون العيب من شأنه الظهور بأدنى ممارسة، فالظاهر عدم صدق الغيبة على ذكره أيضاً، وذلك لقوله عليه السلام في حسن ابن سيّابة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الأمر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مثل الحِدّة والعَجَلة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التمثيل للأمر الظاهر بالحِدّة والعجلة كالصريح في إرادة ما يعمّ الظهور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 اعتبار كون الغيبة هي إظهار ما سَتَره اللّه بالقول، فلا تتحقّق الغيبة بالإشارة والكتابة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المتقدّمة المتضمّنة لخصوص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الإشارة المفهمة للمقصود عند العرف يعدّ قولاً تنزيلاً، ويرتّبون عليها ما يرتّب على القول، فالكتابة قولٌ‌، ولذلك قيل بأنّ القلم أحد اللِّسانين، وإلى أنّ المذكور في خبر الأزرق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القول، وهو يشمل جميع المذكورات، فإنّ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يوجبُ تذكّر المخاطب، وانتقاله إلى المقصود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النبوي</w:t>
      </w:r>
      <w:r>
        <w:rPr>
          <w:rStyle w:val="FootnoteAnchor"/>
          <w:rtl w:val="true"/>
        </w:rPr>
        <w:footnoteReference w:id="322"/>
      </w:r>
      <w:r>
        <w:rPr>
          <w:rFonts w:ascii="Amiri" w:hAnsi="Amiri" w:eastAsia="Amiri" w:cs="Amiri"/>
          <w:color w:val="111111"/>
          <w:sz w:val="28"/>
          <w:sz w:val="28"/>
          <w:szCs w:val="28"/>
          <w:rtl w:val="true"/>
          <w:lang w:bidi="ar-SA"/>
        </w:rPr>
        <w:t xml:space="preserve">المشهور في قصّة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البديهي عدم دخل القول بما هو قول، غير الشامل للمذكورات في هذا الحكم، بل ذكره إنّما هو من باب المثال، وإلّا فالميزان هو إظهار ما سَتَره اللّه الصادق على جميع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اعتبار عدم حضور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الغيبة،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بالتشبيه في الآية الشريفة، حيث إنّها شبّه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بالميتة، وهو إنّما يكون بلحاظ عدم شعوره بما قيل فيه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وبأنّه مقتضى تعريف المشهور إيّاها من أنّ الغيبة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 يكرهه لو سمعه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الأزرق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ذكره من خلفه بما هو فيه ممّا لا يعرفه الناس اغتابه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يمكن أن يكون تشبيه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بأكل الميتة من جهة أنّه يأكل الجيف في الآخرة، كما في بعض النصوص، أو لتشبيهه بالسِّباع والكلاب كما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تعريف المشهور بعد ما ظهر عدم كونه جامعاً ومانعاً لا يَصحّ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مفهوم له، فإنّه في مقام بيان أنّ هذا من الغيبة، لا أنّ الغيبة منحصرة بذلك كما لا يخفى على من 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اعتباره لإطلاق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عدم حضور المغتاب مأخوذٌ في مفهوم الغيبة بحسب المتفاهم العرفي، ولا يبعد ذلك، فإنْ تمّ ذلك، أو صار سبباً للشكّ في صدقها مع حضوره، لا مناص عن البناء على عدم الحرمة مع حضور المغتاب كما لا يخفى‌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مخاطبٌ حاضراً عند المغتاب، إذ مع عدم حضوره لا يصدق على حديث النفس بالعيب أنّه إظهارٌ لما سَتَره اللّه، ويؤيّده أنّ المستفاد من الأخبار والآية الشريفة، هو كون ذِكر العيب كشفاً لعورة الأخ المؤمن، وموجباً لانتقاص عِرْض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عدم حضور المخاطب، لا يكون الذكر هتكاً وكشفاً للعورة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المتكلّم بذكر عيب أخيه المؤمن في مقام حديث النفس، وغير قاصدٍ لإفهام السامع، ولكن الغير كان يسمع ما يقوله، فهل هو غيبة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صدق الغيبة عليه، لأنّه إظهارٌ لما سَتَره اللّه تعالى‌، ولا يعتبر في صدقها قصد إفهام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غير ملتفتٍ إلى سماع الغير لما يقوله لا تكون هذه الغيبة محرّمة، لفرض الغفلة عن كون ما يتكلّم به غيبة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بالتفصيل عند المخاطب، وإلّا فلا يكون ذكره غيبةً‌، لعدم كونه إظهاراً لما ستَره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تفصيلاً للمخاطب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مجهولاً عند المخاطب، مردّداً بين أشخاص غير 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مردّداً بين أشخاص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صدق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التوقّف في عدم صدق الغيبة على ذكره بالسّوء، لعدم كونه إظهاراً لما ستره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انتقال المخاطب إلى الشخص المذكور، يكون هو بحكم الغائب الذي عرفت عدم صدق الغيبة معه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الصورة الثالثة إذا لم يستكره كلّهم ذِكر واحدٍ مبهم منهم، لما تقدّم من اعتبار كراهة المغتاب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كان بحيث يكره كلّهم ذكر واحدٍ مبهم منهم، ففيها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اغتياباً لكلّ واحدٍ من أطراف الشبهة، لذكره بما يكرهه من التعريض، لاحتمال كونه هو المعيوب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اغتياباً للمعيوب الواقعي منهم، لأنّه إظهارٌ في الجملة لعيبه بتقليل مشاركه في احتمال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اغتياباً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الأخير وذلك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ذكر عيب الأخ لا ذكر مطلق ما يكرهه، وما ذكره ليس ذكر عيب كلّ واحدٍ منهم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ذكر الأخ لا يكون مشمولاً للأدلّة أنّه غير معلوم للمخاطب، بل إنّما يصدق الغيبة لو كان ذكره بالسّوء إظهاراً لما ستره اللّه، وهذا العنوان لا يصدق بالنسبة إلى المقول فيه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القول في الأخ بما سَتَره اللّه وإن لم يوجب ذلك إظهاراً له، لا يكون غيبةً‌، لما عرفت من أنّ القول في النصوص إنّما أُخذ في الموضوع من جهة كونه من مصاديق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المذكور نقصاً لفردٍ مردّدٍ بين أشخاص</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نقصاً للعنوان الكلّي، فلا إشكال في صدق الغيبة، لكونه إظهاراً لما سَتَره اللّه بالنسبة إلى كلّ فردٍ من ذلك النوع، إلّاإذا أُريد به الأغلب، أو جمع من </w:t>
      </w:r>
    </w:p>
    <w:p>
      <w:pPr>
        <w:pStyle w:val="BookText"/>
        <w:rPr/>
      </w:pPr>
      <w:r>
        <w:rPr>
          <w:rFonts w:ascii="Amiri" w:hAnsi="Amiri" w:eastAsia="Amiri" w:cs="Amiri"/>
          <w:color w:val="111111"/>
          <w:sz w:val="28"/>
          <w:sz w:val="28"/>
          <w:szCs w:val="28"/>
          <w:rtl w:val="true"/>
          <w:lang w:bidi="ar-SA"/>
        </w:rPr>
        <w:t>أفراد ذلك، فإنّه حينئذٍ بحكم ما إذا كان نقصاً للفرد المردّد، وعلى هذا يُحمل ما ورد عن بعض سادات المؤمنين من ذكر أهل بلدٍ بالسوء، فتدبّر، فإنّه يمكن أن يقال بوجود جهةٍ أُخرى في تلك الموارد، موجبة لعدم كونه غيبة، وإن أراد كلّهم، وهو كون المذكور أمراً ظاهراً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أحسن تعريف للغيبة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في أخيك ما سَتَره اللّه من العيوب</w:t>
      </w:r>
      <w:r>
        <w:rPr>
          <w:rFonts w:eastAsia="Amiri" w:cs="Amiri" w:ascii="Amiri" w:hAnsi="Amiri"/>
          <w:color w:val="111111"/>
          <w:sz w:val="28"/>
          <w:szCs w:val="28"/>
          <w:rtl w:val="true"/>
          <w:lang w:bidi="ar-SA"/>
        </w:rPr>
        <w:t>).</w:t>
      </w:r>
      <w:bookmarkStart w:id="111" w:name="pg11815_192657"/>
    </w:p>
    <w:p>
      <w:pPr>
        <w:pStyle w:val="Heading2"/>
        <w:numPr>
          <w:ilvl w:val="1"/>
          <w:numId w:val="1"/>
        </w:numPr>
        <w:rPr/>
      </w:pPr>
      <w:bookmarkStart w:id="112" w:name="__RefHeading___Toc10830509_73709187"/>
      <w:bookmarkStart w:id="113" w:name="_Toc37"/>
      <w:bookmarkEnd w:id="111"/>
      <w:bookmarkEnd w:id="112"/>
      <w:r>
        <w:rPr>
          <w:rtl w:val="true"/>
        </w:rPr>
        <w:t>كفّارة الغيبة</w:t>
      </w:r>
      <w:bookmarkEnd w:id="113"/>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الغيبة الماحية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والوجوه في كفّارة الغيبة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الاستحلال من المغتاب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وصول الغيبة إلى المغتاب فالاستحلال، وبين عدم وصولها إليه فالاستغفار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إمكان الاستحلال فيجب الاستحلال منه، وبين عدم إمكانه فيجب الاستغفار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كفّارة لها، بل الواجب على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من ذنوبه لنفسه والتوبة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البحث في الأدلّة التي أُقيمت على هذه الوجوه، لابدَّ من البحث فيما يقتضيه الأصل العملي لو شكّ في وجوب شيء، فأقول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أصالة البراءة تقضي الحكم بعدم وجوب شيء من الاستحلال والاستغفار، ولكن قد يقال بأنّ الأصل في المسألة مع ذلك هو الاحتياط، واستدلّ له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بقاءالحقّ الثابت للمغتاب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عدم الخروج منه إلّابالاستحلال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بالحقّ الثابت هو حقّ عدم الاغتياب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بالغيبة فات فلا معنى لبقائه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الحقّ الثابت بعد الغيبة، فهو غير معلوم الحدوث، واستصحاب بقاء جنس الحقّ يتوقّف على القول بجريانه في الكلّي في القسم الثالث، ولا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الإيرواني رحمه الله</w:t>
      </w:r>
      <w:r>
        <w:rPr>
          <w:rStyle w:val="FootnoteAnchor"/>
          <w:rtl w:val="true"/>
        </w:rPr>
        <w:footnoteReference w:id="324"/>
      </w:r>
      <w:r>
        <w:rPr>
          <w:rFonts w:ascii="Amiri" w:hAnsi="Amiri" w:eastAsia="Amiri" w:cs="Amiri"/>
          <w:color w:val="111111"/>
          <w:sz w:val="28"/>
          <w:sz w:val="28"/>
          <w:szCs w:val="28"/>
          <w:rtl w:val="true"/>
          <w:lang w:bidi="ar-SA"/>
        </w:rPr>
        <w:t>من أنّ العقاب إذا ثبت أوجب العقل تحصيل القطع بالبراءة منه، فيجب إتيان كلّ ما يحتمل دخله في رفع العقاب من الاستحلال وغيره، فالأصل في المسألة هو الاحتياط، وإن كان الشكّ فيها في التكليف دون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شكّ في دخل شيء في رفع العقاب غير التوبة، يكون المرجع هو ما دلّ على أنّ التوبة توجبُ محو الذنوب، وأنّ التائب من ذنبه كمَن لا ذنب له، من الآيات والروايات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الاكتفاء بالتوبة مع عدم الدليل على لزوم الاستحلال والاستغفار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فاعلم أنّه استدلّ للقول الأوّل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النبويّ‌المروي بعدّة طرق مسنداًومرسلاً، المتضمّن لوصيّته صلى الله عليه و آله لأبي ذرّ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إيّاك والغيبة، فإنّ الغيبة أشدّ من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ولِمَ ذاكَ بأبي أنتَ وأُمّي‌؟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يزني فيتوب إلى اللّه تعالى‌، فيتوب اللّه عليه، والغيبة لا تُغفر حتّى يغفرها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الشيخ المفيد،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أشدّ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الغيبة لا يتوب اللّه عليه حتّى يكون صاحبه الذي يحلّله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غير واحدٍ عن الكراجكي، بسنده المتّصل إلى علي بن الحسين عليهما السلام، عن أبيه، عن أمير المؤمنين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على أخيه ثلاثون حقّاً لا براءة له منها إلّا بالأداء أو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ليدع من حقوق أخيه شيئاً فيطالبه به يوم القيامة فيُقضى له عليه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لأخيه عنده مظلمة في عِرْضٍ أو مالٍ فليستحلّلها من قبل أن يأتي يوم ليس هناك درهمٌ ولا دينار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مسلماً أو مسلمة لم يقبل اللّه تعالى صلاته ولا صيامه أربعين يوماً وليلة، إلّاأن يغفر له صاحبه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انتقال الأعمال الحسنة باغتياب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الناس إلى المغتاب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استحلّ منها رجعت إلى صاحبها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دعاء التاسع والثلاثين من أدعية الصحيفة السجاديّة، وكذلك في دعاء يوم الاثنين من ملحقاتها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فضعيفة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طريقه ابن ميمون ورجاء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طريقه الحسين بن محمّد بن علي الصيرفي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الرابع والخامس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مستفيضة وبعدها لا محلّ للمناقشة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المستفيض يختلف مع المتواتر، لأنّ الثاني حجّة دون الأوّل، أضف إلى ذلك عدم دلالة غير الأولين والرابع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فلاشتماله على حقوقٍ لا قائل بوجوب البراءة منها بالاستحلال من ذي الحقّ‌، كعيادة المريض، وقضاء الحاجة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فمعنى القضاء يوم القيامة لذيها على من عليها، هو المعاملة معه معاملة من لم يُراع حقوق المؤمن، لا العقاب عليها كما أفاده الشيخ رحمه الله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بناءً على ما هو الظاهر من مغايرة القبول للإجزاء، لايدلّ على بقاء أثر الحرمة ما لم يغفر له صاحبه، ويؤيّده ما فيه من التحديد بأربعين يوماً وليلة، إذ على فرض وجوب الاستحلال لا وجه لهذا التحديد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يدلّ على بقاء أثر الحرمة ما دام لم يستحلّ‌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الدعاءان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 الثاني من أدعية ملحقات الصحيفة وهي بنفسها وإن وصلت إلينا بسندٍ معتبر، إلّاأنّ ملحقاتها 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لا يدلّان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متضمّنٌ 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طلب العفو والرحمة على الظالمين له، المتهتّكين لحرماته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طلب الإرضاء وإيفاء الحقّ من اللّه تعالى لمن له مظلمة عليه، وشيءٌ منهما لا صلة له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الاستغفار وطلب العفو للظالمين له كاستغفارهم عليهم السلام لسائر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منافاتها لأدنى مراتب العدالة، فضلاً عن أعلى مراتب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 العفو والمغفرة لذي الحقّ والمظلمة أعمّ من وجوب الاستحلال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ما في الدّعاء الثاني، لأنّه يدلّ على طلب المغفرة لذي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 الاستحلال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في دعاء يوم الاثنين من ملحقات الصحيفة من طلبه عليه السلام المغفرة لذوي الحقوق والمظلمة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حفص بن عمير، عن الإمام الصادق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النبيّ صلى الله عليه و آله ما كفّارة الاغتياب‌؟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اللّه لمن اغتبته كلّما ذكرته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السكوني،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وفاته، فليستغفر اللّه له، فإنّه كفّارة له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وبالنبويّ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أحداً فعابه، فليستغفر اللّه له كما ذكره فإنّه كفّارة له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آنفاً من ضعف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مجهول لحفص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منه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المظلوم، فيصبح أنّ من لم يُدركه ليطلب البراءة منه ويرضيه عمّا قاله في حقّه فليستغفر اللّه له، فهو يدلّ على وجوب الاستغفار عند عدم التمكّن من الاستحلال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عدم وجوب التصدق إذا كان حقّاً ماليّاً، وهو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التصدّق أيضاً طلب مغفرة له، مع أنّه إذا رجع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مفاده ذلك، إذ فوت الظلم عبارة أُخرى عن عدم إمكان تداركه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 الاستغفار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ضعف القولين الآخرين أي الثالث والرابع، وهما وجوب الأمرين معاً، والتخيير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إليه جمعٌ من الأساطين، فقد 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مقتضى الجمع بين الطائفتين المتقدّمتين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أرسله بعض من قارب عصر الشيخ الأعظم رحمه الله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اغتبت فبلغ المغتاب فاستحلّ منه، فإن لم تبلغه ولم تلحقه فاستغفر اللّه له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تبرّعي لا وجه للمصير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خبر السكوني المتقدّم بالتقريب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الأستاذ الأعظم</w:t>
      </w:r>
      <w:r>
        <w:rPr>
          <w:rStyle w:val="FootnoteAnchor"/>
          <w:rtl w:val="true"/>
        </w:rPr>
        <w:footnoteReference w:id="336"/>
      </w:r>
      <w:r>
        <w:rPr>
          <w:rFonts w:ascii="Amiri" w:hAnsi="Amiri" w:eastAsia="Amiri" w:cs="Amiri"/>
          <w:color w:val="111111"/>
          <w:sz w:val="28"/>
          <w:sz w:val="28"/>
          <w:szCs w:val="28"/>
          <w:rtl w:val="true"/>
          <w:lang w:bidi="ar-SA"/>
        </w:rPr>
        <w:t>من أنّه ضعيف السند للنوفلي، غير تامّ‌، إذ النوفلي عند الإطلاق يراد به الحسين بن يزيد، لا سيّما إذا كان يروي عن السكوني، وكان الراوي عنه إبراهيم بن هاشم، كما في الخبر، والحسين مقبولُ الرواية كما صرّح به جمعٌ من أئمّة الرِّجال، ويؤيّده ما في دعاء السجّاد عليه السلام يوم الاثنين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كفّارتها الاستحلال إن أمكن، وإلّا فالاستغفار 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4" w:name="pg11815_192664"/>
    </w:p>
    <w:p>
      <w:pPr>
        <w:pStyle w:val="Heading2"/>
        <w:numPr>
          <w:ilvl w:val="1"/>
          <w:numId w:val="1"/>
        </w:numPr>
        <w:rPr/>
      </w:pPr>
      <w:bookmarkStart w:id="115" w:name="__RefHeading___Toc10830511_73709187"/>
      <w:bookmarkStart w:id="116" w:name="_Toc38"/>
      <w:bookmarkEnd w:id="114"/>
      <w:bookmarkEnd w:id="115"/>
      <w:r>
        <w:rPr>
          <w:rtl w:val="true"/>
        </w:rPr>
        <w:t>مستثنيات الغيبة</w:t>
      </w:r>
      <w:bookmarkEnd w:id="116"/>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استثني من الغيبة وحُكِم بجوازها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جماعةٍ‌</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كان الاغتياب لغرضٍ صحيح كنُصح المستشير والتظلّم ونحوهما لا يحرم، وضابط الغيبة المحرّمة هو كلّ فعلٍ يُقصد به هتك عِرض المؤمن أو التفكّه به أو إضحاك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الشيخ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المستفاد من النصوص وغيرها أنّ حرمة الغيبة لأجل انتقاص المؤمن وتأذّيه منه، فإذا فُرض هناك مصلحة راجعة إلى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أو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ثالثٍ ودلّ العقل أو الشرع عليكونها أعظم من مصلحة احترام المؤمن بترك ذلك القول فيه، وجب كون الحكم على طبق أقوى المصلحتين كما هو الحال في كلّ معصيةٍ من حقوق اللّه وحقوق الناس، وقد ارتضاه الأستاذ الأعظم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نحرز كون الانتقاص والتأذّي تمام مناط حرمة الغيبة، إذ من المحتمل دخل شيءٍ آخر فيه كحفظ اللّسان عن التعرّض لأعراض الناس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إحراز أهميّة المصلحة الطارئة مع عدم ورود النص بها في غاية الإشكال، لعدم معلوميّة مقادير المصالح لنا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تقدّم في مستثنيات الغناء، أنّ الترجيح بالأهميّة إنّما هو في ما إذا وقعت المزاحمة بين الدليلين في مرحلة الامتثال، من دون أن يكون أحدهما مربوطاً </w:t>
      </w:r>
      <w:bookmarkStart w:id="117" w:name="pg11815_192665"/>
    </w:p>
    <w:p>
      <w:pPr>
        <w:pStyle w:val="BookText"/>
        <w:rPr/>
      </w:pPr>
      <w:bookmarkEnd w:id="117"/>
      <w:r>
        <w:rPr>
          <w:rFonts w:ascii="Amiri" w:hAnsi="Amiri" w:eastAsia="Amiri" w:cs="Amiri"/>
          <w:color w:val="111111"/>
          <w:sz w:val="28"/>
          <w:sz w:val="28"/>
          <w:szCs w:val="28"/>
          <w:rtl w:val="true"/>
          <w:lang w:bidi="ar-SA"/>
        </w:rPr>
        <w:t>بالآخر في مقام الجعل، وأنّه إذا كان الدليلان متعارضين بالعموم من وجه، وكان الدليلان مطلقين في مقام الجعل، ومتصادقين على موردٍ في الخارج، لابدّ من الرجوع إلى مرجّحات باب المعارضة، وعليه ففي المقام يقع التعارض بين دليل حرمة الغيبة، والدليل المتكفّل لبيان حكم ذلك العنوان الطاري مثل نُصح المستشير ونحوه، فحينئذٍ لا مورد للرجوع إلى مرجّحات باب المزاحمة، بل يتعيّن الرجوع إلى مرجّحات إحدى الروايتين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الأستاذ الأعظم مع اعترافه بجميع ما ذكرناه في ذلك المبحث، استحسن ما ذكره الشيخ رحمه الله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مرادهما ما إذا كان هناك مصلحة أعظم من مفسدة الغيبة في فعلٍ آخر متوقّف على الغيبة، لا ما إذا كان في عنوانٍ منطبق عليها، صَحّ ما ذكراه من الكبرى الكليّة كما حقّقناه في محلّه، لكنّه خلاف ظاهر كلام الشيخ الأعظم، إذ الظاهر منه إرادة بيان حكم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للجواز في صورة طروء عنوانٍ ذي مصلحة عليها، بعدم صدق الغيبة معه موضوعاً، لأخذ قصد الانتقاص في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ماعرفت من عدم تماميّة المبنى، فالأظهر أنّه لا تتمّ هذه الكليّة، نعم فيما إذا أُحرز من الخارج وجود ملاك العنوان في المجمع، وأُحرز أهميّته، فلا محالة تجوز الغيبة، كما اذا توقّف حفظ النفس المحترمة عليها، بل قد تجب حينئذٍ</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10830513_73709187"/>
      <w:bookmarkStart w:id="119" w:name="_Toc39"/>
      <w:bookmarkEnd w:id="118"/>
      <w:r>
        <w:rPr>
          <w:rtl w:val="true"/>
        </w:rPr>
        <w:t>غيبة المتجاهر بالفسق</w:t>
      </w:r>
      <w:bookmarkEnd w:id="1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ذَكر الأصحاب</w:t>
      </w:r>
      <w:r>
        <w:rPr>
          <w:rStyle w:val="FootnoteAnchor"/>
          <w:rtl w:val="true"/>
        </w:rPr>
        <w:footnoteReference w:id="339"/>
      </w:r>
      <w:r>
        <w:rPr>
          <w:rFonts w:ascii="Amiri" w:hAnsi="Amiri" w:eastAsia="Amiri" w:cs="Amiri"/>
          <w:color w:val="111111"/>
          <w:sz w:val="28"/>
          <w:sz w:val="28"/>
          <w:szCs w:val="28"/>
          <w:rtl w:val="true"/>
          <w:lang w:bidi="ar-SA"/>
        </w:rPr>
        <w:t>موردين لجواز الغيبة من غير 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المغتاب متجاهراً بالفسق، وقد استدلّ لاستثنائه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المبالي بظهور فسقه لا يكره ذكره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في مفهوم الغيبة، كون المقول أمراً مستوراً، فمع كون الفاسق متجاهراً بفسقه، لا يصدق الغيبة على ذكر المقول فيه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هارون بن الجهم،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ولا غيبة</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المدّعى ظاهرة، وقد ناقش فيه الأستاذ الأعظم</w:t>
      </w:r>
      <w:r>
        <w:rPr>
          <w:rStyle w:val="FootnoteAnchor"/>
          <w:rtl w:val="true"/>
        </w:rPr>
        <w:footnoteReference w:id="341"/>
      </w:r>
      <w:r>
        <w:rPr>
          <w:rFonts w:ascii="Amiri" w:hAnsi="Amiri" w:eastAsia="Amiri" w:cs="Amiri"/>
          <w:color w:val="111111"/>
          <w:sz w:val="28"/>
          <w:sz w:val="28"/>
          <w:szCs w:val="28"/>
          <w:rtl w:val="true"/>
          <w:lang w:bidi="ar-SA"/>
        </w:rPr>
        <w:t>بأنّه ضعيف السند لأحمد بن هارون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صرّح جماعة بأنّه من مشايخ الصدوق</w:t>
      </w:r>
      <w:r>
        <w:rPr>
          <w:rStyle w:val="FootnoteAnchor"/>
          <w:rtl w:val="true"/>
        </w:rPr>
        <w:footnoteReference w:id="343"/>
      </w:r>
      <w:r>
        <w:rPr>
          <w:rFonts w:ascii="Amiri" w:hAnsi="Amiri" w:eastAsia="Amiri" w:cs="Amiri"/>
          <w:color w:val="111111"/>
          <w:sz w:val="28"/>
          <w:sz w:val="28"/>
          <w:szCs w:val="28"/>
          <w:rtl w:val="true"/>
          <w:lang w:bidi="ar-SA"/>
        </w:rPr>
        <w:t>وأكثر من الرواية عنه مترضّياً عليه، وعليه فخبره معتبر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به ليس إلقاء جلباب الحياء في الأُمور العادية غير اللّائقة بشأنه كأكل العالم في السوق ونحوه، ولا إلقاء جلباب الحياء بينه وبين ربّه، بل المراد به إعلان الفاسق بفسقه، وارتكابه الفاحشة 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البُختري،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ليس لهم 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هوى مبتدع، والإمام الجائر، والفاسق المعلن بفسقه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هذا المضمون ما في جملةٍ من المراسيل، إلّاأنّها بأجمعها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ضعف المراسيل،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البُختري، فلأنّ الظاهر منه هو وهب بن وهب الذي ضعّفه كلّ من تعرّض له</w:t>
      </w:r>
      <w:r>
        <w:rPr>
          <w:rStyle w:val="FootnoteAnchor"/>
          <w:rtl w:val="true"/>
        </w:rPr>
        <w:footnoteReference w:id="346"/>
      </w:r>
      <w:r>
        <w:rPr>
          <w:rFonts w:ascii="Amiri" w:hAnsi="Amiri" w:eastAsia="Amiri" w:cs="Amiri"/>
          <w:color w:val="111111"/>
          <w:sz w:val="28"/>
          <w:sz w:val="28"/>
          <w:szCs w:val="28"/>
          <w:rtl w:val="true"/>
          <w:lang w:bidi="ar-SA"/>
        </w:rPr>
        <w:t>، ولا أقلّ من احتمال أن يكون هو المراد به في المقام، مع أنّه عرفت أنّ عدم الحرمة أعمّ من جواز الغيبة، إذ كون مناط حرمة الغيبة الاحترام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بن مهران،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وحدّثهم فلم يكذبهم، وَوَعَدهم فلم يخلفهم، كان ممّن حَرُمت غيبته، وكَمُلت مروّته، وظهر عدله، ووجبت أخوّته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الصدوق بأسانيد، والطبرسي في صحيفة الرّضا عليه السلام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سيرته على عدم الظلم، وجريان عادته على ذلك، وعلى عدم الكذب وعدم خُلف الوعد، وعليه فمفهومه أنّ من لم تجرِ سيرته وعادته على ذلك، بأن كان من عادته الظلم وخُلف الوعد، والكذب في الحديث، لا يحرم غيبته، ومن البديهي أنّ من جرت عادته على ذلك يكون لا محالة متجاهراً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وجه جعل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 عن العدالة، فإنّ من جرت عادته على الأُمور المذكورة، لا محالة تكون فيه مَلَكة العدالة الموجبة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الأستاذ الأعظم</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السند لعثمان بن عيسى</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ذكره الكشّي في رجاله وذكر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مال فمنعه فسخط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وبعث إليه بالمال، وكان يروى عن أبي حمزة، وكان رأى في المنام أنّه يموت بالحائر على صاحبه السلام، فترك منزله بالكوفة وأقام بالحائر حتّى مات، ودفن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المياه، أخبرنا ابن شاذان، عن أحمد بن محمّد بن يحيى، عن سعد،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عيسى، عن عثمان،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القضايا والأحكام، وكتاب الوصايا، وكتاب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أحمد بن محمّد بن سعيد، عن جعفر بن عبد اللّه المحمّدي، عن عثمان بكتبه، وأخبرني والدي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عن أبيه، عن سعد، عن أحمد بن محمّد بن عيسى، عن عثمان بن عيسى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المذهب له كتاب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ابن أبي جيد، عن ابن الوليد، عن سعد والحميري، عن أحمد ابن محمّد ومحمّد بن الحسين بن أبي الخطاب، عن 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الكاظم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الرؤاسي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له 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الكلابي، رؤاسي، كوفي، واقفي، كلهم من أصحاب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الشيخ بهذه العبارة أنّ عثمان بن عيسى ومن تقدّمه من أصحاب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عدّه البرقي في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عيسى الرؤاسي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نصر بن الصباح أنّ عثمان بن عيسى كان واقفيّاً، وكان وكيل أبي الحسن موسى عليه السلام، وفي يده مال فسخط عليه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عثمان وبعث إليه بالمال، وكان شيخاً وعمّر ستّين سنة، وكان يروي عن أبي حمزة الثمالي، ولا يتّهمون عثمان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على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رووه في مذهبهم 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السبب الذي دعا قوماً إلى القول بالوقّف، فروى الثقات أنّ أوّل من أظهر هذا الاعتقاد علي بن أبي حمزة البطائني، وزياد ابن مروان القندي، وعثمان بن عيسى الرواسي، طمعوا في الدنيا ومالوا إلى حطامها، واستمالوا قوما فبذلوا لهم شيئاً ممّا اختانوه من الأموال، نحو حمزة بن بزيع، وابن المكاري، وكرام الخثعمي،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رواية قريبة ممّا تقدّم، وقال عند ذكره الوكلاء المذمومين بعد بيان السفراء الممدوحين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علي بن أبي حمزة البطائني، وزياد بن مروان القندي، وعثمان بن عيسى الرواسي، كلّهم كانوا وكلاء لأبي الحسن موسى عليه السلام، وكان عندهم أموال جزيلة، فلمّا مضى أبو الحسن موسى عليه السلام وقفوا طمعاً في الأموال، ودفعوا إمامة الرِّضا عليه السلام وجحدوه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أقوال أئمّة الرجال وإن اختلفت بالنسبة إليه، إلّاأنّ الظاهر كون حديثه من الموثّق</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يورد على الاستدلال به أنّه لا مفهوم للقضيّة إلّاعلى القول بثبوت المفهوم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متضمّنة لمعنى الشرطيّة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منها أنّ الأُمور المذكورة كلّها قيود للموضوع، وأنّ القضيّة مسوقة لبيان مجرّد نسبة المحمول إلى الموضوع، مضافاً إلى أنّه لو كان لها مفهوم، فإنّما هو أن من لم تجر عادته على عدم الظلم وعدم الكذب وعدم خلف الوعد يجوز غيبته، لا أنّ من جرت عادته على الظلم وأخويه حكمه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فهو يدلّ على جواز غيبة غير العادل، وإنْ لم يكن متجاهراً بالفسق، وهذا ممّا لم يلتزم به أحد، مع أنّ الجزاء عبارة عن مجموع الأُمور الأربعة التي ذكرها عليه السلام على سبيل العموم المجموعي، فبانتفاء المقدّم ينتفي المجموع الملائم مع بقاء بعضها، فلعلّ المنفيّ خصوص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عن مولانا الصادق عليه السلام، الوارد في بيان العدالة بعدما بيّن حقيقة العدالة، والدلالة عليذلك أن يكون ساتراً لجميع عيوبه حتّى يحرم على المسلمين ما وراء ذلك من عثراته</w:t>
      </w:r>
      <w:r>
        <w:rPr>
          <w:rStyle w:val="FootnoteAnchor"/>
          <w:rtl w:val="true"/>
        </w:rPr>
        <w:footnoteReference w:id="352"/>
      </w:r>
      <w:r>
        <w:rPr>
          <w:rFonts w:ascii="Amiri" w:hAnsi="Amiri" w:eastAsia="Amiri" w:cs="Amiri"/>
          <w:color w:val="111111"/>
          <w:sz w:val="28"/>
          <w:sz w:val="28"/>
          <w:szCs w:val="28"/>
          <w:rtl w:val="true"/>
          <w:lang w:bidi="ar-SA"/>
        </w:rPr>
        <w:t>، فإنّ مفهومه أنّ من لم يكن ساتراً لعيوبه لا يحرم التفتيش عن حاله بالسؤال عن جيرانه ومعاشريه وغيرهم عن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التفتيش تارةً يكون بالسؤال عن المطّلع على حاله، وأُخرى بغيره، فلا تلازم بين جواز التفتيش وجواز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الستر للعيوب في الخبر جُعل طريقاً إلى ثبوت العدالة، فالمراد به الستر عند من يريد ترتيب آثار العدالة، حتّى أنّه لو رأى منه ذنباً خرج عن هذا الستر، وإن كان غير متجاهرٍ بالفسق، وعليه فمفهومه جواز غيبة الفاسق مطلقاً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علقمة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تره بعينك يرتكب ذنباً، أو لم يشهد عليه بذلك شاهدان، فهو من أهل العدالة والستر، وشهادته مقبولة، وإن كان في نفسه مذنباً، ومن اغتابه بما فيه فهو خارجٌ عن ولاية اللّه تعالى، وداخل في ولاية الشيطان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به الشيخ رحمه الله</w:t>
      </w:r>
      <w:r>
        <w:rPr>
          <w:rStyle w:val="FootnoteAnchor"/>
          <w:rtl w:val="true"/>
        </w:rPr>
        <w:footnoteReference w:id="354"/>
      </w:r>
      <w:r>
        <w:rPr>
          <w:rFonts w:ascii="Amiri" w:hAnsi="Amiri" w:eastAsia="Amiri" w:cs="Amiri"/>
          <w:color w:val="111111"/>
          <w:sz w:val="28"/>
          <w:sz w:val="28"/>
          <w:szCs w:val="28"/>
          <w:rtl w:val="true"/>
          <w:lang w:bidi="ar-SA"/>
        </w:rPr>
        <w:t>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 على ترتّب عدم جواز الغيبة على كون الرّجل غير مرئي منه المعصية، ولا مشهوداً عليه بها، ومقتضى المفهوم جواز الاغتياب مع عدم الشرط، خرج منه غير المتجاهر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دلّ على ترتّب حرمة الاغتياب وقبول الشهادة على كونه من أهل الستر، وكونه من أهل العدالة على طريق اللّف والنشر، فمفهومه جواز غيبة غير المتستّر، وهو المتجاهر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لعلقمة</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علي بن محمّد بن قتيبة القتيبي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وعلقمة على زيد بن علي، وكان علقمة أكبر من أبي، فجلس أحدهما عن يمينه والآخر عن يساره، وكان بلغهما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الإمام منّا من أرخى عليه ستره، إنّما الإمام من شهر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أجرأهما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أخبرني عن علي بن أبي طالب عليه السلام، أكان إماماً وهو مرخ عليه ستره أو لم يكن إماماً حتّى خرج وشهر سيفه‌؟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زيد يبصر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فلم يجبه، فردّ عليه الكلام ثلاث مرّات، كلّ ذلك لا يجيبه بشيء،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 بن أبي طالب إماماً فقد يجوز أن يكون بعده إمام مرخ عليه ستره، وإن لم يكن إماماً وهو مرخ عليه ستره فأنتَ ما جاء بك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 أبي علقمة أن يكفّ عنه فكفّ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الشاذاني أبو عبد اللّه، يذكر عن الفضل، عن أبيه مثله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عليه السلام، وروى عنه سيف بن عميرة، وصالح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في ثواب من زار الحسين عليه السلام يوم عاشوراء،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مفهوم له لعدم حجيّة مفهوم الوصف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الستر إرادة العدالة منه، لأنّه عليه السلام رتّب كونه من أهل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الستر والعدالة على شيء واحد، وهو حسن الظاهر، فلو كان له مفهوم فإنّما هو جواز غيبة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مفهومه وإنْ كان ذلك، إلّاأنّه خرج عنه غير المتجاهر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التصرّف في المفهوم من دون التصرّف في المنطوق غير معقول، كما حُقّق في محلّه، والتصرّف في المنطوق في المقام لا يمكن كما لا يخفى‌، مع أنّ الالتزام بذلك مستلزمٌ للقول بعدم مدخليّة التجاهر بالفسق في الحكم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في النصوص المعتبرة ما يمكن الاستدلال به إلّا خبر هارون</w:t>
      </w:r>
      <w:r>
        <w:rPr>
          <w:rFonts w:eastAsia="Amiri" w:cs="Amiri" w:ascii="Amiri" w:hAnsi="Amiri"/>
          <w:color w:val="111111"/>
          <w:sz w:val="28"/>
          <w:szCs w:val="28"/>
          <w:rtl w:val="true"/>
          <w:lang w:bidi="ar-SA"/>
        </w:rPr>
        <w:t>.</w:t>
      </w:r>
      <w:bookmarkStart w:id="120" w:name="pg11815_192673"/>
    </w:p>
    <w:p>
      <w:pPr>
        <w:pStyle w:val="Heading2"/>
        <w:numPr>
          <w:ilvl w:val="1"/>
          <w:numId w:val="1"/>
        </w:numPr>
        <w:rPr/>
      </w:pPr>
      <w:bookmarkStart w:id="121" w:name="__RefHeading___Toc10830515_73709187"/>
      <w:bookmarkStart w:id="122" w:name="_Toc40"/>
      <w:bookmarkEnd w:id="120"/>
      <w:bookmarkEnd w:id="121"/>
      <w:r>
        <w:rPr>
          <w:rtl w:val="true"/>
        </w:rPr>
        <w:t>فروع الغيبة</w:t>
      </w:r>
      <w:bookmarkEnd w:id="122"/>
    </w:p>
    <w:p>
      <w:pPr>
        <w:pStyle w:val="BookText"/>
        <w:rPr/>
      </w:pPr>
      <w:r>
        <w:rPr>
          <w:rFonts w:ascii="Amiri" w:hAnsi="Amiri" w:eastAsia="Amiri" w:cs="Amiri"/>
          <w:color w:val="111111"/>
          <w:sz w:val="28"/>
          <w:sz w:val="28"/>
          <w:szCs w:val="28"/>
          <w:rtl w:val="true"/>
          <w:lang w:bidi="ar-SA"/>
        </w:rPr>
        <w:t>بقي في المقام فروع تعرّض لها الشيخ رحمه الله،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Style w:val="FootnoteAnchor"/>
          <w:rtl w:val="true"/>
        </w:rPr>
        <w:footnoteReference w:id="3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الروايات، جواز غيبة المتجاهر في ما تجاهر به، ولو مع عدم قصدِ غرضٍ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قوله عليه السلام في خبر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ولا غيبة</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فإنّ إطلاقه يقتضي عدم الفرق بين أن تكون الغيبة لغرض صحيح، أم كانت بقصد 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ذكرناه من خروج ذكر المغتاب في ما تجاهر به عن الغيبة موضوعاً، لعدم كونه إظهاراً لما سَتَره اللّه، هو الذي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بقوله</w:t>
      </w:r>
      <w:r>
        <w:rPr>
          <w:rStyle w:val="FootnoteAnchor"/>
          <w:rtl w:val="true"/>
        </w:rPr>
        <w:footnoteReference w:id="3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اغتياب المتجاهر في غير ما تجاهر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 واستظهره من كلام جمعٍ من الأصحاب، وصرّح به بعض الأساطين، وهو الجواز</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آخرين منهم الشهيد الثاني</w:t>
      </w:r>
      <w:r>
        <w:rPr>
          <w:rStyle w:val="FootnoteAnchor"/>
          <w:rtl w:val="true"/>
        </w:rPr>
        <w:footnoteReference w:id="360"/>
      </w:r>
      <w:r>
        <w:rPr>
          <w:rFonts w:ascii="IRNazanin" w:hAnsi="IRNazanin" w:eastAsia="IRNazanin"/>
          <w:color w:val="111111"/>
          <w:sz w:val="28"/>
          <w:sz w:val="28"/>
          <w:szCs w:val="28"/>
          <w:rtl w:val="true"/>
          <w:lang w:bidi="fa-IR"/>
        </w:rPr>
        <w:t>، وهو عدم الجواز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رحمه الله من التفصيل بين المعاصي التي دون ما تجاهر به في القبح، وبين غيرها، فيجوز في الأولى ولا يجوز في الثاني، فمن تجاهر باللّواط جاز اغتيابه بالتعرّض لنساء الأجانب، ومن تجاهر بقطع الطريق جاز اغتيابه بالسّرقة، ومن تجاهر بالمعاصي الكبيرة جاز اغتيابه بكلّ قبيح</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النصوص التي منها خبر هارون المتقدّم، فإنّ مقتضى إطلاق نفي الجنس هو نفي جميع أفراد الغيبة التي منها غيبته في غير ما تجاهر به، فإنّ نفي الطبيعة نفيٌ لجميع وجوداتها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الخبر وروده في مقام بيان الحكم، لا بيان نفي الموضوع حقيقة، وعليه فحيث إنّ ذكر النقص المتجاهر فيه لا يكون غيبة حقيقة كما تقدّم، فيكون الخبر وارداً لبيان الرخصة في الغيبة بالنسبة إلى غير ما تجاهر فيه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نفي الطبيعة، هو نفي الموضوع حقيقة، وحمله على إرادة النفي التنزيلي، ونفي الحكم عن الموضوع خلاف الظاهر، لا يصار إليه إلّا مع القرينة، ككونه نفياً لموضوع واقعي واضح ليس إثباته ونفيه وظيفة الشارع، ولا يكون الموضوع منتفياً بعد نفيه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الغيبة كذلك، فإنّ للشارع تحديد مفهومها وبيان قيودها، وقد بيّنها في جملةٍ من النصوص المتقدّمة، فلا قرينة صارفة عن ظهور القضيّة في نفي الموضوع حقيقة، وهو لا يكون إلّا فيما تجاهر فيه من المعاصي، فلا يكون مطلقاً ولا مختصّاً بغير ما تجاهر فيه، مع أنّ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إرادة الأعمّ ممَّا تجاهر فيه وغيره غير ممكنة، إذ بالنسبة إلى ما تجاهر فيه يكون النفي نفياً للموضوع حقيقةً‌، وبالنسبة إلى غيره يكون نفياً له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نفياً للحكم بلسان نفي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الأعمّ مستلزمة لاجتماع اللّحاظين في استعمال واحد، فيدور الأمر بين إرادة أحد القسمين، والمتعيّن هو الأوّل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ما ورد في خبر هارون، وأمّا سائر النصوص فقد عرفت أنّها ما بين ضعيف السند، وغير الدالّ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فاختصاصهما بخصوص ما تجاهر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الأخير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جواز غيبة المتجاهر تبيّن هذه المرتبة من العصيان منه، فيجوز غيبته في الأدون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مشايخنا المحقّقين رحمه الله من أنّ من لا يَكره نسبته إلى 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يكره نسبته إلى أنّه يتفحّص عن معاشرة النساء، وهذه الملازمة بعنوان أنّه نقص وعيب ثابتة، فإذا فرضنا أنّ أحداً يكره الثاني دون الأوّل، يُستكشف منه أن كراهة الثاني ليست متعلّقة به بما هو عيب ونقص، فيجوز غيبته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 المناط ما ذكر غير معلوم، بل يحتمل أن يكون المناط عدم كراهة الإظهار، أو عدم كونه إظهاراً لما ستره اللّه المفروض تحقّقه في ما تجاهر فيه دون الأدون، مع أنّ الأولويّة لو تمّت، فإنّما هي فيما لو اقتصر على الأدون، دون </w:t>
      </w:r>
    </w:p>
    <w:p>
      <w:pPr>
        <w:pStyle w:val="BookText"/>
        <w:rPr/>
      </w:pPr>
      <w:r>
        <w:rPr>
          <w:rFonts w:ascii="Amiri" w:hAnsi="Amiri" w:eastAsia="Amiri" w:cs="Amiri"/>
          <w:color w:val="111111"/>
          <w:sz w:val="28"/>
          <w:sz w:val="28"/>
          <w:szCs w:val="28"/>
          <w:rtl w:val="true"/>
          <w:lang w:bidi="ar-SA"/>
        </w:rPr>
        <w:t>الجمع بين الغيبتين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ربما يكون الشخص متجاهراً في معصية كبيرة، كقتل النفوس المحترمة، ومتستّراً فيما هو دونها، ويَكره نسبته إليه ويتجنّبه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اختصاص الحكم بخصوص ما تجاهر فيه، نعم إذا جاهر بمعصيةٍ جاز اغتيابه بها وبلوازمها، لأنّ الالتزام بالشيء التزام بلوازمه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بالمتجاهر من تجاهر بالقبيح مع علمه بالقبح، ويعلم الناس بصدوره عنه بعنوان أنّه قبيح، فلو لم يكن عالماً بقبحه لشبهة حكمية، كما لو شرب التمر المغلي قبل ذهاب ثلثيه معتقداً إباحته، أو لشبهةٍ موضوعيّة، كما لو شرب الخمر باعتقاد أنّه ماء، لا يجوز اغتيابه، لعدم كونه فاسقاً، فضلاً عن كونه متجاهراً بالفسق، كما أنّه لو أتى به علناً مع العلم بأنّه قبيح، لكن احتمل عدم اطلاع الناس على صدور الفعل منه معصية لاحتمالهم في حقّه الجهل بالموضوع أو الحكم عن قصور لم يكن متجاهراً بالفسق بما هو فسق، بل متجاهرٌ بالفسق من حيث ذاته، وظاهر الدليل جواز غيبة المتجاهر بالفسق بما هو فسق، فالمتجاهر بالفسق هو من أتى بالمعصية مع علمه بأنّ المأتي به معصية علناً، وعرف أنّ الناس عالمون بأنّه عاص بفعله، وليس له عذرٌ ولو غير موجه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متجاهراً جاز غيبته عند من لا يكون مطّلعاً على حاله، لعدم كونه إظهاراً لما ستره اللّه، إذ المراد منه إظهار الأمر المستور، فلو كان منكشفاً لم يكن من الغيبة، هذا مضافاً إلى ظهور خبر هارون، فإنّ الظاهر منه إرادة بيان أنّ في المتجاهر خصوصيّة ليست في غيره، فلو اقتصر على ذكره عند من يكون مطّلعاً </w:t>
      </w:r>
    </w:p>
    <w:p>
      <w:pPr>
        <w:pStyle w:val="BookText"/>
        <w:rPr/>
      </w:pPr>
      <w:r>
        <w:rPr>
          <w:rFonts w:ascii="Amiri" w:hAnsi="Amiri" w:eastAsia="Amiri" w:cs="Amiri"/>
          <w:color w:val="111111"/>
          <w:sz w:val="28"/>
          <w:sz w:val="28"/>
          <w:szCs w:val="28"/>
          <w:rtl w:val="true"/>
          <w:lang w:bidi="ar-SA"/>
        </w:rPr>
        <w:t>على حاله، لزم عدم خصوصيّة فيه، فإنّ العالم بالحال يجوز الغيبة عنده، ولو لم يكن المقول فيه متجاهراً، وهذا ممّا لا إشكال فيه، إنّما الكلام في حَدّ التجاهر، والظاهر أنّه يصدق مع التجاهر به عند جماعةٍ معتدّ بهم مع عدم المبالاة باطلاع غيرهم، فلو تجاهر عند أصحاب سِرّه ورفقائه لا يصدق عليه المتجاهر، كما أنّه لو تجاهر في بلد الغربة وتستّر في بلد نفسه، لا يعدّ متجاهراً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الغيبة يدور مدار بقاء كونه متجاهراً، فلو انتفى عنه المبدأ وأخفى فسقه، وتأذّى من ظهوره حرمت غيبته، إذ بقاء الحكم تابعٌ لبقاء موضوعه، فمع ارتفاع الموضوع يرتفع الحكم</w:t>
      </w:r>
      <w:r>
        <w:rPr>
          <w:rFonts w:eastAsia="Amiri" w:cs="Amiri" w:ascii="Amiri" w:hAnsi="Amiri"/>
          <w:color w:val="111111"/>
          <w:sz w:val="28"/>
          <w:szCs w:val="28"/>
          <w:rtl w:val="true"/>
          <w:lang w:bidi="ar-SA"/>
        </w:rPr>
        <w:t>.</w:t>
      </w:r>
      <w:bookmarkStart w:id="123" w:name="pg11815_192678"/>
    </w:p>
    <w:p>
      <w:pPr>
        <w:pStyle w:val="Heading2"/>
        <w:numPr>
          <w:ilvl w:val="1"/>
          <w:numId w:val="1"/>
        </w:numPr>
        <w:rPr/>
      </w:pPr>
      <w:bookmarkStart w:id="124" w:name="__RefHeading___Toc10830517_73709187"/>
      <w:bookmarkStart w:id="125" w:name="_Toc41"/>
      <w:bookmarkEnd w:id="123"/>
      <w:bookmarkEnd w:id="124"/>
      <w:r>
        <w:rPr>
          <w:rtl w:val="true"/>
        </w:rPr>
        <w:t>تظلّم المظلوم</w:t>
      </w:r>
      <w:bookmarkEnd w:id="125"/>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تظلّم المظلوم وإظهار ما فعل به الظالم، وإنْ كان متستّراً به، كما إذا ضربه في ليلةٍ ظلماء لا أحد سواهما، أو شتمه، أو أخذ ماله، جاز له ذكره بذلك عند من لا يعلم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جواز إظهار ما فَعل الظالم بالمظلوم وإنْ كان متستّراً به إجماعيٌ‌، وقد استدلّ له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فَأُولئِكَ ما عَلَيْهِمْ مِنْ سَبِيلٍ‌</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تدلّ الآية على أنّ من أصبح مظلوماً لا سبيل له عليه في الانتصار جاز له غيبته، ومن المعلوم أنّه يتوقّف الانتصار على إظهار ما فعل به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الانتصار عبارة عن الانتقام، فمفاد الآية الشريفة جواز الانتقام، ومجازاة الظالم بالمثل التي دلّت عليها الآية التي قبل هذه الآية،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فهي أجنبيّة عن جواز الاغتياب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نحوٌ من الانتقام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إطلاق للآية في كيفيّة الانتقام، ولذا لم يتوهّم أحدٌ جواز نكاحه مثلاً باعتبار أنّه نحوٌ من الانتقام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فإنّه يدلّ على مرجوحيّة الجهر بالسّوء من القول الذي من أفراده ومصاديقه الغيبة، كما تقدّم في أوّل المبحث، إلّابالنسبة إلى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بنيتم على عدم دلالة الآية على عدم جواز الغيبة، فكيف تتمسّكون به في المقام‌؟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الإيراد واردٌ على من التزم بعدم كون الغيبة من مصاديق الجهر بالسّوء كالمحقّق الإيرواني</w:t>
      </w:r>
      <w:r>
        <w:rPr>
          <w:rStyle w:val="FootnoteAnchor"/>
          <w:rtl w:val="true"/>
        </w:rPr>
        <w:footnoteReference w:id="365"/>
      </w:r>
      <w:r>
        <w:rPr>
          <w:rFonts w:ascii="Amiri" w:hAnsi="Amiri" w:eastAsia="Amiri" w:cs="Amiri"/>
          <w:color w:val="111111"/>
          <w:sz w:val="28"/>
          <w:sz w:val="28"/>
          <w:szCs w:val="28"/>
          <w:rtl w:val="true"/>
          <w:lang w:bidi="ar-SA"/>
        </w:rPr>
        <w:t>وغيره، ولا يرد علينا لالتزامنا بأنّها لا تدلّ على عدم جواز الغيبة، لأنّ عدم الحبّ أعمّ من الحرمة، وعليه فلا مورد لهذا الإيراد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من عموم السلب لا يقتضي إلّاثبوت الإيجاب الجزئي، حيث أنّه لا إطلاق لتلك الجزئيّة، لعدم ثبوت كونها واردة في مقام البيان من هذه الجهة، فيمكن أن يكون الجواز راجعاً إلى مذمّته وتعييره وتنقيصه، فإنّها من الجهر بالسوء، كما في تعليقة بعض مشايخنا المحقّقين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 في محلّه من أنّه عند الشكّ في كون دليل في مقام البيان، يبني على أنّه كذلك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فمقتضى إطلاق هذه الآية الشريفة جواز كلّ فرد من أفراد الجهر بالسّوء التي منها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أبي قُرّة،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من أضاف قوماً فأساء ضيافتهم، فهو ممّن ظلم، فلا جناح عليهم فيما قالوا فيه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إنّ الضيف ينزل بالرّجل فلا يحسن ضيافته، فلا جناح عليه في أن يذكر سوء ما فعله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يدلّان على أنّ من هتك ضيفه، ولم يقم بما يليق بشأنه في مقام الضيافة، جاز له أن يذكره بما فعله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ضعيفان؛ أمّا الأوّل فلجهالة حال المفضّل</w:t>
      </w:r>
      <w:r>
        <w:rPr>
          <w:rStyle w:val="FootnoteAnchor"/>
          <w:rtl w:val="true"/>
        </w:rPr>
        <w:footnoteReference w:id="370"/>
      </w:r>
      <w:r>
        <w:rPr>
          <w:rFonts w:ascii="Amiri" w:hAnsi="Amiri" w:eastAsia="Amiri" w:cs="Amiri"/>
          <w:color w:val="111111"/>
          <w:sz w:val="28"/>
          <w:sz w:val="28"/>
          <w:szCs w:val="28"/>
          <w:rtl w:val="true"/>
          <w:lang w:bidi="ar-SA"/>
        </w:rPr>
        <w:t>، وأمّا الثاني فللإرسال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منع المظلوم من التظلّم حَرَجاً عليه السلام عظيماً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دليل نفي الحرج ليس هو الحرج النوعي، بل المراد الحرج الشخصي، فلا ينفع في نفي الحكم كليّاً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نفي الحرج إنّما ينفي الأحكام التي في نفيها امتنان على الأُمّة، فالحكم الذي يكون نفيه منّة على شخصٍ ومنافياً للامتنان على الآخر، لا يكون مشمولاً لدليل نفي الحرج، والمقام من هذا القبيل، لأنّ جواز الاغتياب منافٍ للامتنان، بالنسبة إلى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تشريع الجواز مظنّة لردع الظالم، وهي مصلحة خالية عن مفسدة، فيثبت الجواز، لأنّ الأحكام تابعة للمصالح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مقاومة هذه المصلحة لا سيّما وهي مظنونة للمفسدة المقطوعة الثابتة في الغيبة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الوجه جواز اغتياب كلّ عاصٍ‌، وإنْ كان غير متجاهر ولا ظالم لشخص، فإنّ في تجويزه مظنّة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على هذا لا يختصّ بالمظلوم، بل يجوز لكلّ أحدٍ لعين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يحصل العلم بأنّه لا يرتكب تلك المعصية، أو أنّه لا يرتدع من هذا التظلّم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ليس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 والإمام الجائر، والفاسق المُعلِن بالفسق</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الحرمة عن الإمام الجائر إنّما هو من جهة جوره لا من جهة تجاهره، وإلّا لم يذكره في مقابل الفاسق المُعلِن بالفسق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وعدم دلالته على جواز غيبة هذه الثلاثة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جواز غيبة الإمام الجائر لو ثبت من جهة غصبه حقوق الأئمّة عليهم السلام وتصدّيه مقام الخلافة، مع أنّ هذا لو تمّ لدلّ على جواز اغتياب كلّ أحدٍ لا خصوص المظلوم، مضافاً إلى أنّ الخبر مروي بطريق آخر وفيه توصيف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ولصاحب الحَقّ مقال</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من ثبت له حقٌّ فله مقال، والكلام في المظلوم إنّما هو في ثبوت الحقّ له بعد ما أضيع حقّه بالظلم، مع أنّ المقال الثابت لصاحب الحقّ لعلّه أُريد به مطالبة ما أضيع به من حقّه لا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على جواز غيبة المظلوم، لا يدلّ عليه سوى آية</w:t>
      </w:r>
      <w:r>
        <w:rPr>
          <w:rStyle w:val="FootnoteAnchor"/>
          <w:rtl w:val="true"/>
        </w:rPr>
        <w:footnoteReference w:id="373"/>
      </w:r>
      <w:r>
        <w:rPr>
          <w:rFonts w:ascii="IRNazanin" w:hAnsi="IRNazanin" w:eastAsia="IRNazanin"/>
          <w:color w:val="111111"/>
          <w:sz w:val="28"/>
          <w:sz w:val="28"/>
          <w:szCs w:val="28"/>
          <w:rtl w:val="true"/>
          <w:lang w:bidi="fa-IR"/>
        </w:rPr>
        <w:t>الجهر بالسوء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البحث عن أنّه هل يقيّد جواز الغيبة بكونها عند من يرجو إزالة الظلم عنه كما عن جماعةٍ‌</w:t>
      </w:r>
      <w:r>
        <w:rPr>
          <w:rStyle w:val="FootnoteAnchor"/>
          <w:rtl w:val="true"/>
        </w:rPr>
        <w:footnoteReference w:id="374"/>
      </w:r>
      <w:r>
        <w:rPr>
          <w:rFonts w:ascii="Amiri" w:hAnsi="Amiri" w:eastAsia="Amiri" w:cs="Amiri"/>
          <w:color w:val="111111"/>
          <w:sz w:val="28"/>
          <w:sz w:val="28"/>
          <w:szCs w:val="28"/>
          <w:rtl w:val="true"/>
          <w:lang w:bidi="ar-SA"/>
        </w:rPr>
        <w:t>، أم يجوز مطلقاً كما عن آخرين</w:t>
      </w:r>
      <w:r>
        <w:rPr>
          <w:rStyle w:val="FootnoteAnchor"/>
          <w:rtl w:val="true"/>
        </w:rPr>
        <w:footnoteReference w:id="3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أقواهما الثاني، لأنّ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76"/>
      </w:r>
      <w:r>
        <w:rPr>
          <w:rFonts w:ascii="Amiri" w:hAnsi="Amiri" w:eastAsia="Amiri" w:cs="Amiri"/>
          <w:color w:val="111111"/>
          <w:sz w:val="28"/>
          <w:sz w:val="28"/>
          <w:szCs w:val="28"/>
          <w:rtl w:val="true"/>
          <w:lang w:bidi="ar-SA"/>
        </w:rPr>
        <w:t>التي عرفت دلالتها على جواز اغتياب المظلوم بإظهار ما فعل به الظالم، جواز الغيبة حتّى عند من لا يرجو إزالة الظلم عنه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الشهيد رحمه الله</w:t>
      </w:r>
      <w:r>
        <w:rPr>
          <w:rStyle w:val="FootnoteAnchor"/>
          <w:rtl w:val="true"/>
        </w:rPr>
        <w:footnoteReference w:id="377"/>
      </w:r>
      <w:r>
        <w:rPr>
          <w:rFonts w:ascii="Amiri" w:hAnsi="Amiri" w:eastAsia="Amiri" w:cs="Amiri"/>
          <w:color w:val="111111"/>
          <w:sz w:val="28"/>
          <w:sz w:val="28"/>
          <w:szCs w:val="28"/>
          <w:rtl w:val="true"/>
          <w:lang w:bidi="ar-SA"/>
        </w:rPr>
        <w:t>وتبعه بعض مشايخنا المحقّقين رحمه الله</w:t>
      </w:r>
      <w:r>
        <w:rPr>
          <w:rStyle w:val="FootnoteAnchor"/>
          <w:rtl w:val="true"/>
        </w:rPr>
        <w:footnoteReference w:id="378"/>
      </w:r>
      <w:r>
        <w:rPr>
          <w:rFonts w:ascii="Amiri" w:hAnsi="Amiri" w:eastAsia="Amiri" w:cs="Amiri"/>
          <w:color w:val="111111"/>
          <w:sz w:val="28"/>
          <w:sz w:val="28"/>
          <w:szCs w:val="28"/>
          <w:rtl w:val="true"/>
          <w:lang w:bidi="ar-SA"/>
        </w:rPr>
        <w:t>من أنّه لا عموم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6" w:name="pg11815_192683"/>
    </w:p>
    <w:p>
      <w:pPr>
        <w:pStyle w:val="BookText"/>
        <w:rPr/>
      </w:pPr>
      <w:bookmarkEnd w:id="126"/>
      <w:r>
        <w:rPr>
          <w:rFonts w:ascii="Amiri" w:hAnsi="Amiri" w:eastAsia="Amiri" w:cs="Amiri"/>
          <w:color w:val="111111"/>
          <w:sz w:val="28"/>
          <w:sz w:val="28"/>
          <w:szCs w:val="28"/>
          <w:rtl w:val="true"/>
          <w:lang w:bidi="ar-SA"/>
        </w:rPr>
        <w:t>الآية</w:t>
      </w:r>
      <w:r>
        <w:rPr>
          <w:rStyle w:val="FootnoteAnchor"/>
          <w:rtl w:val="true"/>
        </w:rPr>
        <w:footnoteReference w:id="379"/>
      </w:r>
      <w:r>
        <w:rPr>
          <w:rFonts w:ascii="Amiri" w:hAnsi="Amiri" w:eastAsia="Amiri" w:cs="Amiri"/>
          <w:color w:val="111111"/>
          <w:sz w:val="28"/>
          <w:sz w:val="28"/>
          <w:szCs w:val="28"/>
          <w:rtl w:val="true"/>
          <w:lang w:bidi="ar-SA"/>
        </w:rPr>
        <w:t>ليتمسّك به في إثبات الإباحة مطلقاً غير تامّ‌، إذ قد عرفت أنّ الآية الشريفة مطلقة، وبمقتضى مقدّمات الحكمة 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تقييد الجواز بكونها عند من يرجو إزالة الظلم عنه</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0830519_73709187"/>
      <w:bookmarkStart w:id="128" w:name="_Toc42"/>
      <w:bookmarkEnd w:id="127"/>
      <w:r>
        <w:rPr>
          <w:rtl w:val="true"/>
        </w:rPr>
        <w:t>حكم غيبة تارك الأولى‌</w:t>
      </w:r>
      <w:bookmarkEnd w:id="128"/>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للمظلوم الغيبة لو لم يكن ما فعل به الظالم ظلماً، بل كان من ترك الأولى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لجواز الاغتياب بترك الأولى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على أبي عبداللّه عليه السلام فشكى إليه رجلاً من أصحابه، فلم يلبث أن جاء المشكوّ،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يشكوك‌؟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استقضيت منه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 اللّه 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إذا استقضيت حقّك لم تسيء، أرأيتَ ما حكى اللّه عزّ وجلّ‌،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أترى أنّهم خافوا اللّه أن يجور عليهم، لا واللّه ما خافوا إلّاالاستقضاء، فسمّاه اللّه تعالى سوء الحساب، فمن استقضي فقد أساء</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يدلّ بالتقرير على جواز الشكوى من الدائن لتركه الأولى بالمطالبة، وعدم الإمهال في قضاء الدَّين الذي يعدّ من المستحبّات، واحتمال ردع الإمام عليه السلام </w:t>
      </w:r>
    </w:p>
    <w:p>
      <w:pPr>
        <w:pStyle w:val="BookText"/>
        <w:rPr/>
      </w:pPr>
      <w:r>
        <w:rPr>
          <w:rFonts w:ascii="Amiri" w:hAnsi="Amiri" w:eastAsia="Amiri" w:cs="Amiri"/>
          <w:color w:val="111111"/>
          <w:sz w:val="28"/>
          <w:sz w:val="28"/>
          <w:szCs w:val="28"/>
          <w:rtl w:val="true"/>
          <w:lang w:bidi="ar-SA"/>
        </w:rPr>
        <w:t>عن ذلك، وعدم نقله لنا ضعيفٌ لا يُعبأ به، كما أنّ دعوى ضعف السند لمعلّى بن محمّد غير مسموعة</w:t>
      </w:r>
      <w:r>
        <w:rPr>
          <w:rStyle w:val="FootnoteAnchor"/>
          <w:rtl w:val="true"/>
        </w:rPr>
        <w:footnoteReference w:id="382"/>
      </w:r>
      <w:r>
        <w:rPr>
          <w:rFonts w:ascii="Amiri" w:hAnsi="Amiri" w:eastAsia="Amiri" w:cs="Amiri"/>
          <w:color w:val="111111"/>
          <w:sz w:val="28"/>
          <w:sz w:val="28"/>
          <w:szCs w:val="28"/>
          <w:rtl w:val="true"/>
          <w:lang w:bidi="ar-SA"/>
        </w:rPr>
        <w:t>، إذ الظاهر أنّه حسن على أقلّ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كون المديون مُعسِراً لا يجوز المطالبة منه، أو كونه لا يجبُ عليه الأداء لغير ذلك، ومعلوم أنّ طلب الأداء حينئذٍ ظلم وتعدّ على المديون تباح معه الغيبة، كما تقدّم، والشاهد على ما ذكرناه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استقضى فقد أساء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المطالبة من المديون الموسر المتمكّن من الأداء، مع وجوبه عليه، لا تعدّ إساءة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أمر الإمام عليه السلام المديون بأداء الدَّين، ولو كان موسراً ولم يكن محذورٌ في الأداء لأمره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تشديد الإمام على المشكوّ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أغمضنا عن ما ذكرناه من الظهور، فلا أقلّ من كونه مجملاً لا يمكن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ثعلبة بن ميمون، عمّن ذكره،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عنده قومٌ يحدّثهم إذ ذَكر رجلٌ منهم رجلاً فوقع فيه وشكاه،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لك بأخيك كلّه، وأي الرِّجال المهذّب</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من الجواب أنّ الشكوى إنّما كانت لتركه الأولى الذي لا يليق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بالأخ الكامل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ردعاً وانتصاراً للمغتاب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فليس هناك تقرير من المعصوم عليه السلام كي يُستدلّ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الإيرواني رحمه الله</w:t>
      </w:r>
      <w:r>
        <w:rPr>
          <w:rStyle w:val="FootnoteAnchor"/>
          <w:rtl w:val="true"/>
        </w:rPr>
        <w:footnoteReference w:id="384"/>
      </w:r>
      <w:r>
        <w:rPr>
          <w:rFonts w:ascii="Amiri" w:hAnsi="Amiri" w:eastAsia="Amiri" w:cs="Amiri"/>
          <w:color w:val="111111"/>
          <w:sz w:val="28"/>
          <w:sz w:val="28"/>
          <w:szCs w:val="28"/>
          <w:rtl w:val="true"/>
          <w:lang w:bidi="ar-SA"/>
        </w:rPr>
        <w:t>من التمسّك بما ورد في ذكر الضيف مساوئ الضيافة المتقدّم، بدعوى أنّه يدلّ على أنّ عدم القيام بالحقوق المستحبّة التي منها حُسن الضيافة نوعٌ من الظلم، ويكون الخبر دالّاً على أنّ الآية الشريفة تعمّ كلا الظلمين، وأنّه يجوز للمظلوم اغتياب ظالمه بكلّ من الظلمين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أنّ الظاهر من الخبر إرادة هتك الضيف وإهانته، لا ترك الأولى، مع أنّ دعوى أنّ عدم القيام بالحقوق المستحبّة نوعٌ من الظلم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يستدلّ للجواز بأنّ ترك الأولى ليس سوءاً، فلا يدخل ذكره في الغيبة ما تقدّم من اعتبار كون المقول نقصاً وعيباً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29" w:name="pg11815_192686"/>
    </w:p>
    <w:p>
      <w:pPr>
        <w:pStyle w:val="Heading2"/>
        <w:numPr>
          <w:ilvl w:val="1"/>
          <w:numId w:val="1"/>
        </w:numPr>
        <w:rPr/>
      </w:pPr>
      <w:bookmarkStart w:id="130" w:name="__RefHeading___Toc10830521_73709187"/>
      <w:bookmarkStart w:id="131" w:name="_Toc43"/>
      <w:bookmarkEnd w:id="129"/>
      <w:bookmarkEnd w:id="130"/>
      <w:r>
        <w:rPr>
          <w:rtl w:val="true"/>
        </w:rPr>
        <w:t>ضابط الغيبة الجائزة</w:t>
      </w:r>
      <w:bookmarkEnd w:id="1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الأصحاب</w:t>
      </w:r>
      <w:r>
        <w:rPr>
          <w:rStyle w:val="FootnoteAnchor"/>
          <w:rtl w:val="true"/>
        </w:rPr>
        <w:footnoteReference w:id="385"/>
      </w:r>
      <w:r>
        <w:rPr>
          <w:rFonts w:ascii="Amiri" w:hAnsi="Amiri" w:eastAsia="Amiri" w:cs="Amiri"/>
          <w:color w:val="111111"/>
          <w:sz w:val="28"/>
          <w:sz w:val="28"/>
          <w:szCs w:val="28"/>
          <w:rtl w:val="true"/>
          <w:lang w:bidi="ar-SA"/>
        </w:rPr>
        <w:t>موارد عديدة لجواز الغيبة، فضلاً عن الموارد السابقة، وتنقيح القول فيها هو أنّ ما ذكره الأصحاب من مستثنيات الغيبة تندرج في واحدٍ من العناوين الأربعة، أو يتوهّم اندراجه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خارجاً عنها موضوعاً، كغيبة المتجاهر بالفسق المتقدّم، وبعض المستثنيات المذكورة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ستمرّ عليك</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ينطبق على الغيبة عنوان ذو مصلحة أهمّ من مفسدة الغيبة، وقد ذكر الشيخ رحمه الله</w:t>
      </w:r>
      <w:r>
        <w:rPr>
          <w:rStyle w:val="FootnoteAnchor"/>
          <w:rtl w:val="true"/>
        </w:rPr>
        <w:footnoteReference w:id="387"/>
      </w:r>
      <w:r>
        <w:rPr>
          <w:rFonts w:ascii="Amiri" w:hAnsi="Amiri" w:eastAsia="Amiri" w:cs="Amiri"/>
          <w:color w:val="111111"/>
          <w:sz w:val="28"/>
          <w:sz w:val="28"/>
          <w:szCs w:val="28"/>
          <w:rtl w:val="true"/>
          <w:lang w:bidi="ar-SA"/>
        </w:rPr>
        <w:t>لذلك موارد، وستعرف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توقّف واجبٌ أهمّ عليها، كحفظ النفس المحترمة، أو صيانة العِرض،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خارجاً عن حكم الغيبة بالتخصيص، وهو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خارجاً بدليل مختصّ به، كتظلّم المظلوم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الخروج بأدلّة نفي الضرر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ينطبق على الغيبة عنوان واجب في نفسه، وكانت النسبة بين الدليلين عموماً من وجه، وقدّم دليل ذلك الواجب لوجود أحد المرجّحات فيه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بحسب الكبرى‌، وأمّا الصغرى فقد ذكروا لها موارداً</w:t>
      </w:r>
      <w:r>
        <w:rPr>
          <w:rFonts w:eastAsia="Amiri" w:cs="Amiri" w:ascii="Amiri" w:hAnsi="Amiri"/>
          <w:color w:val="111111"/>
          <w:sz w:val="28"/>
          <w:szCs w:val="28"/>
          <w:rtl w:val="true"/>
          <w:lang w:bidi="ar-SA"/>
        </w:rPr>
        <w:t xml:space="preserve">: </w:t>
      </w:r>
      <w:bookmarkStart w:id="132" w:name="pg11815_192687"/>
    </w:p>
    <w:p>
      <w:pPr>
        <w:pStyle w:val="Heading2"/>
        <w:numPr>
          <w:ilvl w:val="1"/>
          <w:numId w:val="1"/>
        </w:numPr>
        <w:rPr/>
      </w:pPr>
      <w:bookmarkStart w:id="133" w:name="__RefHeading___Toc10830523_73709187"/>
      <w:bookmarkStart w:id="134" w:name="_Toc44"/>
      <w:bookmarkEnd w:id="132"/>
      <w:bookmarkEnd w:id="133"/>
      <w:r>
        <w:rPr>
          <w:rtl w:val="true"/>
        </w:rPr>
        <w:t>نُصح المستشير</w:t>
      </w:r>
      <w:bookmarkEnd w:id="13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المستشير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لجواز نصح المستشير وإن أوجب الوقيعة والغيبة،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الأستاذ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مبتنياً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دليلي وجوب النصح وحرمة الغيبة من قبيل المتزاحمين لا المتعارضين</w:t>
      </w:r>
      <w:r>
        <w:rPr>
          <w:rStyle w:val="FootnoteAnchor"/>
          <w:rtl w:val="true"/>
        </w:rPr>
        <w:footnoteReference w:id="388"/>
      </w:r>
      <w:r>
        <w:rPr>
          <w:rFonts w:ascii="Amiri" w:hAnsi="Amiri" w:eastAsia="Amiri" w:cs="Amiri"/>
          <w:color w:val="111111"/>
          <w:sz w:val="28"/>
          <w:sz w:val="28"/>
          <w:szCs w:val="28"/>
          <w:rtl w:val="true"/>
          <w:lang w:bidi="ar-SA"/>
        </w:rPr>
        <w:t>، فإنّ الغيبة في موارد الاجتماع مأخوذة في مقدّمات النصح، وأنّه يتولّد منها ويتوقّف عليها، نظير توقّف إنقاذ الغريق على التصرّف في مِلك الغير، وعليه فيتّصف كلّ من النصح والغيبة بالأحكام الخمسة حسب اختلاف الموارد بقوّة الملاك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النصح الواجب على المكلّف في موارد الاجتماع إنّما يكون من العناوين المنطبقة على الغيبة، لا المتولّدة منها المتوقّفة عليها، إذ لا وجود للتنبيه على معايب من يريد المستشير تزويجها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إلّاببيان ما فيها من المعايب المستورة الذي هو غيبة، فالدليلان من قبيل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الشيخ رحمه الله</w:t>
      </w:r>
      <w:r>
        <w:rPr>
          <w:rStyle w:val="FootnoteAnchor"/>
          <w:rtl w:val="true"/>
        </w:rPr>
        <w:footnoteReference w:id="389"/>
      </w:r>
      <w:r>
        <w:rPr>
          <w:rFonts w:ascii="Amiri" w:hAnsi="Amiri" w:eastAsia="Amiri" w:cs="Amiri"/>
          <w:color w:val="111111"/>
          <w:sz w:val="28"/>
          <w:sz w:val="28"/>
          <w:szCs w:val="28"/>
          <w:rtl w:val="true"/>
          <w:lang w:bidi="ar-SA"/>
        </w:rPr>
        <w:t>من أنّ حرمة الغيبة لأجل انتقاص المؤمن وتأذّيه منه، وحيث أنّ خيانة المستشير قد تكون أقوى مفسدة من الوقوع في المغتاب، فلا محالة تسقط حرمتها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أوّل هذا المبحث من أنّه في موارد اجتماع عنوانين اللّذين كلّ منهما محكومٌ بحكمٍ ينافي حكم الآخر، فإنّه لا سبيل إلى الرجوع إلى مرجّحات باب </w:t>
      </w:r>
    </w:p>
    <w:p>
      <w:pPr>
        <w:pStyle w:val="BookText"/>
        <w:rPr/>
      </w:pPr>
      <w:r>
        <w:rPr>
          <w:rFonts w:ascii="Amiri" w:hAnsi="Amiri" w:eastAsia="Amiri" w:cs="Amiri"/>
          <w:color w:val="111111"/>
          <w:sz w:val="28"/>
          <w:sz w:val="28"/>
          <w:szCs w:val="28"/>
          <w:rtl w:val="true"/>
          <w:lang w:bidi="ar-SA"/>
        </w:rPr>
        <w:t>المزاحمة، ورعاية أقوى الملاكين، وليست من موارد تزاحم المقتضيين، مع أنّه لو سُلّم كونها من هذه الموارد، فإنّه لا سبيل إلى الحكم بالجواز بقوّة الملاك، إذ لا طريق إلى معرفة المناطين بما لهما من الحَدّ كي يُعرف الراجح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استشارة فاطمة بنت قيس النبيّ صلى الله عليه و آله في أن تقبل الزواج من معاوية أو أبي جهم، حيث قال لها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معاوية فصعلوكٌ لا مال له، وأمّا أبو جهم فلا يضع العصا عن عاتقه، انكحي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صلى الله عليه و آله تعرّض لما يكرهه الخاطبان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سند الخبر، فإنّ دلالته على المطلوب تتوقّف على كون ما ذكره النبيّ صلى الله عليه و آله عيباً مستوراً، مع أنّ كونه عيباً، وعلى فرضه كونه مستوراً، محلّ تأمّلٍ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دليلي حرمة الغيبة ومطلوبيّة النصح عمومٌ من وجه، وهما من قبيل المتعارضين، فيتعيّن الرجوع إلى مرجّحات باب المعارضة، بناءً على ما هو الحقّ من أنّها المرجع عند تعارض الدليلين بالعموم من وجه، والترجيح مع دليل النصح لكونه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كون المورد داخلاً في القسم الثالث من العنوان الرابع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ذكرناه بين كون النصح واجباً أم لا، كما هو واضح، ولكن لا دليل على وجوبه، فإنّ ما استدلّ به على وجوبه بين ما هو ضعيف السند، وغير دالٍّ على وجوبه، وما لا ربط له به، إذ قد استدلّ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35" w:name="pg11815_192689"/>
    </w:p>
    <w:p>
      <w:pPr>
        <w:pStyle w:val="BookText"/>
        <w:rPr/>
      </w:pPr>
      <w:bookmarkEnd w:id="13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حرمة خيانة المؤمن لأخيه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 دلَّ على وجوب نصح المؤمن ابتداءاً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الآمرة بقضاء حاجة المؤمن</w:t>
      </w:r>
      <w:r>
        <w:rPr>
          <w:rStyle w:val="FootnoteAnchor"/>
          <w:rtl w:val="true"/>
        </w:rPr>
        <w:footnoteReference w:id="393"/>
      </w:r>
      <w:r>
        <w:rPr>
          <w:rFonts w:ascii="IRNazanin" w:hAnsi="IRNazanin" w:eastAsia="IRNazanin"/>
          <w:color w:val="111111"/>
          <w:sz w:val="28"/>
          <w:sz w:val="28"/>
          <w:szCs w:val="28"/>
          <w:rtl w:val="true"/>
          <w:lang w:bidi="fa-IR"/>
        </w:rPr>
        <w:t>، باعتبار أنّ النصح نوعٌ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في خصوص نُصح المستشير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منها لا يصلح مستنداً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ملازمة بين حرمة الخيانة ووجوب النصح لإمكان ردّه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محمولٌ على الاستحباب، للإجماع على عدم وجوب النصح ابتداءاً، وبه يظهر ما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تضمّن من تلك النصوص الأمر به ضعيف السند، وغيره إنّما تضمّن ترتّب المفسدة الدنيويّة من سلب اللّب والرأي على ترك النصح، وهو لا يدلّ على أزيد من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وجوبه، نعم تحرم الخيانة للنصوص الدالّة عليها</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0830525_73709187"/>
      <w:bookmarkStart w:id="137" w:name="_Toc45"/>
      <w:bookmarkEnd w:id="136"/>
      <w:r>
        <w:rPr>
          <w:rtl w:val="true"/>
        </w:rPr>
        <w:t>الاغتياب في مواضع الاستفتاء</w:t>
      </w:r>
      <w:bookmarkEnd w:id="13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الاستفتاء بأن يقول للمفتي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فلانٌ في حَقّي، فكيف طريقي إلى الخلاص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للجواز في هذا المورد بروايتين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حيث قال صلى الله عليه و آله لهند بنت عُتبة زوجة أبي سفيان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لا يعطيني وولدي ما يكفيني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لكِ ولولدكِ بالمعروف</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يزجرها صلى الله عليه و آله عن غيبة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عدم الردع لاشتهار أبي سفيان بهذه الصفة، أو لكونه ممّن لا تحرم غيبته رأساً لكفره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موارد تظلّم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متضمّن للغيبة في غير ما وقع التظلّم منه، وهو صفة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لا تدفعُ يد لامسٍ؟</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فعلتُ‌،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فقيّدها فإنّك لا تبرّها بشيء أفضل من أن تمنعها من محارم اللّه عزّ وجلّ‌</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يكون المورد داخلاً في موارد غيبة المجهول، إذ المرأة لم تكن معروفة عند النبيّ صلى الله عليه و آله، ومجرّد كونها أُمّاً للسائل لا يوجبُ صيرورتها معلومة معيّنة عند المسئول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الخبر أنّها كانت متجاهرة بالفسق والزنا، وغيبة المتجاهر جائزة، فضلاً عن أنّ الخبر في مقام بيان قضيّة شخصيّة، ويكفي لعدم جواز التعدّي احتمال كونها متجاهرة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رحمه الله</w:t>
      </w:r>
      <w:r>
        <w:rPr>
          <w:rStyle w:val="FootnoteAnchor"/>
          <w:rtl w:val="true"/>
        </w:rPr>
        <w:footnoteReference w:id="397"/>
      </w:r>
      <w:r>
        <w:rPr>
          <w:rFonts w:ascii="Amiri" w:hAnsi="Amiri" w:eastAsia="Amiri" w:cs="Amiri"/>
          <w:color w:val="111111"/>
          <w:sz w:val="28"/>
          <w:sz w:val="28"/>
          <w:szCs w:val="28"/>
          <w:rtl w:val="true"/>
          <w:lang w:bidi="ar-SA"/>
        </w:rPr>
        <w:t>من أنّه يدفع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لا يثبت به كونها كارهة لذكرها به إلّاعلى القول بالأصل المثبت، ومع عدم إثباته لا يكون ذكرها مشمولاً لأدلّة حرمة الغيبة، لما عرفت من اعتبار الكراهة في صدقها، هذا إذا أُريد به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أنّ ظاهر حال المسلم أن يكون كارهاً لذكر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حجيّة مثل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في الخبر كون أُمّ السائل كانت مسلمة، ولعلّها كانت كافرة، ومجرّد الاحتمال يكفي في عدم جواز التعدّي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يستدلّ لجواز الغيبة في مواضع الاستفتاء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المسؤول عنه محلّ الابتلاء، ولم يتمكّن السائل من السؤال إلّابتسمية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يقع التزاحم بين ما دلَّ على وجوب تعلّم الأحكام الشرعيّة التي تكون محلّ الابتلاء، وما دلَّ على حرمة الغيبة، إذ هما لا يتصادقان على مورد واحد، فإنّ السؤال الذي تنطبق عليه الغيبة مقدّمة للتعلّم الواجب لا أنّه مصداقه، والفرض أنّ المكلّف لا يتمكّن من امتثالهما معاً</w:t>
      </w:r>
      <w:r>
        <w:rPr>
          <w:rFonts w:eastAsia="Amiri" w:cs="Amiri" w:ascii="Amiri" w:hAnsi="Amiri"/>
          <w:color w:val="111111"/>
          <w:sz w:val="28"/>
          <w:szCs w:val="28"/>
          <w:rtl w:val="true"/>
          <w:lang w:bidi="ar-SA"/>
        </w:rPr>
        <w:t xml:space="preserve">.). </w:t>
      </w:r>
      <w:bookmarkStart w:id="138" w:name="pg11815_192692"/>
    </w:p>
    <w:p>
      <w:pPr>
        <w:pStyle w:val="BookText"/>
        <w:rPr/>
      </w:pPr>
      <w:bookmarkEnd w:id="138"/>
      <w:r>
        <w:rPr>
          <w:rFonts w:ascii="Amiri" w:hAnsi="Amiri" w:eastAsia="Amiri" w:cs="Amiri"/>
          <w:color w:val="111111"/>
          <w:sz w:val="28"/>
          <w:sz w:val="28"/>
          <w:szCs w:val="28"/>
          <w:rtl w:val="true"/>
          <w:lang w:bidi="ar-SA"/>
        </w:rPr>
        <w:t>وعليه، يتعيّن الرجوع إلى مرجّحات باب التزاحم، وهي تقتضي تقديم دليل التعلّم لأهميّته من حرمة الغيبة، إذ يترتّب على عدم التعلّم اضمحلال الدِّين</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10830527_73709187"/>
      <w:bookmarkStart w:id="140" w:name="_Toc46"/>
      <w:bookmarkEnd w:id="139"/>
      <w:r>
        <w:rPr>
          <w:rtl w:val="true"/>
        </w:rPr>
        <w:t>الاغتياب لردع المغتاب عن فعل المنكر</w:t>
      </w:r>
      <w:bookmarkEnd w:id="14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ردع المغتاب عن المنكر الذي يفعله، وقد استدلّ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لجواز الغيبة في هذا المورد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في هذا الموضع إحسان في حقّ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كونه أخصّ من المدّعي، إذ ربما لا يرتدع المغتاب عن المنكر، والمغتاب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بذلك، فحينئذ لا يكون اغتيابه إحساناً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إنّما يكون مطلوباً للشارع إذا لم يكن بالأمر المحرّم، ومطلوبيّته مقيدة بعدم ترك الواجب وفعل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الغرض من ذكر العيب الإحسان إلى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الغيبة، لعدم قصد الانتقاص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عدم أخذ قصد الانتقاص في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كراهة ذكره إذا كان بهذا القصد، أيضاً ممنوعة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النهي عن المنكر واجبٌ‌، ولكن لا بالمنكر وإلّا لجاز </w:t>
      </w:r>
      <w:bookmarkStart w:id="141" w:name="pg11815_192693"/>
    </w:p>
    <w:p>
      <w:pPr>
        <w:pStyle w:val="BookText"/>
        <w:rPr/>
      </w:pPr>
      <w:bookmarkEnd w:id="141"/>
      <w:r>
        <w:rPr>
          <w:rFonts w:ascii="Amiri" w:hAnsi="Amiri" w:eastAsia="Amiri" w:cs="Amiri"/>
          <w:color w:val="111111"/>
          <w:sz w:val="28"/>
          <w:sz w:val="28"/>
          <w:szCs w:val="28"/>
          <w:rtl w:val="true"/>
          <w:lang w:bidi="ar-SA"/>
        </w:rPr>
        <w:t>الزنا بزوجة الزاني لردعه عن فعله، نعم إذا كان المنكر من الأُمور المهمّة من قتل النفس المحترمة وشبهه، وتوقّف ردعه على الغيبة جازت، لما ثبت بالأدلّة العقليّة والنقليّة من وجوب الردع بأيّ نحو أمكن</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10830529_73709187"/>
      <w:bookmarkStart w:id="143" w:name="_Toc47"/>
      <w:bookmarkEnd w:id="142"/>
      <w:r>
        <w:rPr>
          <w:rtl w:val="true"/>
        </w:rPr>
        <w:t>الاغتياب لحسم مادّة الفساد وجرح الشهود</w:t>
      </w:r>
      <w:bookmarkEnd w:id="14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حسم مادّة فساد المغتاب عن الناس كالمبتدع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لجواز الغيبة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الثابت بضرورةٍ من الشرع أنّ للدين حرمة، لا يسقطها شيءٌ‌، فإذا دار الأمر بين هتك حرمة المغتاب واغتيابه، وحفظ الدين، لا ريب في تقديم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سرحان، عن الإمام الصادق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 وباهتوهم كي لا يطمعوا في الفساد في الإسلام</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الشهود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لجواز الاغتياب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عليه يتوقّف حفظ أموال الناس وأعراضهم وأنفسهم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إجماع علمائنا عليه، كما يظهر لمن راجع كتاب القضاء</w:t>
      </w:r>
      <w:r>
        <w:rPr>
          <w:rStyle w:val="FootnoteAnchor"/>
          <w:rtl w:val="true"/>
        </w:rPr>
        <w:footnoteReference w:id="400"/>
      </w:r>
      <w:r>
        <w:rPr>
          <w:rFonts w:ascii="Amiri" w:hAnsi="Amiri" w:eastAsia="Amiri" w:cs="Amiri"/>
          <w:color w:val="111111"/>
          <w:sz w:val="28"/>
          <w:sz w:val="28"/>
          <w:szCs w:val="28"/>
          <w:rtl w:val="true"/>
          <w:lang w:bidi="ar-SA"/>
        </w:rPr>
        <w:t>، وأولى بالجواز من ذلك جرح الرواة، فإنّ عليه يتوقّف حفظ شريعة سيّد المرسلين، وعليه بناء الأصحاب في كلّ عصر، وإنْ كان الغالب في هذا العصر عدم صدق الغيبة على ذلك لعدم معرفة تلك الرواة بأشخاصهم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144" w:name="pg11815_192694"/>
    </w:p>
    <w:p>
      <w:pPr>
        <w:pStyle w:val="BookText"/>
        <w:rPr/>
      </w:pPr>
      <w:bookmarkEnd w:id="144"/>
      <w:r>
        <w:rPr>
          <w:rFonts w:ascii="Amiri" w:hAnsi="Amiri" w:eastAsia="Amiri" w:cs="Amiri"/>
          <w:color w:val="111111"/>
          <w:sz w:val="28"/>
          <w:sz w:val="28"/>
          <w:szCs w:val="28"/>
          <w:rtl w:val="true"/>
          <w:lang w:bidi="ar-SA"/>
        </w:rPr>
        <w:t>وأمّا الشهادة على الناس بالزِّنا والقتل وأخذ مال الغير ونحو ذلك، فقد ثبت جوازها بالنصوص الكثيرة الواردة في الشهادات، المتضمّنة للأمر بتحمّل الشهادة وأدائها، وحرمة كتمانها، ومعلوم أنّها بحسب الغالب شهادة على الناس بما يوجب فسقهم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لا ريب في اعتبار العدالة في الشهود، أنّه لو كانت الشهادة بالزنا أو القتل أو أخذ مال الغير عدواناً أو نحو ذلك غيبة محرّمة، لزم عدم الاعتماد على الشهادة، فمن النصوص المتضمّنة لقبولها يستفاد جواز الاغتياب في هذا الموضع</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0830531_73709187"/>
      <w:bookmarkStart w:id="146" w:name="_Toc48"/>
      <w:bookmarkEnd w:id="145"/>
      <w:r>
        <w:rPr>
          <w:rtl w:val="true"/>
        </w:rPr>
        <w:t>الاغتياب لدفع الضرر عن المقول فيه</w:t>
      </w:r>
      <w:bookmarkEnd w:id="146"/>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الضرر عن المغتاب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الذي يُدفع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يجب دفعه عن الغير، كما لو أراد أحدٌ أن يقتله أو يهتك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لا يجب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والغيبة في المورد الأوّل جائزة، لما عُلم من الشرع من أنّ لذلك مفسدة لا يزاحمها شيء من مفاسد المحرّمات، وأمّا في المورد الثاني فلا دليل على جوازها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اطلع المقول فيه لرضي بالاغتياب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الأستاذ الأعظم</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فإنّ ذلك لا يوجبُ عدم صدق الغيبة، إذ رضاه به ليس لعدم </w:t>
      </w:r>
      <w:bookmarkStart w:id="147" w:name="pg11815_192695"/>
    </w:p>
    <w:p>
      <w:pPr>
        <w:pStyle w:val="BookText"/>
        <w:rPr/>
      </w:pPr>
      <w:bookmarkEnd w:id="147"/>
      <w:r>
        <w:rPr>
          <w:rFonts w:ascii="Amiri" w:hAnsi="Amiri" w:eastAsia="Amiri" w:cs="Amiri"/>
          <w:color w:val="111111"/>
          <w:sz w:val="28"/>
          <w:sz w:val="28"/>
          <w:szCs w:val="28"/>
          <w:rtl w:val="true"/>
          <w:lang w:bidi="ar-SA"/>
        </w:rPr>
        <w:t>كراهة ذكره بذلك العيب، بل لأنّه أقلّ محذوراً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الغيبة لعدم قصده 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عدم دخله في مفهومها</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0830533_73709187"/>
      <w:bookmarkStart w:id="149" w:name="_Toc49"/>
      <w:bookmarkEnd w:id="148"/>
      <w:r>
        <w:rPr>
          <w:rtl w:val="true"/>
        </w:rPr>
        <w:t>الاغتياب بذكر الأوصاف الظاهرة</w:t>
      </w:r>
      <w:bookmarkEnd w:id="14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الشخص بعيبه الذي صار بمنزلة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الخلاف فيه، بل عليه سيرة العلماء حديثاً وقديماً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الخبر الحسن،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زينب العطّارة الحولاء إلى نساء النبي صلى الله عليه و آله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الفضل بن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 أحياءاً وأمواتاً أربعة، وذكر منهم الأحول</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صدق الغيبة عليه موضوعاً، لأنّها عبارة عن إظهار ما ستره اللّه، وإذا لم يكن المقول مستوراً، لم يصدق على ذكره الغيبة، فلا وجه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ذكره بقصد التعبير، حرم لذلك لا لكونه غيبة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أنّه إذا علم اثنان من رجلٍ معصية شاهداها، فأجرى أحدهما ذكرها في غيبة ذلك العاصي جاز لعدم صدق الغيبة عليه، كما هو واضح</w:t>
      </w:r>
      <w:r>
        <w:rPr>
          <w:rFonts w:eastAsia="Amiri" w:cs="Amiri" w:ascii="Amiri" w:hAnsi="Amiri"/>
          <w:color w:val="111111"/>
          <w:sz w:val="28"/>
          <w:szCs w:val="28"/>
          <w:rtl w:val="true"/>
          <w:lang w:bidi="ar-SA"/>
        </w:rPr>
        <w:t xml:space="preserve">. </w:t>
      </w:r>
      <w:bookmarkStart w:id="150" w:name="pg11815_192696"/>
    </w:p>
    <w:p>
      <w:pPr>
        <w:pStyle w:val="Heading2"/>
        <w:numPr>
          <w:ilvl w:val="1"/>
          <w:numId w:val="1"/>
        </w:numPr>
        <w:rPr/>
      </w:pPr>
      <w:bookmarkStart w:id="151" w:name="__RefHeading___Toc10830535_73709187"/>
      <w:bookmarkStart w:id="152" w:name="_Toc50"/>
      <w:bookmarkEnd w:id="150"/>
      <w:bookmarkEnd w:id="151"/>
      <w:r>
        <w:rPr>
          <w:rtl w:val="true"/>
        </w:rPr>
        <w:t>الاغتياب لرد من يدّعي نسباً ليس له</w:t>
      </w:r>
      <w:bookmarkEnd w:id="15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ادّعى نسباً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ادّعى نسباً ليس له، وكان الأثر مترتّباً عليه من التوارث والنظر إلى النساء، جاز لمن هو طرف الدعوى ردّ ذلك، كما هو الشأن في كلّ ما يكون من الحقوق، وأمّا إذا لم يترتّب عليه أثر، فلا تجوز الغيبة لرد هذه الدعوى، وكذا لا يجوز لغير من هو طرف الدعوى ردّها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مصلحة حفظالأنساب من حيث هو أهمّ من مفسدة الغيبة كماترى‌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في هذه الموارد حكم القدح في مقالة باطلة إن دلّ على نقصان قائلها، وكذا سائر ما ذكروه من موارد الاستثناء، فلا حاجة إلى ذكرها</w:t>
      </w:r>
      <w:r>
        <w:rPr>
          <w:rFonts w:eastAsia="Amiri" w:cs="Amiri" w:ascii="Amiri" w:hAnsi="Amiri"/>
          <w:color w:val="111111"/>
          <w:sz w:val="28"/>
          <w:szCs w:val="28"/>
          <w:rtl w:val="true"/>
          <w:lang w:bidi="ar-SA"/>
        </w:rPr>
        <w:t>.</w:t>
      </w:r>
      <w:bookmarkStart w:id="153" w:name="pg11815_192697"/>
    </w:p>
    <w:p>
      <w:pPr>
        <w:pStyle w:val="Heading2"/>
        <w:numPr>
          <w:ilvl w:val="1"/>
          <w:numId w:val="1"/>
        </w:numPr>
        <w:rPr/>
      </w:pPr>
      <w:bookmarkStart w:id="154" w:name="__RefHeading___Toc10830537_73709187"/>
      <w:bookmarkStart w:id="155" w:name="_Toc51"/>
      <w:bookmarkEnd w:id="153"/>
      <w:bookmarkEnd w:id="154"/>
      <w:r>
        <w:rPr>
          <w:rtl w:val="true"/>
        </w:rPr>
        <w:t>استماع الغيبة حرام</w:t>
      </w:r>
      <w:bookmarkEnd w:id="155"/>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استماع الغيبة بلا خلاف، وقد استدلّ لحرمة الاستماع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السامع للغيبة أحد المغتابين</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الغيبة ولم يغيّر كان كمن اغتاب</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السامع للغيبة أحد المغتابين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أمير المؤمنين عليه السلام إلى رجلٍ يغتاب رجلاً عند الحسن عليه السلام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نزّه سمعك عن مثل هذا، فإنّه نظر إلى أخبث ما في وعائه فافرغه في وعائك</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المناهي المتضمّن لنهيه صلى الله عليه و آله عن الغيبة والاستماع إليها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كفر، والمستمع لها والراضي بها مشرك</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الرجم، فإنّه لمّا رجم رسول اللّه صلى الله عليه و آله الرّجل في الزّنا قال رجلٌ </w:t>
      </w:r>
    </w:p>
    <w:p>
      <w:pPr>
        <w:pStyle w:val="BookText"/>
        <w:rPr/>
      </w:pP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قُعِص كما يُقعص الكلب، فمرّ النبيّ صلى الله عليه و آله معهما بجيفة،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انهشا منها،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ننهش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أصبتما من أخيكما أنتن من هذه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جميع الأخبار الواصلة إلينا في هذا الباب التي ادّعى الشيخ رحمه الله</w:t>
      </w:r>
      <w:r>
        <w:rPr>
          <w:rStyle w:val="FootnoteAnchor"/>
          <w:rtl w:val="true"/>
        </w:rPr>
        <w:footnoteReference w:id="412"/>
      </w:r>
      <w:r>
        <w:rPr>
          <w:rFonts w:ascii="Amiri" w:hAnsi="Amiri" w:eastAsia="Amiri" w:cs="Amiri"/>
          <w:color w:val="111111"/>
          <w:sz w:val="28"/>
          <w:sz w:val="28"/>
          <w:szCs w:val="28"/>
          <w:rtl w:val="true"/>
          <w:lang w:bidi="ar-SA"/>
        </w:rPr>
        <w:t>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يَصحّ الاستدلال بشيء منها لأنّها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النبويّان والعلوي الأوّل والأخيران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العلويّ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نسب القول إليه عليه السلام، الظاهر ذلك في كون الخبر معتبراً عنده، إلّاأنّ ثبوت اعتباره عنده لا يلازم ثبوته عندنا، ولعلّه استند إلى ما لا نعتمد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فلشعيب بن واقد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حديث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الظاهر أنّ الأمر بالنهش لم يكن لأجل الغيبة، إذ بعد كونهما عالمين بما فعل، وظهور عيبه الديني بإجراء الحَدّ عليه، لم يكن ذكره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المناهي متضمّنٌ للنهي عن عدة أُمور لا تكون محرّمة قطعاً، فيتعيّن حمل النهي فيه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ثبت فيه عدم الحرمة، ترفع اليد فيه عن ظهور النهي في الحرمة، ويبقى الباقي، ويؤخذ بظهور النهي فيه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ضعف سند النصوص ينجبر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 لحرمة الاستماع 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رَدّ الغيبة</w:t>
      </w:r>
      <w:r>
        <w:rPr>
          <w:rStyle w:val="FootnoteAnchor"/>
          <w:rtl w:val="true"/>
        </w:rPr>
        <w:footnoteReference w:id="414"/>
      </w:r>
      <w:r>
        <w:rPr>
          <w:rFonts w:ascii="Amiri" w:hAnsi="Amiri" w:eastAsia="Amiri" w:cs="Amiri"/>
          <w:color w:val="111111"/>
          <w:sz w:val="28"/>
          <w:sz w:val="28"/>
          <w:szCs w:val="28"/>
          <w:rtl w:val="true"/>
          <w:lang w:bidi="ar-SA"/>
        </w:rPr>
        <w:t>، وقد استدلّ بها بعض مشايخنا،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دلالة على حرمة الاستماع مع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الرد غير حرمة الاستماع، وهي إنّما تدلّ على الأوّل ولا تعرض لها للاستماع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متعرّضة لترتّب العقاب على عدم الرّد، ولكن الاستماع غير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المحقّق التقي الشيرازي</w:t>
      </w:r>
      <w:r>
        <w:rPr>
          <w:rStyle w:val="FootnoteAnchor"/>
          <w:rtl w:val="true"/>
        </w:rPr>
        <w:footnoteReference w:id="415"/>
      </w:r>
      <w:r>
        <w:rPr>
          <w:rFonts w:ascii="Amiri" w:hAnsi="Amiri" w:eastAsia="Amiri" w:cs="Amiri"/>
          <w:color w:val="111111"/>
          <w:sz w:val="28"/>
          <w:sz w:val="28"/>
          <w:szCs w:val="28"/>
          <w:rtl w:val="true"/>
          <w:lang w:bidi="ar-SA"/>
        </w:rPr>
        <w:t>، وهو ما دلَّ من النصوص</w:t>
      </w:r>
      <w:r>
        <w:rPr>
          <w:rStyle w:val="FootnoteAnchor"/>
          <w:rtl w:val="true"/>
        </w:rPr>
        <w:footnoteReference w:id="416"/>
      </w:r>
      <w:r>
        <w:rPr>
          <w:rFonts w:ascii="Amiri" w:hAnsi="Amiri" w:eastAsia="Amiri" w:cs="Amiri"/>
          <w:color w:val="111111"/>
          <w:sz w:val="28"/>
          <w:sz w:val="28"/>
          <w:szCs w:val="28"/>
          <w:rtl w:val="true"/>
          <w:lang w:bidi="ar-SA"/>
        </w:rPr>
        <w:t>على حرمة الرضا بوقوع الحرام، وأنّ الراضي بعمل قوم كالداخل فيه معهم، فإنّ هذه النصوص تدلّ بالفحوى على حرمة الاستماع على وجه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أنّ الراضي بالغيبة كالداخل فيها، سواءٌ استمعها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بينهما عموم من وجه، ولذلك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منهما وجودٌ منحازٌ عن الآخر، فلا وجه للاستدلال بما تضمّن حكم أحدهما لثبوته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الاستماع إعانةٌ على الغيبة، والإعانة على الإثم حرام، فالاستماع حرام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حرمة الإعانة على الإثم، مع أنّه أخصّ من المدّعي، إذ لو فرض عدم تأثير عدم استماع هذا الشخص في تحقّق الغيبة، كما إذا كان هناك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مستمعٌ آخر، لزم عدم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أدلّة حرمة الغيبة تدلّ على حرمة الاستماع، لأنّها لا تتحقّق إلّا بالاستماع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إنّما تتحقّق بفعل شخصين، هما المتكلّم والمستمع، والأوّل بإصداره والثاني بإصغائه وتحمّله، فما دلَّ على حرمة الغيبة يدلّ على حرمة فعل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إنّما تتحقّق بفعل المتكلّم، غاية الأمر المحقّق لصدقها على فعله إصغاء السامع وتحمّله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الأدلّة حرمة إصدار الغيبة، وهي غير ملازمة لحرمة الاستماع وإنْ كان بينهما تلازمٌ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حرمة الاستماع منحصرٌ بالنصوص المتقدّمة إنْ صَحّ سندها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الأستاذ الأعظم</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صحّة الروايات المتقدّمة، الظاهرة في استماع الغيبة مطلقاً، لابدَّ من تقييدها بالروايات المتكثّرة الظاهرة في جواز استماعها لردّها عن المقول فيه، وتخصيصها بصورة السّماع القهري</w:t>
      </w:r>
      <w:r>
        <w:rPr>
          <w:rStyle w:val="FootnoteAnchor"/>
          <w:rtl w:val="true"/>
        </w:rPr>
        <w:footnoteReference w:id="418"/>
      </w:r>
      <w:r>
        <w:rPr>
          <w:rFonts w:ascii="Amiri" w:hAnsi="Amiri" w:eastAsia="Amiri" w:cs="Amiri"/>
          <w:color w:val="111111"/>
          <w:sz w:val="28"/>
          <w:sz w:val="28"/>
          <w:szCs w:val="28"/>
          <w:rtl w:val="true"/>
          <w:lang w:bidi="ar-SA"/>
        </w:rPr>
        <w:t>خلاف الظاهر منها، فضلاً عن أنّه أمرٌ نادر، وعليه فيحرم استماع الغيبة مع عدم الرّد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6" w:name="pg11815_192701"/>
    </w:p>
    <w:p>
      <w:pPr>
        <w:pStyle w:val="BookText"/>
        <w:rPr/>
      </w:pPr>
      <w:bookmarkEnd w:id="15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أفاده أنّنصوص وجوب الرّد غيرمتعرّضة لحكم الاستماع، وإنّما تدلّ عليوجوب الرّد، ومقتضى إطلاقها وجوب الرّد حتّى لو فرض حرمة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الرّد ليس مطلقاً كي يجب تحصيل مقدّماته الوجوديّة التي منها الاستماع، بل يكون وجوبه مشروطاً بالاستماع أو السّماع القهري، فليست متعرّضة لحكم الشرط، وعلى ذلك فمقتضى إطلاقها هو الوجوب حتّى إذا كان الاستماع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تنزّلنا عن ذلك وسَلّمنا دلالتها على وجوب الرّد في صورة جواز الشرط، فهي تختصّ بصورة السماع القهري، وهو لو سُلّم كونه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محلّ منعٍ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مانعاً عن الاختصاص، إذ حمل المطلق على الفرد النادر مستهجن، وأمّا ورود الدليل لبيان حكم فردٍ نادر فلا محذور فيه</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10830539_73709187"/>
      <w:bookmarkStart w:id="158" w:name="_Toc52"/>
      <w:bookmarkEnd w:id="157"/>
      <w:r>
        <w:rPr>
          <w:rtl w:val="true"/>
        </w:rPr>
        <w:t>جواز الغيبة لا يلازم جواز استماعها</w:t>
      </w:r>
      <w:bookmarkEnd w:id="158"/>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حرمة الاستماع بما إذا حَرُم الاغتياب‌؟ أم تعمّ صورة جوازه‌؟ أم يفصّل بين علم السامع بالحلية فيجوز، وبين جهله بها فلا يجوز؟</w:t>
      </w:r>
    </w:p>
    <w:p>
      <w:pPr>
        <w:pStyle w:val="BookText"/>
        <w:rPr/>
      </w:pPr>
      <w:r>
        <w:rPr>
          <w:rFonts w:ascii="Amiri" w:hAnsi="Amiri" w:eastAsia="Amiri" w:cs="Amiri"/>
          <w:color w:val="111111"/>
          <w:sz w:val="28"/>
          <w:sz w:val="28"/>
          <w:szCs w:val="28"/>
          <w:rtl w:val="true"/>
          <w:lang w:bidi="ar-SA"/>
        </w:rPr>
        <w:t>فيه وجوهٌ وأقوال، وحقّ القول في المقام يقتضي 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يلازم جواز الغيبة واقعاً مع جواز الاستماع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لم يحرز السامع كونه جائز الغيبة بنحوٍ يجوز الاستماع، هل يجوز له الاستماع أم لا؟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إذا أحرز عدم كونه جائز الغيبة، ولكن احتمل أو علم أنّ‌ </w:t>
      </w:r>
    </w:p>
    <w:p>
      <w:pPr>
        <w:pStyle w:val="BookText"/>
        <w:rPr/>
      </w:pPr>
      <w:r>
        <w:rPr>
          <w:rFonts w:ascii="Amiri" w:hAnsi="Amiri" w:eastAsia="Amiri" w:cs="Amiri"/>
          <w:color w:val="111111"/>
          <w:sz w:val="28"/>
          <w:sz w:val="28"/>
          <w:szCs w:val="28"/>
          <w:rtl w:val="true"/>
          <w:lang w:bidi="ar-SA"/>
        </w:rPr>
        <w:t>المغتاب معتقدٌ جواز الاغتياب، هل يجوز له الاستماع أم لا؟</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القول فيه أنّ جواز الغيبة يتصوّر على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تصدق الغيبة شرعاً على ذُكر ما في المقول فيه من العيب، كما إذا كان متجاهراً، أو كان المقول من الأوصاف الظاهرة، ففي هذا المورد يجوز الاستماع لعدم كونه استماعاً للغيبة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تجوز الغيبة للمغتاب، ولكن قامت ملازمة عرفيّة بين جوازها له وجواز الاستماع، كما في تظلّم المظلوم، فإنّ أهل العرف يفهمون من جواز تظلّمه ولو عند من لا يرجو منه إزالة الظلم عنه جواز الاستماع، وفي هذا المورد أيضاً يجوز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تجوز الغيبة بمناطٍ يقتضي ذلك المناط بعينه جواز الاستماع، كما في الغيبة في مورد الاستفتاء فيجوز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تجوز الغيبة للمغتاب لوجود أحد موانع التكليف فيه، ككونه صبيّاً أو مجنوناً أو مُكرهاً عليه، وفي هذا المورد لا يجوز الاستماع، وذلك لأنّ نصوص حرمة الاستماع مطلقة شاملة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ما تضمّن أنّ السامع أو المستمع أحد المغتابين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تضمّن ذلك فكذلك إن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فإنّه يدلّ حينئذٍ على أنّ السامع مشترك مع المغتابين في الحكم، وأنّ السامع كأنّه متكلّم بها، فإن لم يجز له التكلّم بها لم يجز سماعها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قَرأ بصيغة التثنية، فقد يتوهّم أنّه يدلّ حينئذٍ على أنّ السامع للغيبة منزّلٌ‌ </w:t>
      </w:r>
    </w:p>
    <w:p>
      <w:pPr>
        <w:pStyle w:val="BookText"/>
        <w:rPr/>
      </w:pPr>
      <w:r>
        <w:rPr>
          <w:rFonts w:ascii="Amiri" w:hAnsi="Amiri" w:eastAsia="Amiri" w:cs="Amiri"/>
          <w:color w:val="111111"/>
          <w:sz w:val="28"/>
          <w:sz w:val="28"/>
          <w:szCs w:val="28"/>
          <w:rtl w:val="true"/>
          <w:lang w:bidi="ar-SA"/>
        </w:rPr>
        <w:t>منزلة المتكلّم بها في الحكم، فإن جاز له التكلّم جاز لهذا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تامّ‌، بل الظاهر منه على هذا التقدير إرادة بيان مشاركة السامع للمتكلّم في الحكم، من جهة أنّ الغيبة توجد بفعلهما، هذا بتكلّمه وذاك باستماعه، فهما كما يشتركان في إيجاد الغيبة يشتركان في الحكم، وعليه فحيث أنّ كلّاً منهما حينئذٍ مكلّف بترك ما هو فعله والمحرّم عليه فعل نفسه، لا ما يتحقّق بفعلهما معاً كما هو واضح، فلكلّ منهما حكمٌ يخصّه، فجوازه لأحدهما لا يلازم جوازه للآخر، فيحرم الاستماع في هذا المورد ويجب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 في صدق الغيبة على ما تكلّم به، كما إذا احتمل كونه متجاهراً بالفسق، جاز الاستماع للأصل، وليس المورد مورداً للتمسّك بعموم أدلّة حرمة الاستماع، للشكّ في صدق الموضوع، كما لا يمكن إحراز صدقه بالأصل، لما تقدّم في المستثنيات من أنّ هذاالأصل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إحراز الصدق عليه، ولكن شكّ في عروض أحد المسوّغات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هناك أصلٌ موضوعي قاضٍ بعدمه، يدخل بذلك في المطلقات فيحرم عليه الاستماع، وإلّا فالمرجع هي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حكم الموضع الثالث، وهو عدم جواز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في جميع هذه المواضع لا يجب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صدور الفعل منكراً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فلإمكان عدم كونه منكراً، فيحمل فعل القائل على الصحّة، والتمسّك بأدلّة النهي عن المنكر لإثبات وجوب الردع تمسّكٌ بالعام في الشبهة </w:t>
      </w:r>
    </w:p>
    <w:p>
      <w:pPr>
        <w:pStyle w:val="BookText"/>
        <w:rPr/>
      </w:pPr>
      <w:r>
        <w:rPr>
          <w:rFonts w:ascii="Amiri" w:hAnsi="Amiri" w:eastAsia="Amiri" w:cs="Amiri"/>
          <w:color w:val="111111"/>
          <w:sz w:val="28"/>
          <w:sz w:val="28"/>
          <w:szCs w:val="28"/>
          <w:rtl w:val="true"/>
          <w:lang w:bidi="ar-SA"/>
        </w:rPr>
        <w:t>المصداقيّة له، وهو لا يجوز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سمع أحدٌ يغتاب آخر، واحتمل كونه جائز الغيبة، ليس له النهي عنه، لإمكان استحقاق المقول فيه، فيحمل فعل المسلم على الصحّة ما لم يعلم فساده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الشهيد رحمه الله</w:t>
      </w:r>
      <w:r>
        <w:rPr>
          <w:rStyle w:val="FootnoteAnchor"/>
          <w:rtl w:val="true"/>
        </w:rPr>
        <w:footnoteReference w:id="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مقتضى عموم الأدلّة وترك الاستفصال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دليل إرادة العموم حذراً من الإغراء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الرّد، وعدم جواز الاستماع، على أنّه لو تمّ ذلك لتمشّي فيمن يعلم عدم استحقاق المقول عنه بالنسبة إلى السامع، لاحتمال اطلاع القائل على ما يوجب تسويغ مقالته، وهو هدم قاعدة النهي عن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4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فيما ذكره الشهيد رحمه الله خلطاً بين عدم الاستماع ورد الغيبة، وبين النهي عنها، والذي نفاه القائل هو لزوم النهي، وهو لم ينفِ الأوّل كي يرد عليه ما ذُكر، وحيث أنّ النسبة بين حرمة الاستماع ووجوب النهي عنها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يجب النهي ولا يحرم الاستماع، كما إذا كان هناك أحد المسوّغات، ولكن المغتاب معتقدٌ لعدمه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يحرم الاستماع ويجب الرّد، ولا يجب النهي عنها، كما إذا كان الفعل جائزاً للمغتاب لكونه صبيّاً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استحقاق المقول فيه الغيبة، لم يجز استماعها، لأنّ السامع أحد المغتابين، فكما أنّ المغتاب تحرمُ عليه الغيبة إلّاإذا علم التجاهر المسوّغ، فكذلك السّامع يحرم عليه الاستماع إلّاإذا علم التجاهر، ولكن لا يجبُ نهي القائل لاحتمال وجود المسوّغ</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الأخبار المستفيضة وجوب الرّد على الغيبة، قال الشيخ</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الرّد غير 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الإيرواني رحمه الله</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أنّه عينه، فإنّ الرّد هو المنع والدفع، وظاهر الأخبار ردّ القول لا رَدّ المعنى المقول وإبطاله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ما أفاده الشيخ رحمه الله، إذ مضافاً إلى أنّه الظاهر من عنوان رَدّ الغيبة، يشهد له ما في بعض النصوص من التعبير عنه بالانتصار للمغتاب، والتعبير عن عدم الرّد بالخذلان، ومعلوم أنّ النهي عن الغيبة ليس انتصاراً له ولا عدمه خذلاناً،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ومبتنياً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4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عيباً دنيويّاً انتصر 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المحقّق التقي الشيرازي على هذا</w:t>
      </w:r>
      <w:r>
        <w:rPr>
          <w:rStyle w:val="FootnoteAnchor"/>
          <w:rtl w:val="true"/>
        </w:rPr>
        <w:footnoteReference w:id="426"/>
      </w:r>
      <w:r>
        <w:rPr>
          <w:rFonts w:ascii="Amiri" w:hAnsi="Amiri" w:eastAsia="Amiri" w:cs="Amiri"/>
          <w:color w:val="111111"/>
          <w:sz w:val="28"/>
          <w:sz w:val="28"/>
          <w:szCs w:val="28"/>
          <w:rtl w:val="true"/>
          <w:lang w:bidi="ar-SA"/>
        </w:rPr>
        <w:t xml:space="preserve">، بأنّ المراد بالرَدّ تكذيب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وأنّ انتسابه إليه مخالفٌ للواقع اعتماداً على عدم وقوع المقول،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9" w:name="pg11815_192706"/>
    </w:p>
    <w:p>
      <w:pPr>
        <w:pStyle w:val="BookText"/>
        <w:rPr/>
      </w:pPr>
      <w:bookmarkEnd w:id="159"/>
      <w:r>
        <w:rPr>
          <w:rFonts w:ascii="Amiri" w:hAnsi="Amiri" w:eastAsia="Amiri" w:cs="Amiri"/>
          <w:color w:val="111111"/>
          <w:sz w:val="28"/>
          <w:sz w:val="28"/>
          <w:szCs w:val="28"/>
          <w:rtl w:val="true"/>
          <w:lang w:bidi="ar-SA"/>
        </w:rPr>
        <w:t>وحملاً لفعل المسلم على الصحيح، قال رحمه الله ويشير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اَلْمُؤْمِنُونَ وَ اَلْمُؤْمِناتُ بِأَنْفُسِهِمْ خَيْراً وَ قالُوا هذا إِفْكٌ مُبِينٌ‌</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يَأْتُوا بِالشُّهَداءِ فَأُولئِكَ عِنْدَ اَللّهِ هُمُ اَلْكاذِبُونَ‌</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إِذْ سَمِعْتُمُوهُ قُلْتُمْ ما يَكُونُ لَنا أَنْ نَتَكَلَّمَ بِهذا سُبْحانَكَ هذا بُهْتانٌ عَظِيمٌ‌</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في الكتاب يكون راجعاً إلى تصديق وقوع الفعل وهو محرّم، نعم لا بأس بإرادته مقيّداً بعدم إمكان التكذيب</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10830541_73709187"/>
      <w:bookmarkStart w:id="161" w:name="_Toc53"/>
      <w:bookmarkEnd w:id="160"/>
      <w:r>
        <w:rPr>
          <w:rtl w:val="true"/>
        </w:rPr>
        <w:t>حرمة كون الإنسان ذا لسانين</w:t>
      </w:r>
      <w:bookmarkEnd w:id="16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رحمه الله</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يتضاعف عقاب المغتاب، إذا كان ممّن يمدح المغتاب في حضوره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كلام في دلالة النصوص على أنّ ذا اللّسانين يستحقّ عقابين، إلّاأنّ الظاهر أنّ أحد العقابين ليس لما أفاده الشيخ رحمه الله واستحسنه الأستاذ</w:t>
      </w:r>
      <w:r>
        <w:rPr>
          <w:rStyle w:val="FootnoteAnchor"/>
          <w:rtl w:val="true"/>
        </w:rPr>
        <w:footnoteReference w:id="432"/>
      </w:r>
      <w:r>
        <w:rPr>
          <w:rFonts w:ascii="Amiri" w:hAnsi="Amiri" w:eastAsia="Amiri" w:cs="Amiri"/>
          <w:color w:val="111111"/>
          <w:sz w:val="28"/>
          <w:sz w:val="28"/>
          <w:szCs w:val="28"/>
          <w:rtl w:val="true"/>
          <w:lang w:bidi="ar-SA"/>
        </w:rPr>
        <w:t xml:space="preserve">، وهو المدح في الحضور الذي هو مباح في نفسه، بدعوى أنّه إذا كان مسبوقاً بالذّم، أو ملحوقاً </w:t>
      </w:r>
    </w:p>
    <w:p>
      <w:pPr>
        <w:pStyle w:val="BookText"/>
        <w:rPr/>
      </w:pPr>
      <w:r>
        <w:rPr>
          <w:rFonts w:ascii="Amiri" w:hAnsi="Amiri" w:eastAsia="Amiri" w:cs="Amiri"/>
          <w:color w:val="111111"/>
          <w:sz w:val="28"/>
          <w:sz w:val="28"/>
          <w:szCs w:val="28"/>
          <w:rtl w:val="true"/>
          <w:lang w:bidi="ar-SA"/>
        </w:rPr>
        <w:t>به، كان من الجرائم الموبقة، ويوجب كون الإنسان ذا لسانين ومنافقاً، وذلك لأنّ مجرّد ذكر الصفات الحسنة في الحضور، وذكر الصفات الذميمة عند الغيبة، أو ذكر الأعمال الحسنة في الحضور، والأعمال القبيحة في الغياب لا يوجبُ صدق عنوان ذي اللّسانين عليه، كي يحتاج إلى هذا التوجيه، بل صدق هذا العنوان إنّما يكون بمدح الشخص في حضوره بأن ينسب له صفة حسنة أو عَمَلاً حسناً، ثمّ يذمّه في غيابه بثبوت ضدّها له، أو مدحه في الحضور بنحوٍ يُشعر بعدم ثبوت صفة ذميمة 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فحيث أنّ لسان المدح في الحضور يكون غالباً لسان الكذب، بعد عدم إمكان صدقه في اللِّسانين، فيكون أحد العقابين للكذب والآخر للغيبة، فتدبّر، فإنّ لازم ذلك عدم صدق هذا العنوان على من مدح الشخص في حضوره بما فيه، وذمّه في الغياب بإثبات ضدّه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bookmarkStart w:id="162" w:name="pg11815_192708"/>
    </w:p>
    <w:p>
      <w:pPr>
        <w:pStyle w:val="Heading2"/>
        <w:numPr>
          <w:ilvl w:val="1"/>
          <w:numId w:val="1"/>
        </w:numPr>
        <w:rPr/>
      </w:pPr>
      <w:bookmarkStart w:id="163" w:name="__RefHeading___Toc10830543_73709187"/>
      <w:bookmarkStart w:id="164" w:name="_Toc54"/>
      <w:bookmarkEnd w:id="162"/>
      <w:bookmarkEnd w:id="163"/>
      <w:r>
        <w:rPr>
          <w:rtl w:val="true"/>
        </w:rPr>
        <w:t>حرمة القمار</w:t>
      </w:r>
      <w:bookmarkEnd w:id="164"/>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القمار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حرامٌ إجماعاً، وتنقيح القول فيه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حدوده وقيوده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فالمعاني المحتملة له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الآلات، والمال المجعول في المعاملة، واللّعب بها، والمعاملة الواقعة على اللّعب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المعنيان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أنّهما أجنبيّان عن معنى القمار، إذ مضافاً إلى تصريح اللّغويين بأنّه اللّعب بالآلات مع الرهن أو بدونه، أو المراهنة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تعابيرهم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مصدر من المفاعلة، والمناسب للمعنى المصدري أحد المعنيين الأخيرين كما لا يخفى‌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أُطلق في خبر أبي الجارود</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الآلات، لكنّه مضافاً إلى ضعف سنده، ومعارضته مع النصوص الأخر المتضمّنة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قومر به فهو </w:t>
      </w:r>
    </w:p>
    <w:p>
      <w:pPr>
        <w:pStyle w:val="BookText"/>
        <w:rPr/>
      </w:pP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الظاهرة في أنّ القمار هو فعل المكلّف، فإنّ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الأظهر بحسب المتفاهم العرفي هو المعنى الثالث، وقد صرّح به جمعٌ من أئمّة اللّغة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القمار لا يصدق على اللّعب بدون الرِّهان، كما يظهر لمن راجع الاستعمالات العرفيّة وكلمات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تقمّره راهنه فغلبه</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القمار الرّهن على اللّعب بشيء</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القمار كلّ لعبٍ يُشترط فيه أن يأخذ الغالب من المغلوب شيئاً، كان بالورق أو غيره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ينافيه 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وذيلها من أنّه قد يُطلق على اللّعب بها مطلقاً مع الرهن ودونه، فإنّه لو لم يدلّ على أنّه موضوع للّعب بها مع الرهن، وأنّ إطلاقه على اللّعب بدونه نادر ومجاز، لا يدلّ على أنّه بنحو الحقيقة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تنزّلنا عن ذلك، فلا أقلّ من الشكّ في صدقه بدونه، فيتعيّن الأخذ بالقدر المتيقّن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65" w:name="pg11815_192710"/>
    </w:p>
    <w:p>
      <w:pPr>
        <w:pStyle w:val="BookText"/>
        <w:rPr/>
      </w:pPr>
      <w:bookmarkEnd w:id="16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يعتبر في صدقه أن يكون اللّعب بالآلات المعدّة للقمار بحيث لا منفعة لها غير القمار، ولا بالآلات المعروفة الشاملة لها ولغيرها كالخاتم والجوز والبيض التي تعارف اللّعب بها، ولها منافع شائعة أُخر، لما نرى من صدق القمار على اللّعب بكلّ شيء مع الرهن، من دون عناية وعلاقة، كما يظهر لمن راجع مرادف هذا اللّفظ في سائر اللاغّت، ولتصريح أكثر اللّغويين بذلك، ولما في جملةٍ من النصوص من التصريح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معمّر بن خلّاد،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النرد والشطرنج والأربعة عشر بمنزلة واحدة، وكلّ ما قومر عليه فهو ميسر</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تقومر به حتّى الكعاب والجوز</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القمار هو اللّعب بأيّ شيء كان بشرط الرهن</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10830545_73709187"/>
      <w:bookmarkStart w:id="167" w:name="_Toc55"/>
      <w:bookmarkEnd w:id="166"/>
      <w:r>
        <w:rPr>
          <w:rtl w:val="true"/>
        </w:rPr>
        <w:t>اللّعب بالآلات المعدّة القمار مع الرّهن</w:t>
      </w:r>
      <w:bookmarkEnd w:id="167"/>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القمار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بحكمه ليس هو حرمة بيع الآلات المعدّة للقمار وضعاً وتكليفاً، إذ الكلام في ذلك قد تقدّم في النوع الثاني مفصّلاً، بل المراد به في المقام هو حرمة اللّعب </w:t>
      </w:r>
      <w:bookmarkStart w:id="168" w:name="pg11815_192711"/>
    </w:p>
    <w:p>
      <w:pPr>
        <w:pStyle w:val="BookText"/>
        <w:rPr/>
      </w:pPr>
      <w:bookmarkEnd w:id="168"/>
      <w:r>
        <w:rPr>
          <w:rFonts w:ascii="Amiri" w:hAnsi="Amiri" w:eastAsia="Amiri" w:cs="Amiri"/>
          <w:color w:val="111111"/>
          <w:sz w:val="28"/>
          <w:sz w:val="28"/>
          <w:szCs w:val="28"/>
          <w:rtl w:val="true"/>
          <w:lang w:bidi="ar-SA"/>
        </w:rPr>
        <w:t>بها، وتنقيح القول في ذلك إنّما يتحقّق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علماء الإسلام</w:t>
      </w:r>
      <w:r>
        <w:rPr>
          <w:rStyle w:val="FootnoteAnchor"/>
          <w:rtl w:val="true"/>
        </w:rPr>
        <w:footnoteReference w:id="442"/>
      </w:r>
      <w:r>
        <w:rPr>
          <w:rFonts w:ascii="Amiri" w:hAnsi="Amiri" w:eastAsia="Amiri" w:cs="Amiri"/>
          <w:color w:val="111111"/>
          <w:sz w:val="28"/>
          <w:sz w:val="28"/>
          <w:szCs w:val="28"/>
          <w:rtl w:val="true"/>
          <w:lang w:bidi="ar-SA"/>
        </w:rPr>
        <w:t>في حرمة اللّعب بالآلات المعدّة للقمار مع الرّهن، بل هي من ضروريّات الإسلام، وتشهد له الآيات الشريفة والنصوص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المحقّق الإيرواني رحمه الله</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من أنّه لو كان القمار معناه المعاملة و المراهنة، فلا يكون نفس اللّعب حراماً إلّاإذا كان إجماع على حرمته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مضافاً إلى أنّ عليها الإجماع، تشهد لحرمته الآيات والنصوص المتضمّنة للنهي عن اللّعب بالشطرنج والنرد وسائر آلات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المعاملة المعروفة في هذا العصر، والمسمّاة بأوراق اليانصيب، وبالفارسيّة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بليط بخت آزمائي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هذه الأوراق قد أُعدّت لهذه المراهنة والمغالبة، فهي حرامٌ‌، والعوض المأخوذ عليها سحت، وقد أشبعنا الكلام فيها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10830547_73709187"/>
      <w:bookmarkStart w:id="170" w:name="_Toc56"/>
      <w:bookmarkEnd w:id="169"/>
      <w:r>
        <w:rPr>
          <w:rtl w:val="true"/>
        </w:rPr>
        <w:t>اللّعب بالآلات المُعدّة للقمار بدون الرّهن</w:t>
      </w:r>
      <w:bookmarkEnd w:id="17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اللّعب بالآلات المُعدّة للقمار بدون الرّهن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تحريم اللّعب بذلك، وإن لم يكن رهن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رحمه الله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يجيء منه الفساد محضاً لا يجوز التقلّب فيه من جميع وجوه الحركات</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كما تقدّم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الشيخ رحمه الله</w:t>
      </w:r>
      <w:r>
        <w:rPr>
          <w:rStyle w:val="FootnoteAnchor"/>
          <w:rtl w:val="true"/>
        </w:rPr>
        <w:footnoteReference w:id="448"/>
      </w:r>
      <w:r>
        <w:rPr>
          <w:rFonts w:ascii="Amiri" w:hAnsi="Amiri" w:eastAsia="Amiri" w:cs="Amiri"/>
          <w:color w:val="111111"/>
          <w:sz w:val="28"/>
          <w:sz w:val="28"/>
          <w:szCs w:val="28"/>
          <w:rtl w:val="true"/>
          <w:lang w:bidi="ar-SA"/>
        </w:rPr>
        <w:t>في مسألة الانتفاع بالنجس بأنّ المراد بالتقلّب ما يرجع إلى الأكل والشرب، بمعنى أنّ المراد به المنافع المقصودة الظاهرة للشيء، وعليه فيختصّ ذلك باللّعب بها مع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تلك الآلات ممّا يجيء منه الفساد محضاً، يتوقّف على عدم كون اللّعب بها بدون الرهن من منافعها، أو كونه حراماً، والأوّل كما ترى، والثاني لا بدَّ وأن يُحرز من الخارج، ولا يمكن إثباته بهذا الخبر، إذ الدليل المتكفّل لبيان الحكم لا تعرّض له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الجارود، عن مولانا الباقر عليه السلام في تفسير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حيث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الميسر فالنرد والشطرنج وكلّ قمار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بيعه وشراؤه والانتفاع بشيء من هذا حرامٌ محرّم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ضعيف السند، لأنّ أبا الجارود زياد بن المنذر لم يرد فيه توثيق بالخصوص، بل هو مذمومٌ أشدّ الذّم،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أنّه مرسل</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يُكنّى أبا الجارود زيدي المذهب، وإليه تنسب الزيديّة الجاروديّة له أصل وله كتاب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الذي يدّعيه الشيخ رحمه الله</w:t>
      </w:r>
      <w:r>
        <w:rPr>
          <w:rStyle w:val="FootnoteAnchor"/>
          <w:rtl w:val="true"/>
        </w:rPr>
        <w:footnoteReference w:id="451"/>
      </w:r>
      <w:r>
        <w:rPr>
          <w:rFonts w:ascii="Amiri" w:hAnsi="Amiri" w:eastAsia="Amiri" w:cs="Amiri"/>
          <w:color w:val="111111"/>
          <w:sz w:val="28"/>
          <w:sz w:val="28"/>
          <w:szCs w:val="28"/>
          <w:rtl w:val="true"/>
          <w:lang w:bidi="ar-SA"/>
        </w:rPr>
        <w:t>في سائر النصوص آتٍ هنا، وليس المراد انصراف القمار إلى اللّعب بالآلات مع الرهن حتّى يقال إنّ القمار في هذا الخبر لم يرد به اللّعب، بل أُريد به الآلات أنفسها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بيعه وشراؤه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الميسر فالنرد والشطرنج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المراد انصراف الانتفاع بها المنهيّ عنه إلى اللّعب بها مع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الربيع الشامي،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النرد والشطرنج‌؟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تقربوهما</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في هذا الخبر هو التقرّب إليهما، وهو لا ينصرف إلى اللّعب مع الرّهن، إذ المستفاد من المنع عن التقرّب إرادة المبالغة في التنزّه والإجتناب التي لايناسبها التخصيص بخصوص قسمٍ خاص من التحرّز والتجنّب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لأنّ أبا الربيع مجهول الحال</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وذكره الصدوق في آخر الفقيه وذكر طريقه إليه وروى عنه كثيراً واعتمد عليه، وهو مدح له لما علم من أوّل كتابه، وروى عنه سائر علمائنا ومحدِّثينا، واحتجّوا برواياته وعملوا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والنجاشي أنّ له كتاباً، وذكرا طريقهما إليه، وهو نوع مدح حيث أنّه ظهر أنّه من مؤلِّفي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الشيخ في أصحاب الباقر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وفي نسخة خالد بن أوفى العنزي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الشهيد في شرح الإرشاد على صحّة رواياته برواية الحسن بن محبوب عنه كثيراً مع الإجماع على تصحيح ما يَصحّ عن الحسن بن محبوب، وروى عنه ابن مسكان أيضاً وهو من أصحاب الإجماع وجملة منهم رووا عنه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النجاشي أنّه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بتوثيقه وتوثيق أصحاب الصادق عليه السلام إلّامن ثبت ضعفه لم يكن بعيداً، لأنّ المفيد في الإرشاد وابن شهر آشوب في معالم العلماء والطبرسي في إعلام الورى قد وثّقوا أربعة آلاف من أصحاب الصادق عليه السلام، والموجود منهم في جميع كتب الرِّجال والحديث لا يبلغون ثلاثة آلاف، وذكر العلّامة وغيره أنّ ابن عقدة جمع الأربعة آلاف المذكورين في كتب الرِّجال، ونقل بعضهم أنّه ذكر أبا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أوردنا في فوائد المقدّمة إذا ضمّ إلى ما ذكرنا هنا يضعف جانب التوقّف في توثيقه،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الراوي عنه بما أنّه ابن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فخبره هذا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علم من أنّ المراد بالتقرّب ليس معناه الحقيقي، بل أُريد به المعنى الكنائي، وهو اللّعب بهما، فسبيل هذا الخبر سبيل سائر المطلقات، وسيأتي التعرّض لها، فعلى القول بانصرافها إلى اللّعب بها مع الرهن لا وجه للاستدلال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للحرمة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الناهية عن القمار من الآيات والروايات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الشيخ رحمه الله بوجهين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صدق القمار على اللّعب بدون الرّهن نظراً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عدم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القمار على فرض صدقه عليه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الانصراف سواءٌ أكان لقلّة الوجود أو لقلّة الاستعمال، فإنّه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فإن اللّعب بها بدون الرهن كثير، كما أنّ الاستعمال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الناشئ من قلّة الوجود أو قلّة الاستعمال لا يوجب تقييد المطلقات، ولا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الناهية عن اللّعب بالنرد والشطرنج وغيرهما من آلات القمار، كصحيح ابن خلّاد، وخبر أبي الربيع المتقدّمين، وغيرهما من النصوص الواردة في تفسير الميسر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منصرفة إلى اللّعب بها مع الرهن،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جملة من الروايات لتأييد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مجالس الطوسي بسنده عن عليّ عليه السلام في تفسير الميسر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ألهى عن ذكر اللّه فهو من الميسر</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لابن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حمل الخبر على الكراهة، لعدم إمكان حمله على الحرمة، وإلّا لزم كون جميع المباحات والمكروهات حراماً، وسيجيء في مسألة اللّهو أنّه لا يمكن الالتزام بحرمة كلّ ما يصدق عليه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ما ثبت جوازه يخرج عن عموم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تخصيص الاكثر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هذه الأشياء التي يلعب بها الناس من النرد والشطرنج، حتّى انتهيت إلى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الحقّ من الباطل مع أيّهما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فمالكَ وللباطل</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السند لسهل</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 حَسنٌ‌، والأولى الإيراد عليه بما سيجيء أنّه لا دليل على حرمة كلّ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الشطرنج وعن لعبة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يقال لها لعبة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لعبة الثلاث‌؟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ميّز اللّه الحقّ والباطل مع أيّهما يكون‌؟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الخير أعمٌّ من الحرمة والكراهة، بل ومن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الواحد بن المختار،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اللّعب بالشطرنج‌؟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لمشغول عن اللّعب</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ضعف سنده لمحمّد بن جعفر بن عنبسة وغيره</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له على حرمة اللّعب، بل إنّما هو إرشاد إلى أنّ المؤمن لا يشتغل بما لا يفيده في دينه أو دنياه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71" w:name="pg11815_192718"/>
    </w:p>
    <w:p>
      <w:pPr>
        <w:pStyle w:val="Heading2"/>
        <w:numPr>
          <w:ilvl w:val="1"/>
          <w:numId w:val="1"/>
        </w:numPr>
        <w:rPr/>
      </w:pPr>
      <w:bookmarkStart w:id="172" w:name="__RefHeading___Toc10830549_73709187"/>
      <w:bookmarkStart w:id="173" w:name="_Toc57"/>
      <w:bookmarkEnd w:id="171"/>
      <w:bookmarkEnd w:id="172"/>
      <w:r>
        <w:rPr>
          <w:rtl w:val="true"/>
        </w:rPr>
        <w:t>اللّعب بغير الآلات المعدّة للقمار مع الرّهن</w:t>
      </w:r>
      <w:bookmarkEnd w:id="17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المراهنة على اللّعب بغير الآلات المعدّة للقمار، كالمراهنة على حمل الحجر الثقيل، وعلى المصارعة،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المشهور بين الأصحاب هو تحريم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الخلاف في التحريم والفساد</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استظهر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كلّ من نفى الخلاف في تحريم المسابقة، فيما عدا المنصوص مع العوض، وجَعل محلّ الخلاف فيها بدون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الخلاف في المسابقة بدون العوض في غير الموارد المنصوصة هي الحرمة التكليفيّة، إذ لا رهن فيها كي يقع الخلاف في الحرمة الوضعيّة والفساد، فمقابلة مورد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حرمة المسابقة مع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بمورد الخلاف، تقتضي كون مورد الوفاق هي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للحرمة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لا يصلح للاعتماد عليه، فضلاً عن عدم ثبوته، وذلك لاحتمال استناد المجمعين إلى الوجوه التي ستمرّ عليك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والروايات الدالّة على حرمة القمار والميسر والازلام، فإنّها بإطلاقها تدلّ على حرمة المراهنة بغير الآلات المعدّة للقمار، لما عرفت من </w:t>
      </w:r>
    </w:p>
    <w:p>
      <w:pPr>
        <w:pStyle w:val="BookText"/>
        <w:rPr/>
      </w:pPr>
      <w:r>
        <w:rPr>
          <w:rFonts w:ascii="Amiri" w:hAnsi="Amiri" w:eastAsia="Amiri" w:cs="Amiri"/>
          <w:color w:val="111111"/>
          <w:sz w:val="28"/>
          <w:sz w:val="28"/>
          <w:szCs w:val="28"/>
          <w:rtl w:val="true"/>
          <w:lang w:bidi="ar-SA"/>
        </w:rPr>
        <w:t>صدق القمار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الظاهرة في حرمتها، وهي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الملائكة تنفر عند الرهان وتلعن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الصدوق،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لتنفر عند الرهان، وتلعن صاحبه، ما خلا الحافر والخُفّ والريش والنصل</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العلاء بن سيّابة،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تحضر الرهان في الخُفّ والحافر والريش، وما سوى ذلك فهو قمار حرام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ضعيفا السند، أمّا الأوّل فللإرسال، وأمّا الثاني فلأنّ العلاء مجهول</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لم يوثّق ولم يثبت مدحه في كتب الرجال، إلّاأنّ وجوده في إسناد تفسير علي بن إبراهيم كافٍ في ذلك، ويعتمد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فطريق الصدوق قدس سره إليه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وقع بهذا العنوان في إسناد عدّة من الروايات تبلغ سبعة وعشرين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إنّ‌الرهان مصدرباب المفاعلة، وهي المعاملة و المراهنة على العمل الخارجي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فهما أجنبيّان عن حرمة نفس العمل واللّعب الخارجي، وإنّما يدلّان على حرمة المراهنة وفسادها، بل على خصوص الفساد، ويكون اللّعن من جهة أخذ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ياسر الخادم،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الميسر؟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من كلّ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والثقل ما يخرج بين المتراهنين من الدراهم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لياسر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الرهن من الميسر، فتشمله الآية الآمرة بالاجتناب عنه، فغاية ما تثبت به حرمة التصرّف فيه، فهو يدلّ على الفساد دون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خلّاد،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النرد والشطرنج والأربعة عشر بمنزلة الواحدة، وكلّ ما قومر عليه فهو ميسر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يقامر عليه هو الرهن، وعليه فيرد عليه ما أوردناه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والجوز</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لأنّ في سنده عمرو بن شمر</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شمر، له كتاب، رويناه بالإسناد، عن حميد، عن إبراهيم بن سليمان الخزّاز أبي إسحاق،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شمر بن يزيد أبو عبد اللّه الجعفي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البرقي في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الجعفي، عربي،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شمر أبو عبد اللّه الجعفي، كوفي، روى عن أبي عبد اللّه، وجابر،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جابر، وروى عنه محمّد بن سليمان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في حبّ رسول اللّه صلى الله عليه و آله الحسن والحسين،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جابر، وروى عنه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تَقْصُصْ رُؤْياكَ عَلى إِخْوَتِكَ‌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لم تثبت وثاقته، فإنّ توثيق علي بن إبراهيم القمّي إيّاه معارض بتصعيف النجاشي، فالرجل مجهول الحال، هذا وقد وثّقه المحدِّث النوري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الصبيان يلعبون بالجوز والبيض ويقامرون‌؟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منه فإنّه حرام</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صريحٌ في الفساد، وأجنبيٌّ عن 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العمدة في المقام المطلقات الناهية عن القمار، بل وتدلّ على الفساد وحرمة التصرّف في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المتقدّمة آنفاً، وغير ذلك من الروايات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صاحب الجواهر رحمه الله الحرمة التكليفيّة، والتزم بخصوص الفساد، واستدلّ له بصحيح محمّد بن قيس،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أكل وأصحاب له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أكلتموها فهي لكم، وإنْ لم تأكلوها فعليكم كذا وكذا، فقضى فيه أنّ ذلك باطلٌ لا شيء في المؤاكلة من الطعام ما قلّ منه وما كثر ومنع غرامته منه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 أنّه متضمّنٌ لفساد المراهنة في الطعام خاصّة، ولو كانت هي محرّمة لردع عنها أيضاً، فيستكشف من عدم الردع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يَصحّ استكشاف الجواز من عدم ردعه عليه السلام في المقام، وإلّا لدلّ على جواز التصرّف في الشاة لعدم الردع عن ذلك، مع أنّه على القول بالبطلان يحرم التصرّف فيها لكونها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في الرواية أنّ أصحاب الرّجل تصرّفوا في الشاة حتّى يكون سكوته عن بيان حرمته دليلٌ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دلّت الأدلّة الاُخر على حرمة التصرّف في المقبوض بالعقد الفاسد، ولأجلها لا يحكم بالجواز بخلاف المراهنة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المحقّق الإيرواني رحمه الله</w:t>
      </w:r>
      <w:r>
        <w:rPr>
          <w:rStyle w:val="FootnoteAnchor"/>
          <w:rtl w:val="true"/>
        </w:rPr>
        <w:footnoteReference w:id="475"/>
      </w:r>
      <w:r>
        <w:rPr>
          <w:rFonts w:ascii="Amiri" w:hAnsi="Amiri" w:eastAsia="Amiri" w:cs="Amiri"/>
          <w:color w:val="111111"/>
          <w:sz w:val="28"/>
          <w:sz w:val="28"/>
          <w:szCs w:val="28"/>
          <w:rtl w:val="true"/>
          <w:lang w:bidi="ar-SA"/>
        </w:rPr>
        <w:t>من أنّ الظاهر منه أنّ صاحب الشاة قد أباح شاته بشرط أن يلتزموا بإعطاء كذا إنْ لم يأكلوا لا بشرط أن يعطوا، وقد التزموا فتنجّزت الإباحة، فأكلهم كان بالإباحة المالكيّة، وعدم كونهم ملتزمين بالوفاء شرعاً لا يرفع الإباحة المالكيّة، فلا يكون التصرّف في الشاة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عنه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 الخبر أجنبيّاً عن المراهنة بالأكل، بل مورده الإباحة المالكيّة المشروطة بالالتزام بالإعطاء لا الإعطاء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رواه عبد الحميد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الحسن عليه السلام غلاماً يشتري له بيضاً فأخذ الغلام بيضة أو بيضتين فقامر بها، فلمّا أتى له به أكله،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من القمار،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بطشت فتقيّأ فقاءه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فهو على تقدير صحّة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محلّ نظر لجهالة عبد الحميد المذكور</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القاعدة المسلّمة، وهي لزوم دفع المأخوذ بالعقد الفاسد مع بقاء عينه، ومع تلفه يجب رد بدله من المثل إنْ كان مثليّاً، أو القيمة إنْ كان قيميّاً،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البيض الذي أكله هو الذي اشتراه له، وإنّما قاءه لأنّه قومر به، فأراد الاجتناب عنه لئلّا يصير ذلك جزءاً من بدنه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وما فيها للإمام، وهو أولى بالتصرّف في الأموال من المالكين كما نطقت بذلك جملة من النصوص، وفيئه حينئذٍ يندرج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الإغماض عن هذين الوجهين، وتسليم كونه مال الغير، فإنّه لا يتوهّم أحد أنّ قيئه عليه السلام كان لأجل ردّه إلى مالكه، لأنّه بالأكل قد تلف، وهو بعد القيء يعدّ من القذرات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على هذا الوجه الإشكال في أنّه عليه السلام كيف أكل الحرام الواقعي‌؟</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الشيخ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في حركاتهم من أفعالهم وأقوالهم شؤوناً لا يعلمها غيرهم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4" w:name="pg11815_192724"/>
    </w:p>
    <w:p>
      <w:pPr>
        <w:pStyle w:val="Heading2"/>
        <w:numPr>
          <w:ilvl w:val="1"/>
          <w:numId w:val="1"/>
        </w:numPr>
        <w:rPr/>
      </w:pPr>
      <w:bookmarkStart w:id="175" w:name="__RefHeading___Toc10830551_73709187"/>
      <w:bookmarkStart w:id="176" w:name="_Toc58"/>
      <w:bookmarkEnd w:id="174"/>
      <w:bookmarkEnd w:id="175"/>
      <w:r>
        <w:rPr>
          <w:rtl w:val="true"/>
        </w:rPr>
        <w:t>حكم المسابقة بغير رهان</w:t>
      </w:r>
      <w:bookmarkEnd w:id="17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المغالبة بغير عوض في غير ما نصّ على جواز المسابقة فيه كالمصارعة، والمسابقة على المراكب والسفن، ورمي الحجارة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المشهور بين الأصحاب هو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المذهب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المحكى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الثاني</w:t>
      </w:r>
      <w:r>
        <w:rPr>
          <w:rStyle w:val="FootnoteAnchor"/>
          <w:rtl w:val="true"/>
        </w:rPr>
        <w:footnoteReference w:id="480"/>
      </w:r>
      <w:r>
        <w:rPr>
          <w:rFonts w:ascii="Amiri" w:hAnsi="Amiri" w:eastAsia="Amiri" w:cs="Amiri"/>
          <w:color w:val="111111"/>
          <w:sz w:val="28"/>
          <w:sz w:val="28"/>
          <w:szCs w:val="28"/>
          <w:rtl w:val="true"/>
          <w:lang w:bidi="ar-SA"/>
        </w:rPr>
        <w:t>ومن تبعه، والمحقّق السبزواري</w:t>
      </w:r>
      <w:r>
        <w:rPr>
          <w:rStyle w:val="FootnoteAnchor"/>
          <w:rtl w:val="true"/>
        </w:rPr>
        <w:footnoteReference w:id="481"/>
      </w:r>
      <w:r>
        <w:rPr>
          <w:rFonts w:ascii="Amiri" w:hAnsi="Amiri" w:eastAsia="Amiri" w:cs="Amiri"/>
          <w:color w:val="111111"/>
          <w:sz w:val="28"/>
          <w:sz w:val="28"/>
          <w:szCs w:val="28"/>
          <w:rtl w:val="true"/>
          <w:lang w:bidi="ar-SA"/>
        </w:rPr>
        <w:t>، وجمعٌ من الأساطين</w:t>
      </w:r>
      <w:r>
        <w:rPr>
          <w:rStyle w:val="FootnoteAnchor"/>
          <w:rtl w:val="true"/>
        </w:rPr>
        <w:footnoteReference w:id="48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 بوجوه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الذي حكاه غير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لو تحقّق لا يعتمد عليه في المقام، لعدم كونه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إلّافي خفٍّ أو حافرٍ أو نصل</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يعني النصال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السبق بسكون الباء مصدر، والمراد من نفيه نفي المشروعيّة، ومقتضى إطلاقه عدم مشروعيّة المسابقة بدون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لمعلّى بن محمّد، كما عن الأستاذ</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 على أقلّ التقادير لكونه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كما يحتمل نفي الجواز التكليفي يحتمل نفي الصحّة، لوروده مورد الغالب من اشتمال المسابقة على العوض</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المسابقة بغير الرهان كثيرة، مع أنّ قلة الوجود لا توجب الانصراف كما تقدّم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يحتمل أن يكون معناه لا اعتداد بالسبق في أمثال هذه الأُمور إلّافي الثلاثة المذكورات، أو لا فضل لسبقٍ إلّافي الثلاثة، فلا دلالة فيه على التحريم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ظهوره على هذا التقدير على نفي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يثبت كون السَبق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من المحتمل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الشهيد الثاني رحمه الله أنّه المشهور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العوض والرهن، ونفيه ظاهرٌ في إرادة فساد المراهنة، لظهوره في نفي استحقاقه، وعليه فلا يمكن الاستدلال به للإجماع وعدم ثبوت قراءة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القمار، لأنّه مطلق المغالبة ولو بدون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أوّل المسألة من أخذ الرهان في مفهوم القمار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نفار الملائكة عند الرهان، ولعن صاحبه ما خلا الثلاثة</w:t>
      </w:r>
      <w:r>
        <w:rPr>
          <w:rStyle w:val="FootnoteAnchor"/>
          <w:rtl w:val="true"/>
        </w:rPr>
        <w:footnoteReference w:id="490"/>
      </w:r>
      <w:r>
        <w:rPr>
          <w:rFonts w:ascii="Amiri" w:hAnsi="Amiri" w:eastAsia="Amiri" w:cs="Amiri"/>
          <w:color w:val="111111"/>
          <w:sz w:val="28"/>
          <w:sz w:val="28"/>
          <w:szCs w:val="28"/>
          <w:rtl w:val="true"/>
          <w:lang w:bidi="ar-SA"/>
        </w:rPr>
        <w:t>، مع التصريح في بعضها بأنّ ما عداها قمار محرّم لصدق الرهانة بدون العوض عرفاً وعادة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يصدق الرهان على ما لا رهن فيه ولا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اللّهو،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عُللّ فيه تحريم اللّعب بالنرد والشطرنج بأنّه من اللّهو والباطل</w:t>
      </w:r>
      <w:r>
        <w:rPr>
          <w:rStyle w:val="FootnoteAnchor"/>
          <w:rtl w:val="true"/>
        </w:rPr>
        <w:footnoteReference w:id="491"/>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كلّ لهو المؤمن باطل إلّافي ثلاث</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مسألة اللّهو أنّ القول بحرمته مطلقاً قول باطلٌ وشاذّ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اللّهو والمسابقة عموم من وجه، إذ ربما تكون المسابقة لغرض عقلائي من الأُنس وقضاء الوقت وتربية البدن وغير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التحريم، فالأظهر هو الجواز للسيرة القطعيّة المستمرّة بين العلماء والعوام على المسابقة في عدّة من الأُمور كالسباحة والمشاعرة والمصارعة، ونحو ذلك، ولما ورد من مصارعة الحسن والحسين عليهما السلام بأمر النبيّ صلى الله عليه و آله، وما ورد من مكاتبتهما والتقاطهما حَبّ قلادة اُمّهما عليها السلام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77" w:name="pg11815_192728"/>
    </w:p>
    <w:p>
      <w:pPr>
        <w:pStyle w:val="Heading2"/>
        <w:numPr>
          <w:ilvl w:val="1"/>
          <w:numId w:val="1"/>
        </w:numPr>
        <w:rPr/>
      </w:pPr>
      <w:bookmarkStart w:id="178" w:name="__RefHeading___Toc10830553_73709187"/>
      <w:bookmarkStart w:id="179" w:name="_Toc59"/>
      <w:bookmarkEnd w:id="177"/>
      <w:bookmarkEnd w:id="178"/>
      <w:r>
        <w:rPr>
          <w:rtl w:val="true"/>
        </w:rPr>
        <w:t>القيادة حرام</w:t>
      </w:r>
      <w:bookmarkEnd w:id="179"/>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حرمة القيادة، بل حرمتها من ضروريّات الإسلام</w:t>
      </w:r>
      <w:r>
        <w:rPr>
          <w:rStyle w:val="FootnoteAnchor"/>
          <w:rtl w:val="true"/>
        </w:rPr>
        <w:footnoteReference w:id="494"/>
      </w:r>
      <w:r>
        <w:rPr>
          <w:rFonts w:ascii="Amiri" w:hAnsi="Amiri" w:eastAsia="Amiri" w:cs="Amiri"/>
          <w:color w:val="111111"/>
          <w:sz w:val="28"/>
          <w:sz w:val="28"/>
          <w:szCs w:val="28"/>
          <w:rtl w:val="true"/>
          <w:lang w:bidi="ar-SA"/>
        </w:rPr>
        <w:t>، وتدلّ عليها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الورّام، عن النبيّ صلى الله عليه و آله، عن جبرئيل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 على النار فرأيتُ وادياً في جهنم يغلي،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لمَن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المحتكرين والمدمنين للخمر والقوّادين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عدّة من الأخبار المتقدّمة في مسألة تدليس الماشطة من تفسير الواصلة والمستوصلة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حَدّ القوّاد؟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ثلاثة أرباع حَدّ الزاني خمسة وسبعين سوطاً، وينفى من المصر الذي هو فيه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4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الذنوب إلى الكبائر والصغائر، ثمّ في أنّ الصغيرة لا تضرّ بالعدالة كلاماً محرّراً في محلّه، ولعلّ الأظهر منع كلا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على تقدير صحّة التقسيم، وعدم إضرار الصغيرة بالعدالة، فإنّ الأقوى ما ذكره رحمه الله من كون القيادة من الكبائر، إذ الكبيرة كما عرفت في مسألة الغيبة معصية نصّ الشارع على كونها كذلك، أو توعّد عليها في الكتاب أو السُنّة، أو رتّب آثار الكبيرة عليها، والقيادة توعّد عليها الشارع في 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قاد بين امرأة ورجل حراماً، حرّم اللّه عليه الجنّة، ومأواه جهنّم وساءت مصيراً، ولم يزل في سخط اللّه حتّى يموت</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التي كانت تحرق وجهها وبدنها وهي تجرّ أمعائها، فإنّها كانت قوّادة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رتّب عليها أثر الكبيرة وهو الحَدّ والنفي من البلد، كما في صحيح ابن سنان المتقدّم، إذ الصغيرة قد وَعَد اللّه تعالى التكفير عنها مع اجتناب الكبائر، والصغيرة المكفّرة لا توجبُ الحَدّ والنفي من البلد، ومعلوم أنّ إطلاق الصحيح شامل للمكفّرة وغيرها، فيستكشف من ذلك عدم كونها صغيرة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80" w:name="pg11815_192730"/>
    </w:p>
    <w:p>
      <w:pPr>
        <w:pStyle w:val="Heading2"/>
        <w:numPr>
          <w:ilvl w:val="1"/>
          <w:numId w:val="1"/>
        </w:numPr>
        <w:rPr/>
      </w:pPr>
      <w:bookmarkStart w:id="181" w:name="__RefHeading___Toc10830555_73709187"/>
      <w:bookmarkStart w:id="182" w:name="_Toc60"/>
      <w:bookmarkEnd w:id="180"/>
      <w:bookmarkEnd w:id="181"/>
      <w:r>
        <w:rPr>
          <w:rtl w:val="true"/>
        </w:rPr>
        <w:t>القيافة وحكمها</w:t>
      </w:r>
      <w:bookmarkEnd w:id="182"/>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القيافة حرامٌ كما هو المشهور، ونَسَبه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الأصحاب</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المسألة يقع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كلمات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معرفة الآثار وشَبَه الشخص بأقربائه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Style w:val="FootnoteAnchor"/>
          <w:rtl w:val="true"/>
        </w:rPr>
        <w:footnoteReference w:id="5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القائف هو الذي يعرف الآثار، أي العلامات المختصّة بكلّ قبيلة، الموجبة لشباهة الرّجل بأبيه أو أخيه أو سائر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يعرف الآثار وشَبَه الرّجل بأخيه وأبيه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يعرف الآثار، ويُلحق الولد بالوالد، والأخ بأخيه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يعرف النسب بفراسته ونظره إلى أعضاء المولود</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ريب في جواز تحصيل العلم أو الظنّ بالأنساب بعلم القيافة، ولم أرَ من أفتى بحرمته، ولا ما 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الروايات أنّ القيافة لا تطابق الواقع دائماً، ففي 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القيافة فضلة من النبوّة ذهبت في الناس حين بعث النبيّ صلى الله عليه و آله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يحصل العلم منها لمن لاحظ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وأمّاتعليمه و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لاخلاف في تحريم تعليمها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يرد في الشريعة المقدّسة ما يدلّ على حرمة ذلك، والأصل يقتضي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القائف إنْ أخبر بما استخرجه من القيافة جزماً مع عدم علمه به فهو حرام لكونه كذباً، وإلّا فالأظهر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الحرمة بعض مشايخنا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بدخوله في السحر والكهانة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وبظهور معاقد الإجماعات، بدعوى أنّ مراد من قيّد الحرمة بما إذا ترتّب عليها محرّم، هو إخباره بذلك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صحيح الهثيم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ساحر أو كاهنٍ أو كذّاب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يصدّقه بما يقول، فقد كفر بما أنزل اللّه من كتاب</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في جعل المخبر بالشيء الغائب بين الثالثة دلالة على حرمة اخباره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السحر على ما تقدّم هو صرف الشيء عن وجهه على سبيل التمويه والخدعة، والكهانة هي الإخبار عن الحوادث المستقبلة لاتّصاله بالجِنّ أو الشيطان، فلا وجه لدعوى دخول القيافة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 معقد الإجماعات هو الرجوع إلى القائف وترتيب الآثار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يدلّ على حصر المحرّم من الإخبار عن الغائبات على سبيل الجزم باخبار إحدى هذه الطوائف الثلاث، لا حصر المخبر عنها بهم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يدلّ على حرمة الإخبار، وإنّما يدلّ على حرمة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الرجوع إلى القائف، وترتيب الآثار على قوله من نفي النسب عن شخص، أو إلحاقه به والحكم بأنّه يرثه إلى غير ذلك من الآثار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 قواعد علم القيافة لا تطابق الواقع والقواعد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الشرعيّة دائماً أو احتمل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الآيات والروايات على أنّ الظنّ لا يغني من الحقّ شيئاً، وأنّه لا يجوز العمل بغير علم، ومضافاً إلى أنّ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تقم على ثبوته أمارة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بالاستصحاب، وعليه فالحكم بثبوته وترتّب الآثار عليه من التوارث والنظر وغيرهما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خبر أبي بصير،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تأتيهم</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بقول قائف</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الشيخ رحمه الله للحرمة</w:t>
      </w:r>
      <w:r>
        <w:rPr>
          <w:rStyle w:val="FootnoteAnchor"/>
          <w:rtl w:val="true"/>
        </w:rPr>
        <w:footnoteReference w:id="514"/>
      </w:r>
      <w:r>
        <w:rPr>
          <w:rFonts w:ascii="Amiri" w:hAnsi="Amiri" w:eastAsia="Amiri" w:cs="Amiri"/>
          <w:color w:val="111111"/>
          <w:sz w:val="28"/>
          <w:sz w:val="28"/>
          <w:szCs w:val="28"/>
          <w:rtl w:val="true"/>
          <w:lang w:bidi="ar-SA"/>
        </w:rPr>
        <w:t>بخبر زكريّا بن يحيى بن نعمان الصيرفي الوارد في إثبات بنوّة الجواد عليه السلام لأبي الحسن بالرجوع إلى القافة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مورد استشهاده به قول الإمام الرضا عليه السلام لإخوته بعدما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قد قضى بالقافة فبيننا وبينك القافة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أنتم إليهم وأمّا أنا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صدور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ممكن لأجل أنّه كان عالماً ببنوّة الجواد عليه السلام ولم يكن له شكّ في ذلك، مع أنّ عدم بعثه إليهم وإظهار ذلك لا يدلّ على عدم المشروعيّة، بل ظاهر الخبر أنّ الخاصّة أيضاً كانوا يعتقدون بقضائه صلى الله عليه و آله بقول القافة، والإمام عليه السلام لم يردع عن ذلك، فهو يدلّ على الجواز</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على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مضافاًإلى ضعف سنده لزكريّا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أخوة الرضا عليه السلام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وعمومته إن لم يكونوا قائلين بإمامته عليه السلام فما فائدة الرجوع إلى القافة لإثبات بنوّة الجواد عليه السلام، وإن كانوا قائلين بإمامته لما احتاجوا إليهم بعد إخباره ببنوّته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أخذ الاُجرة على إخبار القائف، وإنْ كان إخباره على وجه الجواز، لكونه عملاً لا يترتّب عليه أثر جائز، ولما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أجر القائف من السُّحت</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83" w:name="pg11815_192735"/>
    </w:p>
    <w:p>
      <w:pPr>
        <w:pStyle w:val="Heading2"/>
        <w:numPr>
          <w:ilvl w:val="1"/>
          <w:numId w:val="1"/>
        </w:numPr>
        <w:rPr/>
      </w:pPr>
      <w:bookmarkStart w:id="184" w:name="__RefHeading___Toc10830557_73709187"/>
      <w:bookmarkStart w:id="185" w:name="_Toc61"/>
      <w:bookmarkEnd w:id="183"/>
      <w:bookmarkEnd w:id="184"/>
      <w:r>
        <w:rPr>
          <w:rtl w:val="true"/>
        </w:rPr>
        <w:t>حرمة الكذب</w:t>
      </w:r>
      <w:bookmarkEnd w:id="185"/>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حرامٌ بضرورة العقول والأديان، وتدلّ عليه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عليه كثيرٌ من الآيات والنصوص، وسيمرّ عليك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حرمة الكذب من ضروريّات جميع الأديان، فضلاً عن دين الإسلام، وعن اتّفاق العلماء عليها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مستقلٌّ بقبحه، لكونه مفتاح الشرور، ورأس الفجور</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10830559_73709187"/>
      <w:bookmarkStart w:id="187" w:name="_Toc62"/>
      <w:bookmarkEnd w:id="186"/>
      <w:r>
        <w:rPr>
          <w:rtl w:val="true"/>
        </w:rPr>
        <w:t>الكذب من الكبائر</w:t>
      </w:r>
      <w:bookmarkEnd w:id="187"/>
    </w:p>
    <w:p>
      <w:pPr>
        <w:pStyle w:val="BookText"/>
        <w:rPr/>
      </w:pPr>
      <w:r>
        <w:rPr>
          <w:rFonts w:ascii="Amiri" w:hAnsi="Amiri" w:eastAsia="Amiri" w:cs="Amiri"/>
          <w:color w:val="111111"/>
          <w:sz w:val="28"/>
          <w:sz w:val="28"/>
          <w:szCs w:val="28"/>
          <w:rtl w:val="true"/>
          <w:lang w:bidi="ar-SA"/>
        </w:rPr>
        <w:t>وقع الكلام بين الأصحاب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الكذب هل هو من الكبائر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مبحث الغيبة</w:t>
      </w:r>
      <w:r>
        <w:rPr>
          <w:rStyle w:val="FootnoteAnchor"/>
          <w:rtl w:val="true"/>
        </w:rPr>
        <w:footnoteReference w:id="518"/>
      </w:r>
      <w:r>
        <w:rPr>
          <w:rFonts w:ascii="Amiri" w:hAnsi="Amiri" w:eastAsia="Amiri" w:cs="Amiri"/>
          <w:color w:val="111111"/>
          <w:sz w:val="28"/>
          <w:sz w:val="28"/>
          <w:szCs w:val="28"/>
          <w:rtl w:val="true"/>
          <w:lang w:bidi="ar-SA"/>
        </w:rPr>
        <w:t>ضابط كون المعصية صغيرة أو كبيرة، على تقدير صحّة تقسيمها إليهما، وهو أحد أُمور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النص على كونها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التوعيد عليها في الكتاب والسُنّة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الكبيرة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أكبر من الذنب الذي ثبت كونه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والوجوه المحتملة في كون الكذب من الكبائر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رحمه الله تبعاً للفاضلين</w:t>
      </w:r>
      <w:r>
        <w:rPr>
          <w:rStyle w:val="FootnoteAnchor"/>
          <w:rtl w:val="true"/>
        </w:rPr>
        <w:footnoteReference w:id="519"/>
      </w:r>
      <w:r>
        <w:rPr>
          <w:rFonts w:ascii="Amiri" w:hAnsi="Amiri" w:eastAsia="Amiri" w:cs="Amiri"/>
          <w:color w:val="111111"/>
          <w:sz w:val="28"/>
          <w:sz w:val="28"/>
          <w:szCs w:val="28"/>
          <w:rtl w:val="true"/>
          <w:lang w:bidi="ar-SA"/>
        </w:rPr>
        <w:t>والشهيد الثاني</w:t>
      </w:r>
      <w:r>
        <w:rPr>
          <w:rStyle w:val="FootnoteAnchor"/>
          <w:rtl w:val="true"/>
        </w:rPr>
        <w:footnoteReference w:id="520"/>
      </w:r>
      <w:r>
        <w:rPr>
          <w:rFonts w:ascii="Amiri" w:hAnsi="Amiri" w:eastAsia="Amiri" w:cs="Amiri"/>
          <w:color w:val="111111"/>
          <w:sz w:val="28"/>
          <w:sz w:val="28"/>
          <w:szCs w:val="28"/>
          <w:rtl w:val="true"/>
          <w:lang w:bidi="ar-SA"/>
        </w:rPr>
        <w:t>من أنّه من الكبائر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منها مطلقاً، بل القسم الخاص منه، وهو الكذب على اللّه وعلى حُججه، والكذب لقتل النفس المحترمة ونحوه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الشيخ لما اختاره بجملةٍ من النصوص وبالكتاب، وأيّده ببعض نصوص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 بها على كون الكذب من الكبائر مطلقاً فمتعدّدة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الفضل بن شاذان حيث جعل الإمام عليه السلام فيه الكذب من الكبائر</w:t>
      </w:r>
      <w:r>
        <w:rPr>
          <w:rStyle w:val="FootnoteAnchor"/>
          <w:rtl w:val="true"/>
        </w:rPr>
        <w:footnoteReference w:id="521"/>
      </w:r>
      <w:r>
        <w:rPr>
          <w:rFonts w:ascii="IRNazanin" w:hAnsi="IRNazanin" w:eastAsia="IRNazanin"/>
          <w:color w:val="111111"/>
          <w:sz w:val="28"/>
          <w:sz w:val="28"/>
          <w:szCs w:val="28"/>
          <w:rtl w:val="true"/>
          <w:lang w:bidi="fa-IR"/>
        </w:rPr>
        <w:t>، ونحوه خبر الأعمش</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الأستاذ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ضعيفا السند، وقد ذكر في وجه ضعف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للصدوق إلى الفضل أسانيداً كلّها مجاهيل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عبد الواحد بن محمّد بن عبدوس النيسابوري</w:t>
      </w:r>
      <w:r>
        <w:rPr>
          <w:rStyle w:val="FootnoteAnchor"/>
          <w:rtl w:val="true"/>
        </w:rPr>
        <w:footnoteReference w:id="5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 بن قتيبة النيسابوري، وهما مجهولان</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وفي كتاب ضعفاء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قتيبة الرفاعي بصري يحدِّث عن الثقات بالبواطيل وما لا أصل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محمّد جعفر بن نعيم، وهو مجهول</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العلوي، فهو أيضاً مجهول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عبد الواحد وإنْ نقل أقوالاً، إلّاأنّ الأظهر أنّه ثقة كما اختاره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بل والصدوق رحمه الله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عبد الواحد أصَحّ‌</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 ولا أقلّ من كونه حسناً، لتوصيف العلّامة الخبر الذي رواه عبد الواحد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وكونه من المشايخ الذين ينقل عنهم الصدوق بغير واسطة، مع تكرّر ذلك مترضِّياً بل من مشايخه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ثقة، فلا ينبغي التوقّف في كونه حسناً لاعتماد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الكشي على نقله في مواضع كثيرة من رجاله، وعَدّ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داود</w:t>
      </w:r>
      <w:r>
        <w:rPr>
          <w:rStyle w:val="FootnoteAnchor"/>
          <w:rtl w:val="true"/>
        </w:rPr>
        <w:footnoteReference w:id="531"/>
      </w:r>
      <w:r>
        <w:rPr>
          <w:rFonts w:ascii="Amiri" w:hAnsi="Amiri" w:eastAsia="Amiri" w:cs="Amiri"/>
          <w:color w:val="111111"/>
          <w:sz w:val="28"/>
          <w:sz w:val="28"/>
          <w:szCs w:val="28"/>
          <w:rtl w:val="true"/>
          <w:lang w:bidi="ar-SA"/>
        </w:rPr>
        <w:t>إيّاه من المعتمدين، ووصف العلّامة حديثه بالصحّة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وتوثيق الشيخ الكاظمي والفاضل الجزائري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أفاده الشيخ رحمه الله</w:t>
      </w:r>
      <w:r>
        <w:rPr>
          <w:rStyle w:val="FootnoteAnchor"/>
          <w:rtl w:val="true"/>
        </w:rPr>
        <w:footnoteReference w:id="532"/>
      </w:r>
      <w:r>
        <w:rPr>
          <w:rFonts w:ascii="Amiri" w:hAnsi="Amiri" w:eastAsia="Amiri" w:cs="Amiri"/>
          <w:color w:val="111111"/>
          <w:sz w:val="28"/>
          <w:sz w:val="28"/>
          <w:szCs w:val="28"/>
          <w:rtl w:val="true"/>
          <w:lang w:bidi="ar-SA"/>
        </w:rPr>
        <w:t xml:space="preserve">من 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عن الصحيح،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بعثمان بن عيسى‌،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للشرّ أقفالاً، وجعل مفاتيح تلك الأقفال الشراب، والكذب شرٌّ من الشراب</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لعثمان</w:t>
      </w:r>
      <w:r>
        <w:rPr>
          <w:rStyle w:val="FootnoteAnchor"/>
          <w:rtl w:val="true"/>
        </w:rPr>
        <w:footnoteReference w:id="534"/>
      </w:r>
      <w:r>
        <w:rPr>
          <w:rFonts w:ascii="Amiri" w:hAnsi="Amiri" w:eastAsia="Amiri" w:cs="Amiri"/>
          <w:color w:val="111111"/>
          <w:sz w:val="28"/>
          <w:sz w:val="28"/>
          <w:szCs w:val="28"/>
          <w:rtl w:val="true"/>
          <w:lang w:bidi="ar-SA"/>
        </w:rPr>
        <w:t>، في غير محلّه، إذ لو لم يكن ثقة، فلا أقلّ من كون حديثه موثقاً كما هو المعروف بين المتأخّرين على ما نسب إليهم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الخبر ممّا لا يمكن الالتزام بإطلاقه، إذ من البديهيّات عند المتشرّعة أنّه إذا دار الأمر بين شُرب الخمر والكَذب، ولو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شربتُ الخمر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اُكره على اختيار أحدهما، أنّه يقدّم الثاني، ولم يتوهّم أحدٌ جواز اختيار شُرب الخمر على الكذب، فيستكشف من ذلك أنّ الكذب بإطلاقه ليس شراً من الشراب، فيتعيّن تأويله، إمّا بإرادة قسم خاص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الكذب وهو الكذب على اللّه ورسوله صلى الله عليه و آله وعلى الأئمّة الطاهرين عليهم السلام، فإنّه تال الكفر، وتحليل الاشربة المحرّمة ثمرةٌ من ثمرات هذا الكذب، فإنّ المخالفين بمثل ذلك حلّلوها، أو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 الثاني صفةٌ مشبهة لا افعل التفضيل،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فيصبح المعنى أنّ الكذب أيضاً شرٌّ ينشأ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بأكبر الكبائر؟ الإشراك باللّه وعقوق الوالدين، ثمّ 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وقول الزور، أي الكذب</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 من الضروري عند المتشرّعة عدم كون الكذب بإطلاقه أكبر الكبائر حتّى الزِّنا واللّواط ونحوهما، فلا محالة أُريد به القسم الخاص منه، مع أنّ تفسير قول الزور بالكذب لعلّه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إذا كذب بغير عُذرٍ لعنه سبعون ألف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اللّه عليه بتلك الكذبة سبعين زِنية أهونها كمن يزني مع اُمّه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عليه ما أوردناه على سابقيه، إذ لا يبنغي التوقّف في أنّ الجماع المحرّم أشدُّ منه، وإنْ لم يكن بالزنا، فضلاً عن أفحش أفراده وهو الزنا، وكيف بالزناء بالمحرّم، بل فكيف بالسبعين منه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بآية منه،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بدعوى أنّه جعل الكاذب غير مؤمن بآيات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كافراً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الآية الشريفة بقرينة الآيات السابقة عليها،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آيَةً مَكانَ آيَةٍ وَ اَللّهُ أَعْلَمُ بِما يُنَزِّلُ قالُوا إِنَّما أَنْتَ مُفْتَرٍ بَلْ أَكْثَرُهُمْ لا يَعْلَمُونَ إِنَّ اَلَّذِينَ لا يُؤْمِنُونَ بِآياتِ اَللّهِ لا يَهْدِيهِمُ اَللّهُ وَ لَهُمْ عَذابٌ أَلِيمٌ إِنَّما يَفْتَرِي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538"/>
      </w:r>
      <w:r>
        <w:rPr>
          <w:rFonts w:ascii="Amiri" w:hAnsi="Amiri" w:eastAsia="Amiri" w:cs="Amiri"/>
          <w:color w:val="111111"/>
          <w:sz w:val="28"/>
          <w:sz w:val="28"/>
          <w:szCs w:val="28"/>
          <w:rtl w:val="true"/>
          <w:lang w:bidi="ar-SA"/>
        </w:rPr>
        <w:t>إرادة أنّ المكذّبين للنبي صلى الله عليه و آله فيما ادّعاه من كون ما يأتي به من عند اللّه، هم الكاذبون لا النبيّ‌، فيكون الحصر إضافيّاً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 من الكاذبين هم المكذّبون له صلى الله عليه و آله من اليهود والمشركين، غير المؤمنين باللّه وبرسوله، الذين صدر عنهم الكذب لعدم إيمانهم، لا أنّ الكذب أوجب خروجهم عن الإيمان، فلا تدلّ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رحمه الله أيدّ ما اختاره بكونه من الكبائر بخبرين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الإمام العسكري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حطت الخبائث كلّها في بيتٍ وجعل مفتاحها الكذب</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مفتاح الخبائث كلّها كبيرة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التشبيه بالمفتاح، ليس هو التشبيه في السبيبيّة والعلّية، لعدم تماميّته في المشبّه والمشبّه به كما لا يخفى‌، ولا التشبيه في الشرطيّة، إذ ليس في المشبّه كذلك، لعدم كون الكذب شرطاً لسائر المعاصي، وإلّا لزم من عدمه عدمها، بل المراد به التشبيه في الإشراف إلى الوقوع في المحرّمات، فإنّه يولّد عند الإنسان الجرأة على اختيار الخبائث، وهذا لا يوجب كونه معصية، فضلاً عن كونه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الكبائر، ولذا اعترف الشيخ رحمه الله</w:t>
      </w:r>
      <w:r>
        <w:rPr>
          <w:rStyle w:val="FootnoteAnchor"/>
          <w:rtl w:val="true"/>
        </w:rPr>
        <w:footnoteReference w:id="540"/>
      </w:r>
      <w:r>
        <w:rPr>
          <w:rFonts w:ascii="Amiri" w:hAnsi="Amiri" w:eastAsia="Amiri" w:cs="Amiri"/>
          <w:color w:val="111111"/>
          <w:sz w:val="28"/>
          <w:sz w:val="28"/>
          <w:szCs w:val="28"/>
          <w:rtl w:val="true"/>
          <w:lang w:bidi="ar-SA"/>
        </w:rPr>
        <w:t>بأنّ ارتكاب الشبهات يوجب الإشراف على الوقوع في المحرّمات، ومع ذلك التزم بجوازه، وعدم صيرورته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 في وصيّته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للذي يحدِّث فيكذِب ليضحك به القول، ويل له، ويل له، ويل له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الأكاذيب المضحكة لا يترتّب عليها غالباً الإيقاع في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وإن كان تامّاً، والتوعّد عليه يوجب كونه من الكبائر، إلّاأنّه لضعف سنده لجملةٍ من رواته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الثاني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خديجة،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على اللّه تعالى وعلى رسوله من الكبائر</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ظاهر من جهة وروده في مقام التحديد في حصر الكبيرة من الكذب بهذا الكذب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سنده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في مقام التحديد غير معلوم، ولكن لو سُلّم كونه في هذا المقام لامناص عن تقييدالمطلقات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رحمه الله</w:t>
      </w:r>
      <w:r>
        <w:rPr>
          <w:rStyle w:val="FootnoteAnchor"/>
          <w:rtl w:val="true"/>
        </w:rPr>
        <w:footnoteReference w:id="544"/>
      </w:r>
      <w:r>
        <w:rPr>
          <w:rFonts w:ascii="Amiri" w:hAnsi="Amiri" w:eastAsia="Amiri" w:cs="Amiri"/>
          <w:color w:val="111111"/>
          <w:sz w:val="28"/>
          <w:sz w:val="28"/>
          <w:szCs w:val="28"/>
          <w:rtl w:val="true"/>
          <w:lang w:bidi="ar-SA"/>
        </w:rPr>
        <w:t>من أنّ حمله على كون هذا القسم الخاص من الكبائر الشديدة العظيمة، أولى من تقييد المطلقات به، كما ترى‌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ما في الاستدلال بالخبر المرسل الذي رواه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الصدوق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عَليّ ما لم أقله فليتبوّء مقعده من النار</w:t>
      </w:r>
      <w:r>
        <w:rPr>
          <w:rFonts w:eastAsia="Amiri" w:cs="Amiri" w:ascii="Amiri" w:hAnsi="Amiri"/>
          <w:color w:val="111111"/>
          <w:sz w:val="28"/>
          <w:szCs w:val="28"/>
          <w:rtl w:val="true"/>
          <w:lang w:bidi="ar-SA"/>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ضعف 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سيف بن عميرة،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الصغير منه والكبير في كلّ جِدٍّ وهَزَل، فإنّ الرّجل إذا كذب في الصغير اجترأ على الكبير</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يستفاد منه أنّ عظم الكذب باعتبار ما يترتّب عليه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للإرسال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للكذب صغيراً وكبيراً، وهما إنّما يكونان بلحاظ ما يترتّب عليهما من المفاسد، ولكن لا ينافي ذلك كون كليهما من الكبائر بالمعنى المبحوث عنه في المقام، غاية الأمر بعض أفراده أكبر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للقول الأخير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الحجّاج كالصحيح،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الكذّاب هو الذي يكذب في الشيء؟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من أحدٍ إلّايكون ذاك منه، ولكن المطبوع على الكذب</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يدلّ على أنّ الكذب من اللَّمم الذي يصدر من كلّ أحدٍ لا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متضمّنٌ لبيان أمرين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الكذّاب لا يصدق على من كذب اتّفاقاً، وإنّما يصدق على من صار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الكذب كالعادة له، وهذا واضحٌ في 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أحدٍ إلّاويبتلى بهذه المعصية، وشيءٌ منهما لا يدلّ على أنّ الكذب ليس من الكبائر وأنّه من اللّمم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الحارث،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يهدي إلى الفجور، والفجور يهدي إلى النار</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فيه إشعاراً بأنّ مجرّد الكذب ليس فجور أو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يدلّ على عدم كونه معصية، فيتعيّن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العظيم بن عبد اللّه الحسني الوارد لبيان تعداد الكبائر غير المتعرّض للكذب</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أنّه مسوقٌ لبيان الكبائر التي ثبت كونها كذلك بالكتاب، كما يشير إليه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أعرف الكبائر من كتاب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يقيّد إطلاق مفهومه بما تقدّم ممّا دلَّ على أنّ الكذب من الكبائر، ويشهد لذلك اختلاف الأخبار في عدد الكبائر، ففي جملةٍ منها أنّها سبع، وفي جملة أُخرى أنّها خمس، وفي بعضها أنّها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كونه من الكبائر مطلقاً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88" w:name="pg11815_192744"/>
    </w:p>
    <w:p>
      <w:pPr>
        <w:pStyle w:val="Heading2"/>
        <w:numPr>
          <w:ilvl w:val="1"/>
          <w:numId w:val="1"/>
        </w:numPr>
        <w:rPr/>
      </w:pPr>
      <w:bookmarkStart w:id="189" w:name="__RefHeading___Toc10830561_73709187"/>
      <w:bookmarkStart w:id="190" w:name="_Toc63"/>
      <w:bookmarkEnd w:id="188"/>
      <w:bookmarkEnd w:id="189"/>
      <w:r>
        <w:rPr>
          <w:rtl w:val="true"/>
        </w:rPr>
        <w:t>في حقيقة الوعد وحكمه</w:t>
      </w:r>
      <w:bookmarkEnd w:id="19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بأنّ الوعد مع إضمار عدم الوفاء، لا يكون كذباً حقيقيّاً، وأنّ إطلاق الكذب عليه في خبر الحارث الأعور لكونه في حكمه من حيث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ذلك على ما يظهر من الشيخ الأعظم رحمه الله</w:t>
      </w:r>
      <w:r>
        <w:rPr>
          <w:rStyle w:val="FootnoteAnchor"/>
          <w:rtl w:val="true"/>
        </w:rPr>
        <w:footnoteReference w:id="550"/>
      </w:r>
      <w:r>
        <w:rPr>
          <w:rFonts w:ascii="Amiri" w:hAnsi="Amiri" w:eastAsia="Amiri" w:cs="Amiri"/>
          <w:color w:val="111111"/>
          <w:sz w:val="28"/>
          <w:sz w:val="28"/>
          <w:szCs w:val="28"/>
          <w:rtl w:val="true"/>
          <w:lang w:bidi="ar-SA"/>
        </w:rPr>
        <w:t xml:space="preserve">أنّ الوعد ليس من نوع الخبر، بل هو من أقسام الإنشاء، وهو صريحُ المحقّق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ولكن ظاهر كلام المحقّقين من أصحابنا والمخالفين أنّ الوعد من نوع الخبر، وهو محتملٌ للصدق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وتنقيح القول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الوعد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المتكلّم عن عزمه على فعل شيء أو تركه، كأن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عازمٌ على زيارتك في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ريب في دخول هذا في الخبر، فإنّه يخبر عن أمر نفساني نظير الإخبار عن سائر الصفات النفسانيّة كالحُبّ البغض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عن فعل أمر أو تركه في المستقبل،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أجيئك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أيضاً لا ريب في كونه من نوع الخبر، غاية الأمر أنّ المُخبَر به أمرٌ استقبالي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يلتزم بشيء بنفس الجملة التي تكلّم بها، كأن يقول المولى </w:t>
      </w:r>
    </w:p>
    <w:p>
      <w:pPr>
        <w:pStyle w:val="BookText"/>
        <w:rPr/>
      </w:pPr>
      <w:r>
        <w:rPr>
          <w:rFonts w:ascii="Amiri" w:hAnsi="Amiri" w:eastAsia="Amiri" w:cs="Amiri"/>
          <w:color w:val="111111"/>
          <w:sz w:val="28"/>
          <w:sz w:val="28"/>
          <w:szCs w:val="28"/>
          <w:rtl w:val="true"/>
          <w:lang w:bidi="ar-SA"/>
        </w:rPr>
        <w:t>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فعلت الفعل الفلاني أعطيك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هذا من نوع الإنشاء، فإنّه ليس إخباراً عن الإعطاء، بل هو إلزامُ أمرٍ على نفسه وإن علم أنّه لا يوقعه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حقيقة الوعد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عازماً على ذلك الفعل، كان ذلك الخبر صدقاً وجائزاً، وإلّا فيحرم لأجل كونه كذباً من غير فرق في الصورتين بين أن يفعل في المستقبل وأن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 بالصدق أو الكذب دائرٌ مدار تحقّق ذلك الفعل في ظرفه وعدمه، وأمّا تنجّز حرمته وعدمه فهما دائران مدار علمه بالفعل وعدمه،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يتّصف بالصدق أو الكذب حتّى مع إضمار عدم الوفاء والعلم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رحمه الله</w:t>
      </w:r>
      <w:r>
        <w:rPr>
          <w:rStyle w:val="FootnoteAnchor"/>
          <w:rtl w:val="true"/>
        </w:rPr>
        <w:footnoteReference w:id="552"/>
      </w:r>
      <w:r>
        <w:rPr>
          <w:rFonts w:ascii="Amiri" w:hAnsi="Amiri" w:eastAsia="Amiri" w:cs="Amiri"/>
          <w:color w:val="111111"/>
          <w:sz w:val="28"/>
          <w:sz w:val="28"/>
          <w:szCs w:val="28"/>
          <w:rtl w:val="true"/>
          <w:lang w:bidi="ar-SA"/>
        </w:rPr>
        <w:t>لحرمة الوعد مع إضمار عدم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خبرالحارث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يعدن أحدكم صبيّه ثمّ لايفي له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تحقيق القول فيها، وستعرف عدم دلالتها عليذلك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مضافاً إلى ضعف سنده أنّه معارضٌ بأخبار دالّة على جواز الوعد الكاذب مع مطلق الأهل، وسيجيء بعضها في مسوّغات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91" w:name="pg11815_192746"/>
    </w:p>
    <w:p>
      <w:pPr>
        <w:pStyle w:val="BookText"/>
        <w:rPr/>
      </w:pPr>
      <w:bookmarkEnd w:id="191"/>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نهيٌ عن عدم الوفاء، لا عن الوعد، فإنّ الظاهر من مثل هذا التركيب رجوع النهي إلى القيد،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تأتني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نهيٌ عن الركوب</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10830563_73709187"/>
      <w:bookmarkStart w:id="193" w:name="_Toc64"/>
      <w:bookmarkEnd w:id="192"/>
      <w:r>
        <w:rPr>
          <w:rtl w:val="true"/>
        </w:rPr>
        <w:t>حكم خلف الوعد</w:t>
      </w:r>
      <w:bookmarkEnd w:id="193"/>
    </w:p>
    <w:p>
      <w:pPr>
        <w:pStyle w:val="BookText"/>
        <w:rPr/>
      </w:pPr>
      <w:r>
        <w:rPr>
          <w:rFonts w:ascii="Amiri" w:hAnsi="Amiri" w:eastAsia="Amiri" w:cs="Amiri"/>
          <w:color w:val="111111"/>
          <w:sz w:val="28"/>
          <w:sz w:val="28"/>
          <w:szCs w:val="28"/>
          <w:rtl w:val="true"/>
          <w:lang w:bidi="ar-SA"/>
        </w:rPr>
        <w:t>هذا كلّه عن حقيقة الوعد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الأصحاب لحرمة خلف الوعد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انصاف الوعد بالكَذب، فيشمله ما دلَّ على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الأدلّة حرمة إيجاد الكلام كذباً، وأمّا إيجاد صفة الكذب في الكلام المتقدّم، فلا يكون مشمولاً لتلك الأدلّة، مع أنّه أخصّ من المدّعى، فإنّ ذلك يتمّ في القسم الثاني من أقسام الوعد دون الأوّل والثالث،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كانَ مَسْؤُلاً</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فإنّه يشمل بعمومه أو إطلاقه عهود الخلق أيضاً، والعهد والوعد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بالعهد في هذه الآية بحسب ظاهر السياق هي الوصيّة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كون العهد والوعد بمعنى واحد محلّ تأمّل ونظر، نعم أحد معاني العهد الوفاء بالوعد، كما أنّ الضمان والذمّة من جملة معانيه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أزيد من رجحان الوفاء بالعهد، دون أن يدلّ على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يكون النهي فيه نهياً عن عدم الفعل، أمّا على سبيل القلب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تفعلون ما تقولون‌؟</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متوجّهٌ إلى القيد، وهو عدم الفعل، فيدلّ على حرمة عدم العمل بما وعد، ويشير إلى ذلك ما في بعض النصوص الآتي من الاستشهاد به لحرمة خلف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جمعٌ من المحقّقين</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عن إرشاد النّاس ونصحهم دون أن يلتزم هو بهما، كأن يأمر الناس بالمعروف ويتركه، وينهيهم عن المنكر فيفعله، فتكون هذه الآية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أَنْفُسَكُمْ‌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وعليه فهي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التي استشهد بها فيها، فسيأتي التعرّض لها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4" w:name="pg11815_192748"/>
    </w:p>
    <w:p>
      <w:pPr>
        <w:pStyle w:val="BookText"/>
        <w:rPr/>
      </w:pPr>
      <w:bookmarkEnd w:id="19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هشام بن سالم،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المؤمن أخاه نذرٌ لا كفّارة له، فمن أخلف فبخلف اللّه بدأ، ولمقته تعرّض،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ومصحّح شعيب العقرقوفي، عنه عليه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الإجماع القطعي قائمٌ على جواز خلف الوعد، ولذا ترى أنّ المتأخّرين يستدلّون على عدم لزوم الوفاء بالشرط الابتدائي بالإجماع على عدم لزومه، وفي غير ذلك من موارد الوعد يستدلّون بالإجماع على عدم لزوم ماوعد الإتيان به، والسيرة القطعيّة المستمرّة القائمة على خلف الوعد، يوجبان حمل تلك النصوص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تلك النصوص لا يقبل الحمل على الاستحباب، فمراعاة الاحتياط أولى، وإن أراد الاحتياط بغير الوفاء فيقيّد وعده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يحلّ النذور والأيمان المؤكّدة، كما صرّح به في الأخبار، ويوجب عدم انعقاد اليمين والنذر فضلاً عن الوعد</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10830565_73709187"/>
      <w:bookmarkStart w:id="196" w:name="_Toc65"/>
      <w:bookmarkEnd w:id="195"/>
      <w:r>
        <w:rPr>
          <w:rtl w:val="true"/>
        </w:rPr>
        <w:t>حرمة الكذب عند الهزل</w:t>
      </w:r>
      <w:bookmarkEnd w:id="1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اُمور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يحرم فعل الكذب عند الهزل أم لا؟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المستعمل في مقام الهزل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مايقصد به الإخبار عن أمرٍ، ويكون الدّاعي له هو الهزل لا الجِدّ، كأن يقول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أبوك من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بداعي الهزل، فإنّه لا كلام في أنّ هذا من نوع الخبر ولو كان مخالفاً للواقع يكون كذباً، وتدلّ على حرمته جميع الأدلّة الدالّة على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يقصد به الإخبار عن أمر، بل يكون الكلام مسوقاً لبيان إنشاء أمرٍ بداعي الهزل، مع ظهوره في كونه إنشاءاً ولو بواسطة القرائن، كأن يقال للرجل الجبان مخاطباً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القسم من الهزل لا يكون من نوع الخبر، فلا يتّصف بالكذب ولا بالصدق، ولا تشمله أدلّة حرمة الكذب، ومقتضى الأصل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لقول الشيخ رحمه الله</w:t>
      </w:r>
      <w:r>
        <w:rPr>
          <w:rStyle w:val="FootnoteAnchor"/>
          <w:rtl w:val="true"/>
        </w:rPr>
        <w:footnoteReference w:id="5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أنّه غير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الاستدلال له بالانصراف وبالسيرة، إذ هذا القسم من الهزل لا يكون متّصفاً بالكذب حتّى يحتاج الحكم بجوازه إلى دعوى الانصراف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لحرمته بجملةٍ من النصوص</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حارث الأعور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سيف</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 الوارد في وصيّة النبيّ صلى الله عليه و آله لأبي ذرّ</w:t>
      </w:r>
      <w:r>
        <w:rPr>
          <w:rStyle w:val="FootnoteAnchor"/>
          <w:rtl w:val="true"/>
        </w:rPr>
        <w:footnoteReference w:id="565"/>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زعيم بيتٍ في أعلى الجنّة، وبيت في وسط الجنّة، وبيت في رياض الجنّة لمن ترك المِراء وإنْ كان محقّاً، ولمن ترك الكذب وإنْ كان هازلاً، ولمن حسّن خلقه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الأصبغ بن نُباتة،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عبدٌ طعم الإيمان حتّى يترك الكذب هَزَله وجِدّه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الجميع</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السند، أمّا الروايات المتقدّمة فلما تقدّم، وأمّا خبر أصبغ فلقاسم بن عروة</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197" w:name="pg11815_192751"/>
    </w:p>
    <w:p>
      <w:pPr>
        <w:pStyle w:val="BookText"/>
        <w:rPr/>
      </w:pPr>
      <w:bookmarkEnd w:id="197"/>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مرجوحيّة الكذب في الهزل، وقد عرفت أنّ القسم الثاني من الهزل خارجٌ عن الكذب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أغلبها لا تدلّ على الحرمة، بل غاية ما تدلّ عليه هي المرجوحيّة الملائمة مع الكراهة، وذلك لأنّ قوله عليه السلام في خبر 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من الكذب جِدٌّ ولا 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ظاهراً في الكراهة، لما كان ظاهراً في الحرمة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عليه السلام في مرسل 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منه أزيد من المرجوحيّة بملاحظة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وللتعليل الوارد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زعيم بيتٍ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يدلّ إلّا على رجحان ترك الكذب في الهزل، كما أنّ خبر أصبغ لا يستفاد منه أزيد من ذلك، إذ المكروه أيضاً يمنع عن وجدان المؤمن طعم إيمانه</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10830567_73709187"/>
      <w:bookmarkStart w:id="199" w:name="_Toc66"/>
      <w:bookmarkEnd w:id="198"/>
      <w:r>
        <w:rPr>
          <w:rtl w:val="true"/>
        </w:rPr>
        <w:t>المبالغة</w:t>
      </w:r>
      <w:bookmarkEnd w:id="199"/>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المبالغة في الإدّعاء هل يعدّ من الكذب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الإدّعاء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بإلقاء كلام له ظهور أولي وظهور ثانوي ولو بواسطة القرائن، وهو بظهوره الأوّلي مخالفٌ للواقع، ولكنّه بظهوره الثانوي موافق له، والمتكلّم أراد منه ما هو ظاهر منه بالظهور الثانوي، ومن هذا القبيل باب التشبيه والاستعارة </w:t>
      </w:r>
      <w:bookmarkStart w:id="200" w:name="pg11815_192752"/>
    </w:p>
    <w:p>
      <w:pPr>
        <w:pStyle w:val="BookText"/>
        <w:rPr/>
      </w:pPr>
      <w:bookmarkEnd w:id="200"/>
      <w:r>
        <w:rPr>
          <w:rFonts w:ascii="Amiri" w:hAnsi="Amiri" w:eastAsia="Amiri" w:cs="Amiri"/>
          <w:color w:val="111111"/>
          <w:sz w:val="28"/>
          <w:sz w:val="28"/>
          <w:szCs w:val="28"/>
          <w:rtl w:val="true"/>
          <w:lang w:bidi="ar-SA"/>
        </w:rPr>
        <w:t>والكناية، كتشبيه الوجه الحَسَن بالقمر، واستعارة الأسد لوصف الرجل الشجاع، والكناية عن الجود بكثرة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بإلقاء كلامٍ ليس له غير ظهور واحد، وأراد المتكلّم منه ذلك، وهو مخالف للواقع،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زيداً خمسين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أنّه أعطاه درهماً واحداً، أو إلقاء كلام له ظهور ثانوي، وأراده المتكلّم وهو مخالف للواقع، كأن يكنّي عن رجل بخيل بكثير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الأوّل لا يتّصف الكلام بالكذب بخلاف القسم الثاني، فلا تحرم في الأوّل، وتحرم في الثاني، ولا يخفى وجههما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القسم الأوّل ما جرت به العادة من المبالغة في الأعداد في بعض الموارد،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قلتها وكرّرتها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منك ذلك ألف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يراد بذلك تفهيم المرّات بعددها، بل تفهيم الكثرة والاهتمام، وقد تعارف ذلك بين المتحاورين، فإن كان لم يقل ولم يطلب إلّامرّة واحدة كان قوله كذباً، وإن قال أو طلب مرّات كان صدقاً</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10830569_73709187"/>
      <w:bookmarkStart w:id="202" w:name="_Toc67"/>
      <w:bookmarkEnd w:id="201"/>
      <w:r>
        <w:rPr>
          <w:rtl w:val="true"/>
        </w:rPr>
        <w:t>التورية</w:t>
      </w:r>
      <w:bookmarkEnd w:id="202"/>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التورية من الكذب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بيان حقيقة التورية وأنّها من الكذب أم لا، لا بدَّ من تنقيح الكذب موضوعاً، فقد وقع الخلاف فيه من جهتين بعد الاتّفاق على أنّ الكذب عدم المطابقة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العبرة بعدم مطابقة المراد، أو بعدم </w:t>
      </w:r>
    </w:p>
    <w:p>
      <w:pPr>
        <w:pStyle w:val="BookText"/>
        <w:rPr/>
      </w:pPr>
      <w:r>
        <w:rPr>
          <w:rFonts w:ascii="Amiri" w:hAnsi="Amiri" w:eastAsia="Amiri" w:cs="Amiri"/>
          <w:color w:val="111111"/>
          <w:sz w:val="28"/>
          <w:sz w:val="28"/>
          <w:szCs w:val="28"/>
          <w:rtl w:val="true"/>
          <w:lang w:bidi="ar-SA"/>
        </w:rPr>
        <w:t>مطابقة ظهور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المعتبر عدم مطابقة الكلام للواقع، أو عدم مطابقته للاعتقاد، أو عدم مطابقته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هو مطابقة ظهور الكلام للواقع، والظاهر أنّ هذا منهم مبتن على ما بنوا عليه في حقيقة الجملة الخبريّة من أنّها إنّما وضعت للنسب الخارجيّة، فإنّه على هذا إن طابق الكلام بما له من الظهور للواقع كان صدقاً وإلّا فكذب، 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فالمدلول لهذه الجملة تحقّق النسبة في الخارج، فإن طابق الدالّ لها فصدق وإلّا فكذب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المبنى فاسدٌ كما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ونشير إلى وجوه فساده في المقام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النسبة في كثيرٍ من الجمل، كقولنا الإنسان ممكن ونحوه، ودعوى إعمال العناية في جميع 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كاشفيّة الجملة عن الواقع ولو ظنّاً، فلو كانت موضوعة للنسبة الخارجيّة لكانت دلالتها عليها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لوكان دالّاً على النسبة الخارجيّة، لما كان يحتمل فيه الكذب، وقد عرّفوا القضيّة بأنّها تحتمل الصدق والكذب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الجملة الخبريّة أنّها وضعت لقصد الحكاية عن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الخارجيّة مثلاً، وهي في هذه الدلالة لا تتّصف بالصدق والكذب وإنّما تتّصف بهما باعتبار المدلول، إذ الحكاية عن النسبة إنْ طابقت الواقع فهي صادقة، وإلّا فكاذبة، وبذلك يظهر أنّ الكذب هو عدم مطابقة مراد المتكلّم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ينافي آية المنافقين</w:t>
      </w:r>
      <w:r>
        <w:rPr>
          <w:rStyle w:val="FootnoteAnchor"/>
          <w:rtl w:val="true"/>
        </w:rPr>
        <w:footnoteReference w:id="571"/>
      </w:r>
      <w:r>
        <w:rPr>
          <w:rFonts w:ascii="Amiri" w:hAnsi="Amiri" w:eastAsia="Amiri" w:cs="Amiri"/>
          <w:color w:val="111111"/>
          <w:sz w:val="28"/>
          <w:sz w:val="28"/>
          <w:szCs w:val="28"/>
          <w:rtl w:val="true"/>
          <w:lang w:bidi="ar-SA"/>
        </w:rPr>
        <w:t>الذين شهدوا بأنّ محمّداً رسول اللّه صلى الله عليه و آله، حيث أنّه تعالى سجّل عليهم بأنّهم كاذبون، مع أنّ ما أخبروا به كان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المُخبَر عنه لم يكن ثبوت الرسالة، بل كان الشهادة به، وهي عبارة عن حضور المشهود به في الذهن، وحيث أنّهم كانوا غير معتقدين بالرّسالة، فقال اللّه تعالى في حقّهم إنّهم 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اخترت في حقيقة الكذب، لو شكّ المتكلّم في مطابقة كلامه للواقع ليكون صدقاً أو مخالفته له ليكون كذباً، تعيّن البناء على جواز التكلّم به، للشكّ في صدق موضوع الكذب، فتجري أصالة البراءة عن الحرمة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الأصل في نفسه وإنْ كان جارياً، إلّاأنّه للعلم الإجمالي بحرمة هذا الإخبار أو الإخبار بنقيضه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أحدهما كذبٌ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هذا الأصل للمعارضة، فمقتضى العلم الإجمالي هو الاجتناب عن كلا الخبرين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ما ذكرناه فاعلم أنّ التورية خارجة عن الكذب موضوعاً، فإنّ حقيقة التورية هي إلقاء كلام له ظهور في معنى، وهو يريد منه غير ذلك المعنى، ويكون المعنى المراد مطابقاً للواقع دون المعنى الظاهر، كما إذا استأذن رجلٌ بالباب وقال الخادم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مشيراً إلى موضعٍ خال في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يعتبر في صدق التورية أمران آخران غير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بحسب المتفاهم العرفي العادي ظاهراً في غير ما أراده المتكلّم، فلو كان ظاهراً فيه ولكن المخاطب لقصور فهمه لم يلتفت إليه، لم يكن ذلك من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إرادة ذلك المعنى من ذلك اللّفظ صحيحة، بأن كان بينهما علاقة، فلو كان استعماله فيه غير صحيح، لما كان من التورية، 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زيداً خمسين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أراد به درهماً واحداً، وقد أعطاه في الواقع درهماً، كان ذلك من الكذب لا من التورية، ولعلّه إلى هذا أشار العلّامة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الوديعة إذا طالبها ظالمٌ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التورية على العارف بها</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كما أنّه إليه نظر المفيد حيث قال في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يُحسن التورية وكان نيّته حفظ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لخروج التورية عن الكذب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 في قصّة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كبيرهم، وما كذب إبراهيم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 إنّما قال إبراهيم إنْ كانوا ينطقون، أي إن نطقوا فكبيرهم فعل، وإنْ لم ينطقوا فلم يفعل كبيرهم شيئاً، فما نطقوا وما كذب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سرقوا يوسف من أبيه، ألا ترى 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نَفْقِدُ صُواعَ اَلْمَلِكِ‌</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ولم يقولوا سرقتم صواع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قوله تعالى حكايةً عن قوله تعالى حكاية عن قول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سقيماً وما كَذِب، إنّما عنى سقيماً في دينه أي مرتاداً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تدلّ على أنّ الأقوال المذكورة إنّما هي من التورية وليست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عليها</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الخارجي وهو الكسر لم يصدر عن الأصنام، سواءٌ أكانوا ناطقين أم لا، فكيف تصحّ الملازمة‌؟</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القضيّة الشرطيّة وكذبها دائران مدار صحّة الملازمة وفسادها، وحيث أنّها فاسدة في المقام، إذ الفعل صدر عن إبراهيم على كلّ تقدير، فلا تكون القضيّة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ذلك بعد ملاحظة مقدّمتين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الخبريّة إنّما تكون مبرزة لقصد الحكاية عن ثبوت المحمول للموضوع أو نفيه عنه، وهي ربما تطابق مع الخارج وقد لا تطابق، وبهذا الاعتبار تتّصف بالصدق والكذب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القضيّة الشرطيّة في الإنشائيّات رجوع القيد إلى الاعتبار النفساني المبرَز بالصيغة، لا المادّة التي متعلّقة له، كذلك ظاهرها في الاخباريّات، رجوع القيد إلى قصد الحكاية، فمع انتفاء الشرط ينتفي هذا القصد من غير نظر إلى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هاتين المقدّمتين، تعرف أنّ المعلّق على الشرط في الآية الشريفة إنّما هو قصد الحكاية عن أنّه فعله كبيرهم، فمع انتفاء الشرط ينتفي هذا القصد، فلا تكون القضيّة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المحقّق التقي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المقصود صدق الشرطيّة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ينطقوا فلم يَفعل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ريب في صدق تلك، إذ عدم النطق الذي هو كناية عن عدم القدرة والقوّة على شيء مستلزمٌ لعدم صدور الأفعال الاختياريّة عنها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غير مذكورة في الآية الشريفة، والمذكورة إنّما هي القضيّة الأُولى التي ادّعي أنّها كاذبة، ولكن الرواية لضعف سندها للإرسال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 تفسير الآية الشريفة وجوهٌ أُخر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الأقوال كاذبة، لكنّها خارجة عن الكذب حكماً، لأنّها في مقام الإصلاح، وتدلّ على هذا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نقلاً عن كتاب عبداللّه بن بكير،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يستأذن عليه فيقول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ليس هو ها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بكذب</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سويد بن غفلة،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ومعنا وائل بن حجر نريد النبيّ صلى الله عليه و آله، فأخذه أعداء له فتحرّج القوم أن يحلفوا وحَلِفتُ باللّه إنّه أخي فخلّى عنه العدوّ، فذكرتُ ذلك للنبي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المسلم أخو المسلم</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الخبر أنّه حلف على أنّ الرّجل أخاه النَسَبي، فيكون من الكذب الجائز للضرورة لا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كلام النبيّ صلى الله عليه و آله أنّه أراد بكونه أخاه أنّه أخوه في الدِّين، أو أنّه قصد مفهوم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فيدلّ هو على جواز التورية وخروجها عن الكذب موضوعاً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03" w:name="pg11815_192759"/>
    </w:p>
    <w:p>
      <w:pPr>
        <w:pStyle w:val="Heading2"/>
        <w:numPr>
          <w:ilvl w:val="1"/>
          <w:numId w:val="1"/>
        </w:numPr>
        <w:rPr/>
      </w:pPr>
      <w:bookmarkStart w:id="204" w:name="__RefHeading___Toc10830571_73709187"/>
      <w:bookmarkStart w:id="205" w:name="_Toc68"/>
      <w:bookmarkEnd w:id="203"/>
      <w:bookmarkEnd w:id="204"/>
      <w:r>
        <w:rPr>
          <w:rtl w:val="true"/>
        </w:rPr>
        <w:t>الكذب لدفع الضرورة</w:t>
      </w:r>
      <w:bookmarkEnd w:id="20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مسوّغات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والمتّفق عليه منها بينهم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لدفع الضرورة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تقدّم من أنّ مقتضى الأدلّة حرمة الكذب في نفسه، لا ريب في أنّ هذا الحكم كسائر الأحكام الشرعيّة يرتفع إذا زاحمه تكليف آخر أهمّ‌، كما إذا توقّف إنجاء المؤمن من الهلاكة على الكذب، كما أنّه يرتفع إذا أكره على متعلّقه، لعموم ما دلَّ على رفع ما استكرهوا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جواز الكذب في مورد الضرورة إليه بالخصوص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وإنْ كان محقّقاً، إلّاأنّه ليس إجماعاً تعبّديّاً كاشفاً عن رأي المعصوم عليه السلام، لاستناد المُجمِعين إلى ما في المسألة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5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 مستقلٌّ بوجوب ارتكاب أقلّ القبيحين مع بقائه على قبحه أو انتفاء قبحه لغلبة الآخر عليه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وإن استقلّ بذلك في بعض موارد الضرورة، كحفظ النفس المحترمة، ولكنّه لا يستقلّ بذلك في جميع موارد الضرورة، والسِّر في ذلك عدم </w:t>
      </w:r>
    </w:p>
    <w:p>
      <w:pPr>
        <w:pStyle w:val="BookText"/>
        <w:rPr/>
      </w:pPr>
      <w:r>
        <w:rPr>
          <w:rFonts w:ascii="Amiri" w:hAnsi="Amiri" w:eastAsia="Amiri" w:cs="Amiri"/>
          <w:color w:val="111111"/>
          <w:sz w:val="28"/>
          <w:sz w:val="28"/>
          <w:szCs w:val="28"/>
          <w:rtl w:val="true"/>
          <w:lang w:bidi="ar-SA"/>
        </w:rPr>
        <w:t>إحاطته بالواقعيّات، وعدم إدراكه مناطات الأحكام ومقاديرها، فلا يقدر على ترجيح بعضها على بعض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فقد استدلّ الشيخ رحمه الله</w:t>
      </w:r>
      <w:r>
        <w:rPr>
          <w:rStyle w:val="FootnoteAnchor"/>
          <w:rtl w:val="true"/>
        </w:rPr>
        <w:footnoteReference w:id="587"/>
      </w:r>
      <w:r>
        <w:rPr>
          <w:rFonts w:ascii="Amiri" w:hAnsi="Amiri" w:eastAsia="Amiri" w:cs="Amiri"/>
          <w:color w:val="111111"/>
          <w:sz w:val="28"/>
          <w:sz w:val="28"/>
          <w:szCs w:val="28"/>
          <w:rtl w:val="true"/>
          <w:lang w:bidi="ar-SA"/>
        </w:rPr>
        <w:t>بآيتين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يسلم عمّا أورد عليه؛ هو أنّ هذه الآية الشريفة تدلّ على جواز الكذب بالإخبار عن عدم اعتقاده بما هو معتقد به واقعاً الذي يعتبر في الإيمان الاعتقاد به عند الإكراه، فتدلّ على جواز الكذب في غير هذا المقام بالأولويّة، وبذلك يندفع الإيراد عليه بأنّ الظاهر أنّ الإكراه في الآية على إنشاء التبرّي والارتداد، فلا ربط له بمقامنا، نعم هي مختصّة بخصوص الإكراه، فلا دلالة لها على جواز الكذب في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فإنّها تدلّ على جواز الكذب بإظهار المحبّة والمودّة بالنسبة إليهم حال التقيّة، فتدلّ على جواز الكذب في سائر الموارد بالأولويّة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أخذ الغير وليّاً لنفسه لا يُلازم إظهار المودّة له، فلا صلة لها بالمقام، وأنّها مختصّة بمورد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استفاضت الأخبار بل تواترت على جواز الحلف كاذباً لدفع الضرر البدني أو المالي عن نفسه أو أخيه</w:t>
      </w:r>
      <w:r>
        <w:rPr>
          <w:rStyle w:val="FootnoteAnchor"/>
          <w:rtl w:val="true"/>
        </w:rPr>
        <w:footnoteReference w:id="590"/>
      </w:r>
      <w:r>
        <w:rPr>
          <w:rFonts w:ascii="Amiri" w:hAnsi="Amiri" w:eastAsia="Amiri" w:cs="Amiri"/>
          <w:color w:val="111111"/>
          <w:sz w:val="28"/>
          <w:sz w:val="28"/>
          <w:szCs w:val="28"/>
          <w:rtl w:val="true"/>
          <w:lang w:bidi="ar-SA"/>
        </w:rPr>
        <w:t>، وستأتي الإشارة إلى جملة منها، ومفادها أعمّ ممّا دلَّ على رفع ما اضطرّوا إليه،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الشيخ رحمه الله</w:t>
      </w:r>
      <w:r>
        <w:rPr>
          <w:rStyle w:val="FootnoteAnchor"/>
          <w:rtl w:val="true"/>
        </w:rPr>
        <w:footnoteReference w:id="591"/>
      </w:r>
      <w:r>
        <w:rPr>
          <w:rFonts w:ascii="Amiri" w:hAnsi="Amiri" w:eastAsia="Amiri" w:cs="Amiri"/>
          <w:color w:val="111111"/>
          <w:sz w:val="28"/>
          <w:sz w:val="28"/>
          <w:szCs w:val="28"/>
          <w:rtl w:val="true"/>
          <w:lang w:bidi="ar-SA"/>
        </w:rPr>
        <w:t xml:space="preserve">إلى المشهور أنّه يعتبر في جواز الكذب لدفع الضرورة عدم التمكّن من التورية، ولكن كلماتهم التي نقلها رحمه الله لا تنطبق على هذه النسبة، فإنّ مورد حكمهم باشتراط التورية إن أمكنت إنّما هو جواز الحلف كاذباً، وأمّا جواز مطلق الكذب، فهو خارجٌ عن مورد كلامهم، بل ظاهر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جواز الكذب بعدم التمكّن من التورية</w:t>
      </w:r>
      <w:r>
        <w:rPr>
          <w:rStyle w:val="FootnoteAnchor"/>
          <w:rtl w:val="true"/>
        </w:rPr>
        <w:footnoteReference w:id="592"/>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عنده أمانة فطالبها ظالمٌ فليجحد، وإنْ استحلفه ظالمٌ على ذلك فليحلف، ويورّي في نفسه بما يخرجه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يحسن التورية، وكانت نيّته حفظ الأمانة، أجزأته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كما تلاحظ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بالمقتضى التفصيل بين جواز الانكار، وجواز الحلف كاذباً، وتقييد الثاني بالتمكن من التورية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المسألة قولان، وتحقيق القول فيها يقتضي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القواعد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مقتضى النصوص الخاصّة الدالّة على جواز الكذب لدفع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الضرر المالي أو البدني عن نفسه أو عن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توقّف واجبٌ أهمّ على الكذب فإنّه لا ينبغي التوقّف في اعتبار عدم التمكّن من التورية في جواز الكذب، إذ مع التمكّن منها يعدّ قادراً على امتثال التكليفين عقلاً وشرعاً، ومعه لا يقع التزاحم بينهما كي ترتفع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جواز الكذب للإضطرار، يعتبر عدم التمكّن من التورية، إذ مع التمكّن منها لا يصدق الإضطرار، وأمّا إذا أُكره عليه فقد يقال بأنّه لا يعتبر عدم إمكان التورية في الحكم بجواز الكذب، واستدلّوا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صدق الإكراه خوف المُكرَه أنّه لو علم المُكرِه بالامتناع لأوقعه في الضرر، ومع التفصّي بالتورية فإنّه إذا علم المُكرِه بالامتناع لأوقعه في الضرر على كلّ حال، وليست التورية كسائر ما يتفصّى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صدقه خوف المُكرَه أنّه لو امتنع لأوقعه في الضرر، وبديهي أنّ من يتمكّن من التفصّي بالتورية لو امتنع لما أوقعه 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w:t>
      </w:r>
      <w:r>
        <w:rPr>
          <w:rStyle w:val="FootnoteAnchor"/>
          <w:rtl w:val="true"/>
        </w:rPr>
        <w:footnoteReference w:id="593"/>
      </w:r>
      <w:r>
        <w:rPr>
          <w:rFonts w:ascii="Amiri" w:hAnsi="Amiri" w:eastAsia="Amiri" w:cs="Amiri"/>
          <w:color w:val="111111"/>
          <w:sz w:val="28"/>
          <w:sz w:val="28"/>
          <w:szCs w:val="28"/>
          <w:rtl w:val="true"/>
          <w:lang w:bidi="ar-SA"/>
        </w:rPr>
        <w:t>الواردة في طلاق المُكرَه وعتقه، ومعاقد الإجماعات والشهرات المدّعاة، حملها على صورة العجز عن التورية لجهلٍ أو دهشة بعيدٌ جدّاً، بل غير صحيح في بعضها من جهة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بباب العقود والإيقاعات، وستعرف القول بالفرق بين الأحكام الوضعيّة والتكليفيّة في ذلك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المستهجن هو حمل المطلق على الفرد النادر، لا ورود الدليل لبيان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له غير أفراد نادرة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الإيرواني رحمه الله</w:t>
      </w:r>
      <w:r>
        <w:rPr>
          <w:rStyle w:val="FootnoteAnchor"/>
          <w:rtl w:val="true"/>
        </w:rPr>
        <w:footnoteReference w:id="594"/>
      </w:r>
      <w:r>
        <w:rPr>
          <w:rFonts w:ascii="Amiri" w:hAnsi="Amiri" w:eastAsia="Amiri" w:cs="Amiri"/>
          <w:color w:val="111111"/>
          <w:sz w:val="28"/>
          <w:sz w:val="28"/>
          <w:szCs w:val="28"/>
          <w:rtl w:val="true"/>
          <w:lang w:bidi="ar-SA"/>
        </w:rPr>
        <w:t>وحاصله يبتني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إنّما يتعلّق بالألفاظ، سواءٌ أمكن التورية أم لا، أو تفصّي بها أو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في باب الكذب جزء الموضوع بل عمدته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كما يرفع التحريم إذا تعلّق بتمام الموضوع، كذلك يرفعه إذا تعلّق بجزء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تبيّنت هذه الاُمور، يظهر أنّه إذا اُكره الشخص على اللّفظ، أوجب إكراهه ذلك ارتفاع الحكم التحريمي الضمني عن ذلك اللّفظ، والمفروض أنّ مجرّد القصد للمعنى أيضاً ليس بحرام، فلا بأس أن لا يورّي ويقصد المعنى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أفاده رحمه الله بعد بيان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لو أُكره على أحد الفعلين أحدهما حرام والآخر مباح، فإنّه لا كلام في عدم ارتفاع حرمة الفرد المحرّم، بل يتعيّن الفعل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الذي يكون كذباً حرام، وما يكون مصداقاً للتورية مباحٌ‌، فالإكراه المتعلّق بأحدهما لا يوجبُ رفع حرمة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اعتبار عدم إمكان التفصّي بالتورية في ارتفاع حرمة الكذب بالإكراه أيضاً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Style w:val="FootnoteAnchor"/>
          <w:rtl w:val="true"/>
        </w:rPr>
        <w:footnoteReference w:id="595"/>
      </w:r>
      <w:r>
        <w:rPr>
          <w:rFonts w:ascii="Amiri" w:hAnsi="Amiri" w:eastAsia="Amiri" w:cs="Amiri"/>
          <w:color w:val="111111"/>
          <w:sz w:val="28"/>
          <w:sz w:val="28"/>
          <w:szCs w:val="28"/>
          <w:rtl w:val="true"/>
          <w:lang w:bidi="ar-SA"/>
        </w:rPr>
        <w:t>في وجه اعتبار عدم إمكان التورية من أنّ قُبح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الكذب عقلي، فلا يسوغ إلّامع تحقّق عنوانٍ حَسَن في ضمنه يغلب حُسنَه على قبحه، ويتوقّف تحقّقه على تحقّقه، ولا يكون التوقّف إلّامع العجز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قبحه ليس ذاتيّاً بحيث لا يقبل التخصيص، بل يكشف من تجويز الشارع إيّاه في بعض الموارد أنّه ليس بقبيحٍ‌، لا أنّه قبيح، وإنّما يجوز لاستقلال العقل بوجوب ارتكاب أقلّ القبيحين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النصوص الكثيرة الدالّة على جواز الحلف كاذباً لدفع الضرر البدني أو المالي عن نفسه أوعن أخيه، عدم اعتبار ذلك،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الصحيح الذي رواه إسماعيل،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يخاف على ماله من السلطان، فيحلفه لينجو به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هل يحلف الرّجل على مال أخيه كما يحلف على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السكوني، عن جعفر، عن أبيه، عن آبائه، عن أمير المؤمنين عليهم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احلف باللّه كاذباً ونجِّ أخاك من القتل</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زرارة،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نمرّ على هؤلاء القوم فيستحلفونا على أموالنا، وقد أدّينا زكاتها؟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خفت فاحلف لهم ما شاءوا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الدالّة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الكذب للإصلاح، فإنّ هذه النصوص تدلّ على عدم اعتبار عدم التمكّن من التورية، فتدلّ بالأولويّة على جواز الكذب بغير الحلف لدفع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استحسن الشيخ رحمه الله</w:t>
      </w:r>
      <w:r>
        <w:rPr>
          <w:rStyle w:val="FootnoteAnchor"/>
          <w:rtl w:val="true"/>
        </w:rPr>
        <w:footnoteReference w:id="599"/>
      </w:r>
      <w:r>
        <w:rPr>
          <w:rFonts w:ascii="Amiri" w:hAnsi="Amiri" w:eastAsia="Amiri" w:cs="Amiri"/>
          <w:color w:val="111111"/>
          <w:sz w:val="28"/>
          <w:sz w:val="28"/>
          <w:szCs w:val="28"/>
          <w:rtl w:val="true"/>
          <w:lang w:bidi="ar-SA"/>
        </w:rPr>
        <w:t>عدم اعتبار هذا القيد بمقتضى الإطلاق، وأيّده بأنّ إيجاب التورية على القادر لا يخلو عن التزام بالعُسر، جَعَل ما نسبه إلى المشهور من اعتبار هذا القيد موافقاً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تلك المطلقات والخبر الذي رواه سماعة عن مولانا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 الرّجل تقيّةً لم يضرّه إذا هو أكره أو اضطر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ممّا حرّم اللّه إلّاوقد أحلّه لمن اضطرّ إليه</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وما بمضمونه هي العموم من وجه، فإنّ المطلقات تدلّ على جواز الحلف كاذباً لدفع الضرر، سواءٌ بلغ حَدّ الاضطرار أم لم يبلغ، أي أمكن التورية 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سماعة وما مضمونها تدلّ على اختصاص الجواز بصورة الاضطرار والإكراه، ومفهومها عدم الجواز في غير هذين الموردين، فتقع المعارضة بينهما في الكذب لدفع الضرر مع إمكان التورية وعدم البلوغ حد الاضطرار والإكراه، فتتساقطان والمرجع إلى عمومات حرمة الكذب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المحقّق الإيرواني</w:t>
      </w:r>
      <w:r>
        <w:rPr>
          <w:rStyle w:val="FootnoteAnchor"/>
          <w:rtl w:val="true"/>
        </w:rPr>
        <w:footnoteReference w:id="601"/>
      </w:r>
      <w:r>
        <w:rPr>
          <w:rFonts w:ascii="Amiri" w:hAnsi="Amiri" w:eastAsia="Amiri" w:cs="Amiri"/>
          <w:color w:val="111111"/>
          <w:sz w:val="28"/>
          <w:sz w:val="28"/>
          <w:szCs w:val="28"/>
          <w:rtl w:val="true"/>
          <w:lang w:bidi="ar-SA"/>
        </w:rPr>
        <w:t>بإيرادين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رفع الاضطرار أي خبر سماعة وما بمضمونه لايشتمل إلّا على عقد سلبي، ولا تعرّض له للعقد الإثباتي، وهو عدم الارتفاع مع عدم الاضطرار، كي يعارض مفهومه هذه الأخبار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وإن تمّ في غير صدر خبر سماعة، ولكنّه لايتمّ فيه، لأنّه مشتملٌ على قضيّة شرطيّة وهي ذات مفهوم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لاوجه لجعل المرجع إطلاقات حرمة الكذب، مع أنّ هذه الإطلاقات معارضة لها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ما دلَّ على جواز الحلف كاذباً لدفع الضرر، وما دلَّ على حرمة الكذب عموم مطلق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فالحقّ أن يورد على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 خبر سماعة للإرسال، وعدم وجود خبرٍ آخر له مفهوم، ومضافاً إلى ما احتمله المحقّق التقي</w:t>
      </w:r>
      <w:r>
        <w:rPr>
          <w:rStyle w:val="FootnoteAnchor"/>
          <w:rtl w:val="true"/>
        </w:rPr>
        <w:footnoteReference w:id="602"/>
      </w:r>
      <w:r>
        <w:rPr>
          <w:rFonts w:ascii="Amiri" w:hAnsi="Amiri" w:eastAsia="Amiri" w:cs="Amiri"/>
          <w:color w:val="111111"/>
          <w:sz w:val="28"/>
          <w:sz w:val="28"/>
          <w:szCs w:val="28"/>
          <w:rtl w:val="true"/>
          <w:lang w:bidi="ar-SA"/>
        </w:rPr>
        <w:t xml:space="preserve">من أنّ صدر خبر سماعة واردٌ مورد الرخصة في الحلف في غير محلّ الدعوى والقضاء من دون نظر إلى الصادق والكاذب، فيكون خارجاً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كانت النسبة هي العموم من وجه، إلّاأنّه لأظهريّة هذه المطلقات تقدّم هي على مفهوم خبر سماعة، إذ لو قُدّم خبر سماعة وحُكم باختصاص جواز الحلف كاذباً بصورة الإكراه والاضطرار، لزم لغويّة العناوين المأخوذة في المطلقات، وهي الكذب لدفع الضرر المالي أو البدني عن نفسه أو عن أخيه، وهذا بخلاف العكس، فإنّ لازم تقديم المطلقات تقييد مفهوم خبر سماعة، ولا ريب في أنّ الأوّل هو المتعيّن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خبر سماعة لزم كون تعليق الحكم على العناوين المأخوذة في المطلقات لغواً، وعدم دخلها في الحكم، وهذا بخلاف ما لو قدّمت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اعتبار هذا القيد في جواز الحلف كاذباً، ويؤيّده عدم الإشارة إلى ذلك في تلك الأخبار الكثيرة خصوصاً في قضيّة عمّار وأبويه، حيث اُكرهوا على الكفر، وأظهر لهم عمّار ما أرادوا،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عليك فعُد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ينبّهه على التورية مع شفقته صلى الله عليه و آله على عمّار، وعلمه بكراهته تلفّظ ألفاظ الكفر من دون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الأصحاب اعتبروا في جواز الكذب عدم تمكّنه من التورية، ولم يعتبروا ذلك في فساد ما اُكره عليه من العقود والإيقاعات، بل في كلام بعضهم دعوى الإجماع على عدم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المُكرَه على البيع مثلاً مع تمكّنه من عدم إرادة المعنى إنّما يكون مكرَهاً على التلفّظ بالصيغة، ولا يكون مكرهاً على البيع الحقيقي المتقوّم بإرادة المعنى، فلو أراد المعنى ولم يورّ فقد أوجد البيع باختياره وإرادته فيكون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w:t>
      </w:r>
      <w:r>
        <w:rPr>
          <w:rStyle w:val="FootnoteAnchor"/>
          <w:rtl w:val="true"/>
        </w:rPr>
        <w:footnoteReference w:id="604"/>
      </w:r>
      <w:r>
        <w:rPr>
          <w:rFonts w:ascii="Amiri" w:hAnsi="Amiri" w:eastAsia="Amiri" w:cs="Amiri"/>
          <w:color w:val="111111"/>
          <w:sz w:val="28"/>
          <w:sz w:val="28"/>
          <w:szCs w:val="28"/>
          <w:rtl w:val="true"/>
          <w:lang w:bidi="ar-SA"/>
        </w:rPr>
        <w:t>عنه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الفارق بين المقامين، وإجماله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المسوّغ للكذب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النصوص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الاضطرار والإلجاء، وهذا العنوان لا يصدق مع التمكّن من التفصّي بالتورية، وأمّا الرافع لأثر المعاملة فهو أعمّ من ذلك، بل لو صدق عنوان المُكرَه عليه على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الخارجي لما كان صحيحاً، وحيث أنّ الإكراه إنّما تعلّق بنفس المعاملة وواقعها، فإذا أوجدها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أوجد نفس ما اُكره عليه، فيرتفع أثره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أغلب المحشّين، وهم المحقّقون الشيرازيّان</w:t>
      </w:r>
      <w:r>
        <w:rPr>
          <w:rStyle w:val="FootnoteAnchor"/>
          <w:rtl w:val="true"/>
        </w:rPr>
        <w:footnoteReference w:id="605"/>
      </w:r>
      <w:r>
        <w:rPr>
          <w:rFonts w:ascii="Amiri" w:hAnsi="Amiri" w:eastAsia="Amiri" w:cs="Amiri"/>
          <w:color w:val="111111"/>
          <w:sz w:val="28"/>
          <w:sz w:val="28"/>
          <w:szCs w:val="28"/>
          <w:rtl w:val="true"/>
          <w:lang w:bidi="ar-SA"/>
        </w:rPr>
        <w:t>، والإيرواني</w:t>
      </w:r>
      <w:r>
        <w:rPr>
          <w:rStyle w:val="FootnoteAnchor"/>
          <w:rtl w:val="true"/>
        </w:rPr>
        <w:footnoteReference w:id="606"/>
      </w:r>
      <w:r>
        <w:rPr>
          <w:rFonts w:ascii="IRNazanin" w:hAnsi="IRNazanin" w:eastAsia="IRNazanin"/>
          <w:color w:val="111111"/>
          <w:sz w:val="28"/>
          <w:sz w:val="28"/>
          <w:szCs w:val="28"/>
          <w:rtl w:val="true"/>
          <w:lang w:bidi="fa-IR"/>
        </w:rPr>
        <w:t>، بما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الفرق لو تمّ فإنّما هو بين الإكراه والاضطرار، وتماميّته في المقام تبتني على عدم شمول نفي الإكراه للكذب إذا اُكره عليه، ويختصّ دليل نفي الاضطرار بالشمول له، وهذا ممّا لا يمكن الالتزام به، كيف ونسبة كلٍّ من دليلي رفع الإكراه والاضطرار إلى كلٍّ من الأمرين على حَدٍّ سواء، فبأيّ وجهٍ يجعل التصرّف في دليل حرمة الكذب بأدلّة الاضطرار، والتصرّف في أدلّة العقود والإيقاعات بأدلّة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الشيخ رحمه الله على ما يظهر من ذكره الفرق بين المقامين في كتاب البيع من مبحث الإكراه</w:t>
      </w:r>
      <w:r>
        <w:rPr>
          <w:rStyle w:val="FootnoteAnchor"/>
          <w:rtl w:val="true"/>
        </w:rPr>
        <w:footnoteReference w:id="607"/>
      </w:r>
      <w:r>
        <w:rPr>
          <w:rFonts w:ascii="Amiri" w:hAnsi="Amiri" w:eastAsia="Amiri" w:cs="Amiri"/>
          <w:color w:val="111111"/>
          <w:sz w:val="28"/>
          <w:sz w:val="28"/>
          <w:szCs w:val="28"/>
          <w:rtl w:val="true"/>
          <w:lang w:bidi="ar-SA"/>
        </w:rPr>
        <w:t>، غير ما فهموه وأوردوا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كلامه قدس سره</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الرافع لأثر المعاملات أوسع من الإكراه المسوّغ للمحرّمات، إذ مناط الأوّل عدم طيب النفس، ومناط الثاني دفع ضرر المكرَه على ارتكاب المكره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الإكراه هو الجبر والإلجاء، وعليه يُحمل الإكراه في حديث الرفع، فيكون الفرق بينه وبين الاضطرار المعطوف عليه في ذلك الحديث، اختصاص الاضطرار بالحاصل لا من فعل الغير كالجوع ونحوه، والإكراه بما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فعل الغير، وحيث إنّه لا مسوغ لارتكاب المحرّمات سوى حديث الرفع وما يقرب منه، فلا يجوز ارتكابها إلّاأن يحصل الإلجاء والضرورة، وهذا العنوان لا يصدق مع إمكان التفصّي بالتورية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المعاملات، فحيثُ أنّه يعتبر 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عدم الإكراه بالمعنى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صدورها عن الرضا وطيب النفس، على ما تدلّ عليه الآية الشريفة والنصوص الكثيرة، فيكفي في عدم ترتّب آثارها عليها، الإكراه المقابل لطيب النفس، وإنْ لم يصل إلى حَدّ الإلجاء والاضطرار، وهو قد يتحقّق مع إمكان التفصّي بغيرها، مثلاً من كان جالساً في مكان خاص خالٍ عن الغير متفرّغاً لعبادة أو مطالعة، فجاءه من أكرهه على بيع شيء ممّا عنده، وهو في هذه الحال غير قادرٍ على دفع ضرره، وهو كاره للخروج عن ذلك المكان، لكن لو خرج كان له في الخارج خدم يكفونه شَرّ المكره، فالظاهر صدق الإكراه، بمعنى عدم طيب النفس لو باع ذلك الشيء، ولو فرض في هذا المثال إكراهه على محرّم لم يُعذر فيه بمجرّد كراهة الخروج عن ذلك المكان، ففي المقام إذا اُكره على الكَذب، وهو يتمكّن من التفصّي بالتورية، لا يصدق الإكراه، إذ المسوّغ لارتكاب الحرام هو الإلجاء والضرورة غير الصادق في الفرض، وإذا اُكره على المعاملة فالمعاملة مكرهٌ عليها، غاية الأمر يقدر المكرَه على التفصّي عنه بإيقاع الصورة من دون إرادة المعنى، لكنّه غير المكرَه عليه، فلا يعتبر ذلك في حكم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مايمكن أنْ يقال في توجيه كلامه، وبه يندفع الإيراد المتقدّم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عليه قدس سره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الفرق المذكور، إذ طيب النفس والرضا المعتبر في صحّة العقود والإيقاعات ليس إلّاما يقابل الإلجاء والإكراه، مثلاً في المثال المتقدّم لو باع من اُكره على البيع، فهو بالعنوان الأولي وإنْ كان لايرضى به، ولكن بعد ملاحظة العناوين الثانويّة مثل أنّه لايريد الخروج عن ذلك المكان لا محالة يرضى بالمعاملة، فلو صدرت المعاملة عنه، يكون صدورها عن الرضا وطيب النفس وبالاستقلال، ولا يعدّ فاقداً الاستقلال في التصرّف بحيث لا تطيب نفسه بما صدر منه، فلو اعتذر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راضياً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حين المعاملة ملجَئاً ولا مضطرّاً فكيف عاملت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المعاملة من الرضا وطيب النفس سوى مايقابل الإكراه والإلجاء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ذلك، لما كان المقام من مصاديق الإكراه، إذ من يتمكّن من التفصّي بالتورية، كمن كان خدمه حاضرين عنده في المثال، وتوقّف دفع ضرر إكراه الشخص على أمر خدمه بدفعه وطرده، حيث اعترف قدس سره في كتاب البيع بأنّه لا يتحقّق الإكراه في حقّه، ويكذب لو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يستحبّ تحمّل الضرر المالي الذي لا يَجحف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المالي إنْ صدق عليه الضرر جاز الكذب لدفعه، وإلّا فلا، ولم يدلّ دليلٌ على استحباب تحمّل الضرر وعدم الكذب في بعض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عليه السلام في 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الإيمان أن تؤثر الصّدق حيث يضرّك على الكذب حيث ينفعك</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الذي استدلّ به لذلك لا يدلّ عليه، إذ بواسطة التقابل فيه بين الصدق الضارّ مع الكذب النافع، يتعيّن حمل الضرر على إرادة عدم النفع، أو النفع على إرادة عدم الضرر، والأوّل لو لم يكن أظهر، لا ريب في إجمال الكلام حينئذٍ، فلا يَصحّ الاستدلال به إذ على الأوّل يكون الكذب محرّماً، وتركه حينئذٍ يكون علامة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فهو إمّا أجنبي عن المقام، أو مجملٌ لا يمكن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الأقوال الصادرة عن الأئمّة عليهم السلام في مقام التقيّة في بيان الأحكام محمولة على إرادة خلاف ظواهرها، أو على الكذب لمصلحة، واعتبر الشيخ رحمه الله</w:t>
      </w:r>
      <w:r>
        <w:rPr>
          <w:rStyle w:val="FootnoteAnchor"/>
          <w:rtl w:val="true"/>
        </w:rPr>
        <w:footnoteReference w:id="6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الأليق بشأنهم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القول باستقلال العقل بقبح الكذب حتّى فيما إذا طرأ عليه عنوان جوّزه الشارع الأقدس، ولكنّك عرفت عدم كونه كذلك، وأنّه في موارد تجويز الشارع إيّاه لا يستقلّ العقل بقبحه في نفسه، وأنّه إنّما يجوز لأجل ارتكاب أقلّ القبيحين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يكون حمل النصوص الواردة في مورد التقيّة على إرادة خلاف ظواهرها، من دون نصب قرينة يليق بشأنهم، بل ذلك والكذب لمصلحةٍ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دار الأمر بين التقيّة والحمل على الاستحباب، كما في الأمر بالوضوء عقب بعض ماقال العامّة بكونه حدثاً، فهل يتعيّن الثاني كما أفاده الشيخ رحمه الله</w:t>
      </w:r>
      <w:r>
        <w:rPr>
          <w:rStyle w:val="FootnoteAnchor"/>
          <w:rtl w:val="true"/>
        </w:rPr>
        <w:footnoteReference w:id="612"/>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الذي يدور أمره بين الحمل على التقيّة، أو الاستحباب، يكون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متضمّناً لبيان حكم تكليفي، فيدور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إبقائه على ظاهره من الوجوب، وحمله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يراد به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القسم يُحمل على الاستحباب، لا لما علّله الشيخ رحمه الله</w:t>
      </w:r>
      <w:r>
        <w:rPr>
          <w:rStyle w:val="FootnoteAnchor"/>
          <w:rtl w:val="true"/>
        </w:rPr>
        <w:footnoteReference w:id="613"/>
      </w:r>
      <w:r>
        <w:rPr>
          <w:rFonts w:ascii="Amiri" w:hAnsi="Amiri" w:eastAsia="Amiri" w:cs="Amiri"/>
          <w:color w:val="111111"/>
          <w:sz w:val="28"/>
          <w:sz w:val="28"/>
          <w:szCs w:val="28"/>
          <w:rtl w:val="true"/>
          <w:lang w:bidi="ar-SA"/>
        </w:rPr>
        <w:t>من أنّ التقيّة تتأدّى بإرادة المجاز، وإخفاء القرينة، بل لأنّ حقيقة الاستحباب ليست إلّاالأمر بالفعل مع الترخيص في تركه في مقابل الوجوب الذي هو الأمر بالفعل مع عدم الترخيص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والاستحباب ينتزعان عن الترخيص في ترك المأمور به وعدمه، وإلّا فالأمر في الموردين يستعمل في معنى واحد، وعليه فإذا ورد أمرٌ بشيء وعلم من الخارج عدم وجوبه يُحمل على الاستحباب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متضمّناً لبيان حكم وضعي، كما إذا ورد أنّ المذي ناقض للوضوء، ودار الأمر بين حمله على التقيّة، أو على إرادة استحباب الوضوء عقيب المذي منه، فالمتعيّن في هذا القسم الحمل على التقيّة، إذ إرادة الاستحباب من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الجملة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يتضمّن الأمر بعملٍ ويكون ظاهره الإرشاد إلى حكم وضعي، كما إذا أمر بالوضوء عقيب المذي، حيث أنّ ظاهره الإرشاد إلى ناقضيّته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القسم إذا دار الأمر بين الحمل على الاستحباب بإرادة خلاف ظاهر الأمر منه، أو حمله على التقيّة، فحيث أنّ الأمر دائر بين إلغاء أصالة الظهور، وبين الغاء أصالة تطابق المراد الجدّي للمراد الاستعمالي، ولا مرجع لإحداهما على الاُخرى فتتساقطان، ولا يَصحّ الاعتماد على شيء منهما، وعليه فلا وجه للحمل على الاستحباب في هذا المورد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من القول الفصل، ظهر ما في كلمات الأستاذ الأعظم وسائر الأساطين رحمهم الله في المقام</w:t>
      </w:r>
      <w:r>
        <w:rPr>
          <w:rFonts w:eastAsia="Amiri" w:cs="Amiri" w:ascii="Amiri" w:hAnsi="Amiri"/>
          <w:color w:val="111111"/>
          <w:sz w:val="28"/>
          <w:szCs w:val="28"/>
          <w:rtl w:val="true"/>
          <w:lang w:bidi="ar-SA"/>
        </w:rPr>
        <w:t>.</w:t>
      </w:r>
      <w:bookmarkStart w:id="206" w:name="pg11815_192774"/>
    </w:p>
    <w:p>
      <w:pPr>
        <w:pStyle w:val="Heading2"/>
        <w:numPr>
          <w:ilvl w:val="1"/>
          <w:numId w:val="1"/>
        </w:numPr>
        <w:rPr/>
      </w:pPr>
      <w:bookmarkStart w:id="207" w:name="__RefHeading___Toc10830573_73709187"/>
      <w:bookmarkStart w:id="208" w:name="_Toc69"/>
      <w:bookmarkEnd w:id="206"/>
      <w:bookmarkEnd w:id="207"/>
      <w:r>
        <w:rPr>
          <w:rtl w:val="true"/>
        </w:rPr>
        <w:t>الكذب لإرادة الإصلاح</w:t>
      </w:r>
      <w:bookmarkEnd w:id="208"/>
    </w:p>
    <w:p>
      <w:pPr>
        <w:pStyle w:val="BookText"/>
        <w:rPr/>
      </w:pPr>
      <w:r>
        <w:rPr>
          <w:rFonts w:ascii="Amiri" w:hAnsi="Amiri" w:eastAsia="Amiri" w:cs="Amiri"/>
          <w:color w:val="111111"/>
          <w:sz w:val="28"/>
          <w:sz w:val="28"/>
          <w:szCs w:val="28"/>
          <w:rtl w:val="true"/>
          <w:lang w:bidi="ar-SA"/>
        </w:rPr>
        <w:t>الثاني من مسوّغات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 الكذب لإرادة الإصلاح بين المتخاصمين،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عيسى بن حسّان،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كذب مسؤول عنه صاحبه يوماً إلّاكذباً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فهو موضوع عنه، أو رجلٌ أصلح بين اثنين يلقي هذا بغير ما يلقي هذا يريدُ بذلك الإصلاح، أو رجلٌ وعَدَ أهله شيئاً وهو لا يريد أن يتمّ لهم</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له بأنّه تعالى أمر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بالإصلاح، ومقتضى إطلاقه مطلوبيّة الإصلاح، وإنْ كان بالكذب، فتعارض الآية الشريفة مع عموم ما دلَّ على حرمة الكذب بالعموم من وجه، والترجيح مع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فأصل الحكم ممّا لا توقّف فيه، إنّما الكلام في موارد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إنّه كما يجوز الكذب لإرادة الإصلاح، كذلك يجوز لجلب </w:t>
      </w:r>
    </w:p>
    <w:p>
      <w:pPr>
        <w:pStyle w:val="BookText"/>
        <w:rPr/>
      </w:pPr>
      <w:r>
        <w:rPr>
          <w:rFonts w:ascii="Amiri" w:hAnsi="Amiri" w:eastAsia="Amiri" w:cs="Amiri"/>
          <w:color w:val="111111"/>
          <w:sz w:val="28"/>
          <w:sz w:val="28"/>
          <w:szCs w:val="28"/>
          <w:rtl w:val="true"/>
          <w:lang w:bidi="ar-SA"/>
        </w:rPr>
        <w:t>نفع الاخوان، واستدلّ له بما رواه الشيخ الصدوق في كتاب الاخوان بسنده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ليصدق على أخيه فيناله عنتٌ من صدقه فيكون كذّاباً عند اللّه، وإنّ الرّجل ليكذب على أخيه يريدُ به نفعه فيكون عند اللّه صادقاً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في سنده من الخلل، وإعراض الأصحاب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يدلّ على جواز الكذب لجلب النفع بالإطلاق لشموله للكذب للإصلاح، فالنسبة بينه وبين مفهوم الحصر في جملةٍ من النصوص الحاصرة لجواز الكذب في الثلاثة عمومٌ من وجه، والترجيح مع تلك النصوص، فالأظهر عدم جوازه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من الكذب للإصلاح، الكذب لأجل تحبيب غير المتحابين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 إذ ظاهر الإصلاح هو رفع التباغض فيعتبر سبقه، فالكذب لمجرد التحبيب لا دليل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صدق مفهوم الإصلاح البغض من جانب واحدٍ، فتشمله المطلقات، مع أنّه مورد المرسل الواسطي الذي روى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وكذب، وإصلاح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الإصلاح بين الناس‌؟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 الرجال كلاماً يبلغه فتخبث نفسه، فتقول سمعتُ فلاناً قال فيك من الخير كذا وكذا خلاف ما سمعته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حيث إنّ الرّجل الذي قيل في حقّه ما قيل أبغضَ الرّجل المتكلّم، وأمّا الرّجل الذي تكلّم فلا يلازم كلامه بغض صاحبه، إذ لعلّ كلامه كان من قبيل نفي الاجتهاد، أو نفي العدالة ممّا لا يكون صادراً عن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جواز الكذب للإصلاح بين أن يكون المصلح غير المتخاصمين أو أحدهما، بل لا يبعد دعوى تأكّد الحكم في الثاني للخبر الذي رواه حمران،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مؤمنين اهتجرا فوق ثلاث إلّاوبرأتُ منهما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الظالم، فما بال المظلوم‌؟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المظلوم لا يصير إلى الظالم،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الظالم حتّى يُصلحا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بديهي أنّ قول المظلوم أنا الظالم كذبٌ‌،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w:t>
      </w:r>
      <w:r>
        <w:rPr>
          <w:rStyle w:val="FootnoteAnchor"/>
          <w:rtl w:val="true"/>
        </w:rPr>
        <w:footnoteReference w:id="6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قد ورد في أخبارٍ</w:t>
      </w:r>
      <w:r>
        <w:rPr>
          <w:rStyle w:val="FootnoteAnchor"/>
          <w:rtl w:val="true"/>
        </w:rPr>
        <w:footnoteReference w:id="621"/>
      </w:r>
      <w:r>
        <w:rPr>
          <w:rFonts w:ascii="Amiri" w:hAnsi="Amiri" w:eastAsia="Amiri" w:cs="Amiri"/>
          <w:color w:val="111111"/>
          <w:sz w:val="28"/>
          <w:sz w:val="28"/>
          <w:szCs w:val="28"/>
          <w:rtl w:val="true"/>
          <w:lang w:bidi="ar-SA"/>
        </w:rPr>
        <w:t>كثيرة جوازالوعد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لشمولها لما إذا كان الوعد على سبيل الإخبار توجب تقييد ما دلَّ على حرمة الكذب، كما أنّها تقييد ما دلَّ على لزوم الوفاء بالوعد أو رجحانه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09" w:name="pg11815_192777"/>
    </w:p>
    <w:p>
      <w:pPr>
        <w:pStyle w:val="Heading2"/>
        <w:numPr>
          <w:ilvl w:val="1"/>
          <w:numId w:val="1"/>
        </w:numPr>
        <w:rPr/>
      </w:pPr>
      <w:bookmarkStart w:id="210" w:name="__RefHeading___Toc10830575_73709187"/>
      <w:bookmarkStart w:id="211" w:name="_Toc70"/>
      <w:bookmarkEnd w:id="209"/>
      <w:bookmarkEnd w:id="210"/>
      <w:r>
        <w:rPr>
          <w:rtl w:val="true"/>
        </w:rPr>
        <w:t>الكهانة</w:t>
      </w:r>
      <w:bookmarkEnd w:id="211"/>
    </w:p>
    <w:p>
      <w:pPr>
        <w:pStyle w:val="BookText"/>
        <w:rPr/>
      </w:pPr>
      <w:r>
        <w:rPr>
          <w:rFonts w:ascii="Amiri" w:hAnsi="Amiri" w:eastAsia="Amiri" w:cs="Amiri"/>
          <w:color w:val="111111"/>
          <w:sz w:val="28"/>
          <w:sz w:val="28"/>
          <w:szCs w:val="28"/>
          <w:rtl w:val="true"/>
          <w:lang w:bidi="ar-SA"/>
        </w:rPr>
        <w:t>المسألة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حرامٌ بلا خلاف</w:t>
      </w:r>
      <w:r>
        <w:rPr>
          <w:rStyle w:val="FootnoteAnchor"/>
          <w:rtl w:val="true"/>
        </w:rPr>
        <w:footnoteReference w:id="622"/>
      </w:r>
      <w:r>
        <w:rPr>
          <w:rFonts w:ascii="Amiri" w:hAnsi="Amiri" w:eastAsia="Amiri" w:cs="Amiri"/>
          <w:color w:val="111111"/>
          <w:sz w:val="28"/>
          <w:sz w:val="28"/>
          <w:szCs w:val="28"/>
          <w:rtl w:val="true"/>
          <w:lang w:bidi="ar-SA"/>
        </w:rPr>
        <w:t>، والكلام في هذه المسألة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كلمات اللّغويين</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الإخبار عن الغائبات لاتّصال المُخبِر بالجِنّ والشيطان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القيود المعتبرة فيها أو قيل باعتبارها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بيانها لابدَّ وأن يعلم أنّ كلّ قيدٍ شُكّ في اعتباره ولم يدلّ على عدمه دليل، لابدَّ من البناء على اعتباره أخذاً بالمتيقّن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الإخبار بواسطة الاتّصال بالجِنّ والشيطان كما صرّح به الاكثر، فما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من كون الكهانة بغير قذف الشياطين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في وجوهٍ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العين، وذكاء القلب، ووسوسة النفس، وفطنة الروح مع قذفٍ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عليه، لاحتمال رجوع القيد إلى الجميع، بل هو الظاهر بواسطة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ما يحدث في الأرض من الحوادث الظاهرة، فذلك يعلم الشيطان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المُخبَر به أمراً استقباليّاً، فالإخبار عن الأُمور الماضية أو </w:t>
      </w:r>
    </w:p>
    <w:p>
      <w:pPr>
        <w:pStyle w:val="BookText"/>
        <w:rPr/>
      </w:pPr>
      <w:r>
        <w:rPr>
          <w:rFonts w:ascii="Amiri" w:hAnsi="Amiri" w:eastAsia="Amiri" w:cs="Amiri"/>
          <w:color w:val="111111"/>
          <w:sz w:val="28"/>
          <w:sz w:val="28"/>
          <w:szCs w:val="28"/>
          <w:rtl w:val="true"/>
          <w:lang w:bidi="ar-SA"/>
        </w:rPr>
        <w:t>المتحقّقة بالفعل لا يعدّ من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تصريح جمع من اللّغويين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تؤدّي إلى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في البعد من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دعوى عدم اعتبار هذا القيد بحسب المتفاهم العرفي، المؤيّد بإطلاق كلمات أكثر الفقهاء ليست ببعيدة، بل صحيح الهيثم الآتي دالٌّ عليه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مركّباً من الإخبار بخبر السماء والإخبار بخبر الأرض، واستدلّ له بقوله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فمنذ مُنِعت الشياطين عن استراق السمع انقطعت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الكهانة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الكاهن عن الحوادث المستقبلة، لاتّصاله بالشياطين المُخبرة عن أخبار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الكاهن عن الكائنات الأرضيّة للاتّصال بالشياطين والجِنّ المخبرة عن الأخبار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القسم الثاني، كما أطلق فيه على الأوّل، لاحظ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مايحدث في الأرض من الحوادث الظاهرة فذلك يعلم الشيطان ويؤدّيه إلى الكاهن ويخبره بما يحدث في المنازل والأطراف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واليوم إنّما يؤدّي الشيطان إلى كهانها أخبار الناس ممّا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12" w:name="pg11815_192779"/>
    </w:p>
    <w:p>
      <w:pPr>
        <w:pStyle w:val="BookText"/>
        <w:rPr/>
      </w:pPr>
      <w:bookmarkEnd w:id="212"/>
      <w:r>
        <w:rPr>
          <w:rFonts w:ascii="Amiri" w:hAnsi="Amiri" w:eastAsia="Amiri" w:cs="Amiri"/>
          <w:color w:val="111111"/>
          <w:sz w:val="28"/>
          <w:sz w:val="28"/>
          <w:szCs w:val="28"/>
          <w:rtl w:val="true"/>
          <w:lang w:bidi="ar-SA"/>
        </w:rPr>
        <w:t>يتحدّثون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فتحمل الكهانة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انقطعت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الكهانة الكاملة، أي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تسخير الجن للكهانة، وقد تقدّم الكلام فيه في آخر مبحث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محرّمة، وتشهد لها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تكهن أو تكهن له فقد برئ من دين محمّد صلى الله عليه و آله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وقد تقدّم بعضها في مبحث التنجيم، والسحر</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الرجوع إلى الكاهن، والعمل بقوله، وترتيب الأثر عليه لجملةٍ من النصوص الناهية عن إتيان الكاهن، كخبر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وصحيح الهيثم الآتي وغيرهما، فإن الإتيان إلى الكاهن والمجيء إليه كناية عن تصديقه والعمل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الاُجرة على إخباره لكونه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عملاً لا يترتّب عليه أثر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ولخبرالسكوني، عن الإمام الصادق عليه السلام حيث جعل من السُّحت أجر الكاهن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 w:name="__RefHeading___Toc10830577_73709187"/>
      <w:bookmarkStart w:id="214" w:name="_Toc71"/>
      <w:bookmarkEnd w:id="213"/>
      <w:r>
        <w:rPr>
          <w:rtl w:val="true"/>
        </w:rPr>
        <w:t>الإخبار عن الأُمور المستقبلة</w:t>
      </w:r>
      <w:bookmarkEnd w:id="214"/>
    </w:p>
    <w:p>
      <w:pPr>
        <w:pStyle w:val="BookText"/>
        <w:rPr/>
      </w:pPr>
      <w:r>
        <w:rPr>
          <w:rFonts w:ascii="Amiri" w:hAnsi="Amiri" w:eastAsia="Amiri" w:cs="Amiri"/>
          <w:color w:val="111111"/>
          <w:sz w:val="28"/>
          <w:sz w:val="28"/>
          <w:szCs w:val="28"/>
          <w:rtl w:val="true"/>
          <w:lang w:bidi="ar-SA"/>
        </w:rPr>
        <w:t>ثمّ إنّه قد استدلّ لحرمة الإخبار عن الغائبات، والاُمور المستقبلة بأُمور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الهيثم، عن الإمام الصادق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بالجزيرة رجلاً ربما أخبر من يأتيه يسأله عن الشيء يُسرق او شبه ذلك فنسأله‌؟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ساحرٍ أو كاهنٍ أو كذّاب يصدّقه فيما يقول، فقد كفر بما أنزل اللّه من كتاب</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حصر المُخبر بالشيء الغائب بالساحر والكاهن والكذّاب، جعل الكلّ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حصر المحرّم من الإخبار عن الغائبات بإخبار هذه الطوائف الثلاث، لا حصر المُخبَر عنها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بقرينة السؤال ظاهرٌ في الإخبار عن الأُمور الماضية، ولم يستشكل أحدٌ في جوازه إذا لم يكن بالكهانة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حرمة الرجوع وتصديق المخبر، وهي لا تلازم حرمة الأخبار، كما في حرمة تصديق الفاسق، وشهادة العدل الواحد في بعض الموارد، مع جواز إخبار الفاسق وجواز الشهادة للعادل، بل وجوبها أحياناً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يقع في الأرض سببٌ يشاكل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مبغوضيّة الإخبار عن الغائبات لمشاكلته للوحي من أيّ سببٍ كان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المبغوضيّة التكوينيّة، ولذا قطع اللّه سبحانه سببه بمنع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الشياطين عن الإطلاع على السماء وأخباره منعاً تكوينيّاً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بالإخبار عن السماء، فيدلّ على عدم المنع من الإخبار عن الغائبات من الكائنات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حديث المناهي حيث نهى عن إتيان العرّاف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وصدّقه فقد برئ ممّا أنزل اللّه عزّ وجلّ على محمّد صلى الله عليه و آله</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إذ المُخبِر عن الغائبات في المستقبل كاهنٌ يخصّ باسم العرّاف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حرمة تصديقه، وقد مرّ أنّها لا تلازم حرمة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حرمته، وعليه فإن كان جازماً بالمُخبَر عنه جاز، وإلّا حرم لكونه من الكذب المحرّم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15" w:name="pg11815_192782"/>
    </w:p>
    <w:p>
      <w:pPr>
        <w:pStyle w:val="Heading2"/>
        <w:numPr>
          <w:ilvl w:val="1"/>
          <w:numId w:val="1"/>
        </w:numPr>
        <w:rPr/>
      </w:pPr>
      <w:bookmarkStart w:id="216" w:name="__RefHeading___Toc10830579_73709187"/>
      <w:bookmarkStart w:id="217" w:name="_Toc72"/>
      <w:bookmarkEnd w:id="215"/>
      <w:bookmarkEnd w:id="216"/>
      <w:r>
        <w:rPr>
          <w:rtl w:val="true"/>
        </w:rPr>
        <w:t>حرمة اللّهو</w:t>
      </w:r>
      <w:bookmarkEnd w:id="217"/>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الشيخ</w:t>
      </w:r>
      <w:r>
        <w:rPr>
          <w:rStyle w:val="FootnoteAnchor"/>
          <w:rtl w:val="true"/>
        </w:rPr>
        <w:footnoteReference w:id="631"/>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وغيرها أنّ اللّهو حرامٌ‌، ولكن الكلمات التي ذكرها رحمه الله لا دلالة فيها على إرادة حرمة اللّهو بقول مطلق، فإنّها متضمّنة لحرمة طلب الصيد لغرض اللّهو، ومعلوم أنّ قولهم لغرض اللّهو ليس تعليلاً للحرمة، بل هو قيدٌ للطلب، وعليه فمرادهم أنّ الصيد لأجل اللّهو لا للانتفاع وغيره من الأغراض العقلائيّة حرامٌ‌، وهذا لا يلازم حرمة اللّهو بقول مطلق، إذ لعلّ في هذا الفعل اللّهوي خصوصيّة وهي إيذاء الحيوانات بلا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بعضها ظاهر في ذلك كقول 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اللّاهي بسفره كالمتنزّه بصيده بطراً لايترخّص لنا أنّ اللّهو حرامٌ فالسفر له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فتنقيح القول في المقام يقتضي 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الموضوع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احتمل الشيخ رحمه الله</w:t>
      </w:r>
      <w:r>
        <w:rPr>
          <w:rStyle w:val="FootnoteAnchor"/>
          <w:rtl w:val="true"/>
        </w:rPr>
        <w:footnoteReference w:id="634"/>
      </w:r>
      <w:r>
        <w:rPr>
          <w:rFonts w:ascii="Amiri" w:hAnsi="Amiri" w:eastAsia="Amiri" w:cs="Amiri"/>
          <w:color w:val="111111"/>
          <w:sz w:val="28"/>
          <w:sz w:val="28"/>
          <w:szCs w:val="28"/>
          <w:rtl w:val="true"/>
          <w:lang w:bidi="ar-SA"/>
        </w:rPr>
        <w:t>فيه احتمالات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مطلق اللّعب،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اللّعب عن بطر، أي شدّة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 هو الحركة لا لغرض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الناشئة عن شدّة الفرح كالرقص، أو الموجبة لها كالضرب بالطشت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الحركات التي لا يتعلّق بها غرضٌ عقلائي مع انبعاثها عن القوى الشهويّة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في الاحتمال الأخير من نحو من الاجمال، إذ تحصيل مقتضيات القوى الشهويّة بأنفسها تعدّ أغراضاً عقلائيّة،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اللّهو من أفعال النفس، بمعنى أنّه عنوان منطبق عليها، ولا ربط له بالأفعال الجوارحيّة، وليس كاللّعب منطبقاً على تلك الأفعال، كما يظهر لمن تدبّر في مشتقّات هذا اللّفظ،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لاهِيَةً قُلُوبُهُمْ‌</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أي ساهية غافلة مشغولة بالباطل عن الحقّ وتذكّره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أي شَغَلكم التفاخر والتباهي بكثرة المال عن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تُلْهِيهِمْ تِجارَةٌ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عَنْهُ تَلَهّى</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ولذا قيل في قول لهو الحديث إنّ الإضافة بمعنى من، لأنّ اللّهو يكون من الحديث وغيره، وإطلاقه على بعض الأفعال الجوارحيّة كالغناء إنّما هو من باب إطلاق اللّفظ الموضوع للمسبّب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فاللّهو هو اشتغال النفس باللّذائد الشهويّة بلا قصد غاية، وإنْ كانت الغاية حاصلة، سواءٌ صدرت منه حركة جوارحيّة أم لا، كما ذكره بعض المحقّقين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الشيخ رحمه الله</w:t>
      </w:r>
      <w:r>
        <w:rPr>
          <w:rStyle w:val="FootnoteAnchor"/>
          <w:rtl w:val="true"/>
        </w:rPr>
        <w:footnoteReference w:id="640"/>
      </w:r>
      <w:r>
        <w:rPr>
          <w:rFonts w:ascii="Amiri" w:hAnsi="Amiri" w:eastAsia="Amiri" w:cs="Amiri"/>
          <w:color w:val="111111"/>
          <w:sz w:val="28"/>
          <w:sz w:val="28"/>
          <w:szCs w:val="28"/>
          <w:rtl w:val="true"/>
          <w:lang w:bidi="ar-SA"/>
        </w:rPr>
        <w:t>لحرمة مطلق اللّهو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يكون منه وفيه الفساد محضاً، ولا يكون منه ولا فيه شيءٌ من وجوه الصلاح، فحرامٌ تعليمه وتعلّمه، والعمل به، وأخذ الأجر عليه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اللّهو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اللّهو ممّا يجيءُ منه الفساد محضاً يتوقّف على ثبوت حرمته، إذ لو كان جائزاً لما كان من هذا القسم، وإثبات حرمته بهذا الخبر دور واضح</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متضمّنٌ لبيان الكبرى، وهي أنّ ما يجيء منه الفساد محضاً يحرمُ جميع التقلبات العمليّة فيه، وأمّا إحراز الصغرى فلابدَّ وأن يكون بدليلٍ آخر، وكون اللّهو من مصاديقها أوّل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الأعمش، عن مولانا الصادق عليه السلام، وقد عدَّ من الكبائر الاشتغال بالملاهي الّتي تصدّ عن ذكر اللّه كالغناء وضَرب الأوتار</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لأنّه لا يناسب التمثيل 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حرمة اللّهو الذي يصدّ عن ذكر اللّه، أي يوجبُ حالة الاحتجاب للنفس كالغناء وشبهه، فلا دلالة فيه على حرمة اللّهو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اسم الآلة، ومناسبته مع التمثيل بالغناء إنّما هي لأجل إرادة الغناء من آلة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الفضل بن شاذان، عن الإمام الرضا عليه السلام وقد عَدّ فيه الاشتغال بالملاهي من الكبائر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اللّغة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الآلة، ولا صارف عن هذا الظهور، بل يؤكّده أنّ الظاهر من الباء الواردة في صدرها الإستعانة، وزيادة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فهو يدلّ على أنّ استعمال آلات اللّهو حرام، ولا نزاع في ذلك، ولا دلالة له على حرمة اللّهو المطلق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علي، عن عليّ بن موسى‌، عن آبائه، عن الإمام أمير المؤمنين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ألهى عن ذكر اللّه فهو من الميسر</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كما تقدّم في مبحث القمار</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لا ريب في أنّ المراد ليس جعل كلّ ما يوجب الالتهاء عن ذكر اللّه بمعنى الاشتغال الفعلي عنه من الميسر المحرّم، إذ كلّ فعل مباح يكون كذلك، فلابدَّ من حملة على إرادة حصول حالة الاحتجاب للنفس من تلك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عن الإمام الباقر عليه السلام حيث قال في جواب من خرج في السفر يطلب الصيد بالبزاة والصقور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خَرج في لهوٍ لا يقصّر</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الطائفة تدلّ على أنّ السفر للصيد اللّهوي لا يوجب القصر، وهذا لا يلازم الحرمة، إذ وجوب الإتمام أعمّ من كون السفر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دلّت على الحرمة، فإنّما تدلّ على حرمة الصيد اللّهوي، وهذه لا تلازم حرمة اللّهو بقول مطلق، إذ لعلّ في هذا القسم منه خصوصيّة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عبّاد،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الحجاز فيه رأي، وهو في حيّز الباطل واللّهو</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لأنّ أبا عبّاد إمامي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حرمة اللّهو، وكون الغناء المحرّم من أقسامه لا يدلّ على حرمة مطلقه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الأعلى‌، عن الإمام الصادق عليه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الغناء،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رسول اللّه صلى الله عليه و آله رَخّص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أَرَدْنا أَنْ نَتَّخِذَ لَهْواً لاَتَّخَذْناهُ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اللّهو لا يناسب ساحته المقدّسة، وهذا لا يلازم حرمته علينا كما هو واضح، والاستشهاد بالآية الشريفة لحرمة القول المزبور إنّما هو من قبيل ذكر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اللّهو من الباطل</w:t>
      </w:r>
      <w:r>
        <w:rPr>
          <w:rStyle w:val="FootnoteAnchor"/>
          <w:rtl w:val="true"/>
        </w:rPr>
        <w:footnoteReference w:id="649"/>
      </w:r>
      <w:r>
        <w:rPr>
          <w:rFonts w:ascii="Amiri" w:hAnsi="Amiri" w:eastAsia="Amiri" w:cs="Amiri"/>
          <w:color w:val="111111"/>
          <w:sz w:val="28"/>
          <w:sz w:val="28"/>
          <w:szCs w:val="28"/>
          <w:rtl w:val="true"/>
          <w:lang w:bidi="ar-SA"/>
        </w:rPr>
        <w:t>، بضميمة ما يظهر منه حرمة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يدلّ على حرمة الباطل العرفي دليلٌ‌، وغاية ما يستفاد من الأدلّة حرمة قسمٍ خاص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الحال فيما أيّد به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عمّا ذكرناه، وسَلّمنا دلالة ما تقدّم على حرمة اللّهو بقول مطلق، فإنّه لا مناص من حمله على قسمٍ خاص منه، وذلك لما عرفت من أنّ اللّهو هو الاشتغال عن اللّه تعالى‌، وحيثُ لا ريب في أنّ مجرّد الاشتغال الفعلي لا يكون حراماً، وإلّا لزم حرمة جميع الأفعال المباحة، فلا محيص عن إرادة حالة الالتهاء عن اللّه، وهي لا تحصل إلّاعن بعض الأُمور، وقد دلّ الدليل على أنّ بعض الأشياء منها، فما لم يدلّ دليلٌ على منشأيّة فعلٍ لحصول تلك الحالة، لما كان وجه للحكم بحرمته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18" w:name="pg11815_192788"/>
    </w:p>
    <w:p>
      <w:pPr>
        <w:pStyle w:val="Heading2"/>
        <w:numPr>
          <w:ilvl w:val="1"/>
          <w:numId w:val="1"/>
        </w:numPr>
        <w:rPr/>
      </w:pPr>
      <w:bookmarkStart w:id="219" w:name="__RefHeading___Toc10830581_73709187"/>
      <w:bookmarkStart w:id="220" w:name="_Toc73"/>
      <w:bookmarkEnd w:id="218"/>
      <w:bookmarkEnd w:id="219"/>
      <w:r>
        <w:rPr>
          <w:rtl w:val="true"/>
        </w:rPr>
        <w:t>اللَّعب واللَّغو</w:t>
      </w:r>
      <w:bookmarkEnd w:id="2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هنا عنوانين آخرين، وهما اللَّعب واللَّغو، لابدَّ من التعرّض لحكمهما في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الفعل لغاية الإلتذاذ بلا قصد غايةٍ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الحِلّي و الطبرسي حرمته بقول مطلق، وقداختار الشيخ رحمه الله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حيث لم يدلّ دليل على حرمته ولا على كراهته، فالأظهر عدم الكراهة أيضاً، والمرسل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لعب حرامٌ إلّاثلاثة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الرّجل بقوسه وفرسه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لإرساله لا يعتمد عليه، وأظنّ أنّ الطبرسي أراد بذلك ما رُوي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لهو المؤمن باطلٌ إلّافي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تأديبه الفرس، ورميه عن قوسه، وملاعبته امرأته، فإنّهنّ حقّ‌</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إنّما يكون في اللّهو دون اللّعب، ومضافاً إلى ضعف سنده للرفع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كلّ لهوٍ باطل، ولا دليل على حرمة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قيام الضرورة على جواز اللّعب في الجملة، وكونه من المباحات الشرعيّة كاللّعب باللّحية أو الأحجار أو الحَبل أو نحوها، وعليه فلو دلّ دليل على النهي عنه لابدَّ من حمله على قسمٍ خاص منه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الفعل الخالي عن الغاية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الشيخ رحمه الله</w:t>
      </w:r>
      <w:r>
        <w:rPr>
          <w:rStyle w:val="FootnoteAnchor"/>
          <w:rtl w:val="true"/>
        </w:rPr>
        <w:footnoteReference w:id="651"/>
      </w:r>
      <w:r>
        <w:rPr>
          <w:rFonts w:ascii="Amiri" w:hAnsi="Amiri" w:eastAsia="Amiri" w:cs="Amiri"/>
          <w:color w:val="111111"/>
          <w:sz w:val="28"/>
          <w:sz w:val="28"/>
          <w:szCs w:val="28"/>
          <w:rtl w:val="true"/>
          <w:lang w:bidi="ar-SA"/>
        </w:rPr>
        <w:t>من خبر أبي عبّاد المتقدّم اتّحاد اللّغو واللّهو، لاستشهاده عليه السلام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لحرمة الغناء الذي قال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حيّز الباطل واللّهو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يدلّ على صدق العنوانين في بعض الموارد وهو السماع، حيث إنّه لغو في نفسه، واستماعه يوجب حالة الالتهاء عن اللّه تعالى‌، فلا دلالة فيه على اتّحاد مفهومهما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الكابلي، عن سيِّد الساجدين عليه 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بشرب الخمر واللّعب بالقمار، وتعاطي ما يضحك الناس من اللّغو والمزاح وذكر عيوب الناس</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 النبيّ صلى الله عليه و آله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ليتكلّم بالكلمة في المجلس ليضحكهم بها فيهوي في جهنّم ما بين السماء والأرض</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ولا أقلّ من المحتمل عدم إرادة مطلق اللّغو منها، حيث إنّها ليست إلّافي مقام بيان ما يترتّب على التجنّب عن اللّغو، فلا يمكن التمسّك بإطلاقها، والمتيقّن منها إرادة الغناء، مع أنّه لا ظهور في الآية إلّافي رجحان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التجنّب عنه، ولا تدلّ على لزومه، مضافاً إلى أنّها في مقام بيان ما يترتّب على الإعراض عن اللّغو، وأنّ الراجح هو المرور باللّغو مرور الكرام، فسبيل هذه الآية سبيل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اَللَّغْوَ أَعْرَضُوا عَنْهُ‌</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 الكابلي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فمضافاً إلى ضعف سنده لبكر بن عبد اللّه بن حبيب</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مقام بيان الذنوب التي توجب هذه الحالة ترتّبها، وهي هتك العِصَم المفروغ كونه من الذنوب، وليس في مقام بيان حرمة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 حرمة اللّغو الموجب لهتك عصم الناس، كسخرية المؤمن ونحوها، ولايستفاد منه حرمة مطلق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لوصيّة النبيّ صلى الله عليه و آله لأبي ذرّ فإنّه مضافاً إلى ضعف سنده كما تقدّم، الظاهر منه أنّه ربما يتكلّم الإنسان بكلمة تكون كذلك لا أنّ كلّ مزاحٍ كذلك، فلعلّ ما يكون كذلك هو ما كان من قبيل الغيبة أو 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أورده المحقّق الإيرواني رحمه الله</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بأنّ الهوى كناية عن انحطاط مقامه ولو بالإحباط من حسناته ونوافله، فلا دلالة فيه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يتمّ في الجملة التي نقلها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الجملة التي وردت في الخبر ونقلناها،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فيهوى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ذلك، كما هو واضح</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21" w:name="pg11815_192791"/>
    </w:p>
    <w:p>
      <w:pPr>
        <w:pStyle w:val="Heading2"/>
        <w:numPr>
          <w:ilvl w:val="1"/>
          <w:numId w:val="1"/>
        </w:numPr>
        <w:rPr/>
      </w:pPr>
      <w:bookmarkStart w:id="222" w:name="__RefHeading___Toc10830583_73709187"/>
      <w:bookmarkStart w:id="223" w:name="_Toc74"/>
      <w:bookmarkEnd w:id="221"/>
      <w:bookmarkEnd w:id="222"/>
      <w:r>
        <w:rPr>
          <w:rtl w:val="true"/>
        </w:rPr>
        <w:t>مدح من لا يستحقّ المدح</w:t>
      </w:r>
      <w:bookmarkEnd w:id="223"/>
    </w:p>
    <w:p>
      <w:pPr>
        <w:pStyle w:val="BookText"/>
        <w:rPr/>
      </w:pPr>
      <w:r>
        <w:rPr>
          <w:rFonts w:ascii="Amiri" w:hAnsi="Amiri" w:eastAsia="Amiri" w:cs="Amiri"/>
          <w:color w:val="111111"/>
          <w:sz w:val="28"/>
          <w:sz w:val="28"/>
          <w:szCs w:val="28"/>
          <w:rtl w:val="true"/>
          <w:lang w:bidi="ar-SA"/>
        </w:rPr>
        <w:t>المسألة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من لايستحقّ المدح، أو يستحقّ الذَّم، ذكره الشيخ الأنصاري رحمه الله في قسم المكاسب المحرّمة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 الكلام هو المدح بالجملة الخبريّة بما ليس فيه، لأنّ مثله يعدّ حينئذٍ كذباً، ويدلّ على حرمته جميع ما دلَّ على حرمة الكذب، بل المراد هو المدح بها بما فيه، أو مدحه بالجملة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مَن لا يستحقّ المدح، هو من كان عدوّاً للّه لكفره وعصيانه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الشيخ رحمه الله</w:t>
      </w:r>
      <w:r>
        <w:rPr>
          <w:rStyle w:val="FootnoteAnchor"/>
          <w:rtl w:val="true"/>
        </w:rPr>
        <w:footnoteReference w:id="659"/>
      </w:r>
      <w:r>
        <w:rPr>
          <w:rFonts w:ascii="IRNazanin" w:hAnsi="IRNazanin" w:eastAsia="IRNazanin"/>
          <w:color w:val="111111"/>
          <w:sz w:val="28"/>
          <w:sz w:val="28"/>
          <w:szCs w:val="28"/>
          <w:rtl w:val="true"/>
          <w:lang w:bidi="fa-IR"/>
        </w:rPr>
        <w:t>لحرمته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وإنْ كان يُدرك ذلك، ولكن كونه بنحوٍ يلازم حرمته شرعاً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يراه خُلُقاً رديّاً لا محرّماً ما لم ينطبق عليه عنوان محرم آخر، كتقوية الظالم ونحوها، ولم يكن الممدوح ممّن تجب البراءة عنه لكونه مبتدعاً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الركون هو الميل إليهم، فإذا حَرُم الميل القلبي حَرُم </w:t>
      </w:r>
    </w:p>
    <w:p>
      <w:pPr>
        <w:pStyle w:val="BookText"/>
        <w:rPr/>
      </w:pPr>
      <w:r>
        <w:rPr>
          <w:rFonts w:ascii="Amiri" w:hAnsi="Amiri" w:eastAsia="Amiri" w:cs="Amiri"/>
          <w:color w:val="111111"/>
          <w:sz w:val="28"/>
          <w:sz w:val="28"/>
          <w:szCs w:val="28"/>
          <w:rtl w:val="true"/>
          <w:lang w:bidi="ar-SA"/>
        </w:rPr>
        <w:t>المدح بالأولويّة، أو أنّ المدح من مصاديق الميل، إذ الميل أعمّ من الميل القلبي والميل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المنهي عنه هو الركون إلى الظالم، لا مطلق العاصي، وإنْ يعدّ كلّ عاص ظالماً، إلّاأنّ المتبادر منه بحسب المتفاهم العرفي هو من شاع إطلاق الظالم عليه، أي الحاكم الجائر، أو الظالم لغيره بجناية أو سرقة، ويؤيّده صحيح أبي حمزة، عن سيِّد الساجدين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وصحبة العاصين، ومعونة الظالمين</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المقابلة آية التعدّد، وعليه فلا ربط لها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يحرم بعض مصاديق مدح من لا يستحقّ المدح، لكونه ركوناً إلى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رحمه الله،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 صاحب دنيا وأحبّه لطمع دنياه، سخط اللّه عليه، وكان في درجته مع قارون في التابوت الأسفل من النار</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المدح من مصاديق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لحفص بن عائشة الكوفي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السلطان الجائر، وذلك لوجوه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 فقيهٌ بحرمة تعظيم صاحب المال، لا سيّما إذا كان من المطيعين للّه تعالى طمعاً في ماله، بل السيرة جارية على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هذا الإطلاق على من له المال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سائر عبارات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فسبيل هذا الخبر سبيل الخبر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مَدَح سلطاناً جائراً أو تخفّف وتضعضع له طمعاً فيه، كان قرينه في النار</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بمدح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على فرض دلالة الدليل على حرمة مدح من لا يستحقّ المدح، فإنّ حرمته تختصّ بما إذا لم يضطرّ إليه لدفع ضرر، وإلّا فلا ريب في جواره،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اختصاص الخبرين بغير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التقيّة، فإنّها تدلّ على جوازها في كلّ خوف وضرورة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الشيخ رحمه الله</w:t>
      </w:r>
      <w:r>
        <w:rPr>
          <w:rStyle w:val="FootnoteAnchor"/>
          <w:rtl w:val="true"/>
        </w:rPr>
        <w:footnoteReference w:id="664"/>
      </w:r>
      <w:r>
        <w:rPr>
          <w:rFonts w:ascii="IRNazanin" w:hAnsi="IRNazanin" w:eastAsia="IRNazanin"/>
          <w:color w:val="111111"/>
          <w:sz w:val="28"/>
          <w:sz w:val="28"/>
          <w:szCs w:val="28"/>
          <w:rtl w:val="true"/>
          <w:lang w:bidi="fa-IR"/>
        </w:rPr>
        <w:t>والاُستاذ الأعظم</w:t>
      </w:r>
      <w:r>
        <w:rPr>
          <w:rStyle w:val="FootnoteAnchor"/>
          <w:rtl w:val="true"/>
        </w:rPr>
        <w:footnoteReference w:id="665"/>
      </w:r>
      <w:r>
        <w:rPr>
          <w:rFonts w:ascii="Amiri" w:hAnsi="Amiri" w:eastAsia="Amiri" w:cs="Amiri"/>
          <w:color w:val="111111"/>
          <w:sz w:val="28"/>
          <w:sz w:val="28"/>
          <w:szCs w:val="28"/>
          <w:rtl w:val="true"/>
          <w:lang w:bidi="ar-SA"/>
        </w:rPr>
        <w:t>عليه بما في جملةٍ من النصوص الواردة فيها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الناس عند اللّه يوم القيامة الذين يُكرَمونَ اتّقاء شرّهم</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جواز إكرام المُكرَمين كما لا يخفى‌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24" w:name="pg11815_192794"/>
    </w:p>
    <w:p>
      <w:pPr>
        <w:pStyle w:val="Heading2"/>
        <w:numPr>
          <w:ilvl w:val="1"/>
          <w:numId w:val="1"/>
        </w:numPr>
        <w:rPr/>
      </w:pPr>
      <w:bookmarkStart w:id="225" w:name="__RefHeading___Toc10830585_73709187"/>
      <w:bookmarkStart w:id="226" w:name="_Toc75"/>
      <w:bookmarkEnd w:id="224"/>
      <w:bookmarkEnd w:id="225"/>
      <w:r>
        <w:rPr>
          <w:rtl w:val="true"/>
        </w:rPr>
        <w:t>حرمة معونة الظالمين</w:t>
      </w:r>
      <w:bookmarkEnd w:id="226"/>
    </w:p>
    <w:p>
      <w:pPr>
        <w:pStyle w:val="BookText"/>
        <w:rPr/>
      </w:pPr>
      <w:r>
        <w:rPr>
          <w:rFonts w:ascii="Amiri" w:hAnsi="Amiri" w:eastAsia="Amiri" w:cs="Amiri"/>
          <w:color w:val="111111"/>
          <w:sz w:val="28"/>
          <w:sz w:val="28"/>
          <w:szCs w:val="28"/>
          <w:rtl w:val="true"/>
          <w:lang w:bidi="ar-SA"/>
        </w:rPr>
        <w:t>المسألة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طفحت كلماتهم بأنّ معونة الظالمين في ظلمهم حرام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مواضع من البحث نتعرّض لها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ولا كلام في حرمة معونة الظالمين في ظلمهم، وتشهد لحرمتها الأدلّة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كما يستقلّ بقبح الظلم، يستقلّ بقبح إعانة الظالم في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إذ الركون هو الميل، فتدلّ هذه الآية الشريفة على حرمة المعونة بالأولويّة، أو المراد به الدخول معهم في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حمزة، عن سيّد الساجدين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وصحبه العاصين، ومعونة الظالمين</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طلحة بن زيد،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والمُعين له والراضي به شركاء ثلاثتهم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فرض صحّة تقسيم الذنوب إلى الكبائر والصغائر، تكون معونة الظالمين من الكبائر، للتوعيد عليها في كتاب اللّه تعالى‌، وفي النصوص التي أشار الشيخ رحمه الله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الظالم للغير، كما تقدّم في المبحث السابق، ولا يعمّ الظالم لنفسه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حرمة معونة الظالمين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مبحث الإعانة على الإثم أنّ التعاون غير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أن يتعنون الشخص بأنّه من أعوان الظلمة، وتشهد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الأدلّة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الكاهلي،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سوّد اسمه في ديوان ولد 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يوم القيامة خنزيراً</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الأمر اللّاحق إنّ طائفة من النصوص تدلّ على حرمة صيرورة الشخص عوناً للظالم، وإنْ كان عمله غير مربوط بظلمه، وعليه فترديد المحقّقين الشيرازيين في حرمة كون الشخص عوناً للظالم، ولو في ما لا يرتبط بمظالمه، بل الإفتاء بجوازه، في غير محلّه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27" w:name="pg11815_192796"/>
    </w:p>
    <w:p>
      <w:pPr>
        <w:pStyle w:val="Heading2"/>
        <w:numPr>
          <w:ilvl w:val="1"/>
          <w:numId w:val="1"/>
        </w:numPr>
        <w:rPr/>
      </w:pPr>
      <w:bookmarkStart w:id="228" w:name="__RefHeading___Toc10830587_73709187"/>
      <w:bookmarkStart w:id="229" w:name="_Toc76"/>
      <w:bookmarkEnd w:id="227"/>
      <w:bookmarkEnd w:id="228"/>
      <w:r>
        <w:rPr>
          <w:rtl w:val="true"/>
        </w:rPr>
        <w:t>إعانة الظالم في غير جهة ظلمه</w:t>
      </w:r>
      <w:bookmarkEnd w:id="229"/>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Style w:val="FootnoteAnchor"/>
          <w:rtl w:val="true"/>
        </w:rPr>
        <w:footnoteReference w:id="6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معونتهم في غير المحرّمات، فظاهر كثيرٍ من الأخبار حرمتها، ولكن المشهور بين الأصحاب عدم حرمتها، بل عن العلّامة الطباطبائي الإجماع عليه</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للحرمة بنصوص كثيرة، ولكنّها لا تدلّ على ذلك، إذ الأخبار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الحرمة فيما إذا صدق على المعين عنوان عون الظالم، وكان معدوداً في العرف من المنسوبين إليه، بأن يقال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كاتبُ الظالم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عذافر، عن أبيه، عن مولانا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عذافر نبئتُ إنّك تعامل أبا أيّوب والربيع، فما حالك إذا نُودي بك في أعوان الظلمة</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إذ الظاهر منه أنّ عذافر كان دأبه المعاملة مع الظَلَمة، بحيث كان يُعدّ من 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دخل عليه رجلٌ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ربما أصاب الرّجل منّا الضيق والشدّة فيُدعى إلى البناء يبنيه، أو النهر يكريه، أو المسنّاة يصلحها، فما تقول في ذلك‌؟</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أنّي عقدتُ لهم عقدة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أعوان الظلمة يوم القيامة في سرادق من نار حتّى يحكم اللّه </w:t>
      </w:r>
    </w:p>
    <w:p>
      <w:pPr>
        <w:pStyle w:val="BookText"/>
        <w:rPr/>
      </w:pPr>
      <w:r>
        <w:rPr>
          <w:rFonts w:ascii="Amiri" w:hAnsi="Amiri" w:eastAsia="Amiri" w:cs="Amiri"/>
          <w:color w:val="111111"/>
          <w:sz w:val="28"/>
          <w:sz w:val="28"/>
          <w:szCs w:val="28"/>
          <w:rtl w:val="true"/>
          <w:lang w:bidi="ar-SA"/>
        </w:rPr>
        <w:t>بين العباد</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من تطبيق الإمام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المسؤول عنه هو من تصيبه الشدّة فيلتجئ إلى الظالمين، بحيث يكون ارتزاقه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حرمة تعظيم شوكتهم، والعمل بما يكون راجعاً إلى شأنٍ من شؤون رئاستهم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يونس بن يعقوب،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بناء المسجد تعظيم لشوكتهم، وتحصيلٌ لشأنٍ من شؤون رئاستهم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محبّتهم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صفوان الظاهر في المنع عن إكرائه الجمّال من هارون الرشيد،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بقائهم حتّى يخرج كراؤك‌؟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بقائهم فهو منهم، ومن كان منهم كان ورد النار</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أدلّ على الجواز، إذ الإمام عليه السلام رَدَعه عن محبّة بقائهم، وعلى ذلك يُحمل ما ورد في خبر العيّاشي الآتي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إليهم على العمد من الكبائر التي بها يستحقّ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النظر على وجه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 حرمة معونتهم مطلقاً ظهوراً بدويّاً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حمزة، عن السجّاد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وصحبة العاصين، ومعونة الظالمين</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السكوني،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أينَ أعوان الظلمة، ومن لاق لهم دواتاً، أو ربط كيساً، أو مدّ لهم مدّة قلم، فاحشروهم معهم</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العيّاشي،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في أعمالهم، والعون لهم، والسّعي في حوائجهم عديل الكفر</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يتعيّن حملها على أنّ المراد من معونتهم إعانتهم في ظلمهم،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الضرورة على جواز المعونة في الجملة، كبذل الطعام والشراب لهم والمعاملة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عناوين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الإعانة لهم في ظلمهم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وصيرورة الإنسان من أعوانهم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وتعظيم شوكتهم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ذلك، فلا 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جملة من النصوص المتقدّمة ضعيفة السند، إلّاأنّه لأجل مطابقة مضامينها لنصوص معتبرة، أغمضنا عن التعرّض لذلك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30" w:name="pg11815_192799"/>
    </w:p>
    <w:p>
      <w:pPr>
        <w:pStyle w:val="Heading2"/>
        <w:numPr>
          <w:ilvl w:val="1"/>
          <w:numId w:val="1"/>
        </w:numPr>
        <w:rPr/>
      </w:pPr>
      <w:bookmarkStart w:id="231" w:name="__RefHeading___Toc10830589_73709187"/>
      <w:bookmarkStart w:id="232" w:name="_Toc77"/>
      <w:bookmarkEnd w:id="230"/>
      <w:bookmarkEnd w:id="231"/>
      <w:r>
        <w:rPr>
          <w:rtl w:val="true"/>
        </w:rPr>
        <w:t>حرمة النجش</w:t>
      </w:r>
      <w:bookmarkEnd w:id="232"/>
    </w:p>
    <w:p>
      <w:pPr>
        <w:pStyle w:val="BookText"/>
        <w:rPr/>
      </w:pPr>
      <w:r>
        <w:rPr>
          <w:rFonts w:ascii="Amiri" w:hAnsi="Amiri" w:eastAsia="Amiri" w:cs="Amiri"/>
          <w:color w:val="111111"/>
          <w:sz w:val="28"/>
          <w:sz w:val="28"/>
          <w:szCs w:val="28"/>
          <w:rtl w:val="true"/>
          <w:lang w:bidi="ar-SA"/>
        </w:rPr>
        <w:t>المسألة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النجش حرامٌ‌،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85"/>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النزاع فيه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النجش هل هو زيادة الرَّجل في ثمن السّلعة ليسمعه غيره فيزيد بزيادته‌؟</w:t>
      </w:r>
    </w:p>
    <w:p>
      <w:pPr>
        <w:pStyle w:val="BookText"/>
        <w:rPr/>
      </w:pPr>
      <w:r>
        <w:rPr>
          <w:rFonts w:ascii="Amiri" w:hAnsi="Amiri" w:eastAsia="Amiri" w:cs="Amiri"/>
          <w:color w:val="111111"/>
          <w:sz w:val="28"/>
          <w:sz w:val="28"/>
          <w:szCs w:val="28"/>
          <w:rtl w:val="true"/>
          <w:lang w:bidi="ar-SA"/>
        </w:rPr>
        <w:t>أم هو مدحُ السَّلعة في البيع لينفقها ويروّجها؟</w:t>
      </w:r>
    </w:p>
    <w:p>
      <w:pPr>
        <w:pStyle w:val="BookText"/>
        <w:rPr/>
      </w:pPr>
      <w:r>
        <w:rPr>
          <w:rFonts w:ascii="Amiri" w:hAnsi="Amiri" w:eastAsia="Amiri" w:cs="Amiri"/>
          <w:color w:val="111111"/>
          <w:sz w:val="28"/>
          <w:sz w:val="28"/>
          <w:szCs w:val="28"/>
          <w:rtl w:val="true"/>
          <w:lang w:bidi="ar-SA"/>
        </w:rPr>
        <w:t>أم هو الجامع بينهما؟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الأخير، كما يظهر لمن راجع كلمات اللّغويين، وقد ورد التصريح بالتعميم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وإبراهيم الحربي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صدق النجش المواطاة مع البائع، أم لا؟ </w:t>
      </w:r>
    </w:p>
    <w:p>
      <w:pPr>
        <w:pStyle w:val="BookText"/>
        <w:rPr/>
      </w:pPr>
      <w:r>
        <w:rPr>
          <w:rFonts w:ascii="Amiri" w:hAnsi="Amiri" w:eastAsia="Amiri" w:cs="Amiri"/>
          <w:color w:val="111111"/>
          <w:sz w:val="28"/>
          <w:sz w:val="28"/>
          <w:szCs w:val="28"/>
          <w:rtl w:val="true"/>
          <w:lang w:bidi="ar-SA"/>
        </w:rPr>
        <w:t>ظاهر كلمات أكثر اللّغويين</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صريحها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ذلك، وما في كلمات بعضهم من ذكر هذا القيد، الظاهر أنّه واقعٌ موقع الغالب، إذ الغالب عدم النجش إلّامع المواطاة مع البائع،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صدقه بالمعنى الأوّل، عدم إرادة الشراء أصلاً؟ أم يكفي عدم الرغبة في شراء العين، وإنّما يزيد لغرض إيصال النفع إلى البائع، أو إظهار الثروة والتموّل أو غير ذلك‌؟</w:t>
      </w:r>
    </w:p>
    <w:p>
      <w:pPr>
        <w:pStyle w:val="BookText"/>
        <w:rPr/>
      </w:pPr>
      <w:r>
        <w:rPr>
          <w:rFonts w:ascii="Amiri" w:hAnsi="Amiri" w:eastAsia="Amiri" w:cs="Amiri"/>
          <w:color w:val="111111"/>
          <w:sz w:val="28"/>
          <w:sz w:val="28"/>
          <w:szCs w:val="28"/>
          <w:rtl w:val="true"/>
          <w:lang w:bidi="ar-SA"/>
        </w:rPr>
        <w:t>الظاهر ولا أقلّ من المتيقّن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صدقه وقوع البيع على أزيد من القيمة السوقيّة‌؟ أم يكفي وقوعه على أزيد من ما كان يشتريه لولا النجش، وإنْ كان بأقلّ من قيمته السوقية أو بما يساويها؟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هو الأوّل، وقد صرّح به جمعٌ من اللّغويين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للحرمة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إضرارٌ وهو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إنّما يقدم على الضرر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غشٌّ وتلبيسٌ‌، وقد مرّ أنّ غشّ المؤمن في المعاملة حرام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يختصّ بما إذا كان الناجش من أهل الخبرة، كي تكون زيادته كاشفة عن أنّ السلعة تسوي بالقيمة المعلنة، ويكون الناجش عالماً بأنّها لا تسوي بذلك، والمشتري جاهلاً به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الغِشّ المحرّم في المعاملة، هو مزج المبيع أو إخفاء عيبه، وأمّا مدح السلعة مثلاً فليس من هذا القبيل، ألا ترى أنّه لم يفتِ أحدٌ بحرمة مدح البائع سلعته ليرغب المشتري فيها، فلو كان يصدق الغِشّ لكان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بالقبح إلى حَدّ يستتبع جعل الحرمة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حرمة المغالبة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عليها، مع أنّها لا تصدق على مدح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حرمة الكذب، فإنّ النجش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بالكذب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ذلك لتضمّنه الإخبار بأنّه مقدمٌ على الشراء بهذا الثمن، أو أنّه يسوي بهذه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وجود مناط حرمة الكذب وهو الإغراء فيه، وقد استدلّ بهذا الوجه جمعٌ من الأساطين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النجش إنْ كان بمدح السَّلعة بما ليس فيها، أو كان بزيادة الثمن،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السلعة تسوي بهذه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اشتريه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يريد شرائها، فهو كذبٌ صريح، ويكون حراماً لذلك، وأمّا لو مدحها بما فيها، ولكن بالغ في مدحها، أو زاد الثمن لا على نحو الإخبار،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 بهذا الثمن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لحرمته، إذ مجرّد تخيّل المشتري أنّ السَّلعة تسوى بنظر الناجش بهذه القيمة،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يوجب اتّصاف كلامه بالكذب، لما عرفت من أنّ الكذب هو عدم مطابقة مراد المتكلّم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مناط حرمة الكذب الإغراء غير معلوم، بل معلومُ العدم لحرمة الكذب، وإنْ كان المخاطب مثلاً عالماً بعلم المتكلّم عدم مطابقة المُخبَر عنه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 الإمام الصادق عليه السلام،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الواشمة والمتوشمة، والنّاجش والمنجوش ملعونون على لسان محمّد صلى الله عليه و آله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الأستاذ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بضعف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مختصٌّ بصورة مواطاة الناجش مع البائع على النجش للعن المنجوش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لدعوى ضعف السند، سوى وجود محمّد بن سنان في طريقه، وهو وإنْ كان ضعيفاً على المشهور، إلّاأنّ الأظهر اعتبار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أنّه يدلّ على لعن المنجوش له أيضاً لاعلى اختصاص لعن الناجش بما إذا كان هناك منجوشٌ له مستحقّ للذّم واللّعن كي تتمّ دعوى الاختصاص</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اللّعن أعمٌّ من الحرمة، لأنّه دعاءٌ بالإبعاد المطلق الشامل للكراهة، ولذا استعمل في المكروهات في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تناجشوا ولا تدابروا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إذ في طريقه عليّ بن عبد العزيز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 الأصحاب عليه غير معلوم، فلا وجه لدعوى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الأستاذ الأعظم</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مختصٌّ بصورة مواطاة الناجش مع البائع، إذ المنهيّ عنه هو التناجش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التناجش ليس هو النجش مع المواطاة، بل هو عبارةٌ عن زياة اثنين أو أزيد في ثمن السَّلعة، ليسمع غيرهما فيزيد بزيادتهما، كما هو المتعارف في الحراج المتداول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صلى الله عليه و آله نهى عن النجش</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مرسل، ودعوى انجبار ضعف السند بعمل الأصحاب تقدّم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النجش من حيث هو، ما لم ينطبق عليه عنوان الكذب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33" w:name="pg11815_192804"/>
    </w:p>
    <w:p>
      <w:pPr>
        <w:pStyle w:val="Heading2"/>
        <w:numPr>
          <w:ilvl w:val="1"/>
          <w:numId w:val="1"/>
        </w:numPr>
        <w:rPr/>
      </w:pPr>
      <w:bookmarkStart w:id="234" w:name="__RefHeading___Toc10830591_73709187"/>
      <w:bookmarkStart w:id="235" w:name="_Toc78"/>
      <w:bookmarkEnd w:id="233"/>
      <w:bookmarkEnd w:id="234"/>
      <w:r>
        <w:rPr>
          <w:rtl w:val="true"/>
        </w:rPr>
        <w:t>النميمة</w:t>
      </w:r>
      <w:bookmarkEnd w:id="235"/>
    </w:p>
    <w:p>
      <w:pPr>
        <w:pStyle w:val="BookText"/>
        <w:rPr/>
      </w:pPr>
      <w:r>
        <w:rPr>
          <w:rFonts w:ascii="Amiri" w:hAnsi="Amiri" w:eastAsia="Amiri" w:cs="Amiri"/>
          <w:color w:val="111111"/>
          <w:sz w:val="28"/>
          <w:sz w:val="28"/>
          <w:szCs w:val="28"/>
          <w:rtl w:val="true"/>
          <w:lang w:bidi="ar-SA"/>
        </w:rPr>
        <w:t>المسألة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النميمة، وهي نقل الحديث أو الفعل من قومٍ إلى قوم على وجه الفساد والشرّ، ويعتبر في صدقها كراهة المنقول عنه، وتعلّق غرضه بستره، وأن يكون ذلك القول أو الفعل سوءاً من شتمٍ‌، أو غيبةٍ‌، أو إهانةٍ‌، فلو كان مدحاً فصدق النميمة عليه محلّ تأمّل، وإن أوجب الانزعاج والكدورة، ولا يعتبر فيها شيء آخر</w:t>
      </w:r>
      <w:r>
        <w:rPr>
          <w:rFonts w:eastAsia="Amiri" w:cs="Amiri" w:ascii="Amiri" w:hAnsi="Amiri"/>
          <w:color w:val="111111"/>
          <w:sz w:val="28"/>
          <w:szCs w:val="28"/>
          <w:rtl w:val="true"/>
          <w:lang w:bidi="ar-SA"/>
        </w:rPr>
        <w:t>.</w:t>
      </w:r>
    </w:p>
    <w:p>
      <w:pPr>
        <w:pStyle w:val="Heading2"/>
        <w:numPr>
          <w:ilvl w:val="1"/>
          <w:numId w:val="1"/>
        </w:numPr>
        <w:rPr/>
      </w:pPr>
      <w:bookmarkStart w:id="236" w:name="__RefHeading___Toc10830593_73709187"/>
      <w:bookmarkStart w:id="237" w:name="_Toc79"/>
      <w:bookmarkEnd w:id="236"/>
      <w:r>
        <w:rPr>
          <w:rtl w:val="true"/>
        </w:rPr>
        <w:t>النميمة محرّمة بالأدلّة الأربعة</w:t>
      </w:r>
      <w:bookmarkEnd w:id="2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على حرمتها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كُلَّ حَلاّفٍ مَهِينٍ هَمّازٍ مَشّاءٍ بِنَمِيمٍ‌</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أي نقّال للحديث على وجه السعاية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ماتضمّن أنّ النمّام شرّ الناس، كصحيح عبد اللّه بن سنان،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المشائون بالنميمة، المفرِّقون بين الأحبّة</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ماتضمّن العقاب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مشى في نميمةٍ بين اثنين، سلّط اللّه عليه في قبره ناراً تُحرقه إلى يوم القيامة، وإذا </w:t>
      </w:r>
    </w:p>
    <w:p>
      <w:pPr>
        <w:pStyle w:val="BookText"/>
        <w:rPr/>
      </w:pPr>
      <w:r>
        <w:rPr>
          <w:rFonts w:ascii="Amiri" w:hAnsi="Amiri" w:eastAsia="Amiri" w:cs="Amiri"/>
          <w:color w:val="111111"/>
          <w:sz w:val="28"/>
          <w:sz w:val="28"/>
          <w:szCs w:val="28"/>
          <w:rtl w:val="true"/>
          <w:lang w:bidi="ar-SA"/>
        </w:rPr>
        <w:t>خرج من قبره سلّط اللّه عليه تنيناً أسود ينهش لحمه حتّى يدخل النّار</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ماتضمّن عدم دخول النمّام الجَنّة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المحقّق الإيرواني رحمه الله</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دخول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إحباط أعماله بالنميمة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الحرمة، ألا ترى أنّ المِنّة تُبطل الصدقة وإنْ كانت واجبة، دون أن تكون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لو تمّ في بعضها، لا يتمّ في جميع تلك النصوص، مثلاً ما روي في صحيح محمّد بن قيس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محرّمة على القتاتين المشائين بالنميمة</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فإنّ تحريم الجنّة لا يكون إلّاإذا كان الفعل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يدلّ على حرمتها جميع ما دلَّ على حرمة الغيبة فيما إذا كان صدور ذلك القول أو الفعل من المقول عنه على وجهٍ محرّم وقبيح، إنْ لم يكن ذلك معتبراً في صدق النميمة كما هو الحقّ‌، وإلّا فتدلّ على حرمتها بقول مطلق، وقد استقلّ العقل بقبحها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حرمتها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فقد استدلّ لحرمتها بجملةٍ من الآيات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بدعوى أنّ النمّام قاطعٌ لما أمر اللّه به 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يوصل ومفسد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w:t>
      </w:r>
      <w:r>
        <w:rPr>
          <w:rStyle w:val="FootnoteAnchor"/>
          <w:rtl w:val="true"/>
        </w:rPr>
        <w:footnoteReference w:id="703"/>
      </w:r>
      <w:r>
        <w:rPr>
          <w:rFonts w:ascii="Amiri" w:hAnsi="Amiri" w:eastAsia="Amiri" w:cs="Amiri"/>
          <w:color w:val="111111"/>
          <w:sz w:val="28"/>
          <w:sz w:val="28"/>
          <w:szCs w:val="28"/>
          <w:rtl w:val="true"/>
          <w:lang w:bidi="ar-SA"/>
        </w:rPr>
        <w:t>متضمّنة لذمّ من يكون الوصل عليه واجباً، وهو قاطعٌ له، وذلك لأنّ مادّة الأمر ظاهرة في الوجوب، وعليه فهي أجنبيّة عن المقام، إذا النمام لا يجبُ عليه الوصل، وتختصّ بموارد وجوب الوصل كقطع الرّحم ونحوه، مع أنّ الظاهر من الآية ذم قطع الشخص نفسه عن آخر، ولاتشمل قطع الشخصين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يُفْسِدُونَ فِي اَلْأَرْضِ‌</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النمام ربما يكون مفسداً، وربما لا توجب النميمة الفساد، فالآية لا تدلّ على حرمة النميمة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بالفتنة على ما ذكره المفسِّرون هو الفتنة في الدِّين، وهو الشرك والكفر، وإنّما سُمّي بها لأنّه يؤدّي إلى الهلاك،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في الأشهر الحُرُم، فالمعنى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الكفر والشرك أعظمُ ذنباً من القتال في الأشهر الحُرُم، ويؤيّد إرادة هذا المعنى ملاحظة صدر الآية الشريفة، فهي غريبة عن المقام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38" w:name="pg11815_192807"/>
    </w:p>
    <w:p>
      <w:pPr>
        <w:pStyle w:val="Heading2"/>
        <w:numPr>
          <w:ilvl w:val="1"/>
          <w:numId w:val="1"/>
        </w:numPr>
        <w:rPr/>
      </w:pPr>
      <w:bookmarkStart w:id="239" w:name="__RefHeading___Toc10830595_73709187"/>
      <w:bookmarkStart w:id="240" w:name="_Toc80"/>
      <w:bookmarkEnd w:id="238"/>
      <w:bookmarkEnd w:id="239"/>
      <w:r>
        <w:rPr>
          <w:rtl w:val="true"/>
        </w:rPr>
        <w:t>النياحة</w:t>
      </w:r>
      <w:bookmarkEnd w:id="240"/>
    </w:p>
    <w:p>
      <w:pPr>
        <w:pStyle w:val="BookText"/>
        <w:rPr/>
      </w:pPr>
      <w:r>
        <w:rPr>
          <w:rFonts w:ascii="Amiri" w:hAnsi="Amiri" w:eastAsia="Amiri" w:cs="Amiri"/>
          <w:color w:val="111111"/>
          <w:sz w:val="28"/>
          <w:sz w:val="28"/>
          <w:szCs w:val="28"/>
          <w:rtl w:val="true"/>
          <w:lang w:bidi="ar-SA"/>
        </w:rPr>
        <w:t>المسألة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الشيخان</w:t>
      </w:r>
      <w:r>
        <w:rPr>
          <w:rStyle w:val="FootnoteAnchor"/>
          <w:rtl w:val="true"/>
        </w:rPr>
        <w:footnoteReference w:id="707"/>
      </w:r>
      <w:r>
        <w:rPr>
          <w:rFonts w:ascii="Amiri" w:hAnsi="Amiri" w:eastAsia="Amiri" w:cs="Amiri"/>
          <w:color w:val="111111"/>
          <w:sz w:val="28"/>
          <w:sz w:val="28"/>
          <w:szCs w:val="28"/>
          <w:rtl w:val="true"/>
          <w:lang w:bidi="ar-SA"/>
        </w:rPr>
        <w:t>وسلّار</w:t>
      </w:r>
      <w:r>
        <w:rPr>
          <w:rStyle w:val="FootnoteAnchor"/>
          <w:rtl w:val="true"/>
        </w:rPr>
        <w:footnoteReference w:id="708"/>
      </w:r>
      <w:r>
        <w:rPr>
          <w:rFonts w:ascii="Amiri" w:hAnsi="Amiri" w:eastAsia="Amiri" w:cs="Amiri"/>
          <w:color w:val="111111"/>
          <w:sz w:val="28"/>
          <w:sz w:val="28"/>
          <w:szCs w:val="28"/>
          <w:rtl w:val="true"/>
          <w:lang w:bidi="ar-SA"/>
        </w:rPr>
        <w:t>والحِلّي</w:t>
      </w:r>
      <w:r>
        <w:rPr>
          <w:rStyle w:val="FootnoteAnchor"/>
          <w:rtl w:val="true"/>
        </w:rPr>
        <w:footnoteReference w:id="709"/>
      </w:r>
      <w:r>
        <w:rPr>
          <w:rFonts w:ascii="Amiri" w:hAnsi="Amiri" w:eastAsia="Amiri" w:cs="Amiri"/>
          <w:color w:val="111111"/>
          <w:sz w:val="28"/>
          <w:sz w:val="28"/>
          <w:szCs w:val="28"/>
          <w:rtl w:val="true"/>
          <w:lang w:bidi="ar-SA"/>
        </w:rPr>
        <w:t>والمحقّق</w:t>
      </w:r>
      <w:r>
        <w:rPr>
          <w:rStyle w:val="FootnoteAnchor"/>
          <w:rtl w:val="true"/>
        </w:rPr>
        <w:footnoteReference w:id="710"/>
      </w:r>
      <w:r>
        <w:rPr>
          <w:rFonts w:ascii="Amiri" w:hAnsi="Amiri" w:eastAsia="Amiri" w:cs="Amiri"/>
          <w:color w:val="111111"/>
          <w:sz w:val="28"/>
          <w:sz w:val="28"/>
          <w:szCs w:val="28"/>
          <w:rtl w:val="true"/>
          <w:lang w:bidi="ar-SA"/>
        </w:rPr>
        <w:t>ومن تأخّر عنه أنّ من مصاديق وأفراد المكاسب المحرّمة هو النوح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يقتضي 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فيه كلمات القوم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 مطلقاً، وهو الذي اختاره جمعٌ من الأصحاب</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بالكراهة كذلك، اختاره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بالتفصيل بين النوح بالباطل فيحرم، وبين النوح بالحقّ‌، أي ما لا يستلزم محرّماً فيجوز،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القائلين بالقول الثالث اختلفوا على أقوال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النوح بالحقّ على 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من غير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على كراهة إذا اشترطت فيه الاُجرة، وإلّا فلا كراهة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هذا الباب فعلى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الحسين 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ماتت ابنةٌ لأبي عبد اللّه عليه السلام فناح عليها سنة، ثمّ ماتَ له ولدٌ آخر فناح عليه سنة، ثمّ مات إسماعيل فَجَزع عليه جزعاً شديداً، فقطع النوح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أيُناح في دارك‌؟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ماتَ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عليه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بن يعقوب،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أوقف لي من مالي كذا وكذا لنوادبٍ تندبني عشر سنين بمنى أيّام منى</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بالنوح على الإمام، ويحتمل اختصاص ذلك بالأئمّة عليهم السلام لما فيه من تشييد حُبّهم وبغض ظالميهم في القلوب، وهما العمدة في الإيمان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حال ما تضمّن نوح فاطمة عليها السلام لأبيها صلى الله عليه و آله، بل والفاطميّات في كربلاء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الثمالي المتضمّن نوح اُمّ سلمة زوجة النبيّ صلى الله عليه و آله لابن عمّها الوليد في حضوره صلى الله عليه و آله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من النياحة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ونهي عن النياحة</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الزعفراني،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اُصيب بمصيبة فجاء عند تلك المصيبة بنائحةٍ فقد كفّرها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النائحة إذا لم تتب قبل موتها، تقوم يوم القيامة وعليها سربال من قطران</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النوح على الميّت أيصلح‌؟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البأس به إنْ لم يكن بالباطل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الذي رواه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بكسب النائحة إذا قالت صدقاً</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وإنْ دلّ بالمطابقة على حكم الكسب، الظاهر في الحكم الوضعي، إلّاأنّه بالالتزام يدلّ على الجواز التكليفي فيما إذا قالت صدقاً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مقام الجمع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مع قطع النظر عن ضعف سند جملةٍ منها، تُحمل الأخبار المانعة على النوح بغير الصدق والباطل، والمجوّزة على النوح بالحقّ‌، لأنّ الطائفة الرابعة بمنطوقها تقيّد الأخبار المانعة، وبمفهومها تقيّد 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أنّها غير ظاهرة في الكراهة الاصطلاحيّة، فإمّا أن تُحمل على المنع، فسبيلها سبيل الطائفة الثانية، أو يقال إنّها مجملة لا يستفاد منها أزيد من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لا دليل على الكراهة في غير مورد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فلإجمال الخبر واحتمال إرادة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عن قصور السند، وإلّا فالطائفتان الثانية والرابعة ضعيفتا السند،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بظهور الطائفة الثالثة في المنع تقع المعارضة بينها وبين الطائفة الأُولى، لعدم إمكان الجمع بالحمل على الكراهة، لدلالة خبر الحسين بن زيد على عدم الكراهة، كما لا يخفى‌، فلابدَّ من الرجوع إلى المرجّحات، وهي تقتضي تقديم الأولى للأشهريّة ولمخالفتها للعامّة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بأنّها مجملة، لا يستفاد منها أزيد من الكراهة، فتقدّم الأُولى </w:t>
      </w:r>
    </w:p>
    <w:p>
      <w:pPr>
        <w:pStyle w:val="BookText"/>
        <w:rPr/>
      </w:pPr>
      <w:r>
        <w:rPr>
          <w:rFonts w:ascii="Amiri" w:hAnsi="Amiri" w:eastAsia="Amiri" w:cs="Amiri"/>
          <w:color w:val="111111"/>
          <w:sz w:val="28"/>
          <w:sz w:val="28"/>
          <w:szCs w:val="28"/>
          <w:rtl w:val="true"/>
          <w:lang w:bidi="ar-SA"/>
        </w:rPr>
        <w:t>للأشهريّة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بعد الجمع بينها تدلّ على جواز النياحة مطلقاً، والنسبة بينها وبين النصوص الدالّة على حرمة الكذب وحرمة الغناء هي العموم من وجه، فتتساقطان في المجمع، والمرجع إلى أصالة الحِلّ‌، ولازم ذلك جوازها وإنْ كان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تدلّ على جواز النوح من حيث هو، مع قطع النظر عن العناوين الثانويّة المنطبقة عليه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الجواز ما لم ينطبق عليه أحد العناوين المحرّمة كالكذب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أيضاً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بأجر النائحة التي تنوح على الميّت</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عذافر،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وسُئل عن كسب النائحة‌؟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تستحلّه بضرب إحدى يديها على الاُخرى‌</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تأخذ الأجر على النياحة، بل على ما يضمّ إليها من الأعمال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إذا كان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الفقيه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إذا لم تشارط وقبلت النائحة ما يُعطى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حنّان،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لها لا تشارط وتقبل ما أُعطيت</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بظاهره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كسب المغنّية والنائحة فكرهه</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مقام الجمع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طرح خبر عذافر لجهالته، 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لإرساله،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المنع كما تقدّم، أنّه يقيد إطلاق الطائفة المجوّزة بموثّق حنّان المفصّل بين الاشتراط وعدمه، مع قبولها ما تُعطى، فتكون النتيجة أنّ كسب النائحة جائز إذا لم تشارط وقبلت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41" w:name="pg11815_192813"/>
    </w:p>
    <w:p>
      <w:pPr>
        <w:pStyle w:val="Heading2"/>
        <w:numPr>
          <w:ilvl w:val="1"/>
          <w:numId w:val="1"/>
        </w:numPr>
        <w:rPr/>
      </w:pPr>
      <w:bookmarkStart w:id="242" w:name="__RefHeading___Toc10830597_73709187"/>
      <w:bookmarkStart w:id="243" w:name="_Toc81"/>
      <w:bookmarkEnd w:id="241"/>
      <w:bookmarkEnd w:id="242"/>
      <w:r>
        <w:rPr>
          <w:rtl w:val="true"/>
        </w:rPr>
        <w:t>حكم قبول ولاية الجائر</w:t>
      </w:r>
      <w:bookmarkEnd w:id="243"/>
    </w:p>
    <w:p>
      <w:pPr>
        <w:pStyle w:val="BookText"/>
        <w:rPr/>
      </w:pPr>
      <w:r>
        <w:rPr>
          <w:rFonts w:ascii="Amiri" w:hAnsi="Amiri" w:eastAsia="Amiri" w:cs="Amiri"/>
          <w:color w:val="111111"/>
          <w:sz w:val="28"/>
          <w:sz w:val="28"/>
          <w:szCs w:val="28"/>
          <w:rtl w:val="true"/>
          <w:lang w:bidi="ar-SA"/>
        </w:rPr>
        <w:t>المسألة 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حرمة قبول الولاية من قبل الجائر في الجملة، وتشهد له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جعفر عليه السلام على باب داره بالمدينة، فنظر إلى الناس يمرّون أفواجاً، فقال لبعض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بالمدينة 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ولّي المدينة وال، فغدا الناس يهنّئونه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ليغدي عليه بالأمر يهني به، وإنّه لبابٌ من أبواب النار</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النصوص الكثيرة، وهذا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والمناقشة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قبول الولاية من قِبل الجائر، أي أخذ المنصب منه بنفسها محرّمة، وإنْ لم ينضمّ إليها أعمالها؟</w:t>
      </w:r>
    </w:p>
    <w:p>
      <w:pPr>
        <w:pStyle w:val="BookText"/>
        <w:rPr/>
      </w:pPr>
      <w:r>
        <w:rPr>
          <w:rFonts w:ascii="Amiri" w:hAnsi="Amiri" w:eastAsia="Amiri" w:cs="Amiri"/>
          <w:color w:val="111111"/>
          <w:sz w:val="28"/>
          <w:sz w:val="28"/>
          <w:szCs w:val="28"/>
          <w:rtl w:val="true"/>
          <w:lang w:bidi="ar-SA"/>
        </w:rPr>
        <w:t>أم تختصّ الحرمة بالقيام بأعمالها؟</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المحرّم هو مطلق أعمالها؟</w:t>
      </w:r>
    </w:p>
    <w:p>
      <w:pPr>
        <w:pStyle w:val="BookText"/>
        <w:rPr/>
      </w:pPr>
      <w:r>
        <w:rPr>
          <w:rFonts w:ascii="Amiri" w:hAnsi="Amiri" w:eastAsia="Amiri" w:cs="Amiri"/>
          <w:color w:val="111111"/>
          <w:sz w:val="28"/>
          <w:sz w:val="28"/>
          <w:szCs w:val="28"/>
          <w:rtl w:val="true"/>
          <w:lang w:bidi="ar-SA"/>
        </w:rPr>
        <w:t>أو أنّ المحرّم خصوص أعمالها المحرّمة‌؟</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الأوّل، وذلك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لظهور جملة من نصوص الباب في ذلك، وهي النصوص الناهية عن </w:t>
      </w:r>
    </w:p>
    <w:p>
      <w:pPr>
        <w:pStyle w:val="BookText"/>
        <w:rPr/>
      </w:pPr>
      <w:r>
        <w:rPr>
          <w:rFonts w:ascii="Amiri" w:hAnsi="Amiri" w:eastAsia="Amiri" w:cs="Amiri"/>
          <w:color w:val="111111"/>
          <w:sz w:val="28"/>
          <w:sz w:val="28"/>
          <w:szCs w:val="28"/>
          <w:rtl w:val="true"/>
          <w:lang w:bidi="ar-SA"/>
        </w:rPr>
        <w:t>الولاية، والتضمّنة للوعيد عليها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الوالي يعدّ من أعظم الأعوان للظَلَمة، وقد تقدّم أنّ صيرورة الشخص من أعوان الظالم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المحقّق الإيرواني</w:t>
      </w:r>
      <w:r>
        <w:rPr>
          <w:rStyle w:val="FootnoteAnchor"/>
          <w:rtl w:val="true"/>
        </w:rPr>
        <w:footnoteReference w:id="728"/>
      </w:r>
      <w:r>
        <w:rPr>
          <w:rFonts w:ascii="Amiri" w:hAnsi="Amiri" w:eastAsia="Amiri" w:cs="Amiri"/>
          <w:color w:val="111111"/>
          <w:sz w:val="28"/>
          <w:sz w:val="28"/>
          <w:szCs w:val="28"/>
          <w:rtl w:val="true"/>
          <w:lang w:bidi="ar-SA"/>
        </w:rPr>
        <w:t>لعدم كونها بنفسها من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منصرف تلك الأدلّة حرمة الولاية، بمعنى القيام بأعمالها، لا مجرّد أخذ المنصب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أخذ المنصب لو كان حراماً في نفسه، لما جاز ذلك لأجل غاية مستحبّة، وقد ادّعى الشيخ رحمه الله</w:t>
      </w:r>
      <w:r>
        <w:rPr>
          <w:rStyle w:val="FootnoteAnchor"/>
          <w:rtl w:val="true"/>
        </w:rPr>
        <w:footnoteReference w:id="729"/>
      </w:r>
      <w:r>
        <w:rPr>
          <w:rFonts w:ascii="Amiri" w:hAnsi="Amiri" w:eastAsia="Amiri" w:cs="Amiri"/>
          <w:color w:val="111111"/>
          <w:sz w:val="28"/>
          <w:sz w:val="28"/>
          <w:szCs w:val="28"/>
          <w:rtl w:val="true"/>
          <w:lang w:bidi="ar-SA"/>
        </w:rPr>
        <w:t>تطابق الأدلّة على جوازه لأجل هذه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وبالتعليل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لحرمتها،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ولاية الوالي الجائر دروس الحقّ كلّه، وإحياء الباطل كلّه، وإظهار الظلم والجور والفساد، وإبطال الكتب، وقتل الأنبياء، وهدم المساجد، وتبديل سُنّة اللّه وشرائعه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زياد بن أبي سلمة، عن الإمام موسى بن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 لأن أسقط من حالق فاتقطع قطعة قطعة أحبُّ إليَّ من أن أتولّى لأحدٍ منهم عملاً أو أطأ بساط رجلٍ منهم، إلّالمإذا؟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إلّالتفريج كَربةٍ عن مؤمن، أو فَكّ أسره، أو قضاء دَينه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منشأ لدعوى الانصراف سوى الغلبة، وهي لا توجبُ الانصراف المقيّد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سنده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ضعيف السند لحسين بن الحسن الهاشمي، فضلاً عن أنّه يدلّ على أنّ قبول الولاية عنهم حرام إلّاللاُمور الثلاثة المذكورة فيه، وظاهر ذلك هو حرمة نفس الولاية في غير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بالتعليل الوارد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وبحسن داود بن زربي،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القيام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ذلك إشارة إلى الترخيص في الدخول، مع أنّه لو كان المشار إليه هو العدل، أمكن القول بعدم دلالته على جواز الولاية نفسها، إذ الظاهر أنّ السائل من العامّة، كما يظهر من حلفه بالطلاق والعِتاق، وعليه، فلم يكن له محيصٌ من التخلّص إلّابذلك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حرمة الولاية من حيث هي، ولو انضمّ إليها عملٌ محرّم فإنّه يعاقب بعقابين، ولو لم يعمل شيئاً من الأعمال المحرّمة عوقب عقاباً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44" w:name="pg11815_192816"/>
    </w:p>
    <w:p>
      <w:pPr>
        <w:pStyle w:val="Heading2"/>
        <w:numPr>
          <w:ilvl w:val="1"/>
          <w:numId w:val="1"/>
        </w:numPr>
        <w:rPr/>
      </w:pPr>
      <w:bookmarkStart w:id="245" w:name="__RefHeading___Toc10830599_73709187"/>
      <w:bookmarkStart w:id="246" w:name="_Toc82"/>
      <w:bookmarkEnd w:id="244"/>
      <w:bookmarkEnd w:id="245"/>
      <w:r>
        <w:rPr>
          <w:rtl w:val="true"/>
        </w:rPr>
        <w:t>أخذ الولاية للقيام بمصالح العباد</w:t>
      </w:r>
      <w:bookmarkEnd w:id="24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قبول الولاية وتصدّيها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بمصالح العباد، وقد استدلّ لجوازه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إنْ كانت محرّمة لذاتها، جاز ارتكابها لأجل المصالح ودفع المفاسد التي هي أهمّمن مفسدة انسلاك الشخص في أعوان الظلمة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للايرواني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المراد من المصالح ما كان من قبيل حفظالنفوس، فالمدّعى أعمّ من ذلك، وإنْ كان المراد المصالح غير اللّزوميّة، فلا شبهة في أنّ مجرّد ذلك لا يقاوم الجهة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الإيرواني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تأييد ما ذكره الشيخ رحمه الله ما يكون جواباً عن ذلك،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يحصل التوازن والتكاسر بين الملاكات، ثمّ المتخلّف من ملاك الحكم الإلزامي لم يكن إلّااليسير غير المقتضي للإلزام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مرّ في مبحث الغناء</w:t>
      </w:r>
      <w:r>
        <w:rPr>
          <w:rStyle w:val="FootnoteAnchor"/>
          <w:rtl w:val="true"/>
        </w:rPr>
        <w:footnoteReference w:id="734"/>
      </w:r>
      <w:r>
        <w:rPr>
          <w:rFonts w:ascii="Amiri" w:hAnsi="Amiri" w:eastAsia="Amiri" w:cs="Amiri"/>
          <w:color w:val="111111"/>
          <w:sz w:val="28"/>
          <w:sz w:val="28"/>
          <w:szCs w:val="28"/>
          <w:rtl w:val="true"/>
          <w:lang w:bidi="ar-SA"/>
        </w:rPr>
        <w:t>من أنّ مورد انطباق عنوانين أحدهما محرّم والآخر مستحبّ على شيء، لا يكون من موارد تزاحم الملاكات، بل من باب التنافي بين الحكمين،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المبحث بأنّ أدلّة الأحكام الالتزاميّة لا تُزاحم بأدلّة الأحكام الترخيصيّة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من موارد تزاحم الحكمين، حيث أنّ المحرّم هو أخذ المنصب والتولّي من قبل الجائر، والمستحبّ هو قضاء حوائج المؤمنين مثلاً، والمفروض عدم قدرة المكلّف على </w:t>
      </w:r>
    </w:p>
    <w:p>
      <w:pPr>
        <w:pStyle w:val="BookText"/>
        <w:rPr/>
      </w:pPr>
      <w:r>
        <w:rPr>
          <w:rFonts w:ascii="Amiri" w:hAnsi="Amiri" w:eastAsia="Amiri" w:cs="Amiri"/>
          <w:color w:val="111111"/>
          <w:sz w:val="28"/>
          <w:sz w:val="28"/>
          <w:szCs w:val="28"/>
          <w:rtl w:val="true"/>
          <w:lang w:bidi="ar-SA"/>
        </w:rPr>
        <w:t>امتثال التكليفين، فلابدَّ من سقوط أحدهما، ولا شبهة في أنّ الساقط في هذا المقام هو الحكم الاستحبابي دون التحريمي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لمعلوميّة مدرك المُجمِعين، لا يكون ذلك إجماعاً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حكايةً عن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المحقّق الإيرواني</w:t>
      </w:r>
      <w:r>
        <w:rPr>
          <w:rStyle w:val="FootnoteAnchor"/>
          <w:rtl w:val="true"/>
        </w:rPr>
        <w:footnoteReference w:id="736"/>
      </w:r>
      <w:r>
        <w:rPr>
          <w:rFonts w:ascii="IRNazanin" w:hAnsi="IRNazanin" w:eastAsia="IRNazanin"/>
          <w:color w:val="111111"/>
          <w:sz w:val="28"/>
          <w:sz w:val="28"/>
          <w:szCs w:val="28"/>
          <w:rtl w:val="true"/>
          <w:lang w:bidi="fa-IR"/>
        </w:rPr>
        <w:t>والاُستاذ الأعظم</w:t>
      </w:r>
      <w:r>
        <w:rPr>
          <w:rStyle w:val="FootnoteAnchor"/>
          <w:rtl w:val="true"/>
        </w:rPr>
        <w:footnoteReference w:id="7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22347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بأنّ يوسف كان مستحقّاً للسلطنة، فاقتصاره على المرتبة التي دونها لا يوجب كونه والياً من قِبل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هو الولاية من قِبل الجائر، وتقلّد هذا المنصب منه، سواءٌ أكان الوالي مستحقّاً لذلك المنصب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وردت روايات تفيد أنّ قبول يوسف للولاية كان عن 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كان سبباً لحفظ النفوس من الموت بالقحط والغلاء، ولا شبهة في الجواز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أنّه لا يمكن الاستدلال له بقبول علي بن موسى الرضا عليه السلام ولاية العهد، فإنّه كان عن كُرهٍ كما نطقت به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وقد ذكر الشيخ رحمه الله جملة منها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والبقيّة مذكورة في كتب الأحاديث كالوسائل، وتلك النصوص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الوالي والعريف إذا ظلم يعاقب في جهنّم، وإذا قام بمصالح العباد يعاقب في خارج جهنّم، كالنبوي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عرافة قومٍ أُتي به يوم القيامة ويداه مغلولتان إلى عنقه، فإن قام فيهم بأمر اللّه أطلقه اللّه، وإنْ كان ظالماً هوى به في نار جهنّم</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الطائفة تدلّ على خلاف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رجحان فعل الوالي من قضاء حاجة المؤمن ونحوه غير المتضمّن لجواز الولاية، ولا لعدم الوعيد عليها، وهي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الطائفة غريبة عن المقام، إذ لا ينكر أحدٌ رجحان تلك الأعمال، سواءٌ أكانت الولاية محرّمة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الإحسان إلى الإخوان كفّارة لما تصدّاه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عمل السلطان قضاء حوائج الاخوان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خبر زياد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ولّيتَ شيئاً من أعمالهم فأحسن إلى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اخوانك فواحدة بواحدة</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الطائفة أيضاً أدلّ على خلاف المطلوب، كما لا يخفى‌، فلا يدلّ عليه، إذ لا ظهور في الاستثناء في رجوعه إلى الجملة الأولى،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الجملة الأخيرة، وعليه فلا يدلّ على جواز الولاية ولو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الشحّام،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أمراً من اُمور الناس، فعدل فيهم، وفتح بابه، ورفع ستره، ونظر في أُمور الناس، كان حقّاً على اللّه عزّ وجلّ أن يؤمن روعته يوم القيامة، ويدخله الجنّة</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فمضافاً إلى أنّه كما يلائم جواز الولاية يلائم مع حرمتها، وكون الأُمور المذكورة كفّارة لها، أنّه لا إطلاق له كي يشمل التولّي من قبل الجائر، ولعلّه مختصٌّ بالتولّي من قبل السلطان العادل، أو من تولّى بنصب الناس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 النصوص إلّاقليلٌ من ما ذكروه، وبه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مع السلطان أولياء يدفع بهم عن أوليائه</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عُتقاء اللّه من النار</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تعالى مع السلطان من هو كذلك، لا يلازم أن يكون ذلك والياً من قِبله، بل هم عدّة من وجوه البلد وأعيانه الذين يختلفون إليه لأجل قضاء حوائج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يشتمل على ما يدلّ على جواز تصدّيهم للولاية، كما عن المحقّق الإيرواني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هذا الكلام إرادة المنصوبين من قبله، وأمّا الأعيان المختلفون إليه، فهم ليسوا مع السلطان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التعبير عنهم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أقوى الأدلّة على جواز تصدّي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عنه عليه السلام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آذنُ لك بالخروج من عملهم، واتّق اللّه</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في جواب استيذانه بالخروج من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القيام بها كفّارة لما تصداه، لا يصلح للمعارضة مع تلك النصوص لضعف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فلإرساله، مضافاً إلى أنّ الظاهر منهما اختصاص ذلك بما إذا كان الدخول في الولاية حراماً ابتداءً ثمّ تبدّل قصده إلى الإحسان بالاخوان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من قِبل الجائر جائزة إذا كانت للقيام بمصالح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47" w:name="pg11815_192821"/>
    </w:p>
    <w:p>
      <w:pPr>
        <w:pStyle w:val="Heading2"/>
        <w:numPr>
          <w:ilvl w:val="1"/>
          <w:numId w:val="1"/>
        </w:numPr>
        <w:rPr/>
      </w:pPr>
      <w:bookmarkStart w:id="248" w:name="__RefHeading___Toc10830601_73709187"/>
      <w:bookmarkStart w:id="249" w:name="_Toc83"/>
      <w:bookmarkEnd w:id="247"/>
      <w:bookmarkEnd w:id="248"/>
      <w:r>
        <w:rPr>
          <w:rtl w:val="true"/>
        </w:rPr>
        <w:t>أقسام الولاية من قِبل الجائر</w:t>
      </w:r>
      <w:bookmarkEnd w:id="24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أنّه على فرض عدم حرمة قبول منصب الولاية فما هو حكمه، هل هو الإباحة، أو الاستحباب، أو الوجوب‌؟</w:t>
      </w:r>
    </w:p>
    <w:p>
      <w:pPr>
        <w:pStyle w:val="BookText"/>
        <w:rPr/>
      </w:pPr>
      <w:r>
        <w:rPr>
          <w:rFonts w:ascii="Amiri" w:hAnsi="Amiri" w:eastAsia="Amiri" w:cs="Amiri"/>
          <w:color w:val="111111"/>
          <w:sz w:val="28"/>
          <w:sz w:val="28"/>
          <w:szCs w:val="28"/>
          <w:rtl w:val="true"/>
          <w:lang w:bidi="ar-SA"/>
        </w:rPr>
        <w:t>وملخّص الكلام في هذه المسألة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غير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مواضع للبحث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مقتضى القواعد استحباب الولاية في غير موارد وجوبها، لكونها مقدّمة للمستحبّ‌، وقد حُقّق في محلّه أنّ مقدّمة المستحبّ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المستحبّ إنّما تتّصف بالاستحباب إذا لم تكن محرّمة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اللّذين ذكرهما الشيخ رحمه الله</w:t>
      </w:r>
      <w:r>
        <w:rPr>
          <w:rStyle w:val="FootnoteAnchor"/>
          <w:rtl w:val="true"/>
        </w:rPr>
        <w:footnoteReference w:id="747"/>
      </w:r>
      <w:r>
        <w:rPr>
          <w:rFonts w:ascii="IRNazanin" w:hAnsi="IRNazanin" w:eastAsia="IRNazanin"/>
          <w:color w:val="111111"/>
          <w:sz w:val="28"/>
          <w:sz w:val="28"/>
          <w:szCs w:val="28"/>
          <w:rtl w:val="true"/>
          <w:lang w:bidi="fa-IR"/>
        </w:rPr>
        <w:t>، وهما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مهران بن محمّد بن أبي نصر،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جبّار إلّاومعه مؤمنٌ يدفع اللّه عزّ وجلّ به عن المؤمنين، وهو أقلّهم حظّاً في الآخرة، يعني أقلّ المؤمنين حظّاً لصحبة الجبّار</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الخبر يدلّ على كراهة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بزيع،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تعالى بأبواب الظالمين مَنْ نوّر اللّه به البرهان، ومكّن له في البلاد، ليدفع بهم عن أوليائه، ويصلح اللّه بهم اُمور المسلمين، إليهم يلجأ المؤمنون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المؤمنون حقّاً، أُولئك اُمناء اللّه في أرضه، أُولئك نور اللّه في رعيّته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يدلّ على استحباب قبول الولاية من قِبل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ذلك جملة من النصوص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هشام بن سالم،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مع ولاة الجور أولياء يدفع بهم عن أوليائه، أولئك المؤمنون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 عليّ بن يقطين المتقدّم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 الشيخ رحمه الله بين الطائفتين</w:t>
      </w:r>
      <w:r>
        <w:rPr>
          <w:rStyle w:val="FootnoteAnchor"/>
          <w:rtl w:val="true"/>
        </w:rPr>
        <w:footnoteReference w:id="751"/>
      </w:r>
      <w:r>
        <w:rPr>
          <w:rFonts w:ascii="Amiri" w:hAnsi="Amiri" w:eastAsia="Amiri" w:cs="Amiri"/>
          <w:color w:val="111111"/>
          <w:sz w:val="28"/>
          <w:sz w:val="28"/>
          <w:szCs w:val="28"/>
          <w:rtl w:val="true"/>
          <w:lang w:bidi="ar-SA"/>
        </w:rPr>
        <w:t>، بحَمل الأُولى على مَن تولّي لهم لنظام معاشه، قاصداً الإحسان من خلال ذلك إلى المؤمنين، ودفع الضرر عنهم، وحَمَل الثانية على مَن لم يقصد بدخوله إلّاالإحسان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الإيرواني رحمه الله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جمعٌ تبرّعي استحساني، لم يساعده سوى الاعتبار، بلا شاهد عليه من الأخبار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رحمه الله جمع عرفي، إذ خبر مهران مطلق شاملٌ لما إذا تولّي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لخصوص الإحسان، أم له مع نظام معاشه، وخبر ابن بزيع مختصٌّ بما إذا تولّي لخصوص الإحسان، لقوله عليه السلام 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فهنيئاً لهم، ما على أحدكم أنْ لو شاء لنال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معهم فيسرّنا بإدخال السرور على المؤمنين من شيعتنا، فكُن معهم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 يقيّد إطلاق خبر مهران، فيختصّ بما إذا تولّي لنظام معاشه مع كون قصده الإحسان إلى الاخوان من خلال ذلك، وعليه فتنقلب النسبة بين خبر مهران واخبار ابن يقطين وهشام والمفضّل من التباين إلى العموم المطلق، فيقيّد إطلاقها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فتكون النتيجة ما ذكره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مهران لا يعتمد عليه لجهالته، وخبرا هشام والمفضّل وإنْ كانا مرسلين، إلّاأنّه يعتمد عليهما في الحكم بالاستحباب مطلقاً لقاعدة التسامح في أدلّة السنن، مضافاً إلى أنّ في صحيح علي بن يقطين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الأستاذ الأعظم</w:t>
      </w:r>
      <w:r>
        <w:rPr>
          <w:rStyle w:val="FootnoteAnchor"/>
          <w:rtl w:val="true"/>
        </w:rPr>
        <w:footnoteReference w:id="753"/>
      </w:r>
      <w:r>
        <w:rPr>
          <w:rFonts w:ascii="Amiri" w:hAnsi="Amiri" w:eastAsia="Amiri" w:cs="Amiri"/>
          <w:color w:val="111111"/>
          <w:sz w:val="28"/>
          <w:sz w:val="28"/>
          <w:szCs w:val="28"/>
          <w:rtl w:val="true"/>
          <w:lang w:bidi="ar-SA"/>
        </w:rPr>
        <w:t>ذكر أنّ بعض النصوص يدلّ على أنّ الولاية مباحة، ومنها صحيح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مسلمٍ وهو في ديوان هؤلاء، وهو يحبّ آل محمّد صلى الله عليه و آله، ويخرج مع هؤلاء في بعثهم فيُقتل تحت رايتهم‌؟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اللّه على نيّته</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الخبر برغم صحّته أجنبيٌ عن ما استدلّ به له، فإنّه إنّما يدلّ على أنّ القتل تحت رايتهم إنْ كان بقصد الدفاع عن بيضة الإسلام لا لتقوية سلطانهم، يُثاب عليه لكونه ناشئاً عن هذه النيّة، أو على أنّ القتل تحت رايتهم لا يوجبُ ضعفاً في إيمانه، وإنّه إنْ كان مؤمناً حُشر مؤمناً دون أن ينظر إلى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شيء من قبول الولاية الجائزة بمباحة أو مكروهة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إلى المشهور</w:t>
      </w:r>
      <w:r>
        <w:rPr>
          <w:rStyle w:val="FootnoteAnchor"/>
          <w:rtl w:val="true"/>
        </w:rPr>
        <w:footnoteReference w:id="755"/>
      </w:r>
      <w:r>
        <w:rPr>
          <w:rFonts w:ascii="Amiri" w:hAnsi="Amiri" w:eastAsia="Amiri" w:cs="Amiri"/>
          <w:color w:val="111111"/>
          <w:sz w:val="28"/>
          <w:sz w:val="28"/>
          <w:szCs w:val="28"/>
          <w:rtl w:val="true"/>
          <w:lang w:bidi="ar-SA"/>
        </w:rPr>
        <w:t xml:space="preserve">وجوب تصدّي الولاية، وإنْ توقّف الأمر بالمعروف والنهي عن المنكر الواجبان عليها،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يحكِ عن أحدٍ التعبير بالوجوب إلّاعن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وقد مرَّ أنّ الكلام في ذلك أيضاً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لعدم الوجوب بوجوه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الأمر بالمعروف والنهي عن المنكر مقيّدٌ بالقدرة الشرعيّة، ودليل حرمة الولاية مطلق من هذه الجهة، وقد حُقّق في محلّه أنّه إذا تزاحم تكليفان أحدهما مشروطٌ بالقدرة شرعاً دون الآخر، قدّم المشروط بالقدرة عقلاً على المشروط بالقدرة شرعاً، إذ ملاك الحكم غير المشروط بالقدرة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شرعاً تامٌّ لا قصور فيه، ولا مانع من جعل الحكم على طبقه، فيكون حكمه فعليّاً وموجباً لعجز المكلّف عن امتثال التكليف الآخر، ومانعاً عن تحقّق ملاكه المتوقّف على القدرة عليه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المشروط بالقدرة شرعاً، إذ جعله يتوقّف على تماميّة ملاكه، وهي تتوقّف على عدم فعليّة الحكم الآخر، فلو استند عدم فعليّته إلى فعليّة الحكم المشروط بالقدرة شرعاً لزم الدور، وهذا الوجه هو الذي أشار إليه المحقّق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حسن إنْ ثبت كون وجوب الأمر بالمعروف والنهي عن المنكر مشروطاً بالقدرة شرعاً، وإلّا فيكفي في نفي اعتبارها إطلاق الأدلّة، وحيث إنّه لا دليل عليه، والإنصراف لو كان فإنّما هو بدوي يزول بأدنى التفات، فالصحيح عدم تماميّة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من أنّه يعارض ما دلَّ على الأمر بالمعروف، وما دلَّ على حرمة الولاية من قِبل الجائر، ولو من وجه، فيجمع بينهما بالتخيير المقتضي للجواز، رفعاً لقيد المنع من الترك، ممّا دلَّ على الوجوب، والمنع من الفعل ممّا دلَّ على الحرمة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صغريات باب التزاحم لا التعارض المتوقّف على وحدة المتعلّق، إذ متعلّق الحرمة هو تصدّي منصب الولاية، ومتعلّق الوجوب هو الأمر بالمعروف والنهي عن المنكر، ولا علاقة لأحدهما بالآخر، غاية الأمر لأجل عدم قدرة المكلّف على امتثالهما يقع التنافي بينهما، فلابدَّ من الرجوع إلى مرجّحات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التزاحم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لو سُلّم كونه من صغريات باب التعارض، فإنّ ما ذكره في وجه التخيّير من الجمع بين الدليلين بما أنّه ليس جمعاً عرفيّاً لايتمّ‌، بل يتعيّن الرجوع إلى المرجّحات، وحيث إنّ النسبة بين الدليلين عمومٌ من وجه، ودلالة كلّ منهما على حكم المجمع إنّما هي بالإطلاق، فلابدَّ من الحكم بالتساقط، والرجوع إلى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المختار أخيراً تعيّن الرجوع إلى الأخبار العلاجيّة في موارد التعارض بالعموم من وجه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رحمه الله</w:t>
      </w:r>
      <w:r>
        <w:rPr>
          <w:rStyle w:val="FootnoteAnchor"/>
          <w:rtl w:val="true"/>
        </w:rPr>
        <w:footnoteReference w:id="759"/>
      </w:r>
      <w:r>
        <w:rPr>
          <w:rFonts w:ascii="Amiri" w:hAnsi="Amiri" w:eastAsia="Amiri" w:cs="Amiri"/>
          <w:color w:val="111111"/>
          <w:sz w:val="28"/>
          <w:sz w:val="28"/>
          <w:szCs w:val="28"/>
          <w:rtl w:val="true"/>
          <w:lang w:bidi="ar-SA"/>
        </w:rPr>
        <w:t>، وأوضحه الشيخ رحمه الله</w:t>
      </w:r>
      <w:r>
        <w:rPr>
          <w:rStyle w:val="FootnoteAnchor"/>
          <w:rtl w:val="true"/>
        </w:rPr>
        <w:footnoteReference w:id="760"/>
      </w:r>
      <w:r>
        <w:rPr>
          <w:rFonts w:ascii="Amiri" w:hAnsi="Amiri" w:eastAsia="Amiri" w:cs="Amiri"/>
          <w:color w:val="111111"/>
          <w:sz w:val="28"/>
          <w:sz w:val="28"/>
          <w:szCs w:val="28"/>
          <w:rtl w:val="true"/>
          <w:lang w:bidi="ar-SA"/>
        </w:rPr>
        <w:t>من قيام التزاحم بين ما دلَّ على حرمة الولاية، مع ما دلَّ على الأمر بالمعروف والنهي عن المنكر المتوقّفين عليها، فللمكلّف ملاحظة كلّ منهما، والعمل بمقتضاه، نظير تزاحم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ناحية الوجوب أهمّ فيؤخذ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ناحية الحرمة أهمّ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تتساويان، فيكون المكلّف مخيّراً في اختيار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في المقام لم يُحرز أهميّة الوجوب بهذا الحَدّ، فلا وجه للحكم بالوجوب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بناءً على عدم تماميّة ما اختاره المحقّق النائيني</w:t>
      </w:r>
      <w:r>
        <w:rPr>
          <w:rStyle w:val="FootnoteAnchor"/>
          <w:rtl w:val="true"/>
        </w:rPr>
        <w:footnoteReference w:id="761"/>
      </w:r>
      <w:r>
        <w:rPr>
          <w:rFonts w:ascii="Amiri" w:hAnsi="Amiri" w:eastAsia="Amiri" w:cs="Amiri"/>
          <w:color w:val="111111"/>
          <w:sz w:val="28"/>
          <w:sz w:val="28"/>
          <w:szCs w:val="28"/>
          <w:rtl w:val="true"/>
          <w:lang w:bidi="ar-SA"/>
        </w:rPr>
        <w:t>وتبعه جمعٌ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منهم الأستاذالأعظم</w:t>
      </w:r>
      <w:r>
        <w:rPr>
          <w:rStyle w:val="FootnoteAnchor"/>
          <w:rtl w:val="true"/>
        </w:rPr>
        <w:footnoteReference w:id="762"/>
      </w:r>
      <w:r>
        <w:rPr>
          <w:rFonts w:ascii="Amiri" w:hAnsi="Amiri" w:eastAsia="Amiri" w:cs="Amiri"/>
          <w:color w:val="111111"/>
          <w:sz w:val="28"/>
          <w:sz w:val="28"/>
          <w:szCs w:val="28"/>
          <w:rtl w:val="true"/>
          <w:lang w:bidi="ar-SA"/>
        </w:rPr>
        <w:t>من أنّه إذا تزاحم تكليفان، ولم يُحرز أهميّة أحدهما، وكانا طوليّين، يكون التكليف بالمتقدّم فعليّاً دون المتأخّر، مستدلّاً عليه بأنّ سقوط كلّ من التكليفين المتزاحمين بناءً على كون التخيير بين المتزاحمين عقليّاً لا يكون إلّا بامتثال الآخر، وبما أنّ امتثال التكليف بالمتأخّر متأخّرٌ خارجاً لتأخّر متعلّقه على الفرض، فلا يكون للتكليف بالمتقدّم مسقط في عرضه، فيتعيّن امتثاله على المكلّف بحكم العقل، وإلّا ففي صورة عدم إحراز أهميّة الوجوب، يتعيّن البناء على حرمة الولاية، وعدم جوازها، فضلاً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التصدّي للولاية التي يتوقّف عليها الأمر بالمعروف والنهي عن المنكر بحسب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تقتضي الحكم بالوجوب، إذ بعد تخصيص أدلّة حرمة الولاية بالنصوص المتقدّمة، الدالّة على جواز الولاية للقيام بمصالح المسلمين الشاملة للمقام، إمّا لكون ذلك من تلك المصالح، أو بالفحوى، فإنّه لا معارض ولا مزاحم لما دلَّ على وجوب المقدّمة، فلا مانع من اتّصافها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المتضمّنة لاستحباب الولاية، كما أنّها تُخصّص دليل حرمة الولاية، كذلك تُخصّص أدلّة الأمر بالمعروف لعدم تعقّل وجوب الأمر بالمعروف مع استحباب مقدّمته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استحباب الشيء الذي قد يكون مقدّمةً لواجبٍ لا يُعارض أدلّة وجوب ذلك الواجب، إذ استحباب الشيء في ذاته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ينافي وجوبه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متضمّنة للاستحباب المقدّمي لا الذاتي، وما ذكره رحمه الله يتمّ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تلك النصوص إنّما تدلّ على مطلق الرجحان، فيحكم في المقام بالوجوب لأجل وجوب ذي المقدّمة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قبول الولاية فيما إذا كان هناك معروفٌ متروك، أو منكرٍ معمول به، فيجب فعلاً الأمر بالأوّل والنهي عن الثاني</w:t>
      </w:r>
      <w:r>
        <w:rPr>
          <w:rFonts w:eastAsia="Amiri" w:cs="Amiri" w:ascii="Amiri" w:hAnsi="Amiri"/>
          <w:color w:val="111111"/>
          <w:sz w:val="28"/>
          <w:szCs w:val="28"/>
          <w:rtl w:val="true"/>
          <w:lang w:bidi="ar-SA"/>
        </w:rPr>
        <w:t>.</w:t>
      </w:r>
      <w:bookmarkStart w:id="250" w:name="pg11815_192829"/>
    </w:p>
    <w:p>
      <w:pPr>
        <w:pStyle w:val="Heading2"/>
        <w:numPr>
          <w:ilvl w:val="1"/>
          <w:numId w:val="1"/>
        </w:numPr>
        <w:rPr/>
      </w:pPr>
      <w:bookmarkStart w:id="251" w:name="__RefHeading___Toc10830603_73709187"/>
      <w:bookmarkStart w:id="252" w:name="_Toc84"/>
      <w:bookmarkEnd w:id="250"/>
      <w:bookmarkEnd w:id="251"/>
      <w:r>
        <w:rPr>
          <w:rtl w:val="true"/>
        </w:rPr>
        <w:t>في حكم قبول الولاية عن كُره</w:t>
      </w:r>
      <w:bookmarkEnd w:id="252"/>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أنّه يسوغ قبول الولاية عند الإكراه عليها بالتوعيد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جواز الولاية إذا اُكره عليها، وتوعّد على تركها بما يَشقّ على المُكرَه تحمّله، سواءٌ أكان ضرراً ماليّاً أم عرضيّاً، وسواءٌ تعلّق بنفسه أم بمَن يعدّ الإضرار به إضراراً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أدلّة التقيّة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وعموم ما دلَّ على رفع ما استكره عليه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وحديث نفي الضرر</w:t>
      </w:r>
      <w:r>
        <w:rPr>
          <w:rStyle w:val="FootnoteAnchor"/>
          <w:rtl w:val="true"/>
        </w:rPr>
        <w:footnoteReference w:id="765"/>
      </w:r>
      <w:r>
        <w:rPr>
          <w:rFonts w:ascii="Amiri" w:hAnsi="Amiri" w:eastAsia="Amiri" w:cs="Amiri"/>
          <w:color w:val="111111"/>
          <w:sz w:val="28"/>
          <w:sz w:val="28"/>
          <w:szCs w:val="28"/>
          <w:rtl w:val="true"/>
          <w:lang w:bidi="ar-SA"/>
        </w:rPr>
        <w:t>، إذ حرمة الولاية ضررٌ على الشخص في الفرض فهي مرفوعة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فهي غريبة عن المقام، لكونها استثناءٌ عن عموم ما دلَّ على حرمة مودّة الكفّار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لايَصحّ الاستدلال بحديث نفي الإضطرار، إذ الاضطرار غير الإكراه، وهو لا يصدق بمعناه اللّغوي في أغلب موارد الإكراه على الولاية</w:t>
      </w:r>
      <w:r>
        <w:rPr>
          <w:rFonts w:eastAsia="Amiri" w:cs="Amiri" w:ascii="Amiri" w:hAnsi="Amiri"/>
          <w:color w:val="111111"/>
          <w:sz w:val="28"/>
          <w:szCs w:val="28"/>
          <w:rtl w:val="true"/>
          <w:lang w:bidi="ar-SA"/>
        </w:rPr>
        <w:t xml:space="preserve">. </w:t>
      </w:r>
      <w:bookmarkStart w:id="253" w:name="pg11815_192830"/>
    </w:p>
    <w:p>
      <w:pPr>
        <w:pStyle w:val="Heading2"/>
        <w:numPr>
          <w:ilvl w:val="1"/>
          <w:numId w:val="1"/>
        </w:numPr>
        <w:rPr/>
      </w:pPr>
      <w:bookmarkStart w:id="254" w:name="__RefHeading___Toc10830605_73709187"/>
      <w:bookmarkStart w:id="255" w:name="_Toc85"/>
      <w:bookmarkEnd w:id="253"/>
      <w:bookmarkEnd w:id="254"/>
      <w:r>
        <w:rPr>
          <w:rtl w:val="true"/>
        </w:rPr>
        <w:t>حكم الإضرار بالنّاس مع الإكراه عليه</w:t>
      </w:r>
      <w:bookmarkEnd w:id="25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عدّة اُمور ينبغي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أنّه كما يباح بالإكراه نفس الولاية المحرّمة، كذلك يباح به ما يلزمها من المحرّمات الاُخر، وما يتّفق ممّا يصدر الأمر به من السلطان الجائر عدا إراقة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أنّ ما يرجع إلى الإضرار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نهب الأموال، وهتك الأعراض، وما شاكل هل يُباح بالإكراه، وإنْ كان الضرر المتوعّد به على ترك المكرَه عليه أقلّ بمراتب من الضرر المكرَه عليه، أم لابدَّ من ملاحظة الضررين والترجيح بينهما؟</w:t>
      </w:r>
    </w:p>
    <w:p>
      <w:pPr>
        <w:pStyle w:val="BookText"/>
        <w:rPr/>
      </w:pPr>
      <w:r>
        <w:rPr>
          <w:rFonts w:ascii="Amiri" w:hAnsi="Amiri" w:eastAsia="Amiri" w:cs="Amiri"/>
          <w:color w:val="111111"/>
          <w:sz w:val="28"/>
          <w:sz w:val="28"/>
          <w:szCs w:val="28"/>
          <w:rtl w:val="true"/>
          <w:lang w:bidi="ar-SA"/>
        </w:rPr>
        <w:t>وفي المسألة وجوه وأقوال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الشيخ رحمه الله</w:t>
      </w:r>
      <w:r>
        <w:rPr>
          <w:rStyle w:val="FootnoteAnchor"/>
          <w:rtl w:val="true"/>
        </w:rPr>
        <w:footnoteReference w:id="767"/>
      </w:r>
      <w:r>
        <w:rPr>
          <w:rFonts w:ascii="Amiri" w:hAnsi="Amiri" w:eastAsia="Amiri" w:cs="Amiri"/>
          <w:color w:val="111111"/>
          <w:sz w:val="28"/>
          <w:sz w:val="28"/>
          <w:szCs w:val="28"/>
          <w:rtl w:val="true"/>
          <w:lang w:bidi="ar-SA"/>
        </w:rPr>
        <w:t>من ارتفاع حرمة الإضرار بالغير بالإكراه مطلقاً، ولو كان الضرر المتوعّد به على ترك المكره عليه أقلّ بمراتب من الضرر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ارتفاع حرمته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الضرر الذي توعّد به أعظم أو مساوياً فترتفع الحرمة، وبين ما إذا كان أقلّ فلا ترتفع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الأستاذ الأعظم</w:t>
      </w:r>
      <w:r>
        <w:rPr>
          <w:rStyle w:val="FootnoteAnchor"/>
          <w:rtl w:val="true"/>
        </w:rPr>
        <w:footnoteReference w:id="768"/>
      </w:r>
      <w:r>
        <w:rPr>
          <w:rFonts w:ascii="Amiri" w:hAnsi="Amiri" w:eastAsia="Amiri" w:cs="Amiri"/>
          <w:color w:val="111111"/>
          <w:sz w:val="28"/>
          <w:sz w:val="28"/>
          <w:szCs w:val="28"/>
          <w:rtl w:val="true"/>
          <w:lang w:bidi="ar-SA"/>
        </w:rPr>
        <w:t>من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ما إذا كان الضرر الذي توعّده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مباحاً في نفسه، كما إذا أكرهه الجائر على نهب مال غيره وجلبه إليه، وإلّا فيستولي على أمواله، فلا ترتفع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كان ذلك الضرر أمراً محرّماً، كما إذا أكرهه على أن يُلجئ شخصاً آخر إلى فعلٍ محرّم كالزنا وإلّا أجبره على ارتكابه بنفسه، فتقع المزاحمة والمرجع إلى قواعد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رحمه الله</w:t>
      </w:r>
      <w:r>
        <w:rPr>
          <w:rStyle w:val="FootnoteAnchor"/>
          <w:rtl w:val="true"/>
        </w:rPr>
        <w:footnoteReference w:id="769"/>
      </w:r>
      <w:r>
        <w:rPr>
          <w:rFonts w:ascii="IRNazanin" w:hAnsi="IRNazanin" w:eastAsia="IRNazanin"/>
          <w:color w:val="111111"/>
          <w:sz w:val="28"/>
          <w:sz w:val="28"/>
          <w:szCs w:val="28"/>
          <w:rtl w:val="true"/>
          <w:lang w:bidi="fa-IR"/>
        </w:rPr>
        <w:t>لما اختاره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دليل نفي الإكراه</w:t>
      </w:r>
      <w:r>
        <w:rPr>
          <w:rStyle w:val="FootnoteAnchor"/>
          <w:rtl w:val="true"/>
        </w:rPr>
        <w:footnoteReference w:id="770"/>
      </w:r>
      <w:r>
        <w:rPr>
          <w:rFonts w:ascii="Amiri" w:hAnsi="Amiri" w:eastAsia="Amiri" w:cs="Amiri"/>
          <w:color w:val="111111"/>
          <w:sz w:val="28"/>
          <w:sz w:val="28"/>
          <w:szCs w:val="28"/>
          <w:rtl w:val="true"/>
          <w:lang w:bidi="ar-SA"/>
        </w:rPr>
        <w:t>لجميع المحرّمات، حتّى الإضرار بالغير ما لم يبلغ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كغيره ممّا دلَّ على نفي الإكراه، مسوقٌ في مقام الامتنان على الاُمّة، والحكم بجواز الإضرار منافٍ للامتنان بالإضافة إلى ذلك الغير، وإنْ كان موافقاً للامتنان بالإضافة إلى المكرَه، فلا يكون مشمولاً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نفي الحرج</w:t>
      </w:r>
      <w:r>
        <w:rPr>
          <w:rStyle w:val="FootnoteAnchor"/>
          <w:rtl w:val="true"/>
        </w:rPr>
        <w:footnoteReference w:id="771"/>
      </w:r>
      <w:r>
        <w:rPr>
          <w:rFonts w:ascii="Amiri" w:hAnsi="Amiri" w:eastAsia="Amiri" w:cs="Amiri"/>
          <w:color w:val="111111"/>
          <w:sz w:val="28"/>
          <w:sz w:val="28"/>
          <w:szCs w:val="28"/>
          <w:rtl w:val="true"/>
          <w:lang w:bidi="ar-SA"/>
        </w:rPr>
        <w:t>، فإنّ إلزام الغير بتحمّل الضرر وترك ما اُكره عليه حرجيٌ والعموم المذكور ينفيه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الحرج المنفيّ في الشريعة، هي المشقّة التي لا تُتحمّل عادة، وبديهي أنّ الوقوع في الضرر لا يستلزم ذلك مطلقاً، فلا يَصحّ التمسّك لجواز</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الإضرار بدليل نفي الحرج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نفي الحرج يعارض ما دلَّ على نفي الضرر الدالّ على عدم جواز الإضرار بالغير من جهة تضرّره، والنسبة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نفي الضرر لا يشمل المقام، لقيام العلم الإجمالي بجعل حكم ضرري في المقام من الإباحة أو التحريم، إذ كلّ منهما يوجبُ ضرراً على شخصٍ‌، فيبقى دليل نفي الحرج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هي الإيراد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772"/>
      </w:r>
      <w:r>
        <w:rPr>
          <w:rFonts w:ascii="Amiri" w:hAnsi="Amiri" w:eastAsia="Amiri" w:cs="Amiri"/>
          <w:color w:val="111111"/>
          <w:sz w:val="28"/>
          <w:sz w:val="28"/>
          <w:szCs w:val="28"/>
          <w:rtl w:val="true"/>
          <w:lang w:bidi="ar-SA"/>
        </w:rPr>
        <w:t>المتضمّنة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 الدَّم فليس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أنّها تدلّ على أنّ حَدّ التقيّة بلوغ الدَّم، فتشرع لما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بهذه الجملة أنّه كلّما سوغت التقيّة لحفظ شيء إذا بلغته التقيّة فلا تقيّة، فهي على خلاف المطلوب أدلّ‌، إذ التقيّة إنّما شُرّعت لحفظ الأعراض والأموال أيضاً، ولازم ذلك أن لا يشرع هتك عرض الغير ونهب ماله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بها أنّ التقيّة إنّما شُرّعت لخصوص حفظ الأنفس، فلازمه عدم شمول نصوص التقيّة في غير موردٍ كون الضرر المتوعّد به هو قتل النفس، مع أنّه لا ريب في شمولها لغير ذلك المورد، فلا مناص عن التصرّف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أنّه إنّما شُرّعت التقيّة لئلّا ينتهي الأمر أخيراً إلى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إراقة الدَّم، وإنْ كان في أوّل الحال يجوز التقيّة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تشريع قانون التقيّة هي حفظ النفس، فلا تنافي جواز التقيّة لغيره أيضاً كحفظ المال أو العِرض، وعلى ذلك فهي مسوقة لبيان عدم جواز التقيّة في تلف النفس، لا لجوازها في غير ذلك المورد كي يُستفاد منها جواز الإضرار بالغير لدفع الضرر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مركّباً من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الضرر في مورد الإكراه متوجّهٌ أوّلاً إلى الغير بحسب إكراه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وإرادته الحتميّة، والمكرَه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مباشراً إلّاأنّه ضعيفٌ لا يُنسب إليه توجيه الضرر إلى الغير حتّى يقال إنّه أضرّ بالغير كي لا يتضرّر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تحمّل الضرر، ولم يضرّ بالغير فقد صَرَف الضرر عن الغير إلى نفسه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المستفاد من الأدلّة أنّ تشريع نفي الإكراه إنّما هو لدفع الضرر، فلا يجوز دفع الضرر عن نفسه بالإضرار بالغير، ولا يلزم تحمّله لدفعه عن الغير، لأنّ ذلك منافٍ للامتنان، فتكون النتيجة عدم وجوب تحمّل الضرر في المقام لدفع الضرّ عن الغير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الأُولى نظرٌ، لأنّ الإكراه لا يوجبُ سلب اختيار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وصيرورته كالآلة، بل هو بعد باق على اختياره وإرادته، ويعدّ فعله الجزء الأخير من العلة، ولولاه لما تحقّق الإضرار بالغير، وعليه فهو يضرّ بالغير اختياراً </w:t>
      </w:r>
    </w:p>
    <w:p>
      <w:pPr>
        <w:pStyle w:val="BookText"/>
        <w:rPr/>
      </w:pPr>
      <w:r>
        <w:rPr>
          <w:rFonts w:ascii="IRNazanin" w:hAnsi="IRNazanin" w:eastAsia="IRNazanin"/>
          <w:color w:val="111111"/>
          <w:sz w:val="28"/>
          <w:sz w:val="28"/>
          <w:szCs w:val="28"/>
          <w:rtl w:val="true"/>
          <w:lang w:bidi="fa-IR"/>
        </w:rPr>
        <w:t>دفعاً للضرر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إنّما يوجبُ تخيير المكرَه بين الإضرار بالغير، وبين تحمّل الضرر على فرض العدم، فلا يكون من توجّه الضرر إلى الغير ابتداءً نظير ما إذا توجّه سيلٌ إلى داره، الذي لا كلام في عدم وجوب صرفه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إلزام الشارع تحمّل الإضرار على نفسه لدفع الضرر المتوجّه إلى الغير يعدّ حرجاً قطعاً، وهذا بخلاف ما إذا كان الضرر متوجّهاً إليه ابتداءاً، ولا حرج في تحمّله وعدم الإضرار بغيره دفعاً له، فيرتفع بأدلّة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مطلق تحمّل الضرر لا يكون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أدلّة حرمة الإضرار بالغير، بعد عدم شمول أدلّة نفي الإكراه والحَرَج والضَرَر للمقام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أنّه لو عمّت جملة نفي الإكراه من الحديث للمقام، لعمّت نفي الاضطرار لوحدة السياق، وتلك الجملة لا تعمّ كما صرّح به الشيخ رحمه الله</w:t>
      </w:r>
      <w:r>
        <w:rPr>
          <w:rStyle w:val="FootnoteAnchor"/>
          <w:rtl w:val="true"/>
        </w:rPr>
        <w:footnoteReference w:id="773"/>
      </w:r>
      <w:r>
        <w:rPr>
          <w:rFonts w:ascii="Amiri" w:hAnsi="Amiri" w:eastAsia="Amiri" w:cs="Amiri"/>
          <w:color w:val="111111"/>
          <w:sz w:val="28"/>
          <w:sz w:val="28"/>
          <w:szCs w:val="28"/>
          <w:rtl w:val="true"/>
          <w:lang w:bidi="ar-SA"/>
        </w:rPr>
        <w:t>، ولم يجوّز أحدٌ الإضرار بالغير في صورة الاضطرار، فكذلك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وإنْ كان تامّاً في نفسه، إلّاأنّه ربما يزاحم حرمة الإضرار محرّمٌ آخر، وهو ما إذا كان الضرر المتوعّد به أمراً محرّماً، وحينئذٍ فلابدَّ من الرجوع إلى مرجّحات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الرابع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نسبة جميع الناس إلى اللّه سبحانه نسبة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فالكلّ بمنزلة عبدٍ واحد لمالكٍ واحد، فالضرر المتوجّه إلى أحد شخصين كأحد الضررين المتوجّه إلى شخصٍ واحد، فلابدَّ من ملاحظة أقلّ الضررين، وعند التساوي يُحكم بالتخيير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وجهٌ اعتباري استحساني لا يُعتمد عليه، مع أنّه إذا كان الضرر المتوعّد به أمراً مُباحاً في نفسه، كيف يحكم بالتخيير بين ذلك وبين الأمر المحرّم، وهو الإضرار بالغير</w:t>
      </w:r>
      <w:r>
        <w:rPr>
          <w:rFonts w:eastAsia="Amiri" w:cs="Amiri" w:ascii="Amiri" w:hAnsi="Amiri"/>
          <w:color w:val="111111"/>
          <w:sz w:val="28"/>
          <w:szCs w:val="28"/>
          <w:rtl w:val="true"/>
          <w:lang w:bidi="ar-SA"/>
        </w:rPr>
        <w:t>.</w:t>
      </w:r>
      <w:bookmarkStart w:id="256" w:name="pg11815_192836"/>
    </w:p>
    <w:p>
      <w:pPr>
        <w:pStyle w:val="Heading2"/>
        <w:numPr>
          <w:ilvl w:val="1"/>
          <w:numId w:val="1"/>
        </w:numPr>
        <w:rPr/>
      </w:pPr>
      <w:bookmarkStart w:id="257" w:name="__RefHeading___Toc10830607_73709187"/>
      <w:bookmarkStart w:id="258" w:name="_Toc86"/>
      <w:bookmarkEnd w:id="256"/>
      <w:bookmarkEnd w:id="257"/>
      <w:r>
        <w:rPr>
          <w:rtl w:val="true"/>
        </w:rPr>
        <w:t>حكم قبول الولاية لدفع الضَّرر عن الغير</w:t>
      </w:r>
      <w:bookmarkEnd w:id="258"/>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عمّا إذا كان الضرر المتوعّد به على ترك المُكرَه عليه ممّا يتعلّق بالأجنبي، فحينئذٍ هل يعدّ إكراها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عبارة من الحمل على فعل يكرهه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التوعّد على تركه بما يكرهه، سواءٌ كان ذلك أمراً متعلّقاً بنفسه أو عشيرته أو الأجانب، فلو فرض شخص يكره ضرر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أجنبيّاً عنه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الإكراه بالتوعّد بالضرر المتعلّق بالأجنبي، ولو فرض أنّه لا يكره الضرر المتعلّق بولده وبنفسه لما صدق الإكراه، وعليه فالضابط هو ذلك، لا القُرب والبُعد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موردٍ لا يصدق الإكراه، كما إذا كان الشخص ممّن لا يتأثر بضرر المؤمنين لو حمله الظالم على قبول الولاية، أو على غيرها ممّا حَرّمه اللّه تعالى عدا الإضرار بالغير، وتوعّد على تركه بالإضرار بالمؤمنين، جاز ذلك المحرّم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لقيام الأدلّة على جواز قبول الولاية لإصلاح أمرالمؤمنين، ودفع الضرر عنهم</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مشروعية التقيّة لحفظ المؤمنين عن المهالك والمضرّات</w:t>
      </w:r>
      <w:r>
        <w:rPr>
          <w:rStyle w:val="FootnoteAnchor"/>
          <w:rtl w:val="true"/>
        </w:rPr>
        <w:footnoteReference w:id="775"/>
      </w:r>
      <w:r>
        <w:rPr>
          <w:rFonts w:ascii="Amiri" w:hAnsi="Amiri" w:eastAsia="Amiri" w:cs="Amiri"/>
          <w:color w:val="111111"/>
          <w:sz w:val="28"/>
          <w:sz w:val="28"/>
          <w:szCs w:val="28"/>
          <w:rtl w:val="true"/>
          <w:lang w:bidi="ar-SA"/>
        </w:rPr>
        <w:t>، فإنّه إذا أصبح المحرّم مباحاً لدفع الضرر عن المؤمنين، مع عدم الإكراه على قبول الولاية، يصبح مباحاً مع الإكراه عليه بلا فرق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لو كان المحمول عليه هو الإضرار بالغير، وكان الضَّرر المتوعّد به هو ما يرجع إلى الغير، فقد اختار الشيخ رحمه الله</w:t>
      </w:r>
      <w:r>
        <w:rPr>
          <w:rStyle w:val="FootnoteAnchor"/>
          <w:rtl w:val="true"/>
        </w:rPr>
        <w:footnoteReference w:id="776"/>
      </w:r>
      <w:r>
        <w:rPr>
          <w:rFonts w:ascii="Amiri" w:hAnsi="Amiri" w:eastAsia="Amiri" w:cs="Amiri"/>
          <w:color w:val="111111"/>
          <w:sz w:val="28"/>
          <w:sz w:val="28"/>
          <w:szCs w:val="28"/>
          <w:rtl w:val="true"/>
          <w:lang w:bidi="ar-SA"/>
        </w:rPr>
        <w:t>عدم جواز الإضرار، لإطلاق أدلّة حرمته بعد فرض عدم شمول أدلّة نفي الإكراه والحرج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بل قد عرفت في التنبيه الأوّل أنّه غير جائز حتّى مع صدق الإكراه أيضاً، لأنّ رفعه خلاف الإمتنان على الاُمّة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9" w:name="pg11815_192838"/>
    </w:p>
    <w:p>
      <w:pPr>
        <w:pStyle w:val="Heading2"/>
        <w:numPr>
          <w:ilvl w:val="1"/>
          <w:numId w:val="1"/>
        </w:numPr>
        <w:rPr/>
      </w:pPr>
      <w:bookmarkStart w:id="260" w:name="__RefHeading___Toc10830609_73709187"/>
      <w:bookmarkStart w:id="261" w:name="_Toc87"/>
      <w:bookmarkEnd w:id="259"/>
      <w:bookmarkEnd w:id="260"/>
      <w:r>
        <w:rPr>
          <w:rtl w:val="true"/>
        </w:rPr>
        <w:t>اعتبار العجز عن التفصّي في الإكراه</w:t>
      </w:r>
      <w:bookmarkEnd w:id="261"/>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مشايخ الشيخ قدس سره</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الأصحاب أنّ في اعتبار عدم القدرة على التفصّي من المكرَه عليه وعدمه أقوالاً، وعليه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توهّم أنّ في المسألة أقوالاً ثلاثة، ثالثها التفصيل بين الإكراه على الولاية، فلا يعتبر العجز عن التفصّي، وبين الإكراه على غيرها من المحرّمات، فيعتبر فيه العجز عن التفصّي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باعتبار العجز عن التفصّي مطلقاً، ما لم يكن حَرَجيّاً ولم يترتّب عليه ضررٌ، فهو المشهور بين الأصحاب، كما أنّ المشهور بينهم عدم اعتباره إذا كان حَرَجيّاً أم ضرريّاً، وعدم اعتبار عدم القدرة العقليّة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توهّمه الشهيد الثاني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من أنّ المحقّق رحمه الله اعتبر العجز العقلي، غيرُ صحيحٍ‌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بعدم اعتباره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منشأ زعمه ما أوهمته عبارة الشهيد رحمه الله في بيان مختاره، ولكن الحقّ أنّه لا يقول بذلك، بل مراده من العجز الذي </w:t>
      </w:r>
    </w:p>
    <w:p>
      <w:pPr>
        <w:pStyle w:val="BookText"/>
        <w:rPr/>
      </w:pPr>
      <w:r>
        <w:rPr>
          <w:rFonts w:ascii="Amiri" w:hAnsi="Amiri" w:eastAsia="Amiri" w:cs="Amiri"/>
          <w:color w:val="111111"/>
          <w:sz w:val="28"/>
          <w:sz w:val="28"/>
          <w:szCs w:val="28"/>
          <w:rtl w:val="true"/>
          <w:lang w:bidi="ar-SA"/>
        </w:rPr>
        <w:t>نفي اعتباره، هو العجز العقلي، وقد عرفت أنّ هذا ممّا تطابقت عليه كلماتهم، والشاهد على أنّ مراده ذلك قوله</w:t>
      </w:r>
      <w:r>
        <w:rPr>
          <w:rStyle w:val="FootnoteAnchor"/>
          <w:rtl w:val="true"/>
        </w:rPr>
        <w:footnoteReference w:id="7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الإلجاء إليه، بحيث لا يقدر على خلافه، وقد صرّح به الأصحاب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فمنشأ زعمه هو 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المحقّق رحمه الله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أكرهه الجائر على الولاية جاز له الدخول والعمل بما يأمره مع عدم القدرة على التفصّي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فيها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لاتشترط بالإكراه، بل المشروط به هو العمل بما يأمره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والعمل معاً مشروطان بالإكراه فقط، دون العجز عن التفصّي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الولاية والعمل، فيقيّد الأُولى بالإكراه، والثاني بالعجز عن التفصّي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والمتوهّم توهّم أنّ كلّ واحدٍ من هذه الاحتمالات قولٌ برأسه، فنقل أنّ في المقام قولاً بالتفصيل، لكن الشيخ رحمه الله</w:t>
      </w:r>
      <w:r>
        <w:rPr>
          <w:rStyle w:val="FootnoteAnchor"/>
          <w:rtl w:val="true"/>
        </w:rPr>
        <w:footnoteReference w:id="781"/>
      </w:r>
      <w:r>
        <w:rPr>
          <w:rFonts w:ascii="Amiri" w:hAnsi="Amiri" w:eastAsia="Amiri" w:cs="Amiri"/>
          <w:color w:val="111111"/>
          <w:sz w:val="28"/>
          <w:sz w:val="28"/>
          <w:szCs w:val="28"/>
          <w:rtl w:val="true"/>
          <w:lang w:bidi="ar-SA"/>
        </w:rPr>
        <w:t>دفع الاحتمال الأخير بأنّه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بين الولاية، حيث إنّه لا يقدر المُكرَه على التفصّي عنها من دون ضرر ولا كلفة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ما إذا أمر الوالي بأعمال محرّمة في ولايته، فإنّه يتمكّن غالباً من عدم الموافقة، ودعوى الامتثال ظاهراً من أخذ المال جهراً، ثمّ ردّه إليه سرّاً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والمحقّق رحمه الله</w:t>
      </w:r>
      <w:r>
        <w:rPr>
          <w:rStyle w:val="FootnoteAnchor"/>
          <w:rtl w:val="true"/>
        </w:rPr>
        <w:footnoteReference w:id="782"/>
      </w:r>
      <w:r>
        <w:rPr>
          <w:rFonts w:ascii="Amiri" w:hAnsi="Amiri" w:eastAsia="Amiri" w:cs="Amiri"/>
          <w:color w:val="111111"/>
          <w:sz w:val="28"/>
          <w:sz w:val="28"/>
          <w:szCs w:val="28"/>
          <w:rtl w:val="true"/>
          <w:lang w:bidi="ar-SA"/>
        </w:rPr>
        <w:t>كان متفطّناً لذلك، فلذا صرّح باعتبار العجز عن التفصّي الذي هو معتبرٌ في صدق الإكراه في إباحة تلك الأعمال خاصّة،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اعتبار العجز عن التفصّي إذا لم يكن حَرَجيّاً أم ضرريّاً، لعدم صدق الإكراه بدونه، ولافرق بين هذا المحرّم وسائر المحرّمات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تنقيح القول في ذلك في مبحث اعتبار الاختيار في المتعاقدين</w:t>
      </w:r>
      <w:r>
        <w:rPr>
          <w:rStyle w:val="FootnoteAnchor"/>
          <w:rtl w:val="true"/>
        </w:rPr>
        <w:footnoteReference w:id="783"/>
      </w:r>
      <w:r>
        <w:rPr>
          <w:rFonts w:ascii="Amiri" w:hAnsi="Amiri" w:eastAsia="Amiri" w:cs="Amiri"/>
          <w:color w:val="111111"/>
          <w:sz w:val="28"/>
          <w:sz w:val="28"/>
          <w:szCs w:val="28"/>
          <w:rtl w:val="true"/>
          <w:lang w:bidi="ar-SA"/>
        </w:rPr>
        <w:t>، في الجزء الخامس عشر من هذا الشرح فانتظر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62" w:name="pg11815_192841"/>
    </w:p>
    <w:p>
      <w:pPr>
        <w:pStyle w:val="Heading2"/>
        <w:numPr>
          <w:ilvl w:val="1"/>
          <w:numId w:val="1"/>
        </w:numPr>
        <w:rPr/>
      </w:pPr>
      <w:bookmarkStart w:id="263" w:name="__RefHeading___Toc10830611_73709187"/>
      <w:bookmarkStart w:id="264" w:name="_Toc88"/>
      <w:bookmarkEnd w:id="262"/>
      <w:bookmarkEnd w:id="263"/>
      <w:r>
        <w:rPr>
          <w:rtl w:val="true"/>
        </w:rPr>
        <w:t>جواز الولاية مع الضرر المالي رخصة</w:t>
      </w:r>
      <w:bookmarkEnd w:id="264"/>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جواز قبول الولاية مع الضرر المالي الذي لا يضرّ بالحال، رخصة أم عزيمة‌؟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التوقّف في جواز تحمّل الضرر المالي، وعدم قبول الولاية المحرّمة، لأنّ مقتضى حديث رفع الإكراه إنّما هو رفع الحرمة، ولا يكون هو متكفِّلاً للوجوب، ولا دليل غيره، فلابدَّ من الرجوع إلى القواعد، وهي تقتضي جواز تحمّل الضرر،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دفع المال إعانةٌ على الإثم، وهي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الإعانة على الإثم لا دليل على حرمتها، كما تقدّم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المال إلى الجائر من قبيل تجارة التاجر مع إعطاء الضريبة إلى السلطان حيث لا يصدق على دفعها الإعانة كما أسلفناه في محلّه</w:t>
      </w:r>
      <w:r>
        <w:rPr>
          <w:rFonts w:eastAsia="Amiri" w:cs="Amiri" w:ascii="Amiri" w:hAnsi="Amiri"/>
          <w:color w:val="111111"/>
          <w:sz w:val="28"/>
          <w:szCs w:val="28"/>
          <w:rtl w:val="true"/>
          <w:lang w:bidi="ar-SA"/>
        </w:rPr>
        <w:t>.</w:t>
      </w:r>
      <w:bookmarkStart w:id="265" w:name="pg11815_192842"/>
    </w:p>
    <w:p>
      <w:pPr>
        <w:pStyle w:val="Heading2"/>
        <w:numPr>
          <w:ilvl w:val="1"/>
          <w:numId w:val="1"/>
        </w:numPr>
        <w:rPr/>
      </w:pPr>
      <w:bookmarkStart w:id="266" w:name="__RefHeading___Toc10830613_73709187"/>
      <w:bookmarkStart w:id="267" w:name="_Toc89"/>
      <w:bookmarkEnd w:id="265"/>
      <w:bookmarkEnd w:id="266"/>
      <w:r>
        <w:rPr>
          <w:rtl w:val="true"/>
        </w:rPr>
        <w:t>حكم قتل المؤمن بالإكراه أو بالتقيّة</w:t>
      </w:r>
      <w:bookmarkEnd w:id="267"/>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بالإكراه قتل المؤمن، ولو توعّده وهدّده على تركه بالقتل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القول في المقام يقتضي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حديث رفع الإكراه لوروده مورد الامتنان، لا يصلح لرفع حرمة القتل في المقام، إذ لا امتنان في رفعهاعلى الاُمّة، فهو 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التقيَّة، فهي وإن دلّت على إباحة المحرّمات لحفظ المؤمنين عن المهالك والمضرّات، إلّاأنّها لا تدلّ على الجواز في المقام، لأنّها إنّما شُرّعت لحفظ نفوس المؤمنين وأعراضهم وأموالهم، فإذا توقّف حفظ شيء منها على إتلاف نظيره من شخصٍ آخر، لا تكون هناك تقيّة، لارتفاع الغاية،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التوعيد بغير القتل لم يجز القتل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به، فقد يتوهّم أنّ حرمة القتل حينئذٍ تُزاحم حرمة الإلقاء في التهلكة ووجوب التحفظ على النفس، إذ الأمر دائرٌ بين إلقاء النفس في الهلكة، وبين قتل المؤمن، ولا مناص عن اختيار أحدهما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الرجوع إلى مرجّحات باب التزاحم، فإن ثبت أهميّة أحدهما تعيّن، وإلّا تخيّر بين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كَتَبْنا عَلَيْهِمْ فِيها أَنَّ اَلنَّفْسَ بِالنَّفْسِ‌</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تدلّ على أنّ الدماء المحترمة ليس أحدها أهمّ من الآخرين، فلا وجه لملاحظة الأهمّ والمهمّ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واردة في القصاص، ولا علاقة لها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قتل الغير إيجادٌ لما يرفع القتل عن نفسه، وتركه ترك لذلك، لا أنّه إلقاءٌ لها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وإيجاد ما يرفع القتل وإنْ كان واجباً في الجملة، لكن لا دليل على وجوبه إذا انحصر الدفع بقتل غيره، وعلى هذا فحيث أنّ هلاك أحدهما ممّا لابدَّ منه، ويمتاز قتل الغير بارتكاب محرّم، فلا وجه لتسويغه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القواعد عدم جواز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أيضاً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 الدَّم فليس تقيّة</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الثمالي،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بلغت التقيّة الدَّم فلا تقيّة</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تدلّ على أنّ حفظ النفس إذا توقّف على أيّ محرّم جاز ذلك، دونما إذا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توقّف على إراقة دم محترم، فإنّه لا تكون التقيّة حينئذٍ مشروعة ولا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المجلسي رحمه الله في ما نقله عن بعض، واختاره المحقّق الإيرواني رحمه الله</w:t>
      </w:r>
      <w:r>
        <w:rPr>
          <w:rStyle w:val="FootnoteAnchor"/>
          <w:rtl w:val="true"/>
        </w:rPr>
        <w:footnoteReference w:id="788"/>
      </w:r>
      <w:r>
        <w:rPr>
          <w:rFonts w:ascii="Amiri" w:hAnsi="Amiri" w:eastAsia="Amiri" w:cs="Amiri"/>
          <w:color w:val="111111"/>
          <w:sz w:val="28"/>
          <w:sz w:val="28"/>
          <w:szCs w:val="28"/>
          <w:rtl w:val="true"/>
          <w:lang w:bidi="ar-SA"/>
        </w:rPr>
        <w:t>من أنّ المراد بهذه الأحاديث أنّ التقيّة إنّما شُرِّعت لحفظ النفس، فإذا كان الشخص مقتولاً على كلّ حال، سواءٌ اتّقى أو لم يتّقِ‌، فلا مجال للتقيّة لانتفاء ما هو الغرض من تشريع التقيّة، فهي غير مربوطة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احتمل إرادة هذا المعنى من بعضها، ولم تكن خلاف الظاهر، مع أنّه محلّ منع، لا تُحتمل في موثّق الثمالي،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التقيّة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المعنى الذي أشرنا إليه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قتل المؤمن ولو توعد على تركه بالقتل، منطبقٌ على القواعد، وتشهد به النصوص الخاصّة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68" w:name="pg11815_192845"/>
    </w:p>
    <w:p>
      <w:pPr>
        <w:pStyle w:val="Heading2"/>
        <w:numPr>
          <w:ilvl w:val="1"/>
          <w:numId w:val="1"/>
        </w:numPr>
        <w:rPr/>
      </w:pPr>
      <w:bookmarkStart w:id="269" w:name="__RefHeading___Toc10830615_73709187"/>
      <w:bookmarkStart w:id="270" w:name="_Toc90"/>
      <w:bookmarkEnd w:id="268"/>
      <w:bookmarkEnd w:id="269"/>
      <w:r>
        <w:rPr>
          <w:rtl w:val="true"/>
        </w:rPr>
        <w:t>حكم المستحقّ للقتل</w:t>
      </w:r>
      <w:bookmarkEnd w:id="27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 تعرّض لها الشيخ رحمه الله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المؤمن مستحقّاً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المستحقّ للقتل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مهدور الدَّم لكلّ واحدٍ لا ريب في أنّه ليس مشمولاً للنصوص المتقدّمة، وأنّه يجوز قتله لو أكره عليه بالأولويّة، ما لم تترتّب عليه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مهدور الدَّم لكلّ أحدٍ، لكن بإجازة الحاكم الشرعي، كمن استحقّ القتل بالحَدّ، أو كان مهدور الدَّم لشخصٍ معيّن أو جماعة كذلك، كالمستحقّ للقتل قصاصاً، فحكمه حكم سائر النفوس المحترمة، فلا يجوز قتله ولو مع التقيّة أو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الإيرواني رحمه الله</w:t>
      </w:r>
      <w:r>
        <w:rPr>
          <w:rStyle w:val="FootnoteAnchor"/>
          <w:rtl w:val="true"/>
        </w:rPr>
        <w:footnoteReference w:id="790"/>
      </w:r>
      <w:r>
        <w:rPr>
          <w:rFonts w:ascii="Amiri" w:hAnsi="Amiri" w:eastAsia="Amiri" w:cs="Amiri"/>
          <w:color w:val="111111"/>
          <w:sz w:val="28"/>
          <w:sz w:val="28"/>
          <w:szCs w:val="28"/>
          <w:rtl w:val="true"/>
          <w:lang w:bidi="ar-SA"/>
        </w:rPr>
        <w:t>من أنّ النصوص منصرفة إلى محقون الدَّم بقول مطلق، فيرجع فيما عداه إلى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ومقتضاه جواز القتل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دعوى الانصراف، بل مقتضى إطلاقها الشمول لكلّ محقون الدَّم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منصرفة عن مهدور الدَّم بقول مطلق، مع أنّه قد عرفت أنّه مع قطع النظر عن النصوص الخاصّة، فإنّ القواعد تقتضي عدم جواز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791"/>
      </w:r>
      <w:r>
        <w:rPr>
          <w:rFonts w:ascii="Amiri" w:hAnsi="Amiri" w:eastAsia="Amiri" w:cs="Amiri"/>
          <w:color w:val="111111"/>
          <w:sz w:val="28"/>
          <w:sz w:val="28"/>
          <w:szCs w:val="28"/>
          <w:rtl w:val="true"/>
          <w:lang w:bidi="ar-SA"/>
        </w:rPr>
        <w:t xml:space="preserve">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الخاصّة لا مفهوم لها كي تقيّد الإطلاقات الأوّليّة</w:t>
      </w:r>
      <w:r>
        <w:rPr>
          <w:rFonts w:eastAsia="Amiri" w:cs="Amiri" w:ascii="Amiri" w:hAnsi="Amiri"/>
          <w:color w:val="111111"/>
          <w:sz w:val="28"/>
          <w:szCs w:val="28"/>
          <w:rtl w:val="true"/>
          <w:lang w:bidi="ar-SA"/>
        </w:rPr>
        <w:t xml:space="preserve">. </w:t>
      </w:r>
      <w:bookmarkStart w:id="271" w:name="pg11815_192846"/>
    </w:p>
    <w:p>
      <w:pPr>
        <w:pStyle w:val="Heading2"/>
        <w:numPr>
          <w:ilvl w:val="1"/>
          <w:numId w:val="1"/>
        </w:numPr>
        <w:rPr/>
      </w:pPr>
      <w:bookmarkStart w:id="272" w:name="__RefHeading___Toc10830617_73709187"/>
      <w:bookmarkStart w:id="273" w:name="_Toc91"/>
      <w:bookmarkEnd w:id="271"/>
      <w:bookmarkEnd w:id="272"/>
      <w:r>
        <w:rPr>
          <w:rtl w:val="true"/>
        </w:rPr>
        <w:t>حكم قتل المخالف</w:t>
      </w:r>
      <w:bookmarkEnd w:id="273"/>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اُكره على قتل المخالف، فهل يجوز ذلك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الأستاذ الأعظم</w:t>
      </w:r>
      <w:r>
        <w:rPr>
          <w:rStyle w:val="FootnoteAnchor"/>
          <w:rtl w:val="true"/>
        </w:rPr>
        <w:footnoteReference w:id="792"/>
      </w:r>
      <w:r>
        <w:rPr>
          <w:rFonts w:ascii="Amiri" w:hAnsi="Amiri" w:eastAsia="Amiri" w:cs="Amiri"/>
          <w:color w:val="111111"/>
          <w:sz w:val="28"/>
          <w:sz w:val="28"/>
          <w:szCs w:val="28"/>
          <w:rtl w:val="true"/>
          <w:lang w:bidi="ar-SA"/>
        </w:rPr>
        <w:t>جواز القتل عند التقيّة أو الإكراه، 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الدالّة على أنّ حَدّ التقيّة هو الدَّم، مختصّة بدماء المؤمنين، إذ الغَرَض من التقيّة هو حفظها، وعليه فلا مخصّص لعمومات التقيّة ونفي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أنّ التقيّة إنّما شُرّعت لحفظ دماء المؤمنين ثابت ولا نقاش في ذلك، كما أنّ ما ذكر من اختصاص نصوص المقام بها لا كلام فيه، ولكن بما أنّ أدلّة التقيّة ونفي الإكراه إنّما وردت في مورد الامتنان، وشمولها للمقام منافٍ له، فلا تشمل قتل المخالفين، فهو باقٍ على حكمه الأوّلي، وهو عدم الجواز ما لم يزاحم هذا الحكم حكم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التقيّة إنّما وردت في مقام الامتنان على المؤمنين لا على الاُمَّة، كما هو الشأن في دليل رفع الإكراه، وعلى ذلك فهي تشمل قتل المخالفين، وترتفع الحرمة بها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الكلام في أنّ الدَّم يشمل الجَرح وقطع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رحمه الله</w:t>
      </w:r>
      <w:r>
        <w:rPr>
          <w:rStyle w:val="FootnoteAnchor"/>
          <w:rtl w:val="true"/>
        </w:rPr>
        <w:footnoteReference w:id="793"/>
      </w:r>
      <w:r>
        <w:rPr>
          <w:rFonts w:ascii="Amiri" w:hAnsi="Amiri" w:eastAsia="Amiri" w:cs="Amiri"/>
          <w:color w:val="111111"/>
          <w:sz w:val="28"/>
          <w:sz w:val="28"/>
          <w:szCs w:val="28"/>
          <w:rtl w:val="true"/>
          <w:lang w:bidi="ar-SA"/>
        </w:rPr>
        <w:t>لما قوّاه من جواز الجرح وقطع الأعضاء في مورد الإكراه والتقيّة؛ بأنّ ظاهر النصوص الخاصّة الدالّة على أنّه لا تقيّة في الدَّم، هو الاختصاص بالدم المبقي للروح، وعليه فمقتضى عمومات التقيّة ونفي الحرج والإكراه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الأدلّة لورودها مورد الامتنان، لا تشمل الجرح والقطع، فلابدَّ من الرجوع إلى ما دلَّ على حرمة ذلك من الأدلّة الأوّليّة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4" w:name="pg11815_192848"/>
    </w:p>
    <w:p>
      <w:pPr>
        <w:pStyle w:val="Heading2"/>
        <w:numPr>
          <w:ilvl w:val="1"/>
          <w:numId w:val="1"/>
        </w:numPr>
        <w:rPr/>
      </w:pPr>
      <w:bookmarkStart w:id="275" w:name="__RefHeading___Toc10830619_73709187"/>
      <w:bookmarkStart w:id="276" w:name="_Toc92"/>
      <w:bookmarkEnd w:id="274"/>
      <w:bookmarkEnd w:id="275"/>
      <w:r>
        <w:rPr>
          <w:rtl w:val="true"/>
        </w:rPr>
        <w:t>حرمة هجاء المؤمن</w:t>
      </w:r>
      <w:bookmarkEnd w:id="276"/>
    </w:p>
    <w:p>
      <w:pPr>
        <w:pStyle w:val="BookText"/>
        <w:rPr/>
      </w:pPr>
      <w:r>
        <w:rPr>
          <w:rFonts w:ascii="Amiri" w:hAnsi="Amiri" w:eastAsia="Amiri" w:cs="Amiri"/>
          <w:color w:val="111111"/>
          <w:sz w:val="28"/>
          <w:sz w:val="28"/>
          <w:szCs w:val="28"/>
          <w:rtl w:val="true"/>
          <w:lang w:bidi="ar-SA"/>
        </w:rPr>
        <w:t>المسألة السابعة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هجاء المؤمن حرامٌ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الهجاء في اللّغة عبارة عن عَدّ معايب الشخص، كما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وهذا في الجملة ممّا لا خلاف فيه، وإنّما وقع الخلاف بين القوم في موردين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أنّه هل يعتبر في صدقه أن يكون ذلك من خلال الشعر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أم لا كما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هل يختصّ ذلك بذكر ما فيه من المعايب، أم يعمّ ذكر ما ليس فيه منها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حيث لم يرد نصٌّ على حكم الهجاء من حيث هو، والإجماع وان انعقد على حرمته، إلّاأنّه ليس إجماعاً تعبّديّاً، فالأولى الإغماض عن بيان ذلك وصرف عنان الكلام إلى بيان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رحمه الله</w:t>
      </w:r>
      <w:r>
        <w:rPr>
          <w:rStyle w:val="FootnoteAnchor"/>
          <w:rtl w:val="true"/>
        </w:rPr>
        <w:footnoteReference w:id="796"/>
      </w:r>
      <w:r>
        <w:rPr>
          <w:rFonts w:ascii="Amiri" w:hAnsi="Amiri" w:eastAsia="Amiri" w:cs="Amiri"/>
          <w:color w:val="111111"/>
          <w:sz w:val="28"/>
          <w:sz w:val="28"/>
          <w:szCs w:val="28"/>
          <w:rtl w:val="true"/>
          <w:lang w:bidi="ar-SA"/>
        </w:rPr>
        <w:t>لحرمته بالأدلّة الأربعة،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همزٌ ولمزٌ وأكلُ اللّحم، وتعيّيرٌ وإذاعة سِرّ، وكلّ ذلك كبيرة موبقة، فيدلّ عليه فحوى جميع ما تقدّم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 هذا صدق جميع هذه العناوين في جميع موارد الهجو، وهو غير تامّ 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الهجو ربما يكون بالجملة الخبريّة، وربما يكون بالجملة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الهجو بما فيه من المعايب، كان حراماً، لكونه غيبة وإهانة وتعيّيراً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بما ليس فيه كان حراماً من جهة الكذب والإهانة والتعيير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يكون حراماً لما دلَّ من النصوص على حرمة هتك المؤمن وإهانته وتعييره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لا فرق في المؤمن الذي يَحرُم هجوه بين الفاسق وغيره لإطلاق الأدلّة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الخبر المذكور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محّصوا ذنوبكم بذكر الفاسقين</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 فقد حمله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الشيخ رحمه الله</w:t>
      </w:r>
      <w:r>
        <w:rPr>
          <w:rStyle w:val="FootnoteAnchor"/>
          <w:rtl w:val="true"/>
        </w:rPr>
        <w:footnoteReference w:id="798"/>
      </w:r>
      <w:r>
        <w:rPr>
          <w:rFonts w:ascii="Amiri" w:hAnsi="Amiri" w:eastAsia="Amiri" w:cs="Amiri"/>
          <w:color w:val="111111"/>
          <w:sz w:val="28"/>
          <w:sz w:val="28"/>
          <w:szCs w:val="28"/>
          <w:rtl w:val="true"/>
          <w:lang w:bidi="ar-SA"/>
        </w:rPr>
        <w:t>على إرادة الخارجين عن الإيمان، أو المتجاهرين في الفسق، ولكن هذا الحمل خلافُ الظاهر، لا يصار إليه مع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في الخبر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فهمه الشيخ رحمه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أحوالهم، وعاقبة أمرهم، وأنّ مصيرهم إلى النار الموجب للارتداع عن المعاصي، والتوبة عن ما فعله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تذكيرهم عذاب اللّه كي يرتدعوا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الأخيرين فهو أجنبيٌ عن المقام، هذا كلّه في غير المعلن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المعلن بفسقه فإن كان الهجو بالجملة الخبريّة، وكان بما فيه من المعايب، ولم يستلزم الهجو إهانة وهتكاً زائداً عمّا يلازم اغتيابه، جاز هجوه، لما دلَّ على جواز غيبة المتجاهر بالفسق، وإلّا فلا يجوز، لعموم الأدلّة وعدم المخصّص، إذ الدليل المُخرِج مختصٌّ بغيبة المتجاهر بالفسق، لا بكلّ ما يكون إهانة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هجو الفاسق المبتدع في الدِّين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وذلك لأنّه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الهجو بما فيه بالجملة الخبريّة أو بالجملة الإنشائيّة، فإنّ مقتضى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ذلك، بعد كون أدلّة حرمة الغيبة وحرمة الإهانة والهتك مختصّة بالمؤمن غير الشامل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الهجو بما ليس فيه بالجملة الخبريّة، فإنّه يدلّ على جوازه الخبر الصحيح الذي رواه داود بن سرحان، عن الإمام الصادق عليه السلام، عن رسول اللّه صلى الله عليه و آله في أهل الريب والبدع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وأكثروا من سبّهم، والقول فيهم والوقيعة، وباهتوهم كي لايطمعوا في الفساد في الإسلام، ويحذّرهم الناس، ولايتعلّمون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 على إرادة اتّهامهم، وسوء الظنّ بهم، بما يحرم اتّهام المؤمن به، وعدم تجويز الكذب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الشيخ رحمه الله</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لا يصار إليه بلا قرينة، وهذا يدلّ على الجواز في الشقّ الأوّل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هجو المخالفين أم لا؟</w:t>
      </w:r>
    </w:p>
    <w:p>
      <w:pPr>
        <w:pStyle w:val="BookText"/>
        <w:rPr/>
      </w:pPr>
      <w:r>
        <w:rPr>
          <w:rFonts w:ascii="Amiri" w:hAnsi="Amiri" w:eastAsia="Amiri" w:cs="Amiri"/>
          <w:color w:val="111111"/>
          <w:sz w:val="28"/>
          <w:sz w:val="28"/>
          <w:szCs w:val="28"/>
          <w:rtl w:val="true"/>
          <w:lang w:bidi="ar-SA"/>
        </w:rPr>
        <w:t>فيه أيضاً وجهان، بل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هجوهم بما فيهم أو بالجملة الإنشائيّة جائزٌ، لما تقدّم من اختصاص أدلّة حرمة الغيبة والإهانة والهتك بالمؤمنين القائلين بإمامة الأئمّة الاثني عشر عليهم السلام كما تقدّم تنقيح القول في ذلك في مبحث الغيبة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بما ليس فيهم من المعايب، فغير جائزٍ، لعموم أدلّة حرمة الكذب والبهتان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أبي حمزة،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يفترون ويقذفون من خالفهم‌؟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عنهم أجمل</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لعليّ بن العبّاس الذي لا يعتمد عليه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77" w:name="pg11815_192853"/>
    </w:p>
    <w:p>
      <w:pPr>
        <w:pStyle w:val="Heading2"/>
        <w:numPr>
          <w:ilvl w:val="1"/>
          <w:numId w:val="1"/>
        </w:numPr>
        <w:rPr/>
      </w:pPr>
      <w:bookmarkStart w:id="278" w:name="__RefHeading___Toc10830621_73709187"/>
      <w:bookmarkStart w:id="279" w:name="_Toc93"/>
      <w:bookmarkEnd w:id="277"/>
      <w:bookmarkEnd w:id="278"/>
      <w:r>
        <w:rPr>
          <w:rtl w:val="true"/>
        </w:rPr>
        <w:t>حرمة الهجر</w:t>
      </w:r>
      <w:bookmarkEnd w:id="279"/>
    </w:p>
    <w:p>
      <w:pPr>
        <w:pStyle w:val="BookText"/>
        <w:rPr/>
      </w:pPr>
      <w:r>
        <w:rPr>
          <w:rFonts w:ascii="Amiri" w:hAnsi="Amiri" w:eastAsia="Amiri" w:cs="Amiri"/>
          <w:color w:val="111111"/>
          <w:sz w:val="28"/>
          <w:sz w:val="28"/>
          <w:szCs w:val="28"/>
          <w:rtl w:val="true"/>
          <w:lang w:bidi="ar-SA"/>
        </w:rPr>
        <w:t>المسألة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Style w:val="FootnoteAnchor"/>
          <w:rtl w:val="true"/>
        </w:rPr>
        <w:footnoteReference w:id="803"/>
      </w:r>
      <w:r>
        <w:rPr>
          <w:rFonts w:ascii="Amiri" w:hAnsi="Amiri" w:eastAsia="Amiri" w:cs="Amiri"/>
          <w:color w:val="111111"/>
          <w:sz w:val="28"/>
          <w:sz w:val="28"/>
          <w:szCs w:val="28"/>
          <w:rtl w:val="true"/>
          <w:lang w:bidi="ar-SA"/>
        </w:rPr>
        <w:t>بين المسلمين في حرمة الهجر، والمراد منه الفحش والقول القبيح،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البذاء من الجفاء، والجفاء في النار</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 بن قيس، عن أمير المؤمنين عليه السلام،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الجنّة على كلّ فحّاش بذيء، قليل الحياء، لا يبالي ما قال ولا ما قيل له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عدم الفرق بين أن يكون المخاطب به مؤمناً أو مسلماً أو كافراً، ذكراً أو أُنثى‌، صغيراً أو كبيراً، إذ الظاهر منها أنّه محرّم من حيث نفسه، لا بعنوان أنّه إهانة وهتك للمخاطب كي تختصّ الحرمة ببعض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الإطلاقات تشمل ما إذا كان المقول له من البهائم والحيوانات كما أفاده المحقّق التقي رحمه الله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1815_192855"/>
      <w:bookmarkStart w:id="281" w:name="pg11815_192855"/>
      <w:bookmarkEnd w:id="281"/>
    </w:p>
    <w:p>
      <w:pPr>
        <w:pStyle w:val="Heading2"/>
        <w:numPr>
          <w:ilvl w:val="1"/>
          <w:numId w:val="1"/>
        </w:numPr>
        <w:rPr/>
      </w:pPr>
      <w:bookmarkStart w:id="282" w:name="pg11815_192855"/>
      <w:bookmarkStart w:id="283" w:name="__RefHeading___Toc10830623_73709187"/>
      <w:bookmarkStart w:id="284" w:name="_Toc94"/>
      <w:bookmarkEnd w:id="282"/>
      <w:bookmarkEnd w:id="283"/>
      <w:r>
        <w:rPr>
          <w:rtl w:val="true"/>
        </w:rPr>
        <w:t>فهرس الموضوعات</w:t>
      </w:r>
      <w:bookmarkEnd w:id="284"/>
    </w:p>
    <w:p>
      <w:pPr>
        <w:pStyle w:val="BookText"/>
        <w:rPr/>
      </w:pPr>
      <w:r>
        <w:rPr>
          <w:rFonts w:ascii="Amiri" w:hAnsi="Amiri" w:eastAsia="Amiri" w:cs="Amiri"/>
          <w:color w:val="111111"/>
          <w:sz w:val="28"/>
          <w:sz w:val="28"/>
          <w:szCs w:val="28"/>
          <w:rtl w:val="true"/>
          <w:lang w:bidi="ar-SA"/>
        </w:rPr>
        <w:t xml:space="preserve">حرمة التطفيف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حكم المعاملة المطفّف فيها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حرمة التنجيم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حرمة حفظ كتب الضلال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موضوع الرَّشوة وحكمها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حكم الرَّشوة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أُجور القضاة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الارتزاق من بيت المال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أخذ القاضي للهديّة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حكم قبول الرَّشوة في غير الأحكام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حكم المعاملة المحاباتيّة مع القاضي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حكم الرَّشوة وضعاً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بحث عن اختلاف الدافع والقابض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حرمة سَبّ المؤمن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المستشنيات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السّحر، موضوعه وحكمه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حقيقة السحر </w:t>
      </w:r>
      <w:r>
        <w:rPr>
          <w:rFonts w:eastAsia="Amiri" w:cs="Amiri" w:ascii="Amiri" w:hAnsi="Amiri"/>
          <w:color w:val="111111"/>
          <w:sz w:val="28"/>
          <w:szCs w:val="28"/>
          <w:lang w:bidi="ar-SA"/>
        </w:rPr>
        <w:t>76</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السِّحر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دفع ضرر السِّحر بالسِّحر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حكم التسخيرات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حرمة الشّعبذة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حرمة الغِشّ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حكم المعاملة وضعاً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حرمة الغناء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حكم الغناء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مستثنيات حرمة الغناء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الغناء في قراءة القرآن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الحُداء لسوق الإبل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الغناء في زَفّ العرائس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الغيبة من الذنوب الكبيرة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اشتراط الإيمان في حرمة الغيبة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حكم غيبة الصبي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بيان معنى الغيبة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كفّارة الغيبة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مستثنيات الغيبة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غيبة المتجاهر بالفسق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فروع الغيبة </w:t>
      </w:r>
      <w:r>
        <w:rPr>
          <w:rFonts w:eastAsia="Amiri" w:cs="Amiri" w:ascii="Amiri" w:hAnsi="Amiri"/>
          <w:color w:val="111111"/>
          <w:sz w:val="28"/>
          <w:szCs w:val="28"/>
          <w:lang w:bidi="ar-SA"/>
        </w:rPr>
        <w:t>165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تظلّم المظلوم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حكم غيبة تارك الأولى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ضابط الغيبة الجائزة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نُصح المستشير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الاغتياب في مواضع الاستفتاء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الاغتياب لردع المغتاب عن فعل المنكر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الاغتياب لحسم مادّة الفساد وجرح الشهود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الاغتياب لدفع الضرر عن المقول فيه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الاغتياب بذكر الأوصاف الظاهرة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الاغتياب لرد من يدّعي نسباً ليس له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استماع الغيبة حرام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جواز الغيبة لا يلازم جواز استماعها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حرمة كون الإنسان ذا لسانين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حرمة القمار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اللّعب بالآلات المعدّة القمار مع الرّهن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اللّعب بالآلات المُعدّة للقمار بدون الرّهن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اللّعب بغير الآلات المعدّة للقمار مع الرّهن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حكم المسابقة بغير رهان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القيادة حرام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القيافة وحكمها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حرمة الكذب </w:t>
      </w:r>
      <w:r>
        <w:rPr>
          <w:rFonts w:eastAsia="Amiri" w:cs="Amiri" w:ascii="Amiri" w:hAnsi="Amiri"/>
          <w:color w:val="111111"/>
          <w:sz w:val="28"/>
          <w:szCs w:val="28"/>
          <w:lang w:bidi="ar-SA"/>
        </w:rPr>
        <w:t>227</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الكذب من الكبائر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حقيقة الوعد وحكمه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حكم خلف الوعد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حرمة الكذب عند الهزل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المبالغة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التورية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الكذب لدفع الضرورة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الكذب لإرادة الإصلاح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الكهانة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الإخبار عن الأُمور المستقبلة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حرمة اللّهو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اللَّعب واللَّغو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مدح من لا يستحقّ المدح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حرمة معونة الظالمين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إعانة الظالم في غير جهة ظلمه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حرمة النجش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النميمة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النميمة محرّمة بالأدلّة الأربعة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النياحة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حكم قبول ولاية الجائر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أخذ الولاية للقيام بمصالح العباد </w:t>
      </w:r>
      <w:r>
        <w:rPr>
          <w:rFonts w:eastAsia="Amiri" w:cs="Amiri" w:ascii="Amiri" w:hAnsi="Amiri"/>
          <w:color w:val="111111"/>
          <w:sz w:val="28"/>
          <w:szCs w:val="28"/>
          <w:lang w:bidi="ar-SA"/>
        </w:rPr>
        <w:t>308</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الولاية من قِبل الجائر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حكم قبول الولاية عن كُره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حكم الإضرار بالنّاس مع الإكراه عليه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حكم قبول الولاية لدفع الضَّرر عن الغير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اعتبار العجز عن التفصّي في الإكراه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جواز الولاية مع الضرر المالي رخصة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حكم قتل المؤمن بالإكراه أو بالتقيّة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حكم المستحقّ للقتل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حكم قتل المخالف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حرمة هجاء المؤمن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حرمة الهجر </w:t>
      </w:r>
      <w:r>
        <w:rPr>
          <w:rFonts w:eastAsia="Amiri" w:cs="Amiri" w:ascii="Amiri" w:hAnsi="Amiri"/>
          <w:color w:val="111111"/>
          <w:sz w:val="28"/>
          <w:szCs w:val="28"/>
          <w:lang w:bidi="ar-SA"/>
        </w:rPr>
        <w:t>345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التطفيف في الكيل والوزن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والتطفيف حرام في الكيل والوزن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البخس في العدّ والذرع يلحق به حكماً وإن خرج عن موضوعه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البخس في العَدّ والذرع يلحق به حكماً وإنْ خرج عن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21554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للمحقّق الإيرواني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للمحقّق الإيرواني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والتنجيم حرام وكذا تعلّم النجوم مع اعتقاد تأثيرها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المحقّق الخوئي القول الأوّل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جمعٍ من الفلاسفة، والقول الثاني إلى جمع آخر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التنجيم مع اعتقاد أنّ للنجوم تأثيراً في الموجودات السفليّة ولو على جهة المدخليّة حرام، وكذا تعلّم النجوم عليهذا الوجه، بل هذا الاعتقاد كفر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22196</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22205</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22205</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15048</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يمنع العقل والنقل من أن تكون النجوم علامات للحوادث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9/134</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هذه الفروع تباعاً، راجع كتاب المكاسب للشيخ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22516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40/131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جماعة المنع مطلقاً، بل عن المبسوط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لا يجوز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الإجماع عليه، وعن المعتمد الإجماع عليه مع عدم الحاجة، وعن الكفاية نفى الخلاف فيه مع وجود الكفاية من بيت المال،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عدمها ووجود الحاجة قولان أشهرهما المنع، وكذا عن المسالك، وعن بعضهم الجواز مع عدم التعيّن والضرورة، ومع التعيّن الكفاية لا يجوز قولاً واحداً، وفي المستند دعوى ظهور الإجماع على عدم الجواز مع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صاحب تكملة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جماعة الجواز مطلقاً كما حكي عن القواعد والنهاية والقاضي، وعن المفاتيح نقله عن بعضهم، وعن شرحه إسناد جواز الأخذ إلى المشهور، وظاهره إطلاق الجواز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14941</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21559</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من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تنفيذ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مع التعيين فلأنّه يؤدّي واجباً فلايجوز أخذ الاُجرة عليه كغيره من العبادات الواجبة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رأيه خلاف الأشهر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طبع الكمباني، وفي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22516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 راجع 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سمّاك</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16350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للمحقّق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20883</w:t>
      </w:r>
      <w:r>
        <w:rPr>
          <w:rFonts w:ascii="IRNazanin" w:hAnsi="IRNazanin" w:eastAsia="IRNazanin"/>
          <w:b w:val="false"/>
          <w:b w:val="false"/>
          <w:bCs w:val="false"/>
          <w:i w:val="false"/>
          <w:i w:val="false"/>
          <w:iCs w:val="false"/>
          <w:color w:val="333333"/>
          <w:sz w:val="20"/>
          <w:sz w:val="20"/>
          <w:szCs w:val="20"/>
          <w:rtl w:val="true"/>
        </w:rPr>
        <w:t>، أُصول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34196</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22484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السيّد عبد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56/303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56/303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التحفة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ونسبه في جامع المدارك إلى بعض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ومثله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روض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26/165</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56/278</w:t>
      </w:r>
      <w:r>
        <w:rPr>
          <w:rFonts w:ascii="IRNazanin" w:hAnsi="IRNazanin" w:eastAsia="IRNazanin"/>
          <w:b w:val="false"/>
          <w:b w:val="false"/>
          <w:bCs w:val="false"/>
          <w:i w:val="false"/>
          <w:i w:val="false"/>
          <w:iCs w:val="false"/>
          <w:color w:val="333333"/>
          <w:sz w:val="20"/>
          <w:sz w:val="20"/>
          <w:szCs w:val="20"/>
          <w:rtl w:val="true"/>
        </w:rPr>
        <w:t>، أقسام السحر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56/295</w:t>
      </w:r>
      <w:r>
        <w:rPr>
          <w:rFonts w:ascii="IRNazanin" w:hAnsi="IRNazanin" w:eastAsia="IRNazanin"/>
          <w:b w:val="false"/>
          <w:b w:val="false"/>
          <w:bCs w:val="false"/>
          <w:i w:val="false"/>
          <w:i w:val="false"/>
          <w:iCs w:val="false"/>
          <w:color w:val="333333"/>
          <w:sz w:val="20"/>
          <w:sz w:val="20"/>
          <w:szCs w:val="20"/>
          <w:rtl w:val="true"/>
        </w:rPr>
        <w:t>، فإنّه بعد اعتبار أكثر هذه الأشياء من السحر، قال عن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هذا الباب تركيب صندوق الساعات، ويندرج في هذا الباب علم جَرّ الأثقال، وهو أن يجرّ ثقيلاً عظيماً بآلة خفيفة، وهذا في الحقيقة لا ينبغي أن يُعدّ من باب السحر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الصفحات السابقة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الشيخ الأعظم في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المصدر السابق من البحار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وشرح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وأطلق في الدروس تحريم عمل الطلّسمات إلحاقاً له بالسحر ووجهه غير ظاهر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في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جامع البيان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التبيان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التبيان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23265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الرواية كما في الوسائل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بعض أصحابنا، عن سجادة عن موسى بن بكر،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عند أبي الحسن عليه السلام وإذا دنانير مصبوبة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ألقه في البالوعة حتّى لا يباع شيء فيه 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بإسناده عن موسى بن بكر مثله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عثمان سجادة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علي بن أبي عثمان، الملقّب بسجادة، له كتاب أخبرنا به عدّة من أصحابنا، عن أبي المفضّل، عن ابن بطّة، عن أحمد بن أبي عبد اللّه، عن الحسن بن علي بن أبي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عثمان اسمه عبد الواحد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الحديث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23452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علي الصيرفي، عن المفضّل بن عمر الجُعفي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 فالقى بين يديه دراهم، فألقى إليّ درهماً منها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إيش هذا؟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الستوق‌؟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طبقتين فضّة وطبقة من نحاس وطبقة من فضّة،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اكسرها فإنّه لا يحلّ بيع هذا ولا إنفاقه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20/231</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والإيضاح أنّه الصوت المطرب،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وحكاه عن الإيضاح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ونسب الكشميري في رسالة مسألة الغناء إلى المشهور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 الصوت المشتمل على الترجيع المطربي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 ذلك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النسبة في الصفحة السابقة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إنّه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ونسبه المحقّق الأردبيلي إلى الأشهر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عرّفه جماعة من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رسالة في الغناء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وأكثرهم فسّروه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واعتبره بعض الأفاضل القدر المتيقّن كما في رسالة في الغناء للبهبهاني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الطرب بالتحريك خفّة تعتري الإنسان لشدّة حزن أو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ما عن الصحاح، وقريب منه ما عن الأساس للزمخشري من أنّه خِفّة لسرورٍ أو هَمّ‌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الطرب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والحزن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خفّة تلحقك تسرّك أو تحزنك، وتخصيصه بالفرح وهم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7755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66/262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22641</w:t>
      </w:r>
      <w:r>
        <w:rPr>
          <w:rFonts w:ascii="IRNazanin" w:hAnsi="IRNazanin" w:eastAsia="IRNazanin"/>
          <w:b w:val="false"/>
          <w:b w:val="false"/>
          <w:bCs w:val="false"/>
          <w:i w:val="false"/>
          <w:i w:val="false"/>
          <w:iCs w:val="false"/>
          <w:color w:val="333333"/>
          <w:sz w:val="20"/>
          <w:sz w:val="20"/>
          <w:szCs w:val="20"/>
          <w:rtl w:val="true"/>
        </w:rPr>
        <w:t>، عوالي اللالئ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الميرزا الشيرازي في حاشيته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حكى في جامع المقاصد قولاً لم يسمّ قائله باستثناء الغناء في المراثي نظير استثنائه في الأعراس ولم يذكر وجهه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الجمع بين هذه الأخبار والأخبار الكثيرة الدالّة على تحريم الغناء بوجهين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تخصيص تلك الأخبار بما عدا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انجشه وليس عبد اللّه بن رواحه، راجع نفس المصدر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الخرائطي وابن مردويه والبيهقي كما في محكي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16308</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72/234</w:t>
      </w:r>
      <w:r>
        <w:rPr>
          <w:rFonts w:ascii="IRNazanin" w:hAnsi="IRNazanin" w:eastAsia="IRNazanin"/>
          <w:b w:val="false"/>
          <w:b w:val="false"/>
          <w:bCs w:val="false"/>
          <w:i w:val="false"/>
          <w:i w:val="false"/>
          <w:iCs w:val="false"/>
          <w:color w:val="333333"/>
          <w:sz w:val="20"/>
          <w:sz w:val="20"/>
          <w:szCs w:val="20"/>
          <w:rtl w:val="true"/>
        </w:rPr>
        <w:t>، المحجّة البيضاء للمحدِّث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10454</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10407</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هارون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قارون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أبو جعفر ابن بابويه، رجال الشيخ، في من لم يرو عنهم عليهم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بعض النسخ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أبو جعفر 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في الخصال، مترضّياً عليه، باب الاثنين، معرفة التوحيد بخصلتين،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حدّثنا أحمد بن إبراهيم ابن هارون الفامي، في مسجد الكوفة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هارون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النوري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المظنون قويّاً أنّه تصحيف أحمد بن هارون القاضي الآتي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عيسى أبو عمرو العامري الكلابي، ثمّ من ولد عبيد بن رؤاس، فتارةً يقال الكلابي وتارةً العامري وتارةً الرؤاسي،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مولى بني رؤاس، وكان شيخ الواقفة ووجهها، وأحد الوكلاء المستبدين بمال موسى بن جعفر عليه السلام، روى عن أبي الحسن عليه السلام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علقمة بن محمّد الحضرمي أخو أبي بكر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عليه السلام، 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في أصحاب الصادق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علقمة بن محمّد الحضرمي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البرقي علقمة الحضرمي من أصحاب الباقر عليه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المحدِّث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72/231</w:t>
      </w:r>
      <w:r>
        <w:rPr>
          <w:rFonts w:ascii="IRNazanin" w:hAnsi="IRNazanin" w:eastAsia="IRNazanin"/>
          <w:b w:val="false"/>
          <w:b w:val="false"/>
          <w:bCs w:val="false"/>
          <w:i w:val="false"/>
          <w:i w:val="false"/>
          <w:iCs w:val="false"/>
          <w:color w:val="333333"/>
          <w:sz w:val="20"/>
          <w:sz w:val="20"/>
          <w:szCs w:val="20"/>
          <w:rtl w:val="true"/>
        </w:rPr>
        <w:t>، المحجّة البيضاء للمحدِّث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وكشف الريبة، ومرآة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 البيهقي باب ما جاء في التقاضي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والبخاري باب الوكالة في قضاء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أنّ أعرابيّاً تقاضى النبيّ صلى الله عليه و آله ديناً كان له عليه فأغلظ له، فهمَّ به أصحاب النبيّ صلى الله عليه و آله، 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فإنّ لصاحب الحقّ مقالاً،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اقضوه،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نجد إلّاسنّاً أفضل من سنّه،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اشتروه واعطوه فإنّ خيركم أحسنكم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لصاحب الحقّ مقالاً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مسوّغات الغيبة، ولم يذكر المصدر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المحقّق السبزواري في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والسيّد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 بن محمّد البصري، مضطرب الحديث والمذهب، كتبه قريبة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رجل الحديث ج </w:t>
      </w:r>
      <w:r>
        <w:rPr>
          <w:rFonts w:eastAsia="IRNazanin" w:cs="IRNazanin"/>
          <w:b w:val="false"/>
          <w:bCs w:val="false"/>
          <w:i w:val="false"/>
          <w:iCs w:val="false"/>
          <w:color w:val="333333"/>
          <w:sz w:val="20"/>
          <w:szCs w:val="20"/>
        </w:rPr>
        <w:t>19/280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معلّى بن محمّد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 بن محمّد البصري أبو محمّد يعرف حديثه وينكر، ويروي عن الضعفاء، ويجوز أن يخرج شاهداً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279/19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10451</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34442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واحتمال كونها متجاهرة يدفع بالأصل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22524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33433</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10463</w:t>
      </w:r>
      <w:r>
        <w:rPr>
          <w:rFonts w:ascii="IRNazanin" w:hAnsi="IRNazanin" w:eastAsia="IRNazanin"/>
          <w:b w:val="false"/>
          <w:b w:val="false"/>
          <w:bCs w:val="false"/>
          <w:i w:val="false"/>
          <w:i w:val="false"/>
          <w:iCs w:val="false"/>
          <w:color w:val="333333"/>
          <w:sz w:val="20"/>
          <w:sz w:val="20"/>
          <w:szCs w:val="20"/>
          <w:rtl w:val="true"/>
        </w:rPr>
        <w:t xml:space="preserve">، كشف الريبة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10415</w:t>
      </w:r>
      <w:r>
        <w:rPr>
          <w:rFonts w:ascii="IRNazanin" w:hAnsi="IRNazanin" w:eastAsia="IRNazanin"/>
          <w:b w:val="false"/>
          <w:b w:val="false"/>
          <w:bCs w:val="false"/>
          <w:i w:val="false"/>
          <w:i w:val="false"/>
          <w:iCs w:val="false"/>
          <w:color w:val="333333"/>
          <w:sz w:val="20"/>
          <w:sz w:val="20"/>
          <w:szCs w:val="20"/>
          <w:rtl w:val="true"/>
        </w:rPr>
        <w:t xml:space="preserve">، كشف الريبة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والأخبار في حرمته كثيرة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شعيب بن واقد لم يذكر في كتب الرجال، فهو مجهول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دلالة فيه على جواز الاستماع، وإنّما يدلّ على عدم وجوب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الرّد غير النهي عن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نعت وفعل يُقمر عليه فهو قمار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2/799</w:t>
      </w:r>
      <w:r>
        <w:rPr>
          <w:rFonts w:ascii="IRNazanin" w:hAnsi="IRNazanin" w:eastAsia="IRNazanin"/>
          <w:b w:val="false"/>
          <w:b w:val="false"/>
          <w:bCs w:val="false"/>
          <w:i w:val="false"/>
          <w:i w:val="false"/>
          <w:iCs w:val="false"/>
          <w:color w:val="333333"/>
          <w:sz w:val="20"/>
          <w:sz w:val="20"/>
          <w:szCs w:val="20"/>
          <w:rtl w:val="true"/>
        </w:rPr>
        <w:t xml:space="preserve">، مختار الصحاح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المستحدثة للمؤلّف طبع غير مرّة وآخرها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يحرم اللّعب بالآلات المعدّة له من غير قمار؟ لا إشكال في تحريم الشطرنج والنرد كما صرّح به الصدوق بل لا خلاف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 بن المنذر أبو الجارود الهمداني الخارفي الأعمى، أخبرنا ابن عبدون عن علي بن محمّد عن علي بن الحسن عن حرب بن الحسن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أعمى ما رأيتُ الدّنيا قطّ، كوفي كانَ مِن أصحاب أبي جعفر عليه السلام وروى عن أبي عبد اللّه عليه السلام وتغيّر لمّا خرج زيد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العبّاس بن نوح وهو ثقفي، سمع عطيّة، وروى عن أبي جعفر عليه السلام، وروى عنه مروان بن معاوية وعلي بن هاشم بن البريد يتكلّمون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البخاري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الخوئي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النجاشي عنه،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لم يرد فيه قدح ولا مدح في كتب الرِّجال، ولكنّه مع ذلك ذهب جماعة منهم صاحب الوسائل قدس سره في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حسنه بل وثاقته،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خليد بن أوفى أبو الربيع العاملي الشامي من أصحاب الصادق عليه السلام، مذكور في كتب الرجال خال من الذّم، بل هو ممدوح كثير الرواية والحديث، له كتب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كتاب المكاسب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والحديث وارد في كتاب الأمالي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زياد أبوسعيد الأدمي الرازي كان ضعيفاً في الحديث غير معتمد عليه فيه، وكان أحمد بن محمّد بن عيسى يشهد عليه بالغلو والكذب وأخرجه من قمّ إلى الري، وكان يسكنها، وقد كاتب أبا محمّد العسكري عليه السلام على يد محمّد بن عبد الحميد العطّار للنصف من شهر ربيع الآخر سنة خمس وخمسين ومائتين ذكر ذلك أحمد بن علي بن نوح، وأحمد بن الحسين رحمهما اللّه له كتاب التوحيد، رواه أبوالحسن العبّاس بن أحمد بن الفضل بن محمّد الهاشمي الصالحي، عن أبيه، عن أبي سعيد الأدمي، وله كتاب النوادر أخبرناه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عن محمّد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عن سهل بن زياد، ورواه عنه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الأدمي الرازي يكنّى أبا سعيد، ضعيف، له كتاب أخبرنا به ابن أبي جيد، عن محمّد بن الحسن، عن محمّد بن يحيى، عن محمّد بن أحمد ابن يحيى، عنه، ورواه محمّد بن الحسن بن الوليد، عن سعد والحميري عن أحمد بن أبي عبد اللّه عنه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باقري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الرأي للطباطبائي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24524</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العلاء بن سيابة الكوفي، مولى، من أصحاب الصادق عليه السلام، 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البرقي أيضاً من أصحاب الصادق عليه السلام،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العلاء بن سيابة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وروى عنه موسى بن أكيل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نادى نُوحٌ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الصدوق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رضى الله عنه، عن سعد بن عبد اللّه، عن أحمد ابن محمّد بن عيسى، عن الحسن بن علي الوشاء، عن أبان بن عثمان، عن العلاء ابن سيابة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رضا عرفانيان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ياسر الخادم، مسكوتٌ عنه روى عنه في المحاسن كتاب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بطريق صحيح</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22665</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شمر أبو عبد اللّه الجعفي، عربي، روى عن أبي عبد اللّه عليه السلام، ضعيف جدّاً، زيد أحاديث في كتب جابر الجعفي ينسب بعضها إليه والأمر ملتبس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تضعيفه عن النجاشي في ترجمة جابر الجعفي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الحميد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الكاظم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سعيد، روى عنه صفوان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الرضا عليه السلام، وذكره في موضعين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المحتمل أن يكون الصحيح في أحد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فقد يقال باتّحاد هذا مع سابقه، وأنّ والد عبد الحميد قد يعبّر عنه بسعد، وقد يعبّر عنه بسعيد، أو أنّ في أحد الموردين تحريفاً، ولكن ذلك لم يثبت فإنّ ظاهر كلام الشيخ التعدّد، ورواية صفوان عنهما لا يدلّ على الاتّحاد،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ولا ثمرة للبحث، فإنّه لم يثبت وثاقة كلّ منهما، فإن كان رواية صفوان عن شخص دليلاً على وثاقته فكلاهما ثقة، وإلّا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يعمل معهما معاملة الثقة، إتّحدا أم تعدّدا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السبزواري في كفاية الأحكام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المسالك المشهور 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الباء من سبق وهوالعوض المبذول للعمل، وماهيّة المنفيّة غير مرادة، بل المراد نفي حكمٍ من أحكامها أو مجموعها بطريق المجاز كنظائره وأقرب المجازات إليه نفي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أنّه لا يَصحّ بذل العوض في هذه المعاملة إلّافي هذه الثلاثة، وعلى هذا لا ينفى جواز غيرها بغير عوض، وربما رواه بعضهم بسكون الباء وهو المصدر أي لا يقع هذا الفعل إلّافي الثلاثة فيكون ما عداها غير جايز</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الأخبار ظاهرة في الجواز فيما اختلفوا فيه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فعله لا على جهة كونه عقد سبق فالظاهر جوازه، للأصل والسيرة المستمرّة على فعله في جميع الأعصار والأمصار من الأعوام والعلماء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ذكر ذكر أنّه مضطرب الحديث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الرّجل ثقة يعتمد على 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 النجاشي من اضطرابه في الحديث والمذهب فلا يكون مانعاً عن وثاقته، أمّا أضطرابه في المذهب فلم يثبت كما ذكره بعضهم، وعلى تقدير الثبوت فهو لا ينافي الوثاقة، وأمّا اضطرابه في الحديث فمعناه أنّه قد يروي ما يعرف، وقد يروي ما ينكر، وهذا أيضاً لا ينافي 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ويؤكّد ذلك قول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وكتبه قريبة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روايته عن الضعفاء على ما ذكره ابن الغضائري، فهي على تقدير ثبوتها لا تضرّ بالعمل بما يرويه عن الثقات، فالظاهر أنّ الرّجل معتمد عليه، واللّه العالم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والمشهور في الرواية فتح الباء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العوض المبذول للعمل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41/399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22910</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34483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القيافة وكذلك ما يشابهه في هذا الباب من النار والحيات والسيميار وغيرها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والقائف من يعرف الآثار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القاموس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السابعة في السحر، ونحوه القيافة، والكهانة، والشعبدة، ولا خلاف في تحريم تعليم الجميع وأخذ الأُجرة عليه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وفيه نفي الخلاف، وحكى الإجماع عنه 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مسائل علي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الكبيرة ما توعّد اللّه فيها بالنار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20660</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كلام الصدوق لا يدلّ على توثيق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فالرجل مجهول الحال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بعد نقله أقوال الرجالين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الخلاف في اعتبار علي بن محمّد القتيبي وعدمه، فقيل باعتباره، واستدلّ على ذلك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أجاب على ذلك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عن المدارك من أنّ علي بن محمّد بن قتيبة غير موثّق، ولا ممدوح مدحاً يعتدّ به، هو الصحيح، واللّه العالم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لللشيخ علي النمازي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نعيم بن شاذان النيسابوري الحاكم رضي اللّه عنه،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مشايخ الصدوق، روى عنه في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أبي عبد اللّه محمّد بن شاذان، عن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في العيون كثيراً أيضاً مترضِّياً عليه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وفي 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حول عثمان في غيبة المتجاهر بالفسق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69/263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69/235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16221</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16227</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هداية الطالب إلى أسرار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15966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15965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الأعور، عن عليّ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 من الكذب جِدّ ولا هزل، ولا أن يعد أحدكم صبيّه ثمّ لا يفي له، إنّ الكذب يهدي إلى الفجور، والفجور يهدي إلى النار، وما يزال أحدكم يكذب حتّى يُقال كذب وفجر، وما يزال أحدكم يكذب حتّى لا تبقى موضع ابرة صدق فيسمّى عند اللّه كذّاباً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سيف بن عميرة، عمّن حدّثه، عن أبى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 بن الحسين عليهما السلام يقول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الكذب الصغير منه والكبير في كلّ جِدٍّ وهزل، فإنّ الرّجل إذا كذب في الصغير اجترء على الكبير، أمّا علمتم أنّ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يزال العبد يصدق حتّى يكتبه اللّه صدِّيقاً، وما يزال العبد يكذب حتّى يكتبه اللّه كذّاباً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69/235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عن النبيّ صلى الله عليه و آله في وصيّة 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ذرّ مَن ملك ما بين فخذيه وما بين لحييه دخل الجنّة،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لنؤأخذ بما تنطق به ألسنتنا؟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يُكبّ الناس على مناخرهم في النار إلّاحصائد ألسنتهم، إنّك لا تزال سالماً ما سكتّ فإذا تكلّمت كُتب لكَ أو عليك، يا أبا ذرّ إنّ الرّجل ليتكلّم بالكلمة من رضوان اللّه عزّوجلّ فيكتب بها رضوانه يوم القيامة، وإنّ الرّجل ليتكلّم بالكلمة في المجلس ليضحكهم بها فيهوى في جهنّم ما بين السماء والأرض، يا أبا ذرّ، ويلٌ للذي يحدِّث فيكذب ليُضحك به القوم، ويلٌ له، ويل له، ويل له، يا أبا ذرّ مَن صمت نجى، فعليك بالصمت، ولا تخرجنّ من فِيكَ كذبة أبداً،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فما توبة الرّجل الذي يكذب متعمّداً؟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 وصلوات الخمس تغسل ذلك</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16187</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يظهر له أي مدح من الكشي، إلّاأن يكون رواية الفضل بن شاذان نوع مدح له عنده، وفيه منع ظاهر، وأمّا ما نسبه إلى الكشي من أنّ القاسم كان وزير أبي جعفر المنصور فهو سهوٌ جزماً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للمؤلِّف لم تُطبع لحدّ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احتجاج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29442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16238</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16260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و 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 من هذا المجلّد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السّحت ثمن الميتة، وثمن الكلب، وثمن الخمر، ومهر البغي، والرَّشوة في الحكم، وأجر الكاهن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66/262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المومنون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النجاشي بكر بن عبد اللّه بن حبيب المزني يعرف وينكر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22305</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غريب الحديث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22991</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15370</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الوسيلة لابن حمزة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22166</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من هذا المجلّد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22332</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ورواه المامقاني رحمه الله عن نسخة قديمة لرجال الكشّي في ترجمة محمّد بن إسماعيل بن بزيع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حاشية المكاسب الإيرواني دون النسبة إلى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 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21358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قاعدة الحرج أو ما يعبَّر عنه بعموم الحرج، أبرز ما دلَّ عليه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عَلَيْكُمْ فِي اَلدِّينِ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منه هو السيّد المجاهد، لكن لم يسند الأقوال الثلاثة إلى ظاهر الأصحاب بل قال بعد طرح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استظهره في المصابيح من كلام بعض الأصحاب من التفرقة بين التولية وفعل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المناهل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انظر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أصل له في كتب الحديث المعتبرة، وإنّما هو مذكور في بعض الكتب الفقهيّة وقد نقله في المكاسب 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من هذا المجلّد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20910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68410</Words>
  <Characters>304242</Characters>
  <CharactersWithSpaces>369620</CharactersWithSpaces>
  <Paragraphs>4192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2026-08-22T08:07:54Z</dcterms:created>
  <dc:creator>ghaemiyeh.com</dc:creator>
  <dc:description/>
  <dc:language>en-US</dc:language>
  <cp:lastModifiedBy/>
  <dcterms:modified xsi:type="dcterms:W3CDTF">2026-08-22T11:38:05Z</dcterms:modified>
  <cp:revision>1</cp:revision>
  <dc:subject/>
  <dc:title>فقه الصادق علیه السلام جلد 21</dc:title>
</cp:coreProperties>
</file>

<file path=docProps/custom.xml><?xml version="1.0" encoding="utf-8"?>
<Properties xmlns="http://schemas.openxmlformats.org/officeDocument/2006/custom-properties" xmlns:vt="http://schemas.openxmlformats.org/officeDocument/2006/docPropsVTypes"/>
</file>