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اللوامع الحسنیة فی الأصول الفقهیة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7154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247156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47158_2870459653">
            <w:r>
              <w:rPr>
                <w:webHidden/>
                <w:rStyle w:val="IndexLink"/>
                <w:rtl w:val="true"/>
              </w:rPr>
              <w:t>مقدمة المرکز</w:t>
            </w:r>
            <w:r>
              <w:rPr>
                <w:rStyle w:val="IndexLink"/>
                <w:rtl w:val="true"/>
              </w:rPr>
              <w:tab/>
            </w:r>
            <w:r>
              <w:rPr>
                <w:rStyle w:val="IndexLink"/>
              </w:rPr>
              <w:t>9</w:t>
            </w:r>
          </w:hyperlink>
        </w:p>
        <w:p>
          <w:pPr>
            <w:pStyle w:val="Contents2"/>
            <w:tabs>
              <w:tab w:val="clear" w:pos="8743"/>
              <w:tab w:val="right" w:pos="9026" w:leader="dot"/>
            </w:tabs>
            <w:rPr/>
          </w:pPr>
          <w:hyperlink w:anchor="__RefHeading___Toc4247160_2870459653">
            <w:r>
              <w:rPr>
                <w:webHidden/>
                <w:rStyle w:val="IndexLink"/>
                <w:rtl w:val="true"/>
              </w:rPr>
              <w:t>مقدمة التحقيق</w:t>
            </w:r>
            <w:r>
              <w:rPr>
                <w:rStyle w:val="IndexLink"/>
                <w:rtl w:val="true"/>
              </w:rPr>
              <w:tab/>
            </w:r>
            <w:r>
              <w:rPr>
                <w:rStyle w:val="IndexLink"/>
              </w:rPr>
              <w:t>17</w:t>
            </w:r>
          </w:hyperlink>
        </w:p>
        <w:p>
          <w:pPr>
            <w:pStyle w:val="Contents2"/>
            <w:tabs>
              <w:tab w:val="clear" w:pos="8743"/>
              <w:tab w:val="right" w:pos="9026" w:leader="dot"/>
            </w:tabs>
            <w:rPr/>
          </w:pPr>
          <w:hyperlink w:anchor="__RefHeading___Toc4247162_2870459653">
            <w:r>
              <w:rPr>
                <w:webHidden/>
                <w:rStyle w:val="IndexLink"/>
                <w:rtl w:val="true"/>
              </w:rPr>
              <w:t>مُقدمة المصنف</w:t>
            </w:r>
            <w:r>
              <w:rPr>
                <w:rStyle w:val="IndexLink"/>
                <w:rtl w:val="true"/>
              </w:rPr>
              <w:tab/>
            </w:r>
            <w:r>
              <w:rPr>
                <w:rStyle w:val="IndexLink"/>
              </w:rPr>
              <w:t>33</w:t>
            </w:r>
          </w:hyperlink>
        </w:p>
        <w:p>
          <w:pPr>
            <w:pStyle w:val="Contents2"/>
            <w:tabs>
              <w:tab w:val="clear" w:pos="8743"/>
              <w:tab w:val="right" w:pos="9026" w:leader="dot"/>
            </w:tabs>
            <w:rPr/>
          </w:pPr>
          <w:hyperlink w:anchor="__RefHeading___Toc4247164_2870459653">
            <w:r>
              <w:rPr>
                <w:webHidden/>
                <w:rStyle w:val="IndexLink"/>
                <w:rtl w:val="true"/>
              </w:rPr>
              <w:t>لامعة في رسم هذا العلم، وبيان موضوعه، وغايته</w:t>
            </w:r>
            <w:r>
              <w:rPr>
                <w:rStyle w:val="IndexLink"/>
                <w:rtl w:val="true"/>
              </w:rPr>
              <w:tab/>
            </w:r>
            <w:r>
              <w:rPr>
                <w:rStyle w:val="IndexLink"/>
              </w:rPr>
              <w:t>37</w:t>
            </w:r>
          </w:hyperlink>
        </w:p>
        <w:p>
          <w:pPr>
            <w:pStyle w:val="Contents2"/>
            <w:tabs>
              <w:tab w:val="clear" w:pos="8743"/>
              <w:tab w:val="right" w:pos="9026" w:leader="dot"/>
            </w:tabs>
            <w:rPr/>
          </w:pPr>
          <w:hyperlink w:anchor="__RefHeading___Toc4247166_2870459653">
            <w:r>
              <w:rPr>
                <w:webHidden/>
                <w:rStyle w:val="IndexLink"/>
                <w:rtl w:val="true"/>
              </w:rPr>
              <w:t>لامعة في المبادئ اللغوية</w:t>
            </w:r>
            <w:r>
              <w:rPr>
                <w:rStyle w:val="IndexLink"/>
                <w:rtl w:val="true"/>
              </w:rPr>
              <w:tab/>
            </w:r>
            <w:r>
              <w:rPr>
                <w:rStyle w:val="IndexLink"/>
              </w:rPr>
              <w:t>39</w:t>
            </w:r>
          </w:hyperlink>
        </w:p>
        <w:p>
          <w:pPr>
            <w:pStyle w:val="Contents2"/>
            <w:tabs>
              <w:tab w:val="clear" w:pos="8743"/>
              <w:tab w:val="right" w:pos="9026" w:leader="dot"/>
            </w:tabs>
            <w:rPr/>
          </w:pPr>
          <w:hyperlink w:anchor="__RefHeading___Toc4247168_2870459653">
            <w:r>
              <w:rPr>
                <w:webHidden/>
                <w:rStyle w:val="IndexLink"/>
                <w:rtl w:val="true"/>
              </w:rPr>
              <w:t>في تقسيم الألفاظ</w:t>
            </w:r>
            <w:r>
              <w:rPr>
                <w:rStyle w:val="IndexLink"/>
                <w:rtl w:val="true"/>
              </w:rPr>
              <w:tab/>
            </w:r>
            <w:r>
              <w:rPr>
                <w:rStyle w:val="IndexLink"/>
              </w:rPr>
              <w:t>44</w:t>
            </w:r>
          </w:hyperlink>
        </w:p>
        <w:p>
          <w:pPr>
            <w:pStyle w:val="Contents2"/>
            <w:tabs>
              <w:tab w:val="clear" w:pos="8743"/>
              <w:tab w:val="right" w:pos="9026" w:leader="dot"/>
            </w:tabs>
            <w:rPr/>
          </w:pPr>
          <w:hyperlink w:anchor="__RefHeading___Toc4247170_2870459653">
            <w:r>
              <w:rPr>
                <w:webHidden/>
                <w:rStyle w:val="IndexLink"/>
                <w:rtl w:val="true"/>
              </w:rPr>
              <w:t>علائم الحقيقة والمجاز</w:t>
            </w:r>
            <w:r>
              <w:rPr>
                <w:rStyle w:val="IndexLink"/>
                <w:rtl w:val="true"/>
              </w:rPr>
              <w:tab/>
            </w:r>
            <w:r>
              <w:rPr>
                <w:rStyle w:val="IndexLink"/>
              </w:rPr>
              <w:t>44</w:t>
            </w:r>
          </w:hyperlink>
        </w:p>
        <w:p>
          <w:pPr>
            <w:pStyle w:val="Contents2"/>
            <w:tabs>
              <w:tab w:val="clear" w:pos="8743"/>
              <w:tab w:val="right" w:pos="9026" w:leader="dot"/>
            </w:tabs>
            <w:rPr/>
          </w:pPr>
          <w:hyperlink w:anchor="__RefHeading___Toc4247172_2870459653">
            <w:r>
              <w:rPr>
                <w:webHidden/>
                <w:rStyle w:val="IndexLink"/>
                <w:rtl w:val="true"/>
              </w:rPr>
              <w:t>في استكشاف الوضع بالاستعمال</w:t>
            </w:r>
            <w:r>
              <w:rPr>
                <w:rStyle w:val="IndexLink"/>
                <w:rtl w:val="true"/>
              </w:rPr>
              <w:tab/>
            </w:r>
            <w:r>
              <w:rPr>
                <w:rStyle w:val="IndexLink"/>
              </w:rPr>
              <w:t>45</w:t>
            </w:r>
          </w:hyperlink>
        </w:p>
        <w:p>
          <w:pPr>
            <w:pStyle w:val="Contents2"/>
            <w:tabs>
              <w:tab w:val="clear" w:pos="8743"/>
              <w:tab w:val="right" w:pos="9026" w:leader="dot"/>
            </w:tabs>
            <w:rPr/>
          </w:pPr>
          <w:hyperlink w:anchor="__RefHeading___Toc4247174_2870459653">
            <w:r>
              <w:rPr>
                <w:webHidden/>
                <w:rStyle w:val="IndexLink"/>
                <w:rtl w:val="true"/>
              </w:rPr>
              <w:t>تعارض الأحوال</w:t>
            </w:r>
            <w:r>
              <w:rPr>
                <w:rStyle w:val="IndexLink"/>
                <w:rtl w:val="true"/>
              </w:rPr>
              <w:tab/>
            </w:r>
            <w:r>
              <w:rPr>
                <w:rStyle w:val="IndexLink"/>
              </w:rPr>
              <w:t>46</w:t>
            </w:r>
          </w:hyperlink>
        </w:p>
        <w:p>
          <w:pPr>
            <w:pStyle w:val="Contents2"/>
            <w:tabs>
              <w:tab w:val="clear" w:pos="8743"/>
              <w:tab w:val="right" w:pos="9026" w:leader="dot"/>
            </w:tabs>
            <w:rPr/>
          </w:pPr>
          <w:hyperlink w:anchor="__RefHeading___Toc4247176_2870459653">
            <w:r>
              <w:rPr>
                <w:webHidden/>
                <w:rStyle w:val="IndexLink"/>
                <w:rtl w:val="true"/>
              </w:rPr>
              <w:t>في الحقيقة الشرعية</w:t>
            </w:r>
            <w:r>
              <w:rPr>
                <w:rStyle w:val="IndexLink"/>
                <w:rtl w:val="true"/>
              </w:rPr>
              <w:tab/>
            </w:r>
            <w:r>
              <w:rPr>
                <w:rStyle w:val="IndexLink"/>
              </w:rPr>
              <w:t>46</w:t>
            </w:r>
          </w:hyperlink>
        </w:p>
        <w:p>
          <w:pPr>
            <w:pStyle w:val="Contents2"/>
            <w:tabs>
              <w:tab w:val="clear" w:pos="8743"/>
              <w:tab w:val="right" w:pos="9026" w:leader="dot"/>
            </w:tabs>
            <w:rPr/>
          </w:pPr>
          <w:hyperlink w:anchor="__RefHeading___Toc4247178_2870459653">
            <w:r>
              <w:rPr>
                <w:webHidden/>
                <w:rStyle w:val="IndexLink"/>
                <w:rtl w:val="true"/>
              </w:rPr>
              <w:t xml:space="preserve">[ </w:t>
            </w:r>
            <w:r>
              <w:rPr>
                <w:rStyle w:val="IndexLink"/>
                <w:rtl w:val="true"/>
              </w:rPr>
              <w:t>مبحث الصحيح والأعم</w:t>
            </w:r>
            <w:r>
              <w:rPr>
                <w:rStyle w:val="IndexLink"/>
                <w:rtl w:val="true"/>
              </w:rPr>
              <w:t>]</w:t>
              <w:tab/>
            </w:r>
            <w:r>
              <w:rPr>
                <w:rStyle w:val="IndexLink"/>
              </w:rPr>
              <w:t>47</w:t>
            </w:r>
          </w:hyperlink>
        </w:p>
        <w:p>
          <w:pPr>
            <w:pStyle w:val="Contents2"/>
            <w:tabs>
              <w:tab w:val="clear" w:pos="8743"/>
              <w:tab w:val="right" w:pos="9026" w:leader="dot"/>
            </w:tabs>
            <w:rPr/>
          </w:pPr>
          <w:hyperlink w:anchor="__RefHeading___Toc4247180_2870459653">
            <w:r>
              <w:rPr>
                <w:webHidden/>
                <w:rStyle w:val="IndexLink"/>
                <w:rtl w:val="true"/>
              </w:rPr>
              <w:t>في المشترك</w:t>
            </w:r>
            <w:r>
              <w:rPr>
                <w:rStyle w:val="IndexLink"/>
                <w:rtl w:val="true"/>
              </w:rPr>
              <w:tab/>
            </w:r>
            <w:r>
              <w:rPr>
                <w:rStyle w:val="IndexLink"/>
              </w:rPr>
              <w:t>48</w:t>
            </w:r>
          </w:hyperlink>
        </w:p>
        <w:p>
          <w:pPr>
            <w:pStyle w:val="Contents2"/>
            <w:tabs>
              <w:tab w:val="clear" w:pos="8743"/>
              <w:tab w:val="right" w:pos="9026" w:leader="dot"/>
            </w:tabs>
            <w:rPr/>
          </w:pPr>
          <w:hyperlink w:anchor="__RefHeading___Toc4247182_2870459653">
            <w:r>
              <w:rPr>
                <w:webHidden/>
                <w:rStyle w:val="IndexLink"/>
                <w:rtl w:val="true"/>
              </w:rPr>
              <w:t>احتج القائل بالامتناع</w:t>
            </w:r>
            <w:r>
              <w:rPr>
                <w:rStyle w:val="IndexLink"/>
                <w:rtl w:val="true"/>
              </w:rPr>
              <w:tab/>
            </w:r>
            <w:r>
              <w:rPr>
                <w:rStyle w:val="IndexLink"/>
              </w:rPr>
              <w:t>104</w:t>
            </w:r>
          </w:hyperlink>
        </w:p>
        <w:p>
          <w:pPr>
            <w:pStyle w:val="Contents2"/>
            <w:tabs>
              <w:tab w:val="clear" w:pos="8743"/>
              <w:tab w:val="right" w:pos="9026" w:leader="dot"/>
            </w:tabs>
            <w:rPr/>
          </w:pPr>
          <w:hyperlink w:anchor="__RefHeading___Toc4247184_2870459653">
            <w:r>
              <w:rPr>
                <w:webHidden/>
                <w:rStyle w:val="IndexLink"/>
                <w:rtl w:val="true"/>
              </w:rPr>
              <w:t>في اقتضاء النهي الفساد</w:t>
            </w:r>
            <w:r>
              <w:rPr>
                <w:rStyle w:val="IndexLink"/>
                <w:rtl w:val="true"/>
              </w:rPr>
              <w:tab/>
            </w:r>
            <w:r>
              <w:rPr>
                <w:rStyle w:val="IndexLink"/>
              </w:rPr>
              <w:t>109</w:t>
            </w:r>
          </w:hyperlink>
        </w:p>
        <w:p>
          <w:pPr>
            <w:pStyle w:val="Contents2"/>
            <w:tabs>
              <w:tab w:val="clear" w:pos="8743"/>
              <w:tab w:val="right" w:pos="9026" w:leader="dot"/>
            </w:tabs>
            <w:rPr/>
          </w:pPr>
          <w:hyperlink w:anchor="__RefHeading___Toc4247186_2870459653">
            <w:r>
              <w:rPr>
                <w:webHidden/>
                <w:rStyle w:val="IndexLink"/>
                <w:rtl w:val="true"/>
              </w:rPr>
              <w:t>لامعةٌ في معنى النص، والظاهر، والمؤول، والمنطوق، والمفهوم</w:t>
            </w:r>
            <w:r>
              <w:rPr>
                <w:rStyle w:val="IndexLink"/>
                <w:rtl w:val="true"/>
              </w:rPr>
              <w:tab/>
            </w:r>
            <w:r>
              <w:rPr>
                <w:rStyle w:val="IndexLink"/>
              </w:rPr>
              <w:t>111</w:t>
            </w:r>
          </w:hyperlink>
        </w:p>
        <w:p>
          <w:pPr>
            <w:pStyle w:val="Contents2"/>
            <w:tabs>
              <w:tab w:val="clear" w:pos="8743"/>
              <w:tab w:val="right" w:pos="9026" w:leader="dot"/>
            </w:tabs>
            <w:rPr/>
          </w:pPr>
          <w:hyperlink w:anchor="__RefHeading___Toc4247188_2870459653">
            <w:r>
              <w:rPr>
                <w:webHidden/>
                <w:rStyle w:val="IndexLink"/>
                <w:rtl w:val="true"/>
              </w:rPr>
              <w:t xml:space="preserve">[ </w:t>
            </w:r>
            <w:r>
              <w:rPr>
                <w:rStyle w:val="IndexLink"/>
                <w:rtl w:val="true"/>
              </w:rPr>
              <w:t>حجية مفهوم الشرط</w:t>
            </w:r>
            <w:r>
              <w:rPr>
                <w:rStyle w:val="IndexLink"/>
                <w:rtl w:val="true"/>
              </w:rPr>
              <w:t>]</w:t>
              <w:tab/>
            </w:r>
            <w:r>
              <w:rPr>
                <w:rStyle w:val="IndexLink"/>
              </w:rPr>
              <w:t>113</w:t>
            </w:r>
          </w:hyperlink>
        </w:p>
        <w:p>
          <w:pPr>
            <w:pStyle w:val="Contents2"/>
            <w:tabs>
              <w:tab w:val="clear" w:pos="8743"/>
              <w:tab w:val="right" w:pos="9026" w:leader="dot"/>
            </w:tabs>
            <w:rPr/>
          </w:pPr>
          <w:hyperlink w:anchor="__RefHeading___Toc4247190_2870459653">
            <w:r>
              <w:rPr>
                <w:webHidden/>
                <w:rStyle w:val="IndexLink"/>
                <w:rtl w:val="true"/>
              </w:rPr>
              <w:t xml:space="preserve">[ </w:t>
            </w:r>
            <w:r>
              <w:rPr>
                <w:rStyle w:val="IndexLink"/>
                <w:rtl w:val="true"/>
              </w:rPr>
              <w:t>تعدد العلة هل يوجب تعدد المعلول أم لا؟</w:t>
            </w:r>
            <w:r>
              <w:rPr>
                <w:rStyle w:val="IndexLink"/>
                <w:rtl w:val="true"/>
              </w:rPr>
              <w:t>]</w:t>
              <w:tab/>
            </w:r>
            <w:r>
              <w:rPr>
                <w:rStyle w:val="IndexLink"/>
              </w:rPr>
              <w:t>114</w:t>
            </w:r>
          </w:hyperlink>
        </w:p>
        <w:p>
          <w:pPr>
            <w:pStyle w:val="Contents2"/>
            <w:tabs>
              <w:tab w:val="clear" w:pos="8743"/>
              <w:tab w:val="right" w:pos="9026" w:leader="dot"/>
            </w:tabs>
            <w:rPr/>
          </w:pPr>
          <w:hyperlink w:anchor="__RefHeading___Toc4247192_2870459653">
            <w:r>
              <w:rPr>
                <w:webHidden/>
                <w:rStyle w:val="IndexLink"/>
                <w:rtl w:val="true"/>
              </w:rPr>
              <w:t>[</w:t>
            </w:r>
            <w:r>
              <w:rPr>
                <w:rStyle w:val="IndexLink"/>
                <w:rtl w:val="true"/>
              </w:rPr>
              <w:t>مفهوم الوصف</w:t>
            </w:r>
            <w:r>
              <w:rPr>
                <w:rStyle w:val="IndexLink"/>
                <w:rtl w:val="true"/>
              </w:rPr>
              <w:t>]</w:t>
              <w:tab/>
            </w:r>
            <w:r>
              <w:rPr>
                <w:rStyle w:val="IndexLink"/>
              </w:rPr>
              <w:t>119</w:t>
            </w:r>
          </w:hyperlink>
        </w:p>
        <w:p>
          <w:pPr>
            <w:pStyle w:val="Contents2"/>
            <w:tabs>
              <w:tab w:val="clear" w:pos="8743"/>
              <w:tab w:val="right" w:pos="9026" w:leader="dot"/>
            </w:tabs>
            <w:rPr/>
          </w:pPr>
          <w:hyperlink w:anchor="__RefHeading___Toc4247194_2870459653">
            <w:r>
              <w:rPr>
                <w:webHidden/>
                <w:rStyle w:val="IndexLink"/>
                <w:rtl w:val="true"/>
              </w:rPr>
              <w:t>[</w:t>
            </w:r>
            <w:r>
              <w:rPr>
                <w:rStyle w:val="IndexLink"/>
                <w:rtl w:val="true"/>
              </w:rPr>
              <w:t>مفهوم الغاية</w:t>
            </w:r>
            <w:r>
              <w:rPr>
                <w:rStyle w:val="IndexLink"/>
                <w:rtl w:val="true"/>
              </w:rPr>
              <w:t>]</w:t>
              <w:tab/>
            </w:r>
            <w:r>
              <w:rPr>
                <w:rStyle w:val="IndexLink"/>
              </w:rPr>
              <w:t>120</w:t>
            </w:r>
          </w:hyperlink>
        </w:p>
        <w:p>
          <w:pPr>
            <w:pStyle w:val="Contents2"/>
            <w:tabs>
              <w:tab w:val="clear" w:pos="8743"/>
              <w:tab w:val="right" w:pos="9026" w:leader="dot"/>
            </w:tabs>
            <w:rPr/>
          </w:pPr>
          <w:hyperlink w:anchor="__RefHeading___Toc4247196_2870459653">
            <w:r>
              <w:rPr>
                <w:webHidden/>
                <w:rStyle w:val="IndexLink"/>
                <w:rtl w:val="true"/>
              </w:rPr>
              <w:t xml:space="preserve">[ </w:t>
            </w:r>
            <w:r>
              <w:rPr>
                <w:rStyle w:val="IndexLink"/>
                <w:rtl w:val="true"/>
              </w:rPr>
              <w:t>مفهوم الحصر</w:t>
            </w:r>
            <w:r>
              <w:rPr>
                <w:rStyle w:val="IndexLink"/>
                <w:rtl w:val="true"/>
              </w:rPr>
              <w:t>]</w:t>
              <w:tab/>
            </w:r>
            <w:r>
              <w:rPr>
                <w:rStyle w:val="IndexLink"/>
              </w:rPr>
              <w:t>121</w:t>
            </w:r>
          </w:hyperlink>
        </w:p>
        <w:p>
          <w:pPr>
            <w:pStyle w:val="Contents2"/>
            <w:tabs>
              <w:tab w:val="clear" w:pos="8743"/>
              <w:tab w:val="right" w:pos="9026" w:leader="dot"/>
            </w:tabs>
            <w:rPr/>
          </w:pPr>
          <w:hyperlink w:anchor="__RefHeading___Toc4247198_2870459653">
            <w:r>
              <w:rPr>
                <w:webHidden/>
                <w:rStyle w:val="IndexLink"/>
                <w:rtl w:val="true"/>
              </w:rPr>
              <w:t xml:space="preserve">[ </w:t>
            </w:r>
            <w:r>
              <w:rPr>
                <w:rStyle w:val="IndexLink"/>
                <w:rtl w:val="true"/>
              </w:rPr>
              <w:t xml:space="preserve">مفهوم اللقب </w:t>
            </w:r>
            <w:r>
              <w:rPr>
                <w:rStyle w:val="IndexLink"/>
                <w:rtl w:val="true"/>
              </w:rPr>
              <w:t>]</w:t>
              <w:tab/>
            </w:r>
            <w:r>
              <w:rPr>
                <w:rStyle w:val="IndexLink"/>
              </w:rPr>
              <w:t>122</w:t>
            </w:r>
          </w:hyperlink>
        </w:p>
        <w:p>
          <w:pPr>
            <w:pStyle w:val="Contents2"/>
            <w:tabs>
              <w:tab w:val="clear" w:pos="8743"/>
              <w:tab w:val="right" w:pos="9026" w:leader="dot"/>
            </w:tabs>
            <w:rPr/>
          </w:pPr>
          <w:hyperlink w:anchor="__RefHeading___Toc4247200_2870459653">
            <w:r>
              <w:rPr>
                <w:webHidden/>
                <w:rStyle w:val="IndexLink"/>
                <w:rtl w:val="true"/>
              </w:rPr>
              <w:t>[</w:t>
            </w:r>
            <w:r>
              <w:rPr>
                <w:rStyle w:val="IndexLink"/>
                <w:rtl w:val="true"/>
              </w:rPr>
              <w:t>مفهوم للعدد</w:t>
            </w:r>
            <w:r>
              <w:rPr>
                <w:rStyle w:val="IndexLink"/>
                <w:rtl w:val="true"/>
              </w:rPr>
              <w:t>]</w:t>
              <w:tab/>
            </w:r>
            <w:r>
              <w:rPr>
                <w:rStyle w:val="IndexLink"/>
              </w:rPr>
              <w:t>123</w:t>
            </w:r>
          </w:hyperlink>
        </w:p>
        <w:p>
          <w:pPr>
            <w:pStyle w:val="Contents2"/>
            <w:tabs>
              <w:tab w:val="clear" w:pos="8743"/>
              <w:tab w:val="right" w:pos="9026" w:leader="dot"/>
            </w:tabs>
            <w:rPr/>
          </w:pPr>
          <w:hyperlink w:anchor="__RefHeading___Toc4247202_2870459653">
            <w:r>
              <w:rPr>
                <w:webHidden/>
                <w:rStyle w:val="IndexLink"/>
                <w:rtl w:val="true"/>
              </w:rPr>
              <w:t>في مباحث العموم</w:t>
            </w:r>
            <w:r>
              <w:rPr>
                <w:rStyle w:val="IndexLink"/>
                <w:rtl w:val="true"/>
              </w:rPr>
              <w:tab/>
            </w:r>
            <w:r>
              <w:rPr>
                <w:rStyle w:val="IndexLink"/>
              </w:rPr>
              <w:t>124</w:t>
            </w:r>
          </w:hyperlink>
        </w:p>
        <w:p>
          <w:pPr>
            <w:pStyle w:val="Contents2"/>
            <w:tabs>
              <w:tab w:val="clear" w:pos="8743"/>
              <w:tab w:val="right" w:pos="9026" w:leader="dot"/>
            </w:tabs>
            <w:rPr/>
          </w:pPr>
          <w:hyperlink w:anchor="__RefHeading___Toc4247204_2870459653">
            <w:r>
              <w:rPr>
                <w:webHidden/>
                <w:rStyle w:val="IndexLink"/>
                <w:rtl w:val="true"/>
              </w:rPr>
              <w:t>[</w:t>
            </w:r>
            <w:r>
              <w:rPr>
                <w:rStyle w:val="IndexLink"/>
                <w:rtl w:val="true"/>
              </w:rPr>
              <w:t>الجمع المنكر</w:t>
            </w:r>
            <w:r>
              <w:rPr>
                <w:rStyle w:val="IndexLink"/>
                <w:rtl w:val="true"/>
              </w:rPr>
              <w:t>]</w:t>
              <w:tab/>
            </w:r>
            <w:r>
              <w:rPr>
                <w:rStyle w:val="IndexLink"/>
              </w:rPr>
              <w:t>124</w:t>
            </w:r>
          </w:hyperlink>
        </w:p>
        <w:p>
          <w:pPr>
            <w:pStyle w:val="Contents2"/>
            <w:tabs>
              <w:tab w:val="clear" w:pos="8743"/>
              <w:tab w:val="right" w:pos="9026" w:leader="dot"/>
            </w:tabs>
            <w:rPr/>
          </w:pPr>
          <w:hyperlink w:anchor="__RefHeading___Toc4247206_2870459653">
            <w:r>
              <w:rPr>
                <w:webHidden/>
                <w:rStyle w:val="IndexLink"/>
                <w:rtl w:val="true"/>
              </w:rPr>
              <w:t xml:space="preserve">[ </w:t>
            </w:r>
            <w:r>
              <w:rPr>
                <w:rStyle w:val="IndexLink"/>
                <w:rtl w:val="true"/>
              </w:rPr>
              <w:t>صيغ العموم</w:t>
            </w:r>
            <w:r>
              <w:rPr>
                <w:rStyle w:val="IndexLink"/>
                <w:rtl w:val="true"/>
              </w:rPr>
              <w:t>]</w:t>
              <w:tab/>
            </w:r>
            <w:r>
              <w:rPr>
                <w:rStyle w:val="IndexLink"/>
              </w:rPr>
              <w:t>125</w:t>
            </w:r>
          </w:hyperlink>
        </w:p>
        <w:p>
          <w:pPr>
            <w:pStyle w:val="Contents2"/>
            <w:tabs>
              <w:tab w:val="clear" w:pos="8743"/>
              <w:tab w:val="right" w:pos="9026" w:leader="dot"/>
            </w:tabs>
            <w:rPr/>
          </w:pPr>
          <w:hyperlink w:anchor="__RefHeading___Toc4247208_2870459653">
            <w:r>
              <w:rPr>
                <w:webHidden/>
                <w:rStyle w:val="IndexLink"/>
                <w:rtl w:val="true"/>
              </w:rPr>
              <w:t>[</w:t>
            </w:r>
            <w:r>
              <w:rPr>
                <w:rStyle w:val="IndexLink"/>
                <w:rtl w:val="true"/>
              </w:rPr>
              <w:t>الجمع المعرَّف باللام</w:t>
            </w:r>
            <w:r>
              <w:rPr>
                <w:rStyle w:val="IndexLink"/>
                <w:rtl w:val="true"/>
              </w:rPr>
              <w:t>]</w:t>
              <w:tab/>
            </w:r>
            <w:r>
              <w:rPr>
                <w:rStyle w:val="IndexLink"/>
              </w:rPr>
              <w:t>126</w:t>
            </w:r>
          </w:hyperlink>
        </w:p>
        <w:p>
          <w:pPr>
            <w:pStyle w:val="Contents2"/>
            <w:tabs>
              <w:tab w:val="clear" w:pos="8743"/>
              <w:tab w:val="right" w:pos="9026" w:leader="dot"/>
            </w:tabs>
            <w:rPr/>
          </w:pPr>
          <w:hyperlink w:anchor="__RefHeading___Toc4247210_2870459653">
            <w:r>
              <w:rPr>
                <w:webHidden/>
                <w:rStyle w:val="IndexLink"/>
                <w:rtl w:val="true"/>
              </w:rPr>
              <w:t>والنكرةُ في سياق النفي</w:t>
            </w:r>
            <w:r>
              <w:rPr>
                <w:rStyle w:val="IndexLink"/>
                <w:rtl w:val="true"/>
              </w:rPr>
              <w:tab/>
            </w:r>
            <w:r>
              <w:rPr>
                <w:rStyle w:val="IndexLink"/>
              </w:rPr>
              <w:t>127</w:t>
            </w:r>
          </w:hyperlink>
        </w:p>
        <w:p>
          <w:pPr>
            <w:pStyle w:val="Contents2"/>
            <w:tabs>
              <w:tab w:val="clear" w:pos="8743"/>
              <w:tab w:val="right" w:pos="9026" w:leader="dot"/>
            </w:tabs>
            <w:rPr/>
          </w:pPr>
          <w:hyperlink w:anchor="__RefHeading___Toc4247212_2870459653">
            <w:r>
              <w:rPr>
                <w:webHidden/>
                <w:rStyle w:val="IndexLink"/>
                <w:rtl w:val="true"/>
              </w:rPr>
              <w:t>وتركُ الاستفصال للعموم</w:t>
            </w:r>
            <w:r>
              <w:rPr>
                <w:rStyle w:val="IndexLink"/>
                <w:rtl w:val="true"/>
              </w:rPr>
              <w:tab/>
            </w:r>
            <w:r>
              <w:rPr>
                <w:rStyle w:val="IndexLink"/>
              </w:rPr>
              <w:t>127</w:t>
            </w:r>
          </w:hyperlink>
        </w:p>
        <w:p>
          <w:pPr>
            <w:pStyle w:val="Contents2"/>
            <w:tabs>
              <w:tab w:val="clear" w:pos="8743"/>
              <w:tab w:val="right" w:pos="9026" w:leader="dot"/>
            </w:tabs>
            <w:rPr/>
          </w:pPr>
          <w:hyperlink w:anchor="__RefHeading___Toc4247214_2870459653">
            <w:r>
              <w:rPr>
                <w:webHidden/>
                <w:rStyle w:val="IndexLink"/>
                <w:rtl w:val="true"/>
              </w:rPr>
              <w:t xml:space="preserve">[ </w:t>
            </w:r>
            <w:r>
              <w:rPr>
                <w:rStyle w:val="IndexLink"/>
                <w:rtl w:val="true"/>
              </w:rPr>
              <w:t>حجية العام في الباقي</w:t>
            </w:r>
            <w:r>
              <w:rPr>
                <w:rStyle w:val="IndexLink"/>
                <w:rtl w:val="true"/>
              </w:rPr>
              <w:t>]</w:t>
              <w:tab/>
            </w:r>
            <w:r>
              <w:rPr>
                <w:rStyle w:val="IndexLink"/>
              </w:rPr>
              <w:t>131</w:t>
            </w:r>
          </w:hyperlink>
        </w:p>
        <w:p>
          <w:pPr>
            <w:pStyle w:val="Contents2"/>
            <w:tabs>
              <w:tab w:val="clear" w:pos="8743"/>
              <w:tab w:val="right" w:pos="9026" w:leader="dot"/>
            </w:tabs>
            <w:rPr/>
          </w:pPr>
          <w:hyperlink w:anchor="__RefHeading___Toc4247216_2870459653">
            <w:r>
              <w:rPr>
                <w:webHidden/>
                <w:rStyle w:val="IndexLink"/>
                <w:rtl w:val="true"/>
              </w:rPr>
              <w:t>[</w:t>
            </w:r>
            <w:r>
              <w:rPr>
                <w:rStyle w:val="IndexLink"/>
                <w:rtl w:val="true"/>
              </w:rPr>
              <w:t>في التمسك بالعام في الشبهة المصداقية فيما لو كان المخصص لفظياً</w:t>
            </w:r>
            <w:r>
              <w:rPr>
                <w:rStyle w:val="IndexLink"/>
                <w:rtl w:val="true"/>
              </w:rPr>
              <w:t>]</w:t>
              <w:tab/>
            </w:r>
            <w:r>
              <w:rPr>
                <w:rStyle w:val="IndexLink"/>
              </w:rPr>
              <w:t>134</w:t>
            </w:r>
          </w:hyperlink>
        </w:p>
        <w:p>
          <w:pPr>
            <w:pStyle w:val="Contents2"/>
            <w:tabs>
              <w:tab w:val="clear" w:pos="8743"/>
              <w:tab w:val="right" w:pos="9026" w:leader="dot"/>
            </w:tabs>
            <w:rPr/>
          </w:pPr>
          <w:hyperlink w:anchor="__RefHeading___Toc4247218_2870459653">
            <w:r>
              <w:rPr>
                <w:webHidden/>
                <w:rStyle w:val="IndexLink"/>
                <w:rtl w:val="true"/>
              </w:rPr>
              <w:t>[</w:t>
            </w:r>
            <w:r>
              <w:rPr>
                <w:rStyle w:val="IndexLink"/>
                <w:rtl w:val="true"/>
              </w:rPr>
              <w:t>التخصيص بالمجمل</w:t>
            </w:r>
            <w:r>
              <w:rPr>
                <w:rStyle w:val="IndexLink"/>
                <w:rtl w:val="true"/>
              </w:rPr>
              <w:t>]</w:t>
              <w:tab/>
            </w:r>
            <w:r>
              <w:rPr>
                <w:rStyle w:val="IndexLink"/>
              </w:rPr>
              <w:t>136</w:t>
            </w:r>
          </w:hyperlink>
        </w:p>
        <w:p>
          <w:pPr>
            <w:pStyle w:val="Contents2"/>
            <w:tabs>
              <w:tab w:val="clear" w:pos="8743"/>
              <w:tab w:val="right" w:pos="9026" w:leader="dot"/>
            </w:tabs>
            <w:rPr/>
          </w:pPr>
          <w:hyperlink w:anchor="__RefHeading___Toc4247220_2870459653">
            <w:r>
              <w:rPr>
                <w:webHidden/>
                <w:rStyle w:val="IndexLink"/>
                <w:rtl w:val="true"/>
              </w:rPr>
              <w:t>[</w:t>
            </w:r>
            <w:r>
              <w:rPr>
                <w:rStyle w:val="IndexLink"/>
                <w:rtl w:val="true"/>
              </w:rPr>
              <w:t>هل يرجع إلى العام في الشبهة المصداقية؟</w:t>
            </w:r>
            <w:r>
              <w:rPr>
                <w:rStyle w:val="IndexLink"/>
                <w:rtl w:val="true"/>
              </w:rPr>
              <w:t>]</w:t>
              <w:tab/>
            </w:r>
            <w:r>
              <w:rPr>
                <w:rStyle w:val="IndexLink"/>
              </w:rPr>
              <w:t>137</w:t>
            </w:r>
          </w:hyperlink>
        </w:p>
        <w:p>
          <w:pPr>
            <w:pStyle w:val="Contents2"/>
            <w:tabs>
              <w:tab w:val="clear" w:pos="8743"/>
              <w:tab w:val="right" w:pos="9026" w:leader="dot"/>
            </w:tabs>
            <w:rPr/>
          </w:pPr>
          <w:hyperlink w:anchor="__RefHeading___Toc4247222_2870459653">
            <w:r>
              <w:rPr>
                <w:webHidden/>
                <w:rStyle w:val="IndexLink"/>
                <w:rtl w:val="true"/>
              </w:rPr>
              <w:t>وهل يجوز العمل بالعام قبل الفحص عن المخصص؟</w:t>
            </w:r>
            <w:r>
              <w:rPr>
                <w:rStyle w:val="IndexLink"/>
                <w:rtl w:val="true"/>
              </w:rPr>
              <w:tab/>
            </w:r>
            <w:r>
              <w:rPr>
                <w:rStyle w:val="IndexLink"/>
              </w:rPr>
              <w:t>139</w:t>
            </w:r>
          </w:hyperlink>
        </w:p>
        <w:p>
          <w:pPr>
            <w:pStyle w:val="Contents2"/>
            <w:tabs>
              <w:tab w:val="clear" w:pos="8743"/>
              <w:tab w:val="right" w:pos="9026" w:leader="dot"/>
            </w:tabs>
            <w:rPr/>
          </w:pPr>
          <w:hyperlink w:anchor="__RefHeading___Toc4247224_2870459653">
            <w:r>
              <w:rPr>
                <w:webHidden/>
                <w:rStyle w:val="IndexLink"/>
                <w:rtl w:val="true"/>
              </w:rPr>
              <w:t>في جواز المخالفة الالتزامية دون العملية</w:t>
            </w:r>
            <w:r>
              <w:rPr>
                <w:rStyle w:val="IndexLink"/>
                <w:rtl w:val="true"/>
              </w:rPr>
              <w:tab/>
            </w:r>
            <w:r>
              <w:rPr>
                <w:rStyle w:val="IndexLink"/>
              </w:rPr>
              <w:t>163</w:t>
            </w:r>
          </w:hyperlink>
        </w:p>
        <w:p>
          <w:pPr>
            <w:pStyle w:val="Contents2"/>
            <w:tabs>
              <w:tab w:val="clear" w:pos="8743"/>
              <w:tab w:val="right" w:pos="9026" w:leader="dot"/>
            </w:tabs>
            <w:rPr/>
          </w:pPr>
          <w:hyperlink w:anchor="__RefHeading___Toc4247226_2870459653">
            <w:r>
              <w:rPr>
                <w:webHidden/>
                <w:rStyle w:val="IndexLink"/>
                <w:rtl w:val="true"/>
              </w:rPr>
              <w:t>في حرمة المخالفة العملية</w:t>
            </w:r>
            <w:r>
              <w:rPr>
                <w:rStyle w:val="IndexLink"/>
                <w:rtl w:val="true"/>
              </w:rPr>
              <w:tab/>
            </w:r>
            <w:r>
              <w:rPr>
                <w:rStyle w:val="IndexLink"/>
              </w:rPr>
              <w:t>164</w:t>
            </w:r>
          </w:hyperlink>
        </w:p>
        <w:p>
          <w:pPr>
            <w:pStyle w:val="Contents2"/>
            <w:tabs>
              <w:tab w:val="clear" w:pos="8743"/>
              <w:tab w:val="right" w:pos="9026" w:leader="dot"/>
            </w:tabs>
            <w:rPr/>
          </w:pPr>
          <w:hyperlink w:anchor="__RefHeading___Toc4247228_2870459653">
            <w:r>
              <w:rPr>
                <w:webHidden/>
                <w:rStyle w:val="IndexLink"/>
                <w:rtl w:val="true"/>
              </w:rPr>
              <w:t>في إمكان التعبد بالظن</w:t>
            </w:r>
            <w:r>
              <w:rPr>
                <w:rStyle w:val="IndexLink"/>
                <w:rtl w:val="true"/>
              </w:rPr>
              <w:tab/>
            </w:r>
            <w:r>
              <w:rPr>
                <w:rStyle w:val="IndexLink"/>
              </w:rPr>
              <w:t>165</w:t>
            </w:r>
          </w:hyperlink>
        </w:p>
        <w:p>
          <w:pPr>
            <w:pStyle w:val="Contents2"/>
            <w:tabs>
              <w:tab w:val="clear" w:pos="8743"/>
              <w:tab w:val="right" w:pos="9026" w:leader="dot"/>
            </w:tabs>
            <w:rPr/>
          </w:pPr>
          <w:hyperlink w:anchor="__RefHeading___Toc4247230_2870459653">
            <w:r>
              <w:rPr>
                <w:webHidden/>
                <w:rStyle w:val="IndexLink"/>
                <w:rtl w:val="true"/>
              </w:rPr>
              <w:t>في جواز اعتبار الأمارات مع إمكان العلم</w:t>
            </w:r>
            <w:r>
              <w:rPr>
                <w:rStyle w:val="IndexLink"/>
                <w:rtl w:val="true"/>
              </w:rPr>
              <w:tab/>
            </w:r>
            <w:r>
              <w:rPr>
                <w:rStyle w:val="IndexLink"/>
              </w:rPr>
              <w:t>166</w:t>
            </w:r>
          </w:hyperlink>
        </w:p>
        <w:p>
          <w:pPr>
            <w:pStyle w:val="Contents2"/>
            <w:tabs>
              <w:tab w:val="clear" w:pos="8743"/>
              <w:tab w:val="right" w:pos="9026" w:leader="dot"/>
            </w:tabs>
            <w:rPr/>
          </w:pPr>
          <w:hyperlink w:anchor="__RefHeading___Toc4247232_2870459653">
            <w:r>
              <w:rPr>
                <w:webHidden/>
                <w:rStyle w:val="IndexLink"/>
                <w:rtl w:val="true"/>
              </w:rPr>
              <w:t>[</w:t>
            </w:r>
            <w:r>
              <w:rPr>
                <w:rStyle w:val="IndexLink"/>
                <w:rtl w:val="true"/>
              </w:rPr>
              <w:t>الأصل حرمة العمل بالظن</w:t>
            </w:r>
            <w:r>
              <w:rPr>
                <w:rStyle w:val="IndexLink"/>
                <w:rtl w:val="true"/>
              </w:rPr>
              <w:t>]</w:t>
              <w:tab/>
            </w:r>
            <w:r>
              <w:rPr>
                <w:rStyle w:val="IndexLink"/>
              </w:rPr>
              <w:t>166</w:t>
            </w:r>
          </w:hyperlink>
        </w:p>
        <w:p>
          <w:pPr>
            <w:pStyle w:val="Contents2"/>
            <w:tabs>
              <w:tab w:val="clear" w:pos="8743"/>
              <w:tab w:val="right" w:pos="9026" w:leader="dot"/>
            </w:tabs>
            <w:rPr/>
          </w:pPr>
          <w:hyperlink w:anchor="__RefHeading___Toc4247234_2870459653">
            <w:r>
              <w:rPr>
                <w:webHidden/>
                <w:rStyle w:val="IndexLink"/>
                <w:rtl w:val="true"/>
              </w:rPr>
              <w:t>لامعةٌ في الظنون الخاصة التي دل الدليل على اعتبارها بالخصوص</w:t>
            </w:r>
            <w:r>
              <w:rPr>
                <w:rStyle w:val="IndexLink"/>
                <w:rtl w:val="true"/>
              </w:rPr>
              <w:tab/>
            </w:r>
            <w:r>
              <w:rPr>
                <w:rStyle w:val="IndexLink"/>
              </w:rPr>
              <w:t>168</w:t>
            </w:r>
          </w:hyperlink>
        </w:p>
        <w:p>
          <w:pPr>
            <w:pStyle w:val="Contents2"/>
            <w:tabs>
              <w:tab w:val="clear" w:pos="8743"/>
              <w:tab w:val="right" w:pos="9026" w:leader="dot"/>
            </w:tabs>
            <w:rPr/>
          </w:pPr>
          <w:hyperlink w:anchor="__RefHeading___Toc4247236_2870459653">
            <w:r>
              <w:rPr>
                <w:webHidden/>
                <w:rStyle w:val="IndexLink"/>
                <w:rtl w:val="true"/>
              </w:rPr>
              <w:t>وأما تشخيص الوضع بقول اللغوي</w:t>
            </w:r>
            <w:r>
              <w:rPr>
                <w:rStyle w:val="IndexLink"/>
                <w:rtl w:val="true"/>
              </w:rPr>
              <w:tab/>
            </w:r>
            <w:r>
              <w:rPr>
                <w:rStyle w:val="IndexLink"/>
              </w:rPr>
              <w:t>169</w:t>
            </w:r>
          </w:hyperlink>
        </w:p>
        <w:p>
          <w:pPr>
            <w:pStyle w:val="Contents2"/>
            <w:tabs>
              <w:tab w:val="clear" w:pos="8743"/>
              <w:tab w:val="right" w:pos="9026" w:leader="dot"/>
            </w:tabs>
            <w:rPr/>
          </w:pPr>
          <w:hyperlink w:anchor="__RefHeading___Toc4247238_2870459653">
            <w:r>
              <w:rPr>
                <w:webHidden/>
                <w:rStyle w:val="IndexLink"/>
                <w:rtl w:val="true"/>
              </w:rPr>
              <w:t>{</w:t>
            </w:r>
            <w:r>
              <w:rPr>
                <w:rStyle w:val="IndexLink"/>
                <w:rtl w:val="true"/>
              </w:rPr>
              <w:t>حجية الإجماع المنقول بخبر الواحد</w:t>
            </w:r>
            <w:r>
              <w:rPr>
                <w:rStyle w:val="IndexLink"/>
                <w:rtl w:val="true"/>
              </w:rPr>
              <w:t>}</w:t>
              <w:tab/>
            </w:r>
            <w:r>
              <w:rPr>
                <w:rStyle w:val="IndexLink"/>
              </w:rPr>
              <w:t>169</w:t>
            </w:r>
          </w:hyperlink>
        </w:p>
        <w:p>
          <w:pPr>
            <w:pStyle w:val="Contents2"/>
            <w:tabs>
              <w:tab w:val="clear" w:pos="8743"/>
              <w:tab w:val="right" w:pos="9026" w:leader="dot"/>
            </w:tabs>
            <w:rPr/>
          </w:pPr>
          <w:hyperlink w:anchor="__RefHeading___Toc4247240_2870459653">
            <w:r>
              <w:rPr>
                <w:webHidden/>
                <w:rStyle w:val="IndexLink"/>
                <w:rtl w:val="true"/>
              </w:rPr>
              <w:t>في الشهرة في الفتوى</w:t>
            </w:r>
            <w:r>
              <w:rPr>
                <w:rStyle w:val="IndexLink"/>
                <w:rtl w:val="true"/>
              </w:rPr>
              <w:tab/>
            </w:r>
            <w:r>
              <w:rPr>
                <w:rStyle w:val="IndexLink"/>
              </w:rPr>
              <w:t>171</w:t>
            </w:r>
          </w:hyperlink>
        </w:p>
        <w:p>
          <w:pPr>
            <w:pStyle w:val="Contents2"/>
            <w:tabs>
              <w:tab w:val="clear" w:pos="8743"/>
              <w:tab w:val="right" w:pos="9026" w:leader="dot"/>
            </w:tabs>
            <w:rPr/>
          </w:pPr>
          <w:hyperlink w:anchor="__RefHeading___Toc4247242_2870459653">
            <w:r>
              <w:rPr>
                <w:webHidden/>
                <w:rStyle w:val="IndexLink"/>
                <w:rtl w:val="true"/>
              </w:rPr>
              <w:t>حجية خبر الواحد</w:t>
            </w:r>
            <w:r>
              <w:rPr>
                <w:rStyle w:val="IndexLink"/>
                <w:rtl w:val="true"/>
              </w:rPr>
              <w:tab/>
            </w:r>
            <w:r>
              <w:rPr>
                <w:rStyle w:val="IndexLink"/>
              </w:rPr>
              <w:t>171</w:t>
            </w:r>
          </w:hyperlink>
        </w:p>
        <w:p>
          <w:pPr>
            <w:pStyle w:val="Contents2"/>
            <w:tabs>
              <w:tab w:val="clear" w:pos="8743"/>
              <w:tab w:val="right" w:pos="9026" w:leader="dot"/>
            </w:tabs>
            <w:rPr/>
          </w:pPr>
          <w:hyperlink w:anchor="__RefHeading___Toc4247244_2870459653">
            <w:r>
              <w:rPr>
                <w:webHidden/>
                <w:rStyle w:val="IndexLink"/>
                <w:rtl w:val="true"/>
              </w:rPr>
              <w:t xml:space="preserve">[ </w:t>
            </w:r>
            <w:r>
              <w:rPr>
                <w:rStyle w:val="IndexLink"/>
                <w:rtl w:val="true"/>
              </w:rPr>
              <w:t xml:space="preserve">الاستدل بالعقل على حجية الخبر </w:t>
            </w:r>
            <w:r>
              <w:rPr>
                <w:rStyle w:val="IndexLink"/>
                <w:rtl w:val="true"/>
              </w:rPr>
              <w:t>]</w:t>
              <w:tab/>
            </w:r>
            <w:r>
              <w:rPr>
                <w:rStyle w:val="IndexLink"/>
              </w:rPr>
              <w:t>175</w:t>
            </w:r>
          </w:hyperlink>
        </w:p>
        <w:p>
          <w:pPr>
            <w:pStyle w:val="Contents2"/>
            <w:tabs>
              <w:tab w:val="clear" w:pos="8743"/>
              <w:tab w:val="right" w:pos="9026" w:leader="dot"/>
            </w:tabs>
            <w:rPr/>
          </w:pPr>
          <w:hyperlink w:anchor="__RefHeading___Toc4247246_2870459653">
            <w:r>
              <w:rPr>
                <w:webHidden/>
                <w:rStyle w:val="IndexLink"/>
                <w:rtl w:val="true"/>
              </w:rPr>
              <w:t xml:space="preserve">[ </w:t>
            </w:r>
            <w:r>
              <w:rPr>
                <w:rStyle w:val="IndexLink"/>
                <w:rtl w:val="true"/>
              </w:rPr>
              <w:t>اختلاف القائلين بالظن الانسدادي</w:t>
            </w:r>
            <w:r>
              <w:rPr>
                <w:rStyle w:val="IndexLink"/>
                <w:rtl w:val="true"/>
              </w:rPr>
              <w:t>]</w:t>
              <w:tab/>
            </w:r>
            <w:r>
              <w:rPr>
                <w:rStyle w:val="IndexLink"/>
              </w:rPr>
              <w:t>181</w:t>
            </w:r>
          </w:hyperlink>
        </w:p>
        <w:p>
          <w:pPr>
            <w:pStyle w:val="Contents2"/>
            <w:tabs>
              <w:tab w:val="clear" w:pos="8743"/>
              <w:tab w:val="right" w:pos="9026" w:leader="dot"/>
            </w:tabs>
            <w:rPr/>
          </w:pPr>
          <w:hyperlink w:anchor="__RefHeading___Toc4247248_2870459653">
            <w:r>
              <w:rPr>
                <w:webHidden/>
                <w:rStyle w:val="IndexLink"/>
                <w:rtl w:val="true"/>
              </w:rPr>
              <w:t xml:space="preserve">[ </w:t>
            </w:r>
            <w:r>
              <w:rPr>
                <w:rStyle w:val="IndexLink"/>
                <w:rtl w:val="true"/>
              </w:rPr>
              <w:t>حجة القائل بحجية الظن في خصوص الطريق</w:t>
            </w:r>
            <w:r>
              <w:rPr>
                <w:rStyle w:val="IndexLink"/>
                <w:rtl w:val="true"/>
              </w:rPr>
              <w:t>]</w:t>
              <w:tab/>
            </w:r>
            <w:r>
              <w:rPr>
                <w:rStyle w:val="IndexLink"/>
              </w:rPr>
              <w:t>181</w:t>
            </w:r>
          </w:hyperlink>
        </w:p>
        <w:p>
          <w:pPr>
            <w:pStyle w:val="Contents2"/>
            <w:tabs>
              <w:tab w:val="clear" w:pos="8743"/>
              <w:tab w:val="right" w:pos="9026" w:leader="dot"/>
            </w:tabs>
            <w:rPr/>
          </w:pPr>
          <w:hyperlink w:anchor="__RefHeading___Toc4247250_2870459653">
            <w:r>
              <w:rPr>
                <w:webHidden/>
                <w:rStyle w:val="IndexLink"/>
                <w:rtl w:val="true"/>
              </w:rPr>
              <w:t xml:space="preserve">[ </w:t>
            </w:r>
            <w:r>
              <w:rPr>
                <w:rStyle w:val="IndexLink"/>
                <w:rtl w:val="true"/>
              </w:rPr>
              <w:t>تقرير دليل الانسداد بناءً على الحكومة</w:t>
            </w:r>
            <w:r>
              <w:rPr>
                <w:rStyle w:val="IndexLink"/>
                <w:rtl w:val="true"/>
              </w:rPr>
              <w:t>]</w:t>
              <w:tab/>
            </w:r>
            <w:r>
              <w:rPr>
                <w:rStyle w:val="IndexLink"/>
              </w:rPr>
              <w:t>186</w:t>
            </w:r>
          </w:hyperlink>
        </w:p>
        <w:p>
          <w:pPr>
            <w:pStyle w:val="Contents2"/>
            <w:tabs>
              <w:tab w:val="clear" w:pos="8743"/>
              <w:tab w:val="right" w:pos="9026" w:leader="dot"/>
            </w:tabs>
            <w:rPr/>
          </w:pPr>
          <w:hyperlink w:anchor="__RefHeading___Toc4247252_2870459653">
            <w:r>
              <w:rPr>
                <w:webHidden/>
                <w:rStyle w:val="IndexLink"/>
                <w:rtl w:val="true"/>
              </w:rPr>
              <w:t>[</w:t>
            </w:r>
            <w:r>
              <w:rPr>
                <w:rStyle w:val="IndexLink"/>
                <w:rtl w:val="true"/>
              </w:rPr>
              <w:t xml:space="preserve">التعميم من حيث الأسباب والمرتبة بناءً على الكشف </w:t>
            </w:r>
            <w:r>
              <w:rPr>
                <w:rStyle w:val="IndexLink"/>
                <w:rtl w:val="true"/>
              </w:rPr>
              <w:t>]</w:t>
              <w:tab/>
            </w:r>
            <w:r>
              <w:rPr>
                <w:rStyle w:val="IndexLink"/>
              </w:rPr>
              <w:t>187</w:t>
            </w:r>
          </w:hyperlink>
        </w:p>
        <w:p>
          <w:pPr>
            <w:pStyle w:val="Contents2"/>
            <w:tabs>
              <w:tab w:val="clear" w:pos="8743"/>
              <w:tab w:val="right" w:pos="9026" w:leader="dot"/>
            </w:tabs>
            <w:rPr/>
          </w:pPr>
          <w:hyperlink w:anchor="__RefHeading___Toc4247254_2870459653">
            <w:r>
              <w:rPr>
                <w:webHidden/>
                <w:rStyle w:val="IndexLink"/>
                <w:rtl w:val="true"/>
              </w:rPr>
              <w:t>في الظن المانع والممنوع</w:t>
            </w:r>
            <w:r>
              <w:rPr>
                <w:rStyle w:val="IndexLink"/>
                <w:rtl w:val="true"/>
              </w:rPr>
              <w:tab/>
            </w:r>
            <w:r>
              <w:rPr>
                <w:rStyle w:val="IndexLink"/>
              </w:rPr>
              <w:t>189</w:t>
            </w:r>
          </w:hyperlink>
        </w:p>
        <w:p>
          <w:pPr>
            <w:pStyle w:val="Contents2"/>
            <w:tabs>
              <w:tab w:val="clear" w:pos="8743"/>
              <w:tab w:val="right" w:pos="9026" w:leader="dot"/>
            </w:tabs>
            <w:rPr/>
          </w:pPr>
          <w:hyperlink w:anchor="__RefHeading___Toc4247256_2870459653">
            <w:r>
              <w:rPr>
                <w:webHidden/>
                <w:rStyle w:val="IndexLink"/>
                <w:rtl w:val="true"/>
              </w:rPr>
              <w:t>لامعةٌ في الظنون المتعلّقة بتشخيص الظواهر أو المرادات</w:t>
            </w:r>
            <w:r>
              <w:rPr>
                <w:rStyle w:val="IndexLink"/>
                <w:rtl w:val="true"/>
              </w:rPr>
              <w:tab/>
            </w:r>
            <w:r>
              <w:rPr>
                <w:rStyle w:val="IndexLink"/>
              </w:rPr>
              <w:t>190</w:t>
            </w:r>
          </w:hyperlink>
        </w:p>
        <w:p>
          <w:pPr>
            <w:pStyle w:val="Contents2"/>
            <w:tabs>
              <w:tab w:val="clear" w:pos="8743"/>
              <w:tab w:val="right" w:pos="9026" w:leader="dot"/>
            </w:tabs>
            <w:rPr/>
          </w:pPr>
          <w:hyperlink w:anchor="__RefHeading___Toc4247258_2870459653">
            <w:r>
              <w:rPr>
                <w:webHidden/>
                <w:rStyle w:val="IndexLink"/>
                <w:rtl w:val="true"/>
              </w:rPr>
              <w:t>{</w:t>
            </w:r>
            <w:r>
              <w:rPr>
                <w:rStyle w:val="IndexLink"/>
                <w:rtl w:val="true"/>
              </w:rPr>
              <w:t>عدم حجية الظن في أصول الدين</w:t>
            </w:r>
            <w:r>
              <w:rPr>
                <w:rStyle w:val="IndexLink"/>
                <w:rtl w:val="true"/>
              </w:rPr>
              <w:t>}</w:t>
              <w:tab/>
            </w:r>
            <w:r>
              <w:rPr>
                <w:rStyle w:val="IndexLink"/>
              </w:rPr>
              <w:t>191</w:t>
            </w:r>
          </w:hyperlink>
        </w:p>
        <w:p>
          <w:pPr>
            <w:pStyle w:val="Contents2"/>
            <w:tabs>
              <w:tab w:val="clear" w:pos="8743"/>
              <w:tab w:val="right" w:pos="9026" w:leader="dot"/>
            </w:tabs>
            <w:rPr/>
          </w:pPr>
          <w:hyperlink w:anchor="__RefHeading___Toc4247260_2870459653">
            <w:r>
              <w:rPr>
                <w:webHidden/>
                <w:rStyle w:val="IndexLink"/>
                <w:rtl w:val="true"/>
              </w:rPr>
              <w:t>في أنَّ الظن المطلق لا تترتب عليه الآثار</w:t>
            </w:r>
            <w:r>
              <w:rPr>
                <w:rStyle w:val="IndexLink"/>
                <w:rtl w:val="true"/>
              </w:rPr>
              <w:tab/>
            </w:r>
            <w:r>
              <w:rPr>
                <w:rStyle w:val="IndexLink"/>
              </w:rPr>
              <w:t>192</w:t>
            </w:r>
          </w:hyperlink>
        </w:p>
        <w:p>
          <w:pPr>
            <w:pStyle w:val="Contents2"/>
            <w:tabs>
              <w:tab w:val="clear" w:pos="8743"/>
              <w:tab w:val="right" w:pos="9026" w:leader="dot"/>
            </w:tabs>
            <w:rPr/>
          </w:pPr>
          <w:hyperlink w:anchor="__RefHeading___Toc4247262_2870459653">
            <w:r>
              <w:rPr>
                <w:webHidden/>
                <w:rStyle w:val="IndexLink"/>
                <w:rtl w:val="true"/>
              </w:rPr>
              <w:t>لامعةٌ في الأدلة العقلية</w:t>
            </w:r>
            <w:r>
              <w:rPr>
                <w:rStyle w:val="IndexLink"/>
                <w:rtl w:val="true"/>
              </w:rPr>
              <w:tab/>
            </w:r>
            <w:r>
              <w:rPr>
                <w:rStyle w:val="IndexLink"/>
              </w:rPr>
              <w:t>193</w:t>
            </w:r>
          </w:hyperlink>
        </w:p>
        <w:p>
          <w:pPr>
            <w:pStyle w:val="Contents2"/>
            <w:tabs>
              <w:tab w:val="clear" w:pos="8743"/>
              <w:tab w:val="right" w:pos="9026" w:leader="dot"/>
            </w:tabs>
            <w:rPr/>
          </w:pPr>
          <w:hyperlink w:anchor="__RefHeading___Toc4247264_2870459653">
            <w:r>
              <w:rPr>
                <w:webHidden/>
                <w:rStyle w:val="IndexLink"/>
                <w:rtl w:val="true"/>
              </w:rPr>
              <w:t>{</w:t>
            </w:r>
            <w:r>
              <w:rPr>
                <w:rStyle w:val="IndexLink"/>
                <w:rtl w:val="true"/>
              </w:rPr>
              <w:t>أصالة الإباحة أو الحظر</w:t>
            </w:r>
            <w:r>
              <w:rPr>
                <w:rStyle w:val="IndexLink"/>
                <w:rtl w:val="true"/>
              </w:rPr>
              <w:t>}</w:t>
              <w:tab/>
            </w:r>
            <w:r>
              <w:rPr>
                <w:rStyle w:val="IndexLink"/>
              </w:rPr>
              <w:t>198</w:t>
            </w:r>
          </w:hyperlink>
        </w:p>
        <w:p>
          <w:pPr>
            <w:pStyle w:val="Contents2"/>
            <w:tabs>
              <w:tab w:val="clear" w:pos="8743"/>
              <w:tab w:val="right" w:pos="9026" w:leader="dot"/>
            </w:tabs>
            <w:rPr/>
          </w:pPr>
          <w:hyperlink w:anchor="__RefHeading___Toc4247266_2870459653">
            <w:r>
              <w:rPr>
                <w:webHidden/>
                <w:rStyle w:val="IndexLink"/>
                <w:rtl w:val="true"/>
              </w:rPr>
              <w:t>لامعةٌ في أصالة البراءة</w:t>
            </w:r>
            <w:r>
              <w:rPr>
                <w:rStyle w:val="IndexLink"/>
                <w:rtl w:val="true"/>
              </w:rPr>
              <w:tab/>
            </w:r>
            <w:r>
              <w:rPr>
                <w:rStyle w:val="IndexLink"/>
              </w:rPr>
              <w:t>200</w:t>
            </w:r>
          </w:hyperlink>
        </w:p>
        <w:p>
          <w:pPr>
            <w:pStyle w:val="Contents2"/>
            <w:tabs>
              <w:tab w:val="clear" w:pos="8743"/>
              <w:tab w:val="right" w:pos="9026" w:leader="dot"/>
            </w:tabs>
            <w:rPr/>
          </w:pPr>
          <w:hyperlink w:anchor="__RefHeading___Toc4247268_2870459653">
            <w:r>
              <w:rPr>
                <w:webHidden/>
                <w:rStyle w:val="IndexLink"/>
                <w:rtl w:val="true"/>
              </w:rPr>
              <w:t xml:space="preserve">[ </w:t>
            </w:r>
            <w:r>
              <w:rPr>
                <w:rStyle w:val="IndexLink"/>
                <w:rtl w:val="true"/>
              </w:rPr>
              <w:t>الاستدلال بالعقل على وجوب الاحتياط</w:t>
            </w:r>
            <w:r>
              <w:rPr>
                <w:rStyle w:val="IndexLink"/>
                <w:rtl w:val="true"/>
              </w:rPr>
              <w:t>]</w:t>
              <w:tab/>
            </w:r>
            <w:r>
              <w:rPr>
                <w:rStyle w:val="IndexLink"/>
              </w:rPr>
              <w:t>205</w:t>
            </w:r>
          </w:hyperlink>
        </w:p>
        <w:p>
          <w:pPr>
            <w:pStyle w:val="Contents2"/>
            <w:tabs>
              <w:tab w:val="clear" w:pos="8743"/>
              <w:tab w:val="right" w:pos="9026" w:leader="dot"/>
            </w:tabs>
            <w:rPr/>
          </w:pPr>
          <w:hyperlink w:anchor="__RefHeading___Toc4247270_2870459653">
            <w:r>
              <w:rPr>
                <w:webHidden/>
                <w:rStyle w:val="IndexLink"/>
                <w:rtl w:val="true"/>
              </w:rPr>
              <w:t>{</w:t>
            </w:r>
            <w:r>
              <w:rPr>
                <w:rStyle w:val="IndexLink"/>
                <w:rtl w:val="true"/>
              </w:rPr>
              <w:t>دوران الأمر بين الوجوب والحرمة؛ لعدم الدليل على تعيين أحدهما تفصيلاً</w:t>
            </w:r>
            <w:r>
              <w:rPr>
                <w:rStyle w:val="IndexLink"/>
                <w:rtl w:val="true"/>
              </w:rPr>
              <w:t>}</w:t>
              <w:tab/>
            </w:r>
            <w:r>
              <w:rPr>
                <w:rStyle w:val="IndexLink"/>
              </w:rPr>
              <w:t>208</w:t>
            </w:r>
          </w:hyperlink>
        </w:p>
        <w:p>
          <w:pPr>
            <w:pStyle w:val="Contents2"/>
            <w:tabs>
              <w:tab w:val="clear" w:pos="8743"/>
              <w:tab w:val="right" w:pos="9026" w:leader="dot"/>
            </w:tabs>
            <w:rPr/>
          </w:pPr>
          <w:hyperlink w:anchor="__RefHeading___Toc4247272_2870459653">
            <w:r>
              <w:rPr>
                <w:webHidden/>
                <w:rStyle w:val="IndexLink"/>
                <w:rtl w:val="true"/>
              </w:rPr>
              <w:t xml:space="preserve">لامعةٌ </w:t>
            </w:r>
            <w:r>
              <w:rPr>
                <w:rStyle w:val="IndexLink"/>
                <w:rtl w:val="true"/>
              </w:rPr>
              <w:t xml:space="preserve">[ </w:t>
            </w:r>
            <w:r>
              <w:rPr>
                <w:rStyle w:val="IndexLink"/>
                <w:rtl w:val="true"/>
              </w:rPr>
              <w:t xml:space="preserve">في الشك في المكلَّف به </w:t>
            </w:r>
            <w:r>
              <w:rPr>
                <w:rStyle w:val="IndexLink"/>
                <w:rtl w:val="true"/>
              </w:rPr>
              <w:t>]</w:t>
              <w:tab/>
            </w:r>
            <w:r>
              <w:rPr>
                <w:rStyle w:val="IndexLink"/>
              </w:rPr>
              <w:t>210</w:t>
            </w:r>
          </w:hyperlink>
        </w:p>
        <w:p>
          <w:pPr>
            <w:pStyle w:val="Contents2"/>
            <w:tabs>
              <w:tab w:val="clear" w:pos="8743"/>
              <w:tab w:val="right" w:pos="9026" w:leader="dot"/>
            </w:tabs>
            <w:rPr/>
          </w:pPr>
          <w:hyperlink w:anchor="__RefHeading___Toc4247274_2870459653">
            <w:r>
              <w:rPr>
                <w:webHidden/>
                <w:rStyle w:val="IndexLink"/>
                <w:rtl w:val="true"/>
              </w:rPr>
              <w:t>{</w:t>
            </w:r>
            <w:r>
              <w:rPr>
                <w:rStyle w:val="IndexLink"/>
                <w:rtl w:val="true"/>
              </w:rPr>
              <w:t>في دوران الأمر بين المتباينين</w:t>
            </w:r>
            <w:r>
              <w:rPr>
                <w:rStyle w:val="IndexLink"/>
                <w:rtl w:val="true"/>
              </w:rPr>
              <w:t>}</w:t>
              <w:tab/>
            </w:r>
            <w:r>
              <w:rPr>
                <w:rStyle w:val="IndexLink"/>
              </w:rPr>
              <w:t>210</w:t>
            </w:r>
          </w:hyperlink>
        </w:p>
        <w:p>
          <w:pPr>
            <w:pStyle w:val="Contents2"/>
            <w:tabs>
              <w:tab w:val="clear" w:pos="8743"/>
              <w:tab w:val="right" w:pos="9026" w:leader="dot"/>
            </w:tabs>
            <w:rPr/>
          </w:pPr>
          <w:hyperlink w:anchor="__RefHeading___Toc4247276_2870459653">
            <w:r>
              <w:rPr>
                <w:webHidden/>
                <w:rStyle w:val="IndexLink"/>
                <w:rtl w:val="true"/>
              </w:rPr>
              <w:t>تتميمٌ</w:t>
            </w:r>
            <w:r>
              <w:rPr>
                <w:rStyle w:val="IndexLink"/>
                <w:rtl w:val="true"/>
              </w:rPr>
              <w:tab/>
            </w:r>
            <w:r>
              <w:rPr>
                <w:rStyle w:val="IndexLink"/>
              </w:rPr>
              <w:t>211</w:t>
            </w:r>
          </w:hyperlink>
        </w:p>
        <w:p>
          <w:pPr>
            <w:pStyle w:val="Contents2"/>
            <w:tabs>
              <w:tab w:val="clear" w:pos="8743"/>
              <w:tab w:val="right" w:pos="9026" w:leader="dot"/>
            </w:tabs>
            <w:rPr/>
          </w:pPr>
          <w:hyperlink w:anchor="__RefHeading___Toc4247278_2870459653">
            <w:r>
              <w:rPr>
                <w:webHidden/>
                <w:rStyle w:val="IndexLink"/>
                <w:rtl w:val="true"/>
              </w:rPr>
              <w:t>{</w:t>
            </w:r>
            <w:r>
              <w:rPr>
                <w:rStyle w:val="IndexLink"/>
                <w:rtl w:val="true"/>
              </w:rPr>
              <w:t>فى دوران الأمر بين الأقل والأكثر الارتباطيين</w:t>
            </w:r>
            <w:r>
              <w:rPr>
                <w:rStyle w:val="IndexLink"/>
                <w:rtl w:val="true"/>
              </w:rPr>
              <w:t>}</w:t>
              <w:tab/>
            </w:r>
            <w:r>
              <w:rPr>
                <w:rStyle w:val="IndexLink"/>
              </w:rPr>
              <w:t>212</w:t>
            </w:r>
          </w:hyperlink>
        </w:p>
        <w:p>
          <w:pPr>
            <w:pStyle w:val="Contents2"/>
            <w:tabs>
              <w:tab w:val="clear" w:pos="8743"/>
              <w:tab w:val="right" w:pos="9026" w:leader="dot"/>
            </w:tabs>
            <w:rPr/>
          </w:pPr>
          <w:hyperlink w:anchor="__RefHeading___Toc4247280_2870459653">
            <w:r>
              <w:rPr>
                <w:webHidden/>
                <w:rStyle w:val="IndexLink"/>
                <w:rtl w:val="true"/>
              </w:rPr>
              <w:t>تتمیمات مهمات</w:t>
            </w:r>
            <w:r>
              <w:rPr>
                <w:rStyle w:val="IndexLink"/>
                <w:rtl w:val="true"/>
              </w:rPr>
              <w:tab/>
            </w:r>
            <w:r>
              <w:rPr>
                <w:rStyle w:val="IndexLink"/>
              </w:rPr>
              <w:t>217</w:t>
            </w:r>
          </w:hyperlink>
        </w:p>
        <w:p>
          <w:pPr>
            <w:pStyle w:val="Contents2"/>
            <w:tabs>
              <w:tab w:val="clear" w:pos="8743"/>
              <w:tab w:val="right" w:pos="9026" w:leader="dot"/>
            </w:tabs>
            <w:rPr/>
          </w:pPr>
          <w:hyperlink w:anchor="__RefHeading___Toc4247282_2870459653">
            <w:r>
              <w:rPr>
                <w:webHidden/>
                <w:rStyle w:val="IndexLink"/>
                <w:rtl w:val="true"/>
              </w:rPr>
              <w:t>خاتمة</w:t>
            </w:r>
            <w:r>
              <w:rPr>
                <w:rStyle w:val="IndexLink"/>
                <w:rtl w:val="true"/>
              </w:rPr>
              <w:tab/>
            </w:r>
            <w:r>
              <w:rPr>
                <w:rStyle w:val="IndexLink"/>
              </w:rPr>
              <w:t>221</w:t>
            </w:r>
          </w:hyperlink>
        </w:p>
        <w:p>
          <w:pPr>
            <w:pStyle w:val="Contents2"/>
            <w:tabs>
              <w:tab w:val="clear" w:pos="8743"/>
              <w:tab w:val="right" w:pos="9026" w:leader="dot"/>
            </w:tabs>
            <w:rPr/>
          </w:pPr>
          <w:hyperlink w:anchor="__RefHeading___Toc4247284_2870459653">
            <w:r>
              <w:rPr>
                <w:webHidden/>
                <w:rStyle w:val="IndexLink"/>
                <w:rtl w:val="true"/>
              </w:rPr>
              <w:t>لامعةٌ في الاستصحاب</w:t>
            </w:r>
            <w:r>
              <w:rPr>
                <w:rStyle w:val="IndexLink"/>
                <w:rtl w:val="true"/>
              </w:rPr>
              <w:tab/>
            </w:r>
            <w:r>
              <w:rPr>
                <w:rStyle w:val="IndexLink"/>
              </w:rPr>
              <w:t>222</w:t>
            </w:r>
          </w:hyperlink>
        </w:p>
        <w:p>
          <w:pPr>
            <w:pStyle w:val="Contents2"/>
            <w:tabs>
              <w:tab w:val="clear" w:pos="8743"/>
              <w:tab w:val="right" w:pos="9026" w:leader="dot"/>
            </w:tabs>
            <w:rPr/>
          </w:pPr>
          <w:hyperlink w:anchor="__RefHeading___Toc4247286_2870459653">
            <w:r>
              <w:rPr>
                <w:webHidden/>
                <w:rStyle w:val="IndexLink"/>
                <w:rtl w:val="true"/>
              </w:rPr>
              <w:t>[</w:t>
            </w:r>
            <w:r>
              <w:rPr>
                <w:rStyle w:val="IndexLink"/>
                <w:rtl w:val="true"/>
              </w:rPr>
              <w:t>أدلة القائل بالجعل</w:t>
            </w:r>
            <w:r>
              <w:rPr>
                <w:rStyle w:val="IndexLink"/>
                <w:rtl w:val="true"/>
              </w:rPr>
              <w:t>]</w:t>
              <w:tab/>
            </w:r>
            <w:r>
              <w:rPr>
                <w:rStyle w:val="IndexLink"/>
              </w:rPr>
              <w:t>239</w:t>
            </w:r>
          </w:hyperlink>
        </w:p>
        <w:p>
          <w:pPr>
            <w:pStyle w:val="Contents2"/>
            <w:tabs>
              <w:tab w:val="clear" w:pos="8743"/>
              <w:tab w:val="right" w:pos="9026" w:leader="dot"/>
            </w:tabs>
            <w:rPr/>
          </w:pPr>
          <w:hyperlink w:anchor="__RefHeading___Toc4247288_2870459653">
            <w:r>
              <w:rPr>
                <w:webHidden/>
                <w:rStyle w:val="IndexLink"/>
                <w:rtl w:val="true"/>
              </w:rPr>
              <w:t>تتميم</w:t>
            </w:r>
            <w:r>
              <w:rPr>
                <w:rStyle w:val="IndexLink"/>
                <w:rtl w:val="true"/>
              </w:rPr>
              <w:tab/>
            </w:r>
            <w:r>
              <w:rPr>
                <w:rStyle w:val="IndexLink"/>
              </w:rPr>
              <w:t>239</w:t>
            </w:r>
          </w:hyperlink>
        </w:p>
        <w:p>
          <w:pPr>
            <w:pStyle w:val="Contents2"/>
            <w:tabs>
              <w:tab w:val="clear" w:pos="8743"/>
              <w:tab w:val="right" w:pos="9026" w:leader="dot"/>
            </w:tabs>
            <w:rPr/>
          </w:pPr>
          <w:hyperlink w:anchor="__RefHeading___Toc4247290_2870459653">
            <w:r>
              <w:rPr>
                <w:webHidden/>
                <w:rStyle w:val="IndexLink"/>
                <w:rtl w:val="true"/>
              </w:rPr>
              <w:t xml:space="preserve">[ </w:t>
            </w:r>
            <w:r>
              <w:rPr>
                <w:rStyle w:val="IndexLink"/>
                <w:rtl w:val="true"/>
              </w:rPr>
              <w:t xml:space="preserve">تنبيهات </w:t>
            </w:r>
            <w:r>
              <w:rPr>
                <w:rStyle w:val="IndexLink"/>
                <w:rtl w:val="true"/>
              </w:rPr>
              <w:t>]</w:t>
              <w:tab/>
            </w:r>
            <w:r>
              <w:rPr>
                <w:rStyle w:val="IndexLink"/>
              </w:rPr>
              <w:t>240</w:t>
            </w:r>
          </w:hyperlink>
        </w:p>
        <w:p>
          <w:pPr>
            <w:pStyle w:val="Contents2"/>
            <w:tabs>
              <w:tab w:val="clear" w:pos="8743"/>
              <w:tab w:val="right" w:pos="9026" w:leader="dot"/>
            </w:tabs>
            <w:rPr/>
          </w:pPr>
          <w:hyperlink w:anchor="__RefHeading___Toc4247292_2870459653">
            <w:r>
              <w:rPr>
                <w:webHidden/>
                <w:rStyle w:val="IndexLink"/>
                <w:rtl w:val="true"/>
              </w:rPr>
              <w:t>استطرادٌ</w:t>
            </w:r>
            <w:r>
              <w:rPr>
                <w:rStyle w:val="IndexLink"/>
                <w:rtl w:val="true"/>
              </w:rPr>
              <w:tab/>
            </w:r>
            <w:r>
              <w:rPr>
                <w:rStyle w:val="IndexLink"/>
              </w:rPr>
              <w:t>245</w:t>
            </w:r>
          </w:hyperlink>
        </w:p>
        <w:p>
          <w:pPr>
            <w:pStyle w:val="Contents2"/>
            <w:tabs>
              <w:tab w:val="clear" w:pos="8743"/>
              <w:tab w:val="right" w:pos="9026" w:leader="dot"/>
            </w:tabs>
            <w:rPr/>
          </w:pPr>
          <w:hyperlink w:anchor="__RefHeading___Toc4247294_2870459653">
            <w:r>
              <w:rPr>
                <w:webHidden/>
                <w:rStyle w:val="IndexLink"/>
                <w:rtl w:val="true"/>
              </w:rPr>
              <w:t>خاتمةٌ</w:t>
            </w:r>
            <w:r>
              <w:rPr>
                <w:rStyle w:val="IndexLink"/>
                <w:rtl w:val="true"/>
              </w:rPr>
              <w:tab/>
            </w:r>
            <w:r>
              <w:rPr>
                <w:rStyle w:val="IndexLink"/>
              </w:rPr>
              <w:t>252</w:t>
            </w:r>
          </w:hyperlink>
        </w:p>
        <w:p>
          <w:pPr>
            <w:pStyle w:val="Contents2"/>
            <w:tabs>
              <w:tab w:val="clear" w:pos="8743"/>
              <w:tab w:val="right" w:pos="9026" w:leader="dot"/>
            </w:tabs>
            <w:rPr/>
          </w:pPr>
          <w:hyperlink w:anchor="__RefHeading___Toc4247296_2870459653">
            <w:r>
              <w:rPr>
                <w:webHidden/>
                <w:rStyle w:val="IndexLink"/>
                <w:rtl w:val="true"/>
              </w:rPr>
              <w:t>[</w:t>
            </w:r>
            <w:r>
              <w:rPr>
                <w:rStyle w:val="IndexLink"/>
                <w:rtl w:val="true"/>
              </w:rPr>
              <w:t>تعارض الاستصحاب مع الأصول العملية والقواعد المرجوع إليها حال الشك</w:t>
            </w:r>
            <w:r>
              <w:rPr>
                <w:rStyle w:val="IndexLink"/>
                <w:rtl w:val="true"/>
              </w:rPr>
              <w:t>]</w:t>
              <w:tab/>
            </w:r>
            <w:r>
              <w:rPr>
                <w:rStyle w:val="IndexLink"/>
              </w:rPr>
              <w:t>252</w:t>
            </w:r>
          </w:hyperlink>
        </w:p>
        <w:p>
          <w:pPr>
            <w:pStyle w:val="Contents2"/>
            <w:tabs>
              <w:tab w:val="clear" w:pos="8743"/>
              <w:tab w:val="right" w:pos="9026" w:leader="dot"/>
            </w:tabs>
            <w:rPr/>
          </w:pPr>
          <w:hyperlink w:anchor="__RefHeading___Toc4247298_2870459653">
            <w:r>
              <w:rPr>
                <w:webHidden/>
                <w:rStyle w:val="IndexLink"/>
                <w:rtl w:val="true"/>
              </w:rPr>
              <w:t>[</w:t>
            </w:r>
            <w:r>
              <w:rPr>
                <w:rStyle w:val="IndexLink"/>
                <w:rtl w:val="true"/>
              </w:rPr>
              <w:t xml:space="preserve">تعارض الاستصحابين </w:t>
            </w:r>
            <w:r>
              <w:rPr>
                <w:rStyle w:val="IndexLink"/>
                <w:rtl w:val="true"/>
              </w:rPr>
              <w:t>]</w:t>
              <w:tab/>
            </w:r>
            <w:r>
              <w:rPr>
                <w:rStyle w:val="IndexLink"/>
              </w:rPr>
              <w:t>253</w:t>
            </w:r>
          </w:hyperlink>
        </w:p>
        <w:p>
          <w:pPr>
            <w:pStyle w:val="Contents2"/>
            <w:tabs>
              <w:tab w:val="clear" w:pos="8743"/>
              <w:tab w:val="right" w:pos="9026" w:leader="dot"/>
            </w:tabs>
            <w:rPr/>
          </w:pPr>
          <w:hyperlink w:anchor="__RefHeading___Toc4247300_2870459653">
            <w:r>
              <w:rPr>
                <w:webHidden/>
                <w:rStyle w:val="IndexLink"/>
                <w:rtl w:val="true"/>
              </w:rPr>
              <w:t>لامعة في التعارض والتعادل والترجيح</w:t>
            </w:r>
            <w:r>
              <w:rPr>
                <w:rStyle w:val="IndexLink"/>
                <w:rtl w:val="true"/>
              </w:rPr>
              <w:tab/>
            </w:r>
            <w:r>
              <w:rPr>
                <w:rStyle w:val="IndexLink"/>
              </w:rPr>
              <w:t>256</w:t>
            </w:r>
          </w:hyperlink>
        </w:p>
        <w:p>
          <w:pPr>
            <w:pStyle w:val="Contents2"/>
            <w:tabs>
              <w:tab w:val="clear" w:pos="8743"/>
              <w:tab w:val="right" w:pos="9026" w:leader="dot"/>
            </w:tabs>
            <w:rPr/>
          </w:pPr>
          <w:hyperlink w:anchor="__RefHeading___Toc4247302_2870459653">
            <w:r>
              <w:rPr>
                <w:webHidden/>
                <w:rStyle w:val="IndexLink"/>
                <w:rtl w:val="true"/>
              </w:rPr>
              <w:t>[</w:t>
            </w:r>
            <w:r>
              <w:rPr>
                <w:rStyle w:val="IndexLink"/>
                <w:rtl w:val="true"/>
              </w:rPr>
              <w:t>في ميزان الحكومة والورود</w:t>
            </w:r>
            <w:r>
              <w:rPr>
                <w:rStyle w:val="IndexLink"/>
                <w:rtl w:val="true"/>
              </w:rPr>
              <w:t>]</w:t>
              <w:tab/>
            </w:r>
            <w:r>
              <w:rPr>
                <w:rStyle w:val="IndexLink"/>
              </w:rPr>
              <w:t>256</w:t>
            </w:r>
          </w:hyperlink>
        </w:p>
        <w:p>
          <w:pPr>
            <w:pStyle w:val="Contents2"/>
            <w:tabs>
              <w:tab w:val="clear" w:pos="8743"/>
              <w:tab w:val="right" w:pos="9026" w:leader="dot"/>
            </w:tabs>
            <w:rPr/>
          </w:pPr>
          <w:hyperlink w:anchor="__RefHeading___Toc4247304_2870459653">
            <w:r>
              <w:rPr>
                <w:webHidden/>
                <w:rStyle w:val="IndexLink"/>
                <w:rtl w:val="true"/>
              </w:rPr>
              <w:t>[</w:t>
            </w:r>
            <w:r>
              <w:rPr>
                <w:rStyle w:val="IndexLink"/>
                <w:rtl w:val="true"/>
              </w:rPr>
              <w:t xml:space="preserve">في مؤدى الأصول اللفظية </w:t>
            </w:r>
            <w:r>
              <w:rPr>
                <w:rStyle w:val="IndexLink"/>
                <w:rtl w:val="true"/>
              </w:rPr>
              <w:t>]</w:t>
              <w:tab/>
            </w:r>
            <w:r>
              <w:rPr>
                <w:rStyle w:val="IndexLink"/>
              </w:rPr>
              <w:t>259</w:t>
            </w:r>
          </w:hyperlink>
        </w:p>
        <w:p>
          <w:pPr>
            <w:pStyle w:val="Contents2"/>
            <w:tabs>
              <w:tab w:val="clear" w:pos="8743"/>
              <w:tab w:val="right" w:pos="9026" w:leader="dot"/>
            </w:tabs>
            <w:rPr/>
          </w:pPr>
          <w:hyperlink w:anchor="__RefHeading___Toc4247306_2870459653">
            <w:r>
              <w:rPr>
                <w:webHidden/>
                <w:rStyle w:val="IndexLink"/>
                <w:rtl w:val="true"/>
              </w:rPr>
              <w:t>{</w:t>
            </w:r>
            <w:r>
              <w:rPr>
                <w:rStyle w:val="IndexLink"/>
                <w:rtl w:val="true"/>
              </w:rPr>
              <w:t>الكلام بمقتضى الأخبار العلاجية</w:t>
            </w:r>
            <w:r>
              <w:rPr>
                <w:rStyle w:val="IndexLink"/>
                <w:rtl w:val="true"/>
              </w:rPr>
              <w:t>}</w:t>
              <w:tab/>
            </w:r>
            <w:r>
              <w:rPr>
                <w:rStyle w:val="IndexLink"/>
              </w:rPr>
              <w:t>263</w:t>
            </w:r>
          </w:hyperlink>
        </w:p>
        <w:p>
          <w:pPr>
            <w:pStyle w:val="Contents2"/>
            <w:tabs>
              <w:tab w:val="clear" w:pos="8743"/>
              <w:tab w:val="right" w:pos="9026" w:leader="dot"/>
            </w:tabs>
            <w:rPr/>
          </w:pPr>
          <w:hyperlink w:anchor="__RefHeading___Toc4247308_2870459653">
            <w:r>
              <w:rPr>
                <w:webHidden/>
                <w:rStyle w:val="IndexLink"/>
                <w:rtl w:val="true"/>
              </w:rPr>
              <w:t>تنبيهٌ</w:t>
            </w:r>
            <w:r>
              <w:rPr>
                <w:rStyle w:val="IndexLink"/>
                <w:rtl w:val="true"/>
              </w:rPr>
              <w:tab/>
            </w:r>
            <w:r>
              <w:rPr>
                <w:rStyle w:val="IndexLink"/>
              </w:rPr>
              <w:t>266</w:t>
            </w:r>
          </w:hyperlink>
        </w:p>
        <w:p>
          <w:pPr>
            <w:pStyle w:val="Contents2"/>
            <w:tabs>
              <w:tab w:val="clear" w:pos="8743"/>
              <w:tab w:val="right" w:pos="9026" w:leader="dot"/>
            </w:tabs>
            <w:rPr/>
          </w:pPr>
          <w:hyperlink w:anchor="__RefHeading___Toc4247310_2870459653">
            <w:r>
              <w:rPr>
                <w:webHidden/>
                <w:rStyle w:val="IndexLink"/>
                <w:rtl w:val="true"/>
              </w:rPr>
              <w:t>{</w:t>
            </w:r>
            <w:r>
              <w:rPr>
                <w:rStyle w:val="IndexLink"/>
                <w:rtl w:val="true"/>
              </w:rPr>
              <w:t>عدم الاقتصار على المرجحات المنصوصة</w:t>
            </w:r>
            <w:r>
              <w:rPr>
                <w:rStyle w:val="IndexLink"/>
                <w:rtl w:val="true"/>
              </w:rPr>
              <w:t>}</w:t>
              <w:tab/>
            </w:r>
            <w:r>
              <w:rPr>
                <w:rStyle w:val="IndexLink"/>
              </w:rPr>
              <w:t>269</w:t>
            </w:r>
          </w:hyperlink>
        </w:p>
        <w:p>
          <w:pPr>
            <w:pStyle w:val="Contents2"/>
            <w:tabs>
              <w:tab w:val="clear" w:pos="8743"/>
              <w:tab w:val="right" w:pos="9026" w:leader="dot"/>
            </w:tabs>
            <w:rPr/>
          </w:pPr>
          <w:hyperlink w:anchor="__RefHeading___Toc4247312_2870459653">
            <w:r>
              <w:rPr>
                <w:webHidden/>
                <w:rStyle w:val="IndexLink"/>
                <w:rtl w:val="true"/>
              </w:rPr>
              <w:t>خاتمةٌ في مبحثي الاجتهاد والتقليد</w:t>
            </w:r>
            <w:r>
              <w:rPr>
                <w:rStyle w:val="IndexLink"/>
                <w:rtl w:val="true"/>
              </w:rPr>
              <w:tab/>
            </w:r>
            <w:r>
              <w:rPr>
                <w:rStyle w:val="IndexLink"/>
              </w:rPr>
              <w:t>273</w:t>
            </w:r>
          </w:hyperlink>
        </w:p>
        <w:p>
          <w:pPr>
            <w:pStyle w:val="Contents2"/>
            <w:tabs>
              <w:tab w:val="clear" w:pos="8743"/>
              <w:tab w:val="right" w:pos="9026" w:leader="dot"/>
            </w:tabs>
            <w:rPr/>
          </w:pPr>
          <w:hyperlink w:anchor="__RefHeading___Toc4247314_2870459653">
            <w:r>
              <w:rPr>
                <w:webHidden/>
                <w:rStyle w:val="IndexLink"/>
                <w:rtl w:val="true"/>
              </w:rPr>
              <w:t>لامعةٌ</w:t>
            </w:r>
            <w:r>
              <w:rPr>
                <w:rStyle w:val="IndexLink"/>
                <w:rtl w:val="true"/>
              </w:rPr>
              <w:tab/>
            </w:r>
            <w:r>
              <w:rPr>
                <w:rStyle w:val="IndexLink"/>
              </w:rPr>
              <w:t>273</w:t>
            </w:r>
          </w:hyperlink>
        </w:p>
        <w:p>
          <w:pPr>
            <w:pStyle w:val="Contents2"/>
            <w:tabs>
              <w:tab w:val="clear" w:pos="8743"/>
              <w:tab w:val="right" w:pos="9026" w:leader="dot"/>
            </w:tabs>
            <w:rPr/>
          </w:pPr>
          <w:hyperlink w:anchor="__RefHeading___Toc4247316_2870459653">
            <w:r>
              <w:rPr>
                <w:webHidden/>
                <w:rStyle w:val="IndexLink"/>
                <w:rtl w:val="true"/>
              </w:rPr>
              <w:t>[</w:t>
            </w:r>
            <w:r>
              <w:rPr>
                <w:rStyle w:val="IndexLink"/>
                <w:rtl w:val="true"/>
              </w:rPr>
              <w:t xml:space="preserve">التجزئ في الإجتهاد </w:t>
            </w:r>
            <w:r>
              <w:rPr>
                <w:rStyle w:val="IndexLink"/>
                <w:rtl w:val="true"/>
              </w:rPr>
              <w:t>]</w:t>
              <w:tab/>
            </w:r>
            <w:r>
              <w:rPr>
                <w:rStyle w:val="IndexLink"/>
              </w:rPr>
              <w:t>273</w:t>
            </w:r>
          </w:hyperlink>
        </w:p>
        <w:p>
          <w:pPr>
            <w:pStyle w:val="Contents2"/>
            <w:tabs>
              <w:tab w:val="clear" w:pos="8743"/>
              <w:tab w:val="right" w:pos="9026" w:leader="dot"/>
            </w:tabs>
            <w:rPr/>
          </w:pPr>
          <w:hyperlink w:anchor="__RefHeading___Toc4247318_2870459653">
            <w:r>
              <w:rPr>
                <w:webHidden/>
                <w:rStyle w:val="IndexLink"/>
                <w:rtl w:val="true"/>
              </w:rPr>
              <w:t>تتميم في التخطئة والتصويب</w:t>
            </w:r>
            <w:r>
              <w:rPr>
                <w:rStyle w:val="IndexLink"/>
                <w:rtl w:val="true"/>
              </w:rPr>
              <w:tab/>
            </w:r>
            <w:r>
              <w:rPr>
                <w:rStyle w:val="IndexLink"/>
              </w:rPr>
              <w:t>275</w:t>
            </w:r>
          </w:hyperlink>
        </w:p>
        <w:p>
          <w:pPr>
            <w:pStyle w:val="Contents2"/>
            <w:tabs>
              <w:tab w:val="clear" w:pos="8743"/>
              <w:tab w:val="right" w:pos="9026" w:leader="dot"/>
            </w:tabs>
            <w:rPr/>
          </w:pPr>
          <w:hyperlink w:anchor="__RefHeading___Toc4247320_2870459653">
            <w:r>
              <w:rPr>
                <w:webHidden/>
                <w:rStyle w:val="IndexLink"/>
                <w:rtl w:val="true"/>
              </w:rPr>
              <w:t xml:space="preserve">[ </w:t>
            </w:r>
            <w:r>
              <w:rPr>
                <w:rStyle w:val="IndexLink"/>
                <w:rtl w:val="true"/>
              </w:rPr>
              <w:t xml:space="preserve">أدلة التصويب </w:t>
            </w:r>
            <w:r>
              <w:rPr>
                <w:rStyle w:val="IndexLink"/>
                <w:rtl w:val="true"/>
              </w:rPr>
              <w:t>]</w:t>
              <w:tab/>
            </w:r>
            <w:r>
              <w:rPr>
                <w:rStyle w:val="IndexLink"/>
              </w:rPr>
              <w:t>276</w:t>
            </w:r>
          </w:hyperlink>
        </w:p>
        <w:p>
          <w:pPr>
            <w:pStyle w:val="Contents2"/>
            <w:tabs>
              <w:tab w:val="clear" w:pos="8743"/>
              <w:tab w:val="right" w:pos="9026" w:leader="dot"/>
            </w:tabs>
            <w:rPr/>
          </w:pPr>
          <w:hyperlink w:anchor="__RefHeading___Toc4247322_2870459653">
            <w:r>
              <w:rPr>
                <w:webHidden/>
                <w:rStyle w:val="IndexLink"/>
                <w:rtl w:val="true"/>
              </w:rPr>
              <w:t>خاتمة</w:t>
            </w:r>
            <w:r>
              <w:rPr>
                <w:rStyle w:val="IndexLink"/>
                <w:rtl w:val="true"/>
              </w:rPr>
              <w:tab/>
            </w:r>
            <w:r>
              <w:rPr>
                <w:rStyle w:val="IndexLink"/>
              </w:rPr>
              <w:t>277</w:t>
            </w:r>
          </w:hyperlink>
        </w:p>
        <w:p>
          <w:pPr>
            <w:pStyle w:val="Contents2"/>
            <w:tabs>
              <w:tab w:val="clear" w:pos="8743"/>
              <w:tab w:val="right" w:pos="9026" w:leader="dot"/>
            </w:tabs>
            <w:rPr/>
          </w:pPr>
          <w:hyperlink w:anchor="__RefHeading___Toc4247324_2870459653">
            <w:r>
              <w:rPr>
                <w:webHidden/>
                <w:rStyle w:val="IndexLink"/>
                <w:rtl w:val="true"/>
              </w:rPr>
              <w:t>لامعةٌ في التقليد</w:t>
            </w:r>
            <w:r>
              <w:rPr>
                <w:rStyle w:val="IndexLink"/>
                <w:rtl w:val="true"/>
              </w:rPr>
              <w:tab/>
            </w:r>
            <w:r>
              <w:rPr>
                <w:rStyle w:val="IndexLink"/>
              </w:rPr>
              <w:t>279</w:t>
            </w:r>
          </w:hyperlink>
        </w:p>
        <w:p>
          <w:pPr>
            <w:pStyle w:val="Contents2"/>
            <w:tabs>
              <w:tab w:val="clear" w:pos="8743"/>
              <w:tab w:val="right" w:pos="9026" w:leader="dot"/>
            </w:tabs>
            <w:rPr/>
          </w:pPr>
          <w:hyperlink w:anchor="__RefHeading___Toc4247326_2870459653">
            <w:r>
              <w:rPr>
                <w:webHidden/>
                <w:rStyle w:val="IndexLink"/>
                <w:rtl w:val="true"/>
              </w:rPr>
              <w:t>بقي هنا مسائل</w:t>
            </w:r>
            <w:r>
              <w:rPr>
                <w:rStyle w:val="IndexLink"/>
                <w:rtl w:val="true"/>
              </w:rPr>
              <w:tab/>
            </w:r>
            <w:r>
              <w:rPr>
                <w:rStyle w:val="IndexLink"/>
              </w:rPr>
              <w:t>279</w:t>
            </w:r>
          </w:hyperlink>
        </w:p>
        <w:p>
          <w:pPr>
            <w:pStyle w:val="Contents2"/>
            <w:tabs>
              <w:tab w:val="clear" w:pos="8743"/>
              <w:tab w:val="right" w:pos="9026" w:leader="dot"/>
            </w:tabs>
            <w:rPr/>
          </w:pPr>
          <w:hyperlink w:anchor="__RefHeading___Toc4247328_2870459653">
            <w:r>
              <w:rPr>
                <w:webHidden/>
                <w:rStyle w:val="IndexLink"/>
                <w:rtl w:val="true"/>
              </w:rPr>
              <w:t>مصادر الكتاب</w:t>
            </w:r>
            <w:r>
              <w:rPr>
                <w:rStyle w:val="IndexLink"/>
                <w:rtl w:val="true"/>
              </w:rPr>
              <w:tab/>
            </w:r>
            <w:r>
              <w:rPr>
                <w:rStyle w:val="IndexLink"/>
              </w:rPr>
              <w:t>284</w:t>
            </w:r>
          </w:hyperlink>
        </w:p>
        <w:p>
          <w:pPr>
            <w:pStyle w:val="Contents2"/>
            <w:tabs>
              <w:tab w:val="clear" w:pos="8743"/>
              <w:tab w:val="right" w:pos="9026" w:leader="dot"/>
            </w:tabs>
            <w:rPr/>
          </w:pPr>
          <w:hyperlink w:anchor="__RefHeading___Toc4247330_2870459653">
            <w:r>
              <w:rPr>
                <w:webHidden/>
                <w:rStyle w:val="IndexLink"/>
                <w:rtl w:val="true"/>
              </w:rPr>
              <w:t>الفهرس</w:t>
            </w:r>
            <w:r>
              <w:rPr>
                <w:rStyle w:val="IndexLink"/>
                <w:rtl w:val="true"/>
              </w:rPr>
              <w:tab/>
            </w:r>
            <w:r>
              <w:rPr>
                <w:rStyle w:val="IndexLink"/>
              </w:rPr>
              <w:t>299</w:t>
            </w:r>
          </w:hyperlink>
        </w:p>
        <w:p>
          <w:pPr>
            <w:pStyle w:val="Contents2"/>
            <w:tabs>
              <w:tab w:val="clear" w:pos="8743"/>
              <w:tab w:val="right" w:pos="9026" w:leader="dot"/>
            </w:tabs>
            <w:rPr/>
          </w:pPr>
          <w:hyperlink w:anchor="__RefHeading___Toc4247332_2870459653">
            <w:r>
              <w:rPr>
                <w:webHidden/>
                <w:rStyle w:val="IndexLink"/>
                <w:rtl w:val="true"/>
              </w:rPr>
              <w:t>إصدارات مركز تراث سامراء</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29_139932"/>
      <w:bookmarkStart w:id="1" w:name="pg9229_139932"/>
      <w:bookmarkEnd w:id="1"/>
    </w:p>
    <w:p>
      <w:pPr>
        <w:pStyle w:val="Heading2"/>
        <w:numPr>
          <w:ilvl w:val="1"/>
          <w:numId w:val="1"/>
        </w:numPr>
        <w:rPr/>
      </w:pPr>
      <w:bookmarkStart w:id="2" w:name="pg9229_139932"/>
      <w:bookmarkStart w:id="3" w:name="__RefHeading___Toc4247154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 الحسنية في الأصول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صدر الدين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علي الدراجي</w:t>
      </w:r>
    </w:p>
    <w:p>
      <w:pPr>
        <w:pStyle w:val="BookText"/>
        <w:rPr/>
      </w:pPr>
      <w:r>
        <w:rPr>
          <w:rFonts w:ascii="Amiri" w:hAnsi="Amiri" w:eastAsia="Amiri" w:cs="Amiri"/>
          <w:color w:val="111111"/>
          <w:sz w:val="28"/>
          <w:sz w:val="28"/>
          <w:szCs w:val="28"/>
          <w:rtl w:val="true"/>
          <w:lang w:bidi="ar-SA"/>
        </w:rPr>
        <w:t>التصميم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مسلم شاكر المطوري</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١٤٤١</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ascii="Amiri" w:hAnsi="Amiri" w:eastAsia="Amiri" w:cs="Amiri"/>
          <w:color w:val="111111"/>
          <w:sz w:val="28"/>
          <w:sz w:val="28"/>
          <w:szCs w:val="28"/>
          <w:lang w:bidi="ar-SA"/>
        </w:rPr>
        <w:t>٢٠٢٠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47156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 الحسنية في الأصول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صدر الدين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علي الدراجي</w:t>
      </w:r>
    </w:p>
    <w:p>
      <w:pPr>
        <w:pStyle w:val="BookText"/>
        <w:rPr/>
      </w:pPr>
      <w:r>
        <w:rPr>
          <w:rFonts w:ascii="Amiri" w:hAnsi="Amiri" w:eastAsia="Amiri" w:cs="Amiri"/>
          <w:color w:val="111111"/>
          <w:sz w:val="28"/>
          <w:sz w:val="28"/>
          <w:szCs w:val="28"/>
          <w:rtl w:val="true"/>
          <w:lang w:bidi="ar-SA"/>
        </w:rPr>
        <w:t>التصميم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مسلم شاكر المطوري</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١٤٤١</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ascii="Amiri" w:hAnsi="Amiri" w:eastAsia="Amiri" w:cs="Amiri"/>
          <w:color w:val="111111"/>
          <w:sz w:val="28"/>
          <w:sz w:val="28"/>
          <w:szCs w:val="28"/>
          <w:lang w:bidi="ar-SA"/>
        </w:rPr>
        <w:t>٢٠٢٠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راهجو </w:t>
      </w:r>
    </w:p>
    <w:p>
      <w:pPr>
        <w:pStyle w:val="BookText"/>
        <w:rPr/>
      </w:pPr>
      <w:r>
        <w:rPr>
          <w:rFonts w:ascii="Amiri" w:hAnsi="Amiri" w:eastAsia="Amiri" w:cs="Amiri"/>
          <w:color w:val="111111"/>
          <w:sz w:val="28"/>
          <w:sz w:val="28"/>
          <w:szCs w:val="28"/>
          <w:rtl w:val="true"/>
          <w:lang w:bidi="ar-SA"/>
        </w:rPr>
        <w:t>ديوان الوقف الشرعي</w:t>
      </w:r>
    </w:p>
    <w:p>
      <w:pPr>
        <w:pStyle w:val="BookText"/>
        <w:rPr/>
      </w:pPr>
      <w:r>
        <w:rPr>
          <w:rFonts w:ascii="Amiri" w:hAnsi="Amiri" w:eastAsia="Amiri" w:cs="Amiri"/>
          <w:color w:val="111111"/>
          <w:sz w:val="28"/>
          <w:sz w:val="28"/>
          <w:szCs w:val="28"/>
          <w:rtl w:val="true"/>
          <w:lang w:bidi="ar-SA"/>
        </w:rPr>
        <w:t>جسدية المقدسية</w:t>
      </w:r>
    </w:p>
    <w:p>
      <w:pPr>
        <w:pStyle w:val="BookText"/>
        <w:rPr/>
      </w:pPr>
      <w:r>
        <w:rPr>
          <w:rFonts w:ascii="Amiri" w:hAnsi="Amiri" w:eastAsia="Amiri" w:cs="Amiri"/>
          <w:color w:val="111111"/>
          <w:sz w:val="28"/>
          <w:sz w:val="28"/>
          <w:szCs w:val="28"/>
          <w:rtl w:val="true"/>
          <w:lang w:bidi="ar-SA"/>
        </w:rPr>
        <w:t>الشرفاوي</w:t>
      </w:r>
    </w:p>
    <w:p>
      <w:pPr>
        <w:pStyle w:val="BookText"/>
        <w:rPr/>
      </w:pPr>
      <w:r>
        <w:rPr>
          <w:rFonts w:ascii="Amiri" w:hAnsi="Amiri" w:eastAsia="Amiri" w:cs="Amiri"/>
          <w:color w:val="111111"/>
          <w:sz w:val="28"/>
          <w:sz w:val="28"/>
          <w:szCs w:val="28"/>
          <w:rtl w:val="true"/>
          <w:lang w:bidi="ar-SA"/>
        </w:rPr>
        <w:t>فَالأصول الفقهية</w:t>
      </w:r>
    </w:p>
    <w:p>
      <w:pPr>
        <w:pStyle w:val="BookText"/>
        <w:rPr/>
      </w:pPr>
      <w:r>
        <w:rPr>
          <w:rFonts w:ascii="Amiri" w:hAnsi="Amiri" w:eastAsia="Amiri" w:cs="Amiri"/>
          <w:color w:val="111111"/>
          <w:sz w:val="28"/>
          <w:sz w:val="28"/>
          <w:szCs w:val="28"/>
          <w:rtl w:val="true"/>
          <w:lang w:bidi="ar-SA"/>
        </w:rPr>
        <w:t>التفت السيّد حَسَن صَدر الدين الكاظمي</w:t>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١٣٥٤</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الشيخ إبراهيم الجوراني</w:t>
      </w:r>
    </w:p>
    <w:p>
      <w:pPr>
        <w:pStyle w:val="BookText"/>
        <w:rPr/>
      </w:pPr>
      <w:r>
        <w:rPr>
          <w:rFonts w:ascii="Amiri" w:hAnsi="Amiri" w:eastAsia="Amiri" w:cs="Amiri"/>
          <w:color w:val="111111"/>
          <w:sz w:val="28"/>
          <w:sz w:val="28"/>
          <w:szCs w:val="28"/>
          <w:rtl w:val="true"/>
          <w:lang w:bidi="ar-SA"/>
        </w:rPr>
        <w:t>مراجعة وتدقيق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الشرفاوي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29_139942"/>
      <w:bookmarkStart w:id="8" w:name="pg9229_139942"/>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9229_139942"/>
      <w:bookmarkStart w:id="10" w:name="__RefHeading___Toc4247158_2870459653"/>
      <w:bookmarkStart w:id="11" w:name="_Toc3"/>
      <w:bookmarkEnd w:id="9"/>
      <w:bookmarkEnd w:id="10"/>
      <w:r>
        <w:rPr>
          <w:rtl w:val="true"/>
        </w:rPr>
        <w:t>مقدمة المرکز</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عاصر السيد حسن صدر الدين الكاظمي العصر الذهبي للحوزات العلمية في فترة تعج بالأساطين والأفذاذ من العلماء والمحققين وقد ازدهرت الحياة العلمية لاسيما في حوزتي النجف الأشرف وسامراء، حيث تتلمذ على أعلام النجف لمدة سبع سنين وعلى مرحلتين، كما تتلمذ على أعلام سامراء لمدة تسع عشرة سنة على مرحلتين أيضاً، أما في النجف فامتدت الأولى من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۱۲۸۸</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وإلى حين هجرته الأولى إلى سامراء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لأستاذه السيد المجدّد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وامتدت الفترة الثانية من حوالي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١٢٩٤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 وهي هجرته الثانية إلى الناحية المقدّسة </w:t>
      </w:r>
      <w:r>
        <w:rPr>
          <w:rStyle w:val="FootnoteAnchor"/>
          <w:rtl w:val="true"/>
        </w:rPr>
        <w:footnoteReference w:id="3"/>
      </w:r>
      <w:r>
        <w:rPr>
          <w:rFonts w:ascii="Amiri" w:hAnsi="Amiri" w:eastAsia="Amiri" w:cs="Amiri"/>
          <w:color w:val="111111"/>
          <w:sz w:val="28"/>
          <w:sz w:val="28"/>
          <w:szCs w:val="28"/>
          <w:rtl w:val="true"/>
          <w:lang w:bidi="ar-SA"/>
        </w:rPr>
        <w:t xml:space="preserve">، وفيها مكث زهاء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متواصلة إلى حين هجرته إلى مدينة الكاظمية المقدسة، وذلك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١٣١٤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هويته العلمية هي من بركات حوزة سامراء وعميدها السيد محمد حسن </w:t>
      </w:r>
    </w:p>
    <w:p>
      <w:pPr>
        <w:pStyle w:val="BookText"/>
        <w:rPr/>
      </w:pPr>
      <w:r>
        <w:rPr>
          <w:rFonts w:ascii="IRNazanin" w:hAnsi="IRNazanin" w:eastAsia="IRNazanin"/>
          <w:color w:val="111111"/>
          <w:sz w:val="28"/>
          <w:sz w:val="28"/>
          <w:szCs w:val="28"/>
          <w:rtl w:val="true"/>
          <w:lang w:bidi="fa-IR"/>
        </w:rPr>
        <w:t>الشيرازي رحمة الله علیه ، وخصوصاً أنه تتلمذ عليه في النجف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وللمصنف جملة من المؤلّفات التي ألّفها في سامراء، وهي تمثل تراثه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إبانة الصدور في موقوف ابن 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وهي رسالة فريدة في بابها ألّفها بطلب من أستاذه المجدّد الشيرازي رحمةالله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تبيين الإباحة في مشكوك ما لا يؤكل لحمه للمصلين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تقريراًلدرس أستاذه السيد المجدّد الشيرازي 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تعارض الاستصحابين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رسالة مختصرة في مسألة تعارض الاستصحابين، تقريراً لدرس أستاذه السيد المجدّد الشيرازي رحمة الله علیه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النظيم في مسألة التتميم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وهو تقرير لبحث السيد المجدّد الشيرازي رحمةلله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الرشاد في شرح نجاة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كتب الجزء الأول منه في سامراء وبقية الأجزاء في الكاظمية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في نفي الضرار والضرر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آخر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مواردها وأنها إنما ترفع اللزوم لا واقع الحكم وجهته؛ لعدم ما يوجب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تيسر لنا تحريره في بيان القاعدة، والحمد لله رب العالمين والصلاة على </w:t>
      </w:r>
    </w:p>
    <w:p>
      <w:pPr>
        <w:pStyle w:val="BookText"/>
        <w:rPr/>
      </w:pPr>
      <w:r>
        <w:rPr>
          <w:rFonts w:ascii="Amiri" w:hAnsi="Amiri" w:eastAsia="Amiri" w:cs="Amiri"/>
          <w:color w:val="111111"/>
          <w:sz w:val="28"/>
          <w:sz w:val="28"/>
          <w:szCs w:val="28"/>
          <w:rtl w:val="true"/>
          <w:lang w:bidi="ar-SA"/>
        </w:rPr>
        <w:t xml:space="preserve">أشرف الأنبياء والمرسلين، وعلى أهل بيته الطيبين الطاهرين، وقد وقع الفراغ منها في دار غيبة الإمام عجل الله فرجه سامرّاء في سنة </w:t>
      </w:r>
      <w:r>
        <w:rPr>
          <w:rFonts w:ascii="Amiri" w:hAnsi="Amiri" w:eastAsia="Amiri" w:cs="Amiri"/>
          <w:color w:val="111111"/>
          <w:sz w:val="28"/>
          <w:sz w:val="28"/>
          <w:szCs w:val="28"/>
          <w:lang w:bidi="ar-SA"/>
        </w:rPr>
        <w:t>۱۳۱۱</w:t>
      </w:r>
      <w:r>
        <w:rPr>
          <w:rFonts w:ascii="Amiri" w:hAnsi="Amiri" w:eastAsia="Amiri" w:cs="Amiri"/>
          <w:color w:val="111111"/>
          <w:sz w:val="28"/>
          <w:sz w:val="28"/>
          <w:szCs w:val="28"/>
          <w:rtl w:val="true"/>
          <w:lang w:bidi="ar-SA"/>
        </w:rPr>
        <w:t>هـ، وسميتها الغرر في نفي الضرار والضرر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الالتباس عن قاعدة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فرغ من تحريرها العبد الفاني ابن السيد هادي صدر الدين حسن الموسوي الكاظمي العاملي عامله الله تعالى بلطفه الخفي والجلي، في يوم الثاني عشر من جمادى الأولى سنة </w:t>
      </w:r>
      <w:r>
        <w:rPr>
          <w:rFonts w:ascii="Amiri" w:hAnsi="Amiri" w:eastAsia="Amiri" w:cs="Amiri"/>
          <w:color w:val="111111"/>
          <w:sz w:val="28"/>
          <w:sz w:val="28"/>
          <w:szCs w:val="28"/>
          <w:lang w:bidi="ar-SA"/>
        </w:rPr>
        <w:t>۱۳۱۱</w:t>
      </w:r>
      <w:r>
        <w:rPr>
          <w:rFonts w:ascii="Amiri" w:hAnsi="Amiri" w:eastAsia="Amiri" w:cs="Amiri"/>
          <w:color w:val="111111"/>
          <w:sz w:val="28"/>
          <w:sz w:val="28"/>
          <w:szCs w:val="28"/>
          <w:rtl w:val="true"/>
          <w:lang w:bidi="ar-SA"/>
        </w:rPr>
        <w:t xml:space="preserve"> ألف وثلاثمئة وإحدى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النقاب عن رسالة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ووقع الفراغ منها في يوم الجمعة من شهر ربيع الثاني من شهور سنة </w:t>
      </w:r>
      <w:r>
        <w:rPr>
          <w:rFonts w:ascii="Amiri" w:hAnsi="Amiri" w:eastAsia="Amiri" w:cs="Amiri"/>
          <w:color w:val="111111"/>
          <w:sz w:val="28"/>
          <w:sz w:val="28"/>
          <w:szCs w:val="28"/>
          <w:lang w:bidi="ar-SA"/>
        </w:rPr>
        <w:t>١٣٠٠</w:t>
      </w:r>
      <w:r>
        <w:rPr>
          <w:rFonts w:ascii="Amiri" w:hAnsi="Amiri" w:eastAsia="Amiri" w:cs="Amiri"/>
          <w:color w:val="111111"/>
          <w:sz w:val="28"/>
          <w:sz w:val="28"/>
          <w:szCs w:val="28"/>
          <w:rtl w:val="true"/>
          <w:lang w:bidi="ar-SA"/>
        </w:rPr>
        <w:t>هـ، في بلد غيبة الإمام عجل الله فرجه، أيام المهاجرة إليها لتحصيل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صوم ما فات في سنة الفوات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كتبها بطلب من السيد إسماعيل الشيرازي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نكت الرجال على منتهى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على منتهى المقال في أحوال الرجال</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لب اللباب على رسالة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تعليقة علّقها المؤلّف على رسالة الاستصحاب للشيخ الأعظم، وفرغ منها سنة </w:t>
      </w:r>
      <w:r>
        <w:rPr>
          <w:rFonts w:ascii="Amiri" w:hAnsi="Amiri" w:eastAsia="Amiri" w:cs="Amiri"/>
          <w:color w:val="111111"/>
          <w:sz w:val="28"/>
          <w:sz w:val="28"/>
          <w:szCs w:val="28"/>
          <w:lang w:bidi="ar-SA"/>
        </w:rPr>
        <w:t>١٣١١</w:t>
      </w:r>
      <w:r>
        <w:rPr>
          <w:rFonts w:ascii="Amiri" w:hAnsi="Amiri" w:eastAsia="Amiri" w:cs="Amiri"/>
          <w:color w:val="111111"/>
          <w:sz w:val="28"/>
          <w:sz w:val="28"/>
          <w:szCs w:val="28"/>
          <w:rtl w:val="true"/>
          <w:lang w:bidi="ar-SA"/>
        </w:rPr>
        <w:t>هـ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وآله الطاهرين الجامعين لكل الكمال، وقع الفراغ منها في شهر ربيع الثاني من سنة </w:t>
      </w:r>
      <w:r>
        <w:rPr>
          <w:rFonts w:ascii="Amiri" w:hAnsi="Amiri" w:eastAsia="Amiri" w:cs="Amiri"/>
          <w:color w:val="111111"/>
          <w:sz w:val="28"/>
          <w:sz w:val="28"/>
          <w:szCs w:val="28"/>
          <w:lang w:bidi="ar-SA"/>
        </w:rPr>
        <w:t>۱۳۱۱</w:t>
      </w:r>
      <w:r>
        <w:rPr>
          <w:rFonts w:ascii="Amiri" w:hAnsi="Amiri" w:eastAsia="Amiri" w:cs="Amiri"/>
          <w:color w:val="111111"/>
          <w:sz w:val="28"/>
          <w:sz w:val="28"/>
          <w:szCs w:val="28"/>
          <w:rtl w:val="true"/>
          <w:lang w:bidi="ar-SA"/>
        </w:rPr>
        <w:t xml:space="preserve"> هـ في بلد الإمام عجل الله تعالى فرجه، وصلّى الله عليه وعلى آبائه الطاهرين، أيام المهاجرة إليها لتحصيل العلم بخدمة حجة الإسلام وآية الله في العالمين نصير الملة والحق والدين، سيدنا الأستاذ أدام الله ظله العالي على مفارق الأنام بمحمد وآله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مجمل </w:t>
      </w:r>
      <w:r>
        <w:rPr>
          <w:rStyle w:val="FootnoteAnchor"/>
          <w:rtl w:val="true"/>
        </w:rPr>
        <w:footnoteReference w:id="7"/>
      </w:r>
      <w:r>
        <w:rPr>
          <w:rFonts w:ascii="Amiri" w:hAnsi="Amiri" w:eastAsia="Amiri" w:cs="Amiri"/>
          <w:color w:val="111111"/>
          <w:sz w:val="28"/>
          <w:sz w:val="28"/>
          <w:szCs w:val="28"/>
          <w:rtl w:val="true"/>
          <w:lang w:bidi="ar-SA"/>
        </w:rPr>
        <w:t>التراث العسكري للسيد حسن صدر الدين الكاظمي الذي أبدعه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مميزات تلك الفترة هو ظهور بعض المؤلّفات والأسفار لتصبح محوراً للدراسات العليا ومحطاً لأنظار الأعلام وتعليقهم وشرحهم، ككتاب المكاسب والرسائل للشيخ الأعظم، وكتاب كفاية الأصول للمحقق الفذ الشيخ محمد كاظم الخراساني، وكتاب العروة الوثقى لفقيه أهل البيت السيد محمد كاظم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الفضل الأول يرجع إلى الشيخ الأعظم والأفذاذ من تلامذته، وعلى رأسهم السيد المجدّد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قام السيد المؤلّف بجمع آراء الشيخ الأعظم والأعيان من تلامذته في كتابه هذا؛ حيث يقول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اللوامع الحسنية في الأصول الفقهية، بطريق الإيجاز، من أول علم الأصول إلى آخره، ذكرت فيه نتائج أفكار شيخنا المرتضى وسيدنا الأستاذ الميرزا وسائر تلامذة الشيخ المرتضى، وهو كتاب لم يصنّف مثله على مسلك الشيخ في علم الأصول</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السيد عبد الحسين شرف الدين الكتاب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اللوامع كتاب في أصول الفقه،يتضمن نتائج الإمامين الأنصاري والشيرازي وتلامذتهما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وللمؤلف دلو بين دلائهم ملأه إلى عقد الكرب </w:t>
      </w:r>
      <w:r>
        <w:rPr>
          <w:rStyle w:val="FootnoteAnchor"/>
          <w:rtl w:val="true"/>
        </w:rPr>
        <w:footnoteReference w:id="9"/>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آراء هؤلاء الأساطين خصوصاً إذا ما اتفقوا في تنقيح مسألة ما فقد ذكر السيد </w:t>
      </w:r>
    </w:p>
    <w:p>
      <w:pPr>
        <w:pStyle w:val="BookText"/>
        <w:rPr/>
      </w:pPr>
      <w:r>
        <w:rPr>
          <w:rFonts w:ascii="Amiri" w:hAnsi="Amiri" w:eastAsia="Amiri" w:cs="Amiri"/>
          <w:color w:val="111111"/>
          <w:sz w:val="28"/>
          <w:sz w:val="28"/>
          <w:szCs w:val="28"/>
          <w:rtl w:val="true"/>
          <w:lang w:bidi="ar-SA"/>
        </w:rPr>
        <w:t>الخوئي قدس سرهُ في أكثر من دورة في أصوله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شاهدنا بعض الأعاظم </w:t>
      </w:r>
      <w:r>
        <w:rPr>
          <w:rStyle w:val="FootnoteAnchor"/>
          <w:rtl w:val="true"/>
        </w:rPr>
        <w:footnoteReference w:id="11"/>
      </w:r>
      <w:r>
        <w:rPr>
          <w:rFonts w:ascii="Amiri" w:hAnsi="Amiri" w:eastAsia="Amiri" w:cs="Amiri"/>
          <w:color w:val="111111"/>
          <w:sz w:val="28"/>
          <w:sz w:val="28"/>
          <w:szCs w:val="28"/>
          <w:rtl w:val="true"/>
          <w:lang w:bidi="ar-SA"/>
        </w:rPr>
        <w:t xml:space="preserve">يدعي القطع بالحكم من اتفاق الشيخ الأنصاري والسيد الشيرازي و الميرزا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لاعتقاده شدة ورعهم ودقه فكرهم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زاد في قيمة الكتاب أنه احتوى على آراء السيد المجدّد التي طرحها 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المؤلِّف في مواضع عديدة 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والتحقيق ما أفاده سيدنا الأستاذ حجة الإسلام الميرزا في مجلس الدرس 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أطلنا في توضيح المقام لأنه من غوامض الأنظار، وأبكار الأفكار التي استفدناها من سيدنا الأستاذ الميرزا قدس سرهُ ولم يسبقه أحد في تحقيق الواجب المشروط، فإن الخبير يعلم أنه من مزالق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تجلت تلك الآراء في مؤلَّفات الأساطين من تلامذته، ولذا ذكر العلّامة الأوردبادي في أكثر من موضع متحدّثاً عن كفاية الأصول للمحقق الفذ الشيخ محمد كاظم الخراساني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مباحثها كلها مأخوذة من أستاذه الأجل يعرفها الفنيون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العلّامة النقوي أن ما ذكره العلّامة النائيني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هو السيد المجدّد وليس المحقق الفشاركي كما ربما يتوهم البعض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في بحثه يعبر بالسيد الأستاذ عن السيد المجدّد قدس سرهُ و هو كثير الإعجاب والإعظام لكلماته فينقلها بكل تجلّة ولا يعدوها في مواضع الخلاف على الأغلب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هذا السفر وتعدد ميزاته العلمية والتراثية حيث ينتفع به من أراد تدريس أو دراسة كتاب الكفاية، ولأنه يغني القارئ بثقافة أصولية، ولأن المصنف من أعلام حوز </w:t>
      </w:r>
    </w:p>
    <w:p>
      <w:pPr>
        <w:pStyle w:val="BookText"/>
        <w:rPr/>
      </w:pPr>
      <w:r>
        <w:rPr>
          <w:rFonts w:ascii="Amiri" w:hAnsi="Amiri" w:eastAsia="Amiri" w:cs="Amiri"/>
          <w:color w:val="111111"/>
          <w:sz w:val="28"/>
          <w:sz w:val="28"/>
          <w:szCs w:val="28"/>
          <w:rtl w:val="true"/>
          <w:lang w:bidi="ar-SA"/>
        </w:rPr>
        <w:t>سامراء حيث قضى فيها قرابة تسعة عشر عاماً، ولكون هذا المصنّف لم يطبع من قبل، كل ذلك دفعنا لاختيار هذا الكتاب وتحقيقه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آملين بذلك أن نتقدم خطوة باتجاه إحياء تراث حوزة سامراء وأعلامها الذين قدّموا للحوزات العلمية جهوداً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لتحقيق هذا الكتاب المبارك الأخ العزيز الشيخ إبراهيم الجوراني، فلله دره على سرعة وجودة الإنجاز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تعالى ببركة هذا الشهر الفضيل أن يتقبل منا جميعاً، وأن يجعله ذخيرة لنا يوم</w:t>
      </w:r>
    </w:p>
    <w:p>
      <w:pPr>
        <w:pStyle w:val="BookText"/>
        <w:rPr/>
      </w:pPr>
      <w:r>
        <w:rPr>
          <w:rFonts w:ascii="Amiri" w:hAnsi="Amiri" w:eastAsia="Amiri" w:cs="Amiri"/>
          <w:color w:val="111111"/>
          <w:sz w:val="28"/>
          <w:sz w:val="28"/>
          <w:szCs w:val="28"/>
          <w:rtl w:val="true"/>
          <w:lang w:bidi="ar-SA"/>
        </w:rPr>
        <w:t>نلقاه، ويجعل لنا بكل حرف نورا، إنه سميع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الأقل</w:t>
      </w:r>
    </w:p>
    <w:p>
      <w:pPr>
        <w:pStyle w:val="BookText"/>
        <w:rPr/>
      </w:pPr>
      <w:r>
        <w:rPr>
          <w:rFonts w:ascii="IRNazanin" w:hAnsi="IRNazanin" w:eastAsia="IRNazanin"/>
          <w:color w:val="111111"/>
          <w:sz w:val="28"/>
          <w:sz w:val="28"/>
          <w:szCs w:val="28"/>
          <w:rtl w:val="true"/>
          <w:lang w:bidi="fa-IR"/>
        </w:rPr>
        <w:t>کریم مسیر كريم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١٤٤١</w:t>
      </w:r>
      <w:r>
        <w:rPr>
          <w:rFonts w:ascii="IRNazanin" w:hAnsi="IRNazanin" w:eastAsia="IRNazanin"/>
          <w:color w:val="111111"/>
          <w:sz w:val="28"/>
          <w:sz w:val="28"/>
          <w:szCs w:val="28"/>
          <w:rtl w:val="true"/>
          <w:lang w:bidi="fa-IR"/>
        </w:rPr>
        <w:t xml:space="preserve">هـ </w:t>
      </w:r>
      <w:bookmarkStart w:id="12" w:name="pg9229_13996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4247160_2870459653"/>
      <w:bookmarkStart w:id="14" w:name="_Toc4"/>
      <w:bookmarkEnd w:id="12"/>
      <w:bookmarkEnd w:id="13"/>
      <w:r>
        <w:rPr>
          <w:rtl w:val="true"/>
        </w:rPr>
        <w:t>مقدمة التحقيق</w:t>
      </w:r>
      <w:bookmarkEnd w:id="1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رسول الله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الشيخ الوحيد البهبهاني رضوان الله تعالى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١٢٠٦</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المدرسة الأصولية الحديثة، ولو تحرّينا فروع شجرة فقهاء آل البيت علیهم السلام  في القرن الثالث عشر والقرن الرابع عشر، بل وحتى القرن الخامس عشر ، لوجدناهم يرجعون إليه بصورة مباشرة أو غير مباشرة؛ولذلك يطلق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وتربى في مدرسته مجموعة من العلماء الفضلاء لم يجد الزمان بمثلهم الذين ألّفوا الكتب والأسفار القيّمة، وأثروا المدرسة الأصولية أيما إثراء، كالشيخ جعفر كاشف الغطاء صاحب كتاب كشف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١٢٢٧</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والميرزا القمي صاحب القوانين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محمد تقي الأصفهاني صاحب هداية المسترشدين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١٢٤٨</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وأخيه الشيخ محمد حسين صاحب الفصول الغروية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١٢٥٠</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والمولى أحمد النراقي صاحب مستند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١٢٤٥</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محسن الأعرجي المعروف بالمحقق الكاظمي صاحب المحصول في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١٢٢٧</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محمد شريف الآملي المعروف بشريف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١٢٤٥</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وفاة شريف العلماء رضوان الله تعالى عليه أفل نجمُ مدرسة كربلاء وشدَّ طلبة العلم رحالهم تلقاء الوادي المقدس طوى، نجف سيد الوصيين علیه السلام حيث الفقيه الألمعي نادرة الزمان الشيخ محمد حسن الجواهري صاحب جواهر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١٢٦٦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ممن حضروا عنده تلميذ شريف العلماء الشيخ الأعظم مرتضى الأنصاري رضوان الله تعالى عليه، ولما رأى الشيخ الجواهري مدى علمية الشيخ الأنصاري أشار إليه بأن يقوم مقامه فيحمل لواء المرجعية ويقوم بأعبائها، فكان خير خلف لخير سلف، فقام بها خير قيام، فشيد الأركان وأنار البرهان </w:t>
      </w:r>
    </w:p>
    <w:p>
      <w:pPr>
        <w:pStyle w:val="BookText"/>
        <w:rPr/>
      </w:pPr>
      <w:r>
        <w:rPr>
          <w:rFonts w:ascii="IRNazanin" w:hAnsi="IRNazanin" w:eastAsia="IRNazanin"/>
          <w:color w:val="111111"/>
          <w:sz w:val="28"/>
          <w:sz w:val="28"/>
          <w:szCs w:val="28"/>
          <w:rtl w:val="true"/>
          <w:lang w:bidi="fa-IR"/>
        </w:rPr>
        <w:t xml:space="preserve">وصار يشار إليه بالبنان حتى صار كتاباه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يعدوهما فقيه ولا أصولي؛ حيث أماط اللثام عن فرائد غررها الحسان، وجعلها تستشف لذوي البصائر وتلمع، ونبغ على يديه المباركتين ثلة من العلماء الفضلاء الأفذاذ، وكان من مقدميهم السيد المجدّد الشيرازي رضوان الله تعالى عليه، وقد آلت إليه المرجعية بعد أستاذه فقام بأعبائها خير قيام، وتربت على يديه ثلة من الأعلام ، كالميرزا محمد تقي الشيرازي صاحب فتوى الجهاد في ثورة العشرين، والشيخ عبد الكريم الحائري مؤسس حوزة قم المقدسة، والميرزا حسين النوري صاحب کتاب مستدرك الوسائل، والسيد محمد كاظم اليزدي صاحب كتاب العروة الوثقى، والسيد إسماعيل الصدر صاحب الشبهة العبائية المعروفة ومنهم سيدنا المصنّف السيد حسن الصدر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السيد المجدّد الشيرازي رضوان الله تعالى عليه قد هاجر إلى سامراء العسكريين عليه السلام في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فخف إليه فضلاء طلابه، وشمر وشمروا عن سواعد الجد والاجتهاد في الدرس والتدريس والبحث والتحقيق، يواصلون ليلهم بنهارهم، وكيف لا يكونون كذلك وقد نفخ فيهم سيدهم روح التفاني والإخلاص، ونادى في حيهم أن حي على الجهاد، فلبوا سراعاً حلقات تحملها الملائكة وأستاذهم يلقي هُم من الحكمة وعلوم آل محمد علیه السلام ما شرح الله له صدورهم و وعنه آذانهم، من المعقول والمنقول، فصارت سامراء قبلة العاشقين للعلم، ومنارة يتوجه إليها الوافدون، تعج بأفواج من العلماء الفحول الذين لا يشق لهم غبار، ولا يجاريهم متسابق في مضمار، يقلّبون العلم على وجوهه كما يقلب الصراف دراهمه، وهكذا بنى رضوان الله تعالى عليه في مدينة العسكريين الله منارة مجد تشع ضياء في دياجير الظلمات، ولما استوفى رضوان الله تعالى عليه مدته وصارت إلى آبائه اللام وفادته لبى نداء الرحمن منتقلاً إلى دار الخلد ،والجنان، وذلك في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واحد وعشرين قضاها هناك، فحملت نعشه الرؤوس من بلدة إلى بلدة وكل يسابق الآخر لحمل النعش الشريف، إلى أن وصل إلى جوار جده باب مدينة العلم ، فدفن عند بابه، فجزاه الله عنا وعن الإسلام وأهله خير جزاء المحسنين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صرحه الذي بناه شامخاً، يحوطونه علماء فحول من الذين نماهم إلى الفضيلة </w:t>
      </w:r>
    </w:p>
    <w:p>
      <w:pPr>
        <w:pStyle w:val="BookText"/>
        <w:rPr/>
      </w:pPr>
      <w:r>
        <w:rPr>
          <w:rFonts w:ascii="Amiri" w:hAnsi="Amiri" w:eastAsia="Amiri" w:cs="Amiri"/>
          <w:color w:val="111111"/>
          <w:sz w:val="28"/>
          <w:sz w:val="28"/>
          <w:szCs w:val="28"/>
          <w:rtl w:val="true"/>
          <w:lang w:bidi="ar-SA"/>
        </w:rPr>
        <w:t xml:space="preserve">والحكمة مما يعجز اللسان عن وصفهم ويكل البيان عن عد محاسنهم، كآية الله السيد علي آقا نجل السيد المجدّد الشيرازي وآية الله السيد عبد الهادي الشيرازي، وآية الله الميرزا محمد تقي الشيرازي والسيد هادي الحسيني الخراساني، وغيرهم من العلماء الربانيين، وبقيت حوزة سامراء قائمة من بعد وفاة المجدّد الشيرازي قرابة اثنتين وعشرون سنة إلى وقت الاحتلال البريطاني للعراق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انتقل جميع من كان في سامراء من العلماء إلى الكاظمية المقدسة، فمنهم من استقرَّ فيها، ومنهم من توجه إلى غيرها كالنجف الأشرف أو كربلاء المقدسة، ومن الذين استقروا في الكاظمية المقدسة بعد تسعة تسعة عشر قضاها في سامراء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منشغلاً بالتدريس والبحث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ترك السيد حسن الصدر تراثاً ثراً من المؤلّفات القيمة وفي مختلف أصناف العلوم وكانت له مكتبة عامرة بنفائس الكتب حتى قال عنها تلميذه السيد عبد الحسين شرف الدين في بغية الراغبين </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موفقاً في تحصيل نفائسها في جميع العلوم والفنون عقلية ونقلية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تضمنت مكتبته من نوادر الأسفار المخطوطة ما لا يوجد في أكثر المكتبات الحافظة، وبهذا رنت في الأقطار فذكرها المتتبع جرجي زيدان في طليعة مكتبات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الاحتلال البريطاني كانت هناك أنباء وهنبثة وخطوب جرت، فما كان إلا أن امتدت إلى سامراء يد الظالمين وعاثت بربعها فساداً وتخريباً ؛ ليطمسوا معالمها وما لمعَ من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فتية آمنوا بربهم، يحدوهم الأمل، فشمروا عن سواعد الجد والعمل؛ ليظهروا ما قد خفي من عقود ودرر غطتها الإحن والأضغان وتوارد الحدثان، وينفضوا عنها تراب السنين؛ لترجع لماعة برّاقة تسرُّ الناظرين و سهلة المأخذ للطالبين، فأسسوا صرحاً أسموه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على عاتقه إحياء ما قد اندثر من التراث المتعلّق بذلك العالم الفذ </w:t>
      </w:r>
    </w:p>
    <w:p>
      <w:pPr>
        <w:pStyle w:val="BookText"/>
        <w:rPr/>
      </w:pPr>
      <w:r>
        <w:rPr>
          <w:rFonts w:ascii="Amiri" w:hAnsi="Amiri" w:eastAsia="Amiri" w:cs="Amiri"/>
          <w:color w:val="111111"/>
          <w:sz w:val="28"/>
          <w:sz w:val="28"/>
          <w:szCs w:val="28"/>
          <w:rtl w:val="true"/>
          <w:lang w:bidi="ar-SA"/>
        </w:rPr>
        <w:t>المجدّد الشيرازي رحمةالله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مما وقع عليه الاختيار هذا الكتاب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الحسنية في الأصول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الصدر تلميذ السيد المجدد الشيرازي رضوان الله تعالى عليهما، الذي لازمه في سامراء وحدها تسعة عشر سنة ينهل من نمير علومه وتزداد قدمه في العلوم رسوخاً وثباتاً، وهذا الكتاب يغني اسمه عن رسمه، وعنوانه عن بيانه، وقد ألقى إلي شيخي وأستاذي سماحة الشيخ العلّامة كريم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الكريم، فجزاه الله خيراً عني وعن جميع المحصلين ووفقه في الدارين وحشره مع ساداته الغر الميامين المعصومين صلوات الله وسلامه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النسخ المعتمدة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الأصل، وهي بخط المصنف رضوان الله تعالى عليه، ولون الورق فيها أصفر، وعدد صفحاتها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وعدد صفحاتها مع الصفحات الفارغة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وعدد الأسطر في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وفي هذه النسخة بعض التشويش في بدايتها، ففي أول صفحة منها هناك مقدمة مكتوبة يظهر من المصنف أنه كتبها كمقدمة لكتابه تأسيس الشيعة، وبعد مقابلتها مع مقدمة كتاب تأسيس الشيعة المطبوع تبين أنها مسودة أولية لمقدمة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 الكرام لعلوم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وجود الاختلاف بين الاثنتين، وبعد هذه الصفحة ينتقل إلى الصفحة التي أخذت 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توجد فيها المقدمة كاملة، وبعدها كتب مقدمة وشطب عليها، والذي يبدو لي أن هذه هي المقدمة التي كتبها أولاً للكتاب ثم عدل عنها فشطب عليها وكتب المقدمة التي أثبتها للكتاب في الصفحة السابقة، ثم إنه رضوان الله تعالى عليه بعد المقدمة المشطوبة كتب عنوان لامعة في المبادئ اللغوية ولم يكتب شيئاً ثم انتقل إلى عنوان تقسيم اللفظ وأكمل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وهي آخر صفحة مكتوبة من هذه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لامعةً في رسم هذا العلم وبيان موضوعه وغايته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 هذه الأمور تبحث في مقدمة الكتاب، فكان حقها أن تكتب أول مبحث بعد مقدمة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العثور على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العلم وموضوعه وغايته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صفحة من نسخة الأصل، فلا يوجد نقص في نسخة الأصل إلا مبحث واحد، هو مبحث المبادئ اللغوية، الذي ذكرته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الذكر كاملاً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احتوت نسخة الأصل على الشطب لبعض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منها حيث شطب على زهاء ثمانية عشر سطراً مما كتبه في موضوع الخطابات الشفاهية، وكذلك يوجد شطب في الصفحات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۱٤۸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وهناك خلل في تعداد بعض النقاط تم استدراكه في النسخة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ونرمز لها بالنسخة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ويرجع تاريخ الفراغ من نسخها إلى الرابع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من جمادى الأولى من سنة ألف وثلاثمئة وواحد وأربعين أي قبل ثلاث عشرة سنة من وفاة السيد المصنّف رحمةالله الذي توفي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بيد ناسخها السيد أحمد بن علي الحسيني المرعشي، وهو الكاتب الخاص </w:t>
      </w:r>
      <w:r>
        <w:rPr>
          <w:rStyle w:val="FootnoteAnchor"/>
          <w:rtl w:val="true"/>
        </w:rPr>
        <w:footnoteReference w:id="17"/>
      </w:r>
      <w:r>
        <w:rPr>
          <w:rFonts w:ascii="Amiri" w:hAnsi="Amiri" w:eastAsia="Amiri" w:cs="Amiri"/>
          <w:color w:val="111111"/>
          <w:sz w:val="28"/>
          <w:sz w:val="28"/>
          <w:szCs w:val="28"/>
          <w:rtl w:val="true"/>
          <w:lang w:bidi="ar-SA"/>
        </w:rPr>
        <w:t xml:space="preserve">للسيد المصنّفله وهذان الأمران ـ أقصد كونها نسخت في حياة المصنّف وكونها بيد كاتبه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يجعلانا نطمئن بل قد نجزم بأن هذه النسخة كتبت تحت نظره الشريف، وهذا يجعلها في مصاف نسخة الأصل من حيث الأهمية، ولعلها بمثابة المبيضة، وهي بحالة جيدة من حيث الخط، وكاملة وشاملة لكل الموضوعات، وموجود فيها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لامعة في رسم العلم وبيان موضوعه وغايته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المقدمة مباشرة، ثم بعده مبحث المبادئ اللغوية كاملاً ، عدد صفحاتها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وعدد الأسطر في صفحتها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وعددها في آخر صفحة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وباقي الصفحات كلها تحتوي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وهي خالية من الشطب ومكتوبة بخط جيد وواضح جداً ، نعم يوجد فيها حك لكلمتين أو أكثر في اللامعة الأولى في تعريف علم أصول الفقه وهي موجودة في نسخة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عملنا في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إجراء المقابلة بين النسختين على مرتين، مرة من قبل الإخوة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من قبلنا، وتم إثبات مقدار التفاوت و الاختلاف مع غض الطرف عن الاختلافات اليسيرة منها مثل التذكير والتانيث والتعريف والتنكير وغيرها مما لا 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السيد المصنف على ظهر كتابه لب اللباب على رسالة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الأستاذ أو سيّدنا العلّامة فأريد به حجّة الإسلام الميرزا محمد حسن الشيرازي النجفي العسكري، وإذا قلت بعض مشايخنا فأريد شيخنا الأستاذ الميرزا حبيب الله الرشتي النجفي، وإذا قلت بعض أفاضل العصر أو بعض الأفاضل المعاصرين فأريد به جناب الآخوند ملا محمّد كاظم الخراساني النجفي،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الأفاضل أريد به الآقا الشيخ ملا رضا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أخذه بنظر الاعتبار في تخريج المصادر والإشارة إليها، وقد التزم في هذا الكتاب بهذا التعبير مع أستاذه الميرزا المجدّد الشيرازي أعلى الله مقامه، لكنه لم يلتزم به مع الآخوند الخراساني ، بل ذكره صريحاً ثلاث مرات، مرةً عبّر عنه ببعض أفاضل العصر وذكر نص كلامه، ومرةً ببعض المعاصرين، وهذا احتملنا أن يكون لصاحب الكفاية؛ لكونه مطابقاً لمختاره في الكفاية أو لغيره، ومرةً ذكره صريحاً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تلويحاً فقد ذكره كثيراً حتى إنه كان ينقل مقاطع من كلام صاحب الكفاية فيها في مقام الأخذ والرد دون أن يشير إليه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وقمت بتخريج الأقوال والآراء الواردة في المتن تصريحاً وتلويحاً من مصادرها الأصلية، وذكرت لها أكثر من مصدر، وقمت بتخريج الآراء والأقوال التي لم يسم المصنف لله قائلها والتي اكتفى بالتعبير عنها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 قيل، نقل،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وكذلك أشرت لما وافق متبنياته من علمائنا السابقين رحمة الله أو غيرهم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ما ينقل السيد المصنف له الآيات والروايات باختصار أو بالمعنى في بعض الحالات، فعمدنا إلى نقلها من المصدر و أشرنا إلى ذلك، وتم جعل الآيات الكريمة بين أقواس مزهرة، وكذا تم تخريج الروايات الشريفة وأقوال العلماء وكلمات واللغويين </w:t>
      </w:r>
    </w:p>
    <w:p>
      <w:pPr>
        <w:pStyle w:val="BookText"/>
        <w:rPr/>
      </w:pPr>
      <w:r>
        <w:rPr>
          <w:rFonts w:ascii="Amiri" w:hAnsi="Amiri" w:eastAsia="Amiri" w:cs="Amiri"/>
          <w:color w:val="111111"/>
          <w:sz w:val="28"/>
          <w:sz w:val="28"/>
          <w:szCs w:val="28"/>
          <w:rtl w:val="true"/>
          <w:lang w:bidi="ar-SA"/>
        </w:rPr>
        <w:t>والأبيات الشعرية من مصادرها، وحاولنا أن نشير إلى أكثر من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حاولنا عدم إضافة شيء زائد على ما في نسخة الأصل من عناوين، والاقتصار على ما ذكره المصنف فقال له إلا إذا اقتضت الضرورة ذلك، فإن رأينا ذلك كافياً لم نضف شيئاً، وإن اقتضت الضرورة إضافته ،أضفناه، كما في مبحث قيام الأمارات مقام القطع الطريقي، ومبحث اختلاف القائلين بالظن الانسدادي، ومبحث عدم حجية الظن في أصول الدين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وامتنان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لا بُدّ من تقديم وافر الشكر والامتنان لجميع من قدم المساعدة وأخص منهم بالذكر شيخنا العلّامة كريم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أعطانا من وقته الكثير برغم مشاغله الكثيرة وأبدى كثيراً من الملحوظات القيّمة والنافعة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أقدم شكري إلى الإخوة الأعزاء في المركز ولا سيما شعبة التحقيق، وأخص منهم بالذكر جناب الشيخ أياد حميد الطائي والشيخ حيدر 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 الله تعالى لمراضيه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لقيامهم بالمقابلة الأولى وتقديم جملة من الملحوظات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اختم بعفوك أجلي، وحقق في رجاء رحمتك عملي، وسهل إلى بلوغ رضاك سبلي،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دخيل الجوراني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١٤٤١</w:t>
      </w:r>
      <w:r>
        <w:rPr>
          <w:rFonts w:ascii="IRNazanin" w:hAnsi="IRNazanin" w:eastAsia="IRNazanin"/>
          <w:color w:val="111111"/>
          <w:sz w:val="28"/>
          <w:sz w:val="28"/>
          <w:szCs w:val="28"/>
          <w:rtl w:val="true"/>
          <w:lang w:bidi="fa-IR"/>
        </w:rPr>
        <w:t xml:space="preserve">هـ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ديوان الوقف الشرعي</w:t>
      </w:r>
    </w:p>
    <w:p>
      <w:pPr>
        <w:pStyle w:val="BookText"/>
        <w:rPr/>
      </w:pPr>
      <w:r>
        <w:rPr>
          <w:rFonts w:ascii="Amiri" w:hAnsi="Amiri" w:eastAsia="Amiri" w:cs="Amiri"/>
          <w:color w:val="111111"/>
          <w:sz w:val="28"/>
          <w:sz w:val="28"/>
          <w:szCs w:val="28"/>
          <w:rtl w:val="true"/>
          <w:lang w:bidi="ar-SA"/>
        </w:rPr>
        <w:t>جسدية المقدسية</w:t>
      </w:r>
    </w:p>
    <w:p>
      <w:pPr>
        <w:pStyle w:val="BookText"/>
        <w:rPr/>
      </w:pPr>
      <w:r>
        <w:rPr>
          <w:rFonts w:ascii="Amiri" w:hAnsi="Amiri" w:eastAsia="Amiri" w:cs="Amiri"/>
          <w:color w:val="111111"/>
          <w:sz w:val="28"/>
          <w:sz w:val="28"/>
          <w:szCs w:val="28"/>
          <w:rtl w:val="true"/>
          <w:lang w:bidi="ar-SA"/>
        </w:rPr>
        <w:t>الشرفاوي</w:t>
      </w:r>
    </w:p>
    <w:p>
      <w:pPr>
        <w:pStyle w:val="BookText"/>
        <w:rPr/>
      </w:pPr>
      <w:r>
        <w:rPr>
          <w:rFonts w:ascii="Amiri" w:hAnsi="Amiri" w:eastAsia="Amiri" w:cs="Amiri"/>
          <w:color w:val="111111"/>
          <w:sz w:val="28"/>
          <w:sz w:val="28"/>
          <w:szCs w:val="28"/>
          <w:rtl w:val="true"/>
          <w:lang w:bidi="ar-SA"/>
        </w:rPr>
        <w:t>فَالأصول الفقهية</w:t>
      </w:r>
    </w:p>
    <w:p>
      <w:pPr>
        <w:pStyle w:val="BookText"/>
        <w:rPr/>
      </w:pPr>
      <w:r>
        <w:rPr>
          <w:rFonts w:ascii="Amiri" w:hAnsi="Amiri" w:eastAsia="Amiri" w:cs="Amiri"/>
          <w:color w:val="111111"/>
          <w:sz w:val="28"/>
          <w:sz w:val="28"/>
          <w:szCs w:val="28"/>
          <w:rtl w:val="true"/>
          <w:lang w:bidi="ar-SA"/>
        </w:rPr>
        <w:t>التفت السيّد حَسَن صَدر الدين الكاظمي</w:t>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١٣٥٤</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الشيخ إبراهيم الجوراني</w:t>
      </w:r>
    </w:p>
    <w:p>
      <w:pPr>
        <w:pStyle w:val="BookText"/>
        <w:rPr/>
      </w:pPr>
      <w:r>
        <w:rPr>
          <w:rFonts w:ascii="Amiri" w:hAnsi="Amiri" w:eastAsia="Amiri" w:cs="Amiri"/>
          <w:color w:val="111111"/>
          <w:sz w:val="28"/>
          <w:sz w:val="28"/>
          <w:szCs w:val="28"/>
          <w:rtl w:val="true"/>
          <w:lang w:bidi="ar-SA"/>
        </w:rPr>
        <w:t>مراجعة وتدقيق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الشرفاوي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229_140013"/>
      <w:bookmarkStart w:id="16" w:name="pg9229_140013"/>
      <w:bookmarkEnd w:id="1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9229_140013"/>
      <w:bookmarkStart w:id="18" w:name="__RefHeading___Toc4247162_2870459653"/>
      <w:bookmarkStart w:id="19" w:name="_Toc5"/>
      <w:bookmarkEnd w:id="17"/>
      <w:bookmarkEnd w:id="18"/>
      <w:r>
        <w:rPr>
          <w:rtl w:val="true"/>
        </w:rPr>
        <w:t>مُقدمة المصنف</w:t>
      </w:r>
      <w:bookmarkEnd w:id="1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علّمنا أصول العلم والفقه، وهدانا إلى لوامع الأصول والفروع، بما أودعه فينا من صنعه البديع، والصلاة على محمد وآله الذين ألقوا إلينا الأصول وأمرونا بالتفريع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 الراجي فضل ربه ذي المنن ،ابن العلّامة السيد الهادي حسن، المشتهر بالسيد حسن صدر الدين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متن متين في إيجاز علم أصول الفقه، على مسلك شيخنا العلّامة المرتضى الأنصاري، في تنقيح هذا العلم، ضمّنته نتائج أفكاره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وأفكار سيدنا الأستاذ الميرزا آية الله الشيرازي، وأفكار الأفاضل من تلامذتهما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الإشارة، وبأوجز عبارة، وسميته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اللوامع الحسنية في الأصول الفقهية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قول الإمام الصادق علیه السلام 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علينا أن نلقي إليكم الأصول وعليكم أن تفرّعوا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،الحرالعاملي،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٦١</w:t>
      </w:r>
      <w:r>
        <w:rPr>
          <w:rFonts w:eastAsia="IRNazanin" w:cs="IRNazanin"/>
          <w:color w:val="111111"/>
          <w:sz w:val="28"/>
          <w:szCs w:val="28"/>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أمثال الميرزا حبيب الله الرشتي والسيد محمد الفشاركي والميرزا محمد تقي الشيرازي، والآخوند اخُراساني صاحب الكفاية، الذي تتلمذ عند العلمين الشيخ الأنصاري والمجدّد الشيرازي، وقرر للسيد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في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حققها وطبعها مركز تراث سامراء</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229_140024"/>
      <w:bookmarkStart w:id="21" w:name="pg9229_140024"/>
      <w:bookmarkEnd w:id="21"/>
    </w:p>
    <w:p>
      <w:pPr>
        <w:pStyle w:val="Heading2"/>
        <w:numPr>
          <w:ilvl w:val="1"/>
          <w:numId w:val="1"/>
        </w:numPr>
        <w:rPr/>
      </w:pPr>
      <w:bookmarkStart w:id="22" w:name="pg9229_140024"/>
      <w:bookmarkStart w:id="23" w:name="__RefHeading___Toc4247164_2870459653"/>
      <w:bookmarkStart w:id="24" w:name="_Toc6"/>
      <w:bookmarkEnd w:id="22"/>
      <w:bookmarkEnd w:id="23"/>
      <w:r>
        <w:rPr>
          <w:rtl w:val="true"/>
        </w:rPr>
        <w:t>لامعة في رسم هذا العلم، وبيان موضوعه، وغايته</w:t>
      </w:r>
      <w:bookmarkEnd w:id="24"/>
    </w:p>
    <w:p>
      <w:pPr>
        <w:pStyle w:val="BookText"/>
        <w:rPr/>
      </w:pPr>
      <w:r>
        <w:rPr>
          <w:rFonts w:ascii="Amiri" w:hAnsi="Amiri" w:eastAsia="Amiri" w:cs="Amiri"/>
          <w:color w:val="111111"/>
          <w:sz w:val="28"/>
          <w:sz w:val="28"/>
          <w:szCs w:val="28"/>
          <w:rtl w:val="true"/>
          <w:lang w:bidi="ar-SA"/>
        </w:rPr>
        <w:t xml:space="preserve">وحيث كان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هو عَلَمٌ لهذا العلم ـ اعتبارُ التركيب، واعتبارُ العَلَمية ناسب البحث عن كلا الاعتبارين ،وليعلم فيه المناسبة بين المنقول والمنقول إليه، والأنسب أيضاً تقديمه؛ إذ الكلام فيه من حيث وضع المفردات، واعتبار العلمية طارئ عليه، فلو قدمناه طابق الوضع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معرفة المضاف، والمضاف إليه، والإضافة؛ لأنَّه متركب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الأصول جمع أصل وهو ـ مطلقاً ـ ما يبتنى عليه </w:t>
      </w:r>
      <w:r>
        <w:rPr>
          <w:rStyle w:val="FootnoteAnchor"/>
          <w:rtl w:val="true"/>
        </w:rPr>
        <w:footnoteReference w:id="18"/>
      </w:r>
      <w:r>
        <w:rPr>
          <w:rFonts w:ascii="Amiri" w:hAnsi="Amiri" w:eastAsia="Amiri" w:cs="Amiri"/>
          <w:color w:val="111111"/>
          <w:sz w:val="28"/>
          <w:sz w:val="28"/>
          <w:szCs w:val="28"/>
          <w:rtl w:val="true"/>
          <w:lang w:bidi="ar-SA"/>
        </w:rPr>
        <w:t xml:space="preserve">، وعند الأصوليين الدليل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والفقه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w:t>
      </w:r>
      <w:r>
        <w:rPr>
          <w:rStyle w:val="FootnoteAnchor"/>
          <w:rtl w:val="true"/>
        </w:rPr>
        <w:footnoteReference w:id="20"/>
      </w:r>
      <w:r>
        <w:rPr>
          <w:rFonts w:ascii="Amiri" w:hAnsi="Amiri" w:eastAsia="Amiri" w:cs="Amiri"/>
          <w:color w:val="111111"/>
          <w:sz w:val="28"/>
          <w:sz w:val="28"/>
          <w:szCs w:val="28"/>
          <w:rtl w:val="true"/>
          <w:lang w:bidi="ar-SA"/>
        </w:rPr>
        <w:t>، وفي اصطلاحنا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بالأحكام الشرعية الفرعية عن أدلتها التفصيلية </w:t>
      </w:r>
      <w:r>
        <w:rPr>
          <w:rStyle w:val="FootnoteAnchor"/>
          <w:rtl w:val="true"/>
        </w:rPr>
        <w:footnoteReference w:id="21"/>
      </w:r>
      <w:r>
        <w:rPr>
          <w:rFonts w:ascii="Amiri" w:hAnsi="Amiri" w:eastAsia="Amiri" w:cs="Amiri"/>
          <w:color w:val="111111"/>
          <w:sz w:val="28"/>
          <w:sz w:val="28"/>
          <w:szCs w:val="28"/>
          <w:rtl w:val="true"/>
          <w:lang w:bidi="ar-SA"/>
        </w:rPr>
        <w:t xml:space="preserve">، فالعلم بمنزلة الجنس؛ لأنَّه من الأعراض لا الذاتيات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الجازم لكونه حقيقةً فيه لغةً وعرفاً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المطلقة لا بشرط العرفية،والشرعية، والفرعية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شأنه أن يؤخذ من الشارع، وأُخذ أيضاً إما بلسانه، أو بلسان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هو ما يُنسبُ إليه بنحو عموم المجاز </w:t>
      </w:r>
      <w:r>
        <w:rPr>
          <w:rStyle w:val="FootnoteAnchor"/>
          <w:rtl w:val="true"/>
        </w:rPr>
        <w:footnoteReference w:id="22"/>
      </w:r>
      <w:r>
        <w:rPr>
          <w:rFonts w:ascii="Amiri" w:hAnsi="Amiri" w:eastAsia="Amiri" w:cs="Amiri"/>
          <w:color w:val="111111"/>
          <w:sz w:val="28"/>
          <w:sz w:val="28"/>
          <w:szCs w:val="28"/>
          <w:rtl w:val="true"/>
          <w:lang w:bidi="ar-SA"/>
        </w:rPr>
        <w:t>، بقرينة ذكرهم الأدلة فيه ـ أي في التعريف ـ ولا ريب أنها أعم من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من شأنه أن يؤخذ من الشارع يعمُّ الحكم التكليفي المولوي، والإرشادي، والوضعي، والموضوع المخترع وغيره كالجهاد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يعرض للفعل الظاهر للمكلف مطلقاً، سواء كان العروض بلا واسطة أو معها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الأدلة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رسم علم أصول الفقه،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بالقواعد الملاحظة في مقام استنباط الأحكام سواء كانت القواعد من الطرق إلى الأحكام الواقعية ولو بوسائط، أو من الأحكام المتعلّقة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كانت تلك القواعد منجزة للأحكام الواقعية،أو مسقطة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القواعد المذكورة في رسمه، المتحدة مع موضوعات مسائله المتكثرة، لا خصوص الأدلة الأربعة </w:t>
      </w:r>
      <w:r>
        <w:rPr>
          <w:rStyle w:val="FootnoteAnchor"/>
          <w:rtl w:val="true"/>
        </w:rPr>
        <w:footnoteReference w:id="24"/>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معرفة الاستنباط</w:t>
      </w:r>
      <w:r>
        <w:rPr>
          <w:rFonts w:eastAsia="Amiri" w:cs="Amiri" w:ascii="Amiri" w:hAnsi="Amiri"/>
          <w:color w:val="111111"/>
          <w:sz w:val="28"/>
          <w:szCs w:val="28"/>
          <w:rtl w:val="true"/>
          <w:lang w:bidi="ar-SA"/>
        </w:rPr>
        <w:t xml:space="preserve">. </w:t>
      </w:r>
      <w:bookmarkStart w:id="25" w:name="pg9229_140030"/>
    </w:p>
    <w:p>
      <w:pPr>
        <w:pStyle w:val="Heading2"/>
        <w:numPr>
          <w:ilvl w:val="1"/>
          <w:numId w:val="1"/>
        </w:numPr>
        <w:rPr/>
      </w:pPr>
      <w:bookmarkStart w:id="26" w:name="__RefHeading___Toc4247166_2870459653"/>
      <w:bookmarkStart w:id="27" w:name="_Toc7"/>
      <w:bookmarkEnd w:id="25"/>
      <w:bookmarkEnd w:id="26"/>
      <w:r>
        <w:rPr>
          <w:rtl w:val="true"/>
        </w:rPr>
        <w:t>لامعة في المبادئ اللغوية</w:t>
      </w:r>
      <w:bookmarkEnd w:id="27"/>
    </w:p>
    <w:p>
      <w:pPr>
        <w:pStyle w:val="BookText"/>
        <w:rPr/>
      </w:pP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الموضوعة للدلالة على المعاني المقصودة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شيء بشيء جعلاً لحاجة الإفهام لا عن علاقة سابقة،لكنها تحدث بعد الالتزام به، ويكون بحيث متى أطلق الشيء الأول أحس وفهم منه الشيء الثاني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وتعيين اللفظ للمعنى ليدل عليه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يدل عليه بنفسه، أو بتعيينه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تشخّص المعنى ،وكليّته، وخصوص الوضع، وعمومه، على ما يقتضيه التقسيم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لأنَّ المعنى إمّا خاص، أو عام، وعلى كل تقديرٍ الوضع إما خاص،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موضوعاً لشخص باعتبار تعقلّه بخصوص فرده دون أحواله،و یسمی هذا الوضع وضعاً خاصاً لموضوع له خاص، كالأعلام الشخصية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لشخص باعتبار تعقلّه لا بخصوصه، بل بأمر عام، ويسمى ذلک وضعاً عاماً لموضوع له خاص، ويكون الوضع لكل جزئي جزئي دفعة واحدة بملاحظة الكلي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لأمر كلي باعتبار تعقلّه علی کلیّة وعمومه،و یسمی هذا الوضع وضعاً عاماً لموضوع له عام؛ كأسماء الأجناس الموضوعة للمعاني الكلية لا في حال الخصوصية، ولا بشرطها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لكلي باعتبار تعقلّه بخصوصية بعض أفراده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وقوع الأول والثالث،إنما الخلاف في الثاني والرابع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ذهب العضدي </w:t>
      </w:r>
      <w:r>
        <w:rPr>
          <w:rStyle w:val="FootnoteAnchor"/>
          <w:rtl w:val="true"/>
        </w:rPr>
        <w:footnoteReference w:id="28"/>
      </w:r>
      <w:r>
        <w:rPr>
          <w:rFonts w:ascii="Amiri" w:hAnsi="Amiri" w:eastAsia="Amiri" w:cs="Amiri"/>
          <w:color w:val="111111"/>
          <w:sz w:val="28"/>
          <w:sz w:val="28"/>
          <w:szCs w:val="28"/>
          <w:rtl w:val="true"/>
          <w:lang w:bidi="ar-SA"/>
        </w:rPr>
        <w:t xml:space="preserve">وجماعة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الحروف والضمائر وأسماء الإشارة من نحو القسم الثاني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إمكان الرابع فأحاله غيرُ واحد </w:t>
      </w:r>
      <w:r>
        <w:rPr>
          <w:rStyle w:val="FootnoteAnchor"/>
          <w:rtl w:val="true"/>
        </w:rPr>
        <w:footnoteReference w:id="30"/>
      </w:r>
      <w:r>
        <w:rPr>
          <w:rFonts w:ascii="IRNazanin" w:hAnsi="IRNazanin" w:eastAsia="IRNazanin"/>
          <w:color w:val="111111"/>
          <w:sz w:val="28"/>
          <w:sz w:val="28"/>
          <w:szCs w:val="28"/>
          <w:rtl w:val="true"/>
          <w:lang w:bidi="fa-IR"/>
        </w:rPr>
        <w:t xml:space="preserve">، وقال بعضهم </w:t>
      </w:r>
      <w:r>
        <w:rPr>
          <w:rStyle w:val="FootnoteAnchor"/>
          <w:rtl w:val="true"/>
        </w:rPr>
        <w:footnoteReference w:id="31"/>
      </w:r>
      <w:r>
        <w:rPr>
          <w:rFonts w:ascii="Amiri" w:hAnsi="Amiri" w:eastAsia="Amiri" w:cs="Amiri"/>
          <w:color w:val="111111"/>
          <w:sz w:val="28"/>
          <w:sz w:val="28"/>
          <w:szCs w:val="28"/>
          <w:rtl w:val="true"/>
          <w:lang w:bidi="ar-SA"/>
        </w:rPr>
        <w:t xml:space="preserve">بإمكانه، والقائلون  بإمكانه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w:t>
      </w:r>
      <w:r>
        <w:rPr>
          <w:rStyle w:val="FootnoteAnchor"/>
          <w:rtl w:val="true"/>
        </w:rPr>
        <w:footnoteReference w:id="32"/>
      </w:r>
      <w:r>
        <w:rPr>
          <w:rFonts w:ascii="Amiri" w:hAnsi="Amiri" w:eastAsia="Amiri" w:cs="Amiri"/>
          <w:color w:val="111111"/>
          <w:sz w:val="28"/>
          <w:sz w:val="28"/>
          <w:szCs w:val="28"/>
          <w:rtl w:val="true"/>
          <w:lang w:bidi="ar-SA"/>
        </w:rPr>
        <w:t xml:space="preserve">من أنكر وقوعه، ومنهم </w:t>
      </w:r>
      <w:r>
        <w:rPr>
          <w:rStyle w:val="FootnoteAnchor"/>
          <w:rtl w:val="true"/>
        </w:rPr>
        <w:footnoteReference w:id="33"/>
      </w:r>
      <w:r>
        <w:rPr>
          <w:rFonts w:ascii="Amiri" w:hAnsi="Amiri" w:eastAsia="Amiri" w:cs="Amiri"/>
          <w:color w:val="111111"/>
          <w:sz w:val="28"/>
          <w:sz w:val="28"/>
          <w:szCs w:val="28"/>
          <w:rtl w:val="true"/>
          <w:lang w:bidi="ar-SA"/>
        </w:rPr>
        <w:t xml:space="preserve">من أثبته وزعم أن المقادير هذا من القبيل بناءً على كونها حقيقةً في القدر المشترك بين التام والناقص الذي يساوق التام في الفائدة المقصودة، وكذلك وضع أكثر المركبات الخارجية كالترياق الفاروق </w:t>
      </w:r>
      <w:r>
        <w:rPr>
          <w:rStyle w:val="FootnoteAnchor"/>
          <w:rtl w:val="true"/>
        </w:rPr>
        <w:footnoteReference w:id="34"/>
      </w:r>
      <w:r>
        <w:rPr>
          <w:rFonts w:ascii="Amiri" w:hAnsi="Amiri" w:eastAsia="Amiri" w:cs="Amiri"/>
          <w:color w:val="111111"/>
          <w:sz w:val="28"/>
          <w:sz w:val="28"/>
          <w:szCs w:val="28"/>
          <w:rtl w:val="true"/>
          <w:lang w:bidi="ar-SA"/>
        </w:rPr>
        <w:t xml:space="preserve">، ومعجون الاطريفل </w:t>
      </w:r>
      <w:r>
        <w:rPr>
          <w:rStyle w:val="FootnoteAnchor"/>
          <w:rtl w:val="true"/>
        </w:rPr>
        <w:footnoteReference w:id="35"/>
      </w:r>
      <w:r>
        <w:rPr>
          <w:rFonts w:ascii="Amiri" w:hAnsi="Amiri" w:eastAsia="Amiri" w:cs="Amiri"/>
          <w:color w:val="111111"/>
          <w:sz w:val="28"/>
          <w:sz w:val="28"/>
          <w:szCs w:val="28"/>
          <w:rtl w:val="true"/>
          <w:lang w:bidi="ar-SA"/>
        </w:rPr>
        <w:t>، فإن إطلاقها على الناقص الذي لا يُعتنى بنقصانه حقيقة في عرف واضعه مع عدم تعدد الوضع</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الخصوصيات لا يعقل أن تكون مرآة لملاحظة كلياتها، ولو فرض تعقل القدر المشترك بين الأفراد إجمالاً باعتبار تعقل الفرد كان الوضع له، فيرجع إلى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وضع المبهمات </w:t>
      </w:r>
      <w:r>
        <w:rPr>
          <w:rStyle w:val="FootnoteAnchor"/>
          <w:rtl w:val="true"/>
        </w:rPr>
        <w:footnoteReference w:id="36"/>
      </w:r>
      <w:r>
        <w:rPr>
          <w:rFonts w:ascii="Amiri" w:hAnsi="Amiri" w:eastAsia="Amiri" w:cs="Amiri"/>
          <w:color w:val="111111"/>
          <w:sz w:val="28"/>
          <w:sz w:val="28"/>
          <w:szCs w:val="28"/>
          <w:rtl w:val="true"/>
          <w:lang w:bidi="ar-SA"/>
        </w:rPr>
        <w:t xml:space="preserve">فتحقيق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قد تكون ملحوظة عند العقل بالذات ومقصودة بذواتها، وقد تكون ملحوظة تبعاً غير مقصودة بذواتها، بل على أنها آلة لملاحظة غيرها، ومرآة لمشاهدة ما سواها؛ وهي بالاعتبار الأول مستقلة بالمفهومية والتعقل، وصالحة لأن يحكم عليها، أو بها وبالاعتبار الثاني غير مستقلّة بالمفهومية وغير صالحة للحكم عليها أو بها، مثلاً معنّى الابتداء معنى له تعلّق بغيره كالسير مثلاً، فذلك المعنى إذا لاحظه العقل قصداً وبالذات كان مستقلاً بالمفهومية صالحاً لأن يحكم عليه،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معنى إضافي وبه،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عنه معنى الابتداء، ويلزم ادراك متعلّقه تبعاً، وبالعرض إجمالاً وهو بهذا الاعتبار مدلول لفظ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ملاحظته على هذا الوجه أن تقيده بمتعلّق مخصوص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سيري البصرة، ولا يخرج ذلك عن وإذا لاحظه العقل من حيث إنَّه حالة بين السير والبصرة، وجعله آلة لمعرفة حالهما، ومرآة لمشاهدتهما على هيئة الانضمام والارتباط كان غيرُ مستقلِّ بالمفهومية وغيرُ صالح لأن يحكم عليه أو به، وهو بهذا الاعتبار مدلول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لنصَّ </w:t>
      </w:r>
      <w:r>
        <w:rPr>
          <w:rStyle w:val="FootnoteAnchor"/>
          <w:rtl w:val="true"/>
        </w:rPr>
        <w:footnoteReference w:id="37"/>
      </w:r>
      <w:r>
        <w:rPr>
          <w:rFonts w:ascii="Amiri" w:hAnsi="Amiri" w:eastAsia="Amiri" w:cs="Amiri"/>
          <w:color w:val="111111"/>
          <w:sz w:val="28"/>
          <w:sz w:val="28"/>
          <w:szCs w:val="28"/>
          <w:rtl w:val="true"/>
          <w:lang w:bidi="ar-SA"/>
        </w:rPr>
        <w:t xml:space="preserve">أمير المؤمنين وكافة علماء العربية </w:t>
      </w:r>
      <w:r>
        <w:rPr>
          <w:rStyle w:val="FootnoteAnchor"/>
          <w:rtl w:val="true"/>
        </w:rPr>
        <w:footnoteReference w:id="38"/>
      </w:r>
      <w:r>
        <w:rPr>
          <w:rFonts w:ascii="Amiri" w:hAnsi="Amiri" w:eastAsia="Amiri" w:cs="Amiri"/>
          <w:color w:val="111111"/>
          <w:sz w:val="28"/>
          <w:sz w:val="28"/>
          <w:szCs w:val="28"/>
          <w:rtl w:val="true"/>
          <w:lang w:bidi="ar-SA"/>
        </w:rPr>
        <w:t xml:space="preserve">أن الحرف لا يدل على معنى في نفسه، وإنما يدل على معنىً في غيره، فاتضح أن ذكر متعلّق </w:t>
      </w:r>
    </w:p>
    <w:p>
      <w:pPr>
        <w:pStyle w:val="BookText"/>
        <w:rPr/>
      </w:pPr>
      <w:r>
        <w:rPr>
          <w:rFonts w:ascii="Amiri" w:hAnsi="Amiri" w:eastAsia="Amiri" w:cs="Amiri"/>
          <w:color w:val="111111"/>
          <w:sz w:val="28"/>
          <w:sz w:val="28"/>
          <w:szCs w:val="28"/>
          <w:rtl w:val="true"/>
          <w:lang w:bidi="ar-SA"/>
        </w:rPr>
        <w:t xml:space="preserve">الحرف إنما وجب لتحصّل معناه في الذهن؛ إذ لا يمكن إدراكه إلَّا بإدراك متعلّقه، وهو آلة لملاحظته لا لأنَّ الواضع شرط في دلالته على معناه الإفرادي ذكر متعلّقه، ولو لم يشترط ذلك لأمكن فهم معناه والحكم عليه وبه في نفسه، فإنه لا يرجع إلى طائل، وأنى يكون كذلك ومعناه لمكان جزئيته وخصوصيته لا يعقل إلّا بذكر ما يدل بنفسه، وعلى الخصوصية التي بها تتحقق الجزئية هل تعقل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هذا الابتداء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بذكر ما قبلها وما بعدها فأيّ استقلال في الدلالة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في الحروف من قبيل القسم الثاني، أي من قبيل الوضع العام لموضوع له خاص؛ وأيضاً فحيث لا دليل على هذا الاشتراط في الحروف سوى التزام ذكر المتعلّق في الاستعمال ، فهو مشترك بينها وبين الأسماء اللازمة للإضافة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فساد دعوى </w:t>
      </w:r>
      <w:r>
        <w:rPr>
          <w:rStyle w:val="FootnoteAnchor"/>
          <w:rtl w:val="true"/>
        </w:rPr>
        <w:footnoteReference w:id="39"/>
      </w:r>
      <w:r>
        <w:rPr>
          <w:rFonts w:ascii="IRNazanin" w:hAnsi="IRNazanin" w:eastAsia="IRNazanin"/>
          <w:color w:val="111111"/>
          <w:sz w:val="28"/>
          <w:sz w:val="28"/>
          <w:szCs w:val="28"/>
          <w:rtl w:val="true"/>
          <w:lang w:bidi="fa-IR"/>
        </w:rPr>
        <w:t xml:space="preserve">أن حال المستعمل فيه والموضوع له في الحروف حالهما في الأسماء؛ وذلك لأنَّ الأسماء الغير لازمة للإضافة لا التزام فيها بذكرالمتعلّق في الاستعمال، بخلاف الحروف والأسماء اللازمة للإضافة؛ فإنه لا يصح استعمالها بدون ذكر المتعلّق؛ ضرورة كون المتعلّق من خصوصيات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ومتقوماً بها بحيث لا معنى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البصرة، إلَّا بذكرِ السير والبصرة ، فإذا أراد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الابتداء الخاص لزمه ذكر المتعلّق؛ لأنَّ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يكون في الذهن إلاَّ في مفهوم آخر لا يكون في الخارج إلَّا في مذکورآخر، فالتزام ذكر المتعلّق في الاستعمال من شروط استعمال الحرف وما ألحق به، وهو الفارق بين حال المستعمل فيه والموضوع له في الحروف، وبين حال المستعمل فيه والموضوع له في الأسماء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w:t>
      </w:r>
      <w:r>
        <w:rPr>
          <w:rStyle w:val="FootnoteAnchor"/>
          <w:rtl w:val="true"/>
        </w:rPr>
        <w:footnoteReference w:id="40"/>
      </w:r>
      <w:r>
        <w:rPr>
          <w:rFonts w:ascii="Amiri" w:hAnsi="Amiri" w:eastAsia="Amiri" w:cs="Amiri"/>
          <w:color w:val="111111"/>
          <w:sz w:val="28"/>
          <w:sz w:val="28"/>
          <w:szCs w:val="28"/>
          <w:rtl w:val="true"/>
          <w:lang w:bidi="ar-SA"/>
        </w:rPr>
        <w:t>مما حققنا أيضاً أنَّ المستعمل فيه عين الموضوع له، ويلزم القائلين بأنَّ الوضع في الحروف وما ألحق بها من قبيل الوضع العام لموضوع له عام أنّ الموضوع له غير مستعمل قط في ما وضع له؛ للاتفاق على أنّ المستعمل فيه الخصوصيات دون القدر المشترك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صاحب الكفاية </w:t>
      </w:r>
      <w:r>
        <w:rPr>
          <w:rStyle w:val="FootnoteAnchor"/>
          <w:rtl w:val="true"/>
        </w:rPr>
        <w:footnoteReference w:id="41"/>
      </w:r>
      <w:r>
        <w:rPr>
          <w:rFonts w:ascii="Amiri" w:hAnsi="Amiri" w:eastAsia="Amiri" w:cs="Amiri"/>
          <w:color w:val="111111"/>
          <w:sz w:val="28"/>
          <w:sz w:val="28"/>
          <w:szCs w:val="28"/>
          <w:rtl w:val="true"/>
          <w:lang w:bidi="ar-SA"/>
        </w:rPr>
        <w:t xml:space="preserve">أنْ ليس المعنى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الابتداء مثلاً إِلَّا الابتداءمثلاً الَّا البتداء،فكما لا يعتبر في معناه لحاظه في نفسه ومستقلاً كذلك لا يعتبر في معناها لحاظه في غيرها وآلة، وكما لا يكون لحاظه فيه موجباً لجزئيته فليكن كذلك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ممنوعةٌ أشد المنع، وأنّى يتحد الاسم والحرف في ما له الوضع، وما له الوضع في الحرف حالة لمعنى آخر، ومن خصوصياته القائمة به، فحاله حال العرضي، فكما لا يكون في الخارج إلَّا في الموضوع كذلك المعنى الحرفي لا يكون في الذهن إلّاَ في مفهوم آخر، ولا في الخارج إلَّا متعلّقاً بغيره، والآلية معنى ذاتي للحرف ولها الوضع، فما له الوضع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مباين لما له الوضع في لفظ الابتداء المقيد مطلقاً بنفسه كحال تباين العرض والجوهر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الموضوع له الخصوصيات يمكن أن يكون القدر المشترك بينها هو الموضوع له، والاستعمال في الخصوصيات من قبيل استعمال الكلي في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معنى الحرف جزئي آلي وحالة لمعنى آخر لا يقبل الكلية، والقدر المشترك الذي باعتباره تعقلنا الخصوصيات ليس معنى حرفياً، ومعنى عموم الوضع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الواضع تعقل معنى الابتداء مطلقاً، وهو أمر مشترك بين الابتداءات الشخصية التي كل منها ملحوظة تبعاً، ووضع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جزئي جزئي دفعة واحدة، ولولا ملاحظة ذلك الكلي لم يقدر على ذلك الوضع، فليس الكلي معني حرفياً حتى يكون موضوعاً له، إنما هو آلة لملاحظته، ولا المستعمل فيه فردٌ له؛ ضرورة كونه جزئياً آلياً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الحرف موضوعاً للعام الكلي لاستعمل فيه، ولكنه لم يستعمل إلَّا في الخصوصيات بالاتفاق، وظاهر الاستعمال المستمر الحقيقة، والاتفاق قائم على أنها ليست بمجاز، فلم يبق إلَّا أن تكون وضعت للجزئيات بملاحظة الكليات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المقيد بأنه لملاحظة المذكور على الإطلاق، لا الابتداء المقيد مطلقاً بنفسه من دون حاجة إلى ضميمة، وحيث إنَّ تلك الملاحظة لا تتم إلَّا </w:t>
      </w:r>
      <w:bookmarkStart w:id="28" w:name="pg9229_140045"/>
    </w:p>
    <w:p>
      <w:pPr>
        <w:pStyle w:val="BookText"/>
        <w:rPr/>
      </w:pPr>
      <w:bookmarkEnd w:id="28"/>
      <w:r>
        <w:rPr>
          <w:rFonts w:ascii="Amiri" w:hAnsi="Amiri" w:eastAsia="Amiri" w:cs="Amiri"/>
          <w:color w:val="111111"/>
          <w:sz w:val="28"/>
          <w:sz w:val="28"/>
          <w:szCs w:val="28"/>
          <w:rtl w:val="true"/>
          <w:lang w:bidi="ar-SA"/>
        </w:rPr>
        <w:t>بالتركيب مع ما يجيء به لتعرف حاله، صح أنَّه غير مستقل في نفسه من أن معناه إذا لوحظ تبعاً لغيره، لكن ذلك لا يستلزم عدم استقلاله في الدلالة على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الحرف معاند لما يستقل في الدلالة على معناه ، وقد عرفت أنَّ تقييد الابتداء بمتعلّق مخصوص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سيري البصرة، لا يخرج ذلك عن الاستقلال، فهذا معنى اسمي لا 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الحرفي الذي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فوجده حالة بين السير والبصرة، وجعله آلةً لمعرفة حالهما ومرآة لمشاهدتهما على هيئة الانضمام والارتباط، فهو لا يستقل بالمفهومية،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من البصرة، كان المخبر به السير الخاص، فلم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الجزئي الإضافي ،ووقوعها بين كلّيتين لا يمكن أن يخرجها عن معناها الربطي الآلي الجزئي إلى الكلية باتفاق </w:t>
      </w:r>
      <w:r>
        <w:rPr>
          <w:rStyle w:val="FootnoteAnchor"/>
          <w:rtl w:val="true"/>
        </w:rPr>
        <w:footnoteReference w:id="42"/>
      </w:r>
      <w:r>
        <w:rPr>
          <w:rFonts w:ascii="Amiri" w:hAnsi="Amiri" w:eastAsia="Amiri" w:cs="Amiri"/>
          <w:color w:val="111111"/>
          <w:sz w:val="28"/>
          <w:sz w:val="28"/>
          <w:szCs w:val="28"/>
          <w:rtl w:val="true"/>
          <w:lang w:bidi="ar-SA"/>
        </w:rPr>
        <w:t>كل علماء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وإنه ولي التسديد</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4247168_2870459653"/>
      <w:bookmarkStart w:id="30" w:name="_Toc8"/>
      <w:bookmarkEnd w:id="29"/>
      <w:r>
        <w:rPr>
          <w:rtl w:val="true"/>
        </w:rPr>
        <w:t>في تقسيم الألفاظ</w:t>
      </w:r>
      <w:bookmarkEnd w:id="30"/>
    </w:p>
    <w:p>
      <w:pPr>
        <w:pStyle w:val="BookText"/>
        <w:rPr/>
      </w:pPr>
      <w:r>
        <w:rPr>
          <w:rFonts w:ascii="Amiri" w:hAnsi="Amiri" w:eastAsia="Amiri" w:cs="Amiri"/>
          <w:color w:val="111111"/>
          <w:sz w:val="28"/>
          <w:sz w:val="28"/>
          <w:szCs w:val="28"/>
          <w:rtl w:val="true"/>
          <w:lang w:bidi="ar-SA"/>
        </w:rPr>
        <w:t>قد يوصف اللفظ باعتبار معناه بالجزئية وبالكلية، ومتساوي الصدق على أفراده متواطئ، وغيره مشكك، والمتصف بذينك الاسمُ، فإن تكثر معناه وجعل لكل واحد بوضع مستقل فهو المشترك، وقد دخل به المرتجل على الأقوى؛ والوضع إن خُصَّ بواحد فهو الحقيقة كأسد، فإن استعمل في غيره برخصةٍ فهو المجاز</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4247170_2870459653"/>
      <w:bookmarkStart w:id="32" w:name="_Toc9"/>
      <w:bookmarkEnd w:id="31"/>
      <w:r>
        <w:rPr>
          <w:rtl w:val="true"/>
        </w:rPr>
        <w:t>علائم الحقيقة والمجاز</w:t>
      </w:r>
      <w:bookmarkEnd w:id="3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يثبت الوضع بنص من لا ريب فيه من أهل العلم باللغة، ويسبق معنى اللفظ للذهن من مجرد اللفظ به، فإن استند لخارجٍ عن اللفظ فلا وضع، ولا بدَّ من العلم بالاستناد إلى مجرد اللفظ فلا يكفي الظن بالاستناد إليه على الأصح، وأصالة عدم الاستناد إلى غير اللفظ </w:t>
      </w:r>
      <w:bookmarkStart w:id="33" w:name="pg9229_140048"/>
    </w:p>
    <w:p>
      <w:pPr>
        <w:pStyle w:val="BookText"/>
        <w:rPr/>
      </w:pPr>
      <w:bookmarkEnd w:id="33"/>
      <w:r>
        <w:rPr>
          <w:rFonts w:ascii="IRNazanin" w:hAnsi="IRNazanin" w:eastAsia="IRNazanin"/>
          <w:color w:val="111111"/>
          <w:sz w:val="28"/>
          <w:sz w:val="28"/>
          <w:szCs w:val="28"/>
          <w:rtl w:val="true"/>
          <w:lang w:bidi="fa-IR"/>
        </w:rPr>
        <w:t xml:space="preserve">لا تنفع، والنقض بسبق المجاز المشهور للذهن </w:t>
      </w:r>
      <w:r>
        <w:rPr>
          <w:rStyle w:val="FootnoteAnchor"/>
          <w:rtl w:val="true"/>
        </w:rPr>
        <w:footnoteReference w:id="43"/>
      </w:r>
      <w:r>
        <w:rPr>
          <w:rFonts w:ascii="Amiri" w:hAnsi="Amiri" w:eastAsia="Amiri" w:cs="Amiri"/>
          <w:color w:val="111111"/>
          <w:sz w:val="28"/>
          <w:sz w:val="28"/>
          <w:szCs w:val="28"/>
          <w:rtl w:val="true"/>
          <w:lang w:bidi="ar-SA"/>
        </w:rPr>
        <w:t xml:space="preserve">لا يصغى إليه، وإنما يسبق المنقول للذهن بلا لحاظ شهرة عند التأمل، والنفع في سبق معنى اللفظ للعالم </w:t>
      </w:r>
      <w:r>
        <w:rPr>
          <w:rStyle w:val="FootnoteAnchor"/>
          <w:rtl w:val="true"/>
        </w:rPr>
        <w:footnoteReference w:id="44"/>
      </w:r>
      <w:r>
        <w:rPr>
          <w:rFonts w:ascii="Amiri" w:hAnsi="Amiri" w:eastAsia="Amiri" w:cs="Amiri"/>
          <w:color w:val="111111"/>
          <w:sz w:val="28"/>
          <w:sz w:val="28"/>
          <w:szCs w:val="28"/>
          <w:rtl w:val="true"/>
          <w:lang w:bidi="ar-SA"/>
        </w:rPr>
        <w:t>فلا دور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إنَّ صحة السلب علامة المجاز، وعدمها علامة الحقيقة للجاهل بالمجاز وبالحقيقة لا للعالم فلا دور؛ إذ لا توقف عند الجاهل أصلاً، وبالسلب ينكشف له المجاز،</w:t>
      </w:r>
    </w:p>
    <w:p>
      <w:pPr>
        <w:pStyle w:val="BookText"/>
        <w:rPr/>
      </w:pPr>
      <w:r>
        <w:rPr>
          <w:rFonts w:ascii="Amiri" w:hAnsi="Amiri" w:eastAsia="Amiri" w:cs="Amiri"/>
          <w:color w:val="111111"/>
          <w:sz w:val="28"/>
          <w:sz w:val="28"/>
          <w:szCs w:val="28"/>
          <w:rtl w:val="true"/>
          <w:lang w:bidi="ar-SA"/>
        </w:rPr>
        <w:t>وبعدمه ينكشف له الحقيقة، وغيرُ هذا من وجوه دفع الدور لا تدفعه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والاطراد </w:t>
      </w:r>
      <w:r>
        <w:rPr>
          <w:rStyle w:val="FootnoteAnchor"/>
          <w:rtl w:val="true"/>
        </w:rPr>
        <w:footnoteReference w:id="45"/>
      </w:r>
      <w:r>
        <w:rPr>
          <w:rFonts w:ascii="Amiri" w:hAnsi="Amiri" w:eastAsia="Amiri" w:cs="Amiri"/>
          <w:color w:val="111111"/>
          <w:sz w:val="28"/>
          <w:sz w:val="28"/>
          <w:szCs w:val="28"/>
          <w:rtl w:val="true"/>
          <w:lang w:bidi="ar-SA"/>
        </w:rPr>
        <w:t>علامة الحقيقة إذا اطرد استعمال اللفظ من دون تأويل، وما ليس يطرد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 القرية</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فهو مجاز، والحق إنه يطّرد مجازاً إذا وجدت له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والغلبة علامة الوضع بمعنى الاستقراء التام</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4247172_2870459653"/>
      <w:bookmarkStart w:id="35" w:name="_Toc10"/>
      <w:bookmarkEnd w:id="34"/>
      <w:r>
        <w:rPr>
          <w:rtl w:val="true"/>
        </w:rPr>
        <w:t>في استكشاف الوضع بالاستعمال</w:t>
      </w:r>
      <w:bookmarkEnd w:id="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يثبت الوضع عرفاً مع العلم بالمفهوم، وعدم العلم بالمراد؛ وكذا إذا اتحد المستعمل به مع الجهل بالموضوع له اللفظ؛ وتوقف بعضهم </w:t>
      </w:r>
      <w:r>
        <w:rPr>
          <w:rStyle w:val="FootnoteAnchor"/>
          <w:rtl w:val="true"/>
        </w:rPr>
        <w:footnoteReference w:id="47"/>
      </w:r>
      <w:r>
        <w:rPr>
          <w:rFonts w:ascii="IRNazanin" w:hAnsi="IRNazanin" w:eastAsia="IRNazanin"/>
          <w:color w:val="111111"/>
          <w:sz w:val="28"/>
          <w:sz w:val="28"/>
          <w:szCs w:val="28"/>
          <w:rtl w:val="true"/>
          <w:lang w:bidi="fa-IR"/>
        </w:rPr>
        <w:t xml:space="preserve">، وبعضهم </w:t>
      </w:r>
      <w:r>
        <w:rPr>
          <w:rStyle w:val="FootnoteAnchor"/>
          <w:rtl w:val="true"/>
        </w:rPr>
        <w:footnoteReference w:id="48"/>
      </w:r>
      <w:r>
        <w:rPr>
          <w:rFonts w:ascii="Amiri" w:hAnsi="Amiri" w:eastAsia="Amiri" w:cs="Amiri"/>
          <w:color w:val="111111"/>
          <w:sz w:val="28"/>
          <w:sz w:val="28"/>
          <w:szCs w:val="28"/>
          <w:rtl w:val="true"/>
          <w:lang w:bidi="ar-SA"/>
        </w:rPr>
        <w:t xml:space="preserve">صار إلى المجاز؛ ومثله إنْ اتحد الوضع وتكثر المعنى، فالمورد المجهول بالمعنى دخل للأصل، ولشمول المفهوم الكلي، نعم لو كثر المستعمل به اللفظ وجهل وضع اللفظ فيه، أو جهل الوضع في البعض وعلم </w:t>
      </w:r>
      <w:bookmarkStart w:id="36" w:name="pg9229_140051"/>
    </w:p>
    <w:p>
      <w:pPr>
        <w:pStyle w:val="BookText"/>
        <w:rPr/>
      </w:pPr>
      <w:bookmarkEnd w:id="36"/>
      <w:r>
        <w:rPr>
          <w:rFonts w:ascii="IRNazanin" w:hAnsi="IRNazanin" w:eastAsia="IRNazanin"/>
          <w:color w:val="111111"/>
          <w:sz w:val="28"/>
          <w:sz w:val="28"/>
          <w:szCs w:val="28"/>
          <w:rtl w:val="true"/>
          <w:lang w:bidi="fa-IR"/>
        </w:rPr>
        <w:t xml:space="preserve">لآخر، فالوجه الوقف وفاقاً للمشهور </w:t>
      </w:r>
      <w:r>
        <w:rPr>
          <w:rStyle w:val="FootnoteAnchor"/>
          <w:rtl w:val="true"/>
        </w:rPr>
        <w:footnoteReference w:id="49"/>
      </w:r>
      <w:r>
        <w:rPr>
          <w:rFonts w:ascii="IRNazanin" w:hAnsi="IRNazanin" w:eastAsia="IRNazanin"/>
          <w:color w:val="111111"/>
          <w:sz w:val="28"/>
          <w:sz w:val="28"/>
          <w:szCs w:val="28"/>
          <w:rtl w:val="true"/>
          <w:lang w:bidi="fa-IR"/>
        </w:rPr>
        <w:t xml:space="preserve">، والمرتضى </w:t>
      </w:r>
      <w:r>
        <w:rPr>
          <w:rStyle w:val="FootnoteAnchor"/>
          <w:rtl w:val="true"/>
        </w:rPr>
        <w:footnoteReference w:id="50"/>
      </w:r>
      <w:r>
        <w:rPr>
          <w:rFonts w:ascii="IRNazanin" w:hAnsi="IRNazanin" w:eastAsia="IRNazanin"/>
          <w:color w:val="111111"/>
          <w:sz w:val="28"/>
          <w:sz w:val="28"/>
          <w:szCs w:val="28"/>
          <w:rtl w:val="true"/>
          <w:lang w:bidi="fa-IR"/>
        </w:rPr>
        <w:t xml:space="preserve">بالوضع للكل قضی ،لانَّه الأصل في الاستعمال ولا يرتضيه الفضلاء </w:t>
      </w:r>
      <w:r>
        <w:rPr>
          <w:rStyle w:val="FootnoteAnchor"/>
          <w:rtl w:val="true"/>
        </w:rPr>
        <w:footnoteReference w:id="51"/>
      </w:r>
      <w:r>
        <w:rPr>
          <w:rFonts w:ascii="Amiri" w:hAnsi="Amiri" w:eastAsia="Amiri" w:cs="Amiri"/>
          <w:color w:val="111111"/>
          <w:sz w:val="28"/>
          <w:sz w:val="28"/>
          <w:szCs w:val="28"/>
          <w:rtl w:val="true"/>
          <w:lang w:bidi="ar-SA"/>
        </w:rPr>
        <w:t>، وكل لفظ علم المقصود منه يحمل عليه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اتّحد المعنى الحقيقي للّفظ ولا معارض له، وإنْ تكثرَ معنى اللفظ بالوضع  وكان له معنىَ مشتهر حُملَ على ما اشتهر فيه مع اتحاد العرف، ومع تعدد العرف فعرفُ السامع مع علم المتكلّم به، لا عرف من قال، ولا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يعلم المتكلّم بعرف السامع ويدر العدم فالمقدم عرفه، ويرجح المنقول إن كان النقل قبل الاستعمال لا بعد، ومع الجهل بالنقل فالأخذ بما يقتضيه الأصل لا غير</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4247174_2870459653"/>
      <w:bookmarkStart w:id="38" w:name="_Toc11"/>
      <w:bookmarkEnd w:id="37"/>
      <w:r>
        <w:rPr>
          <w:rtl w:val="true"/>
        </w:rPr>
        <w:t>تعارض الأحوال</w:t>
      </w:r>
      <w:bookmarkEnd w:id="38"/>
    </w:p>
    <w:p>
      <w:pPr>
        <w:pStyle w:val="BookText"/>
        <w:rPr/>
      </w:pPr>
      <w:r>
        <w:rPr>
          <w:rFonts w:ascii="Amiri" w:hAnsi="Amiri" w:eastAsia="Amiri" w:cs="Amiri"/>
          <w:color w:val="111111"/>
          <w:sz w:val="28"/>
          <w:sz w:val="28"/>
          <w:szCs w:val="28"/>
          <w:rtl w:val="true"/>
          <w:lang w:bidi="ar-SA"/>
        </w:rPr>
        <w:t>إذا ورد لفظ يحتمل فيه التخصيص، والإضمار ،والمجاز، والنقل، والاشتراك؛ فإن جاء على واحد منها دليلٌ معتمد فذاك، وإن قضى بواحد مردد تعارضت الأحوال من جهة التردد، والأخذ بالتخصيص منها لا ريب فيه عرفاً، ثمَّ بالمجاز الشائع فيه، ثمَّ بالإضمار، ومع تعارض خصوص النقل والاشتراك فالترجيح للاشتراك، والنقلُ مرجوحٌ بالأصل</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4247176_2870459653"/>
      <w:bookmarkStart w:id="40" w:name="_Toc12"/>
      <w:bookmarkEnd w:id="39"/>
      <w:r>
        <w:rPr>
          <w:rtl w:val="true"/>
        </w:rPr>
        <w:t>في الحقيقة الشرعية</w:t>
      </w:r>
      <w:bookmarkEnd w:id="40"/>
    </w:p>
    <w:p>
      <w:pPr>
        <w:pStyle w:val="BookText"/>
        <w:rPr/>
      </w:pPr>
      <w:r>
        <w:rPr>
          <w:rFonts w:ascii="Amiri" w:hAnsi="Amiri" w:eastAsia="Amiri" w:cs="Amiri"/>
          <w:color w:val="111111"/>
          <w:sz w:val="28"/>
          <w:sz w:val="28"/>
          <w:szCs w:val="28"/>
          <w:rtl w:val="true"/>
          <w:lang w:bidi="ar-SA"/>
        </w:rPr>
        <w:t>اختلفوا في الألفاظ المستعملة في المعاني المخترعة في الشرع كالصوم والصلاة، والحج والزكاة، هل لها وضع من الشارع تعييني أو تعيني ؟ أم لا وضع له فيها أصلاً؟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قولان، والتفصيل قول ثالث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41" w:name="pg9229_140054"/>
    </w:p>
    <w:p>
      <w:pPr>
        <w:pStyle w:val="BookText"/>
        <w:rPr/>
      </w:pPr>
      <w:bookmarkEnd w:id="41"/>
      <w:r>
        <w:rPr>
          <w:rFonts w:ascii="IRNazanin" w:hAnsi="IRNazanin" w:eastAsia="IRNazanin"/>
          <w:color w:val="111111"/>
          <w:sz w:val="28"/>
          <w:sz w:val="28"/>
          <w:szCs w:val="28"/>
          <w:rtl w:val="true"/>
          <w:lang w:bidi="fa-IR"/>
        </w:rPr>
        <w:t xml:space="preserve">واحتج المثبت مطلقاً بالتبادر و ممنوع </w:t>
      </w:r>
      <w:r>
        <w:rPr>
          <w:rStyle w:val="FootnoteAnchor"/>
          <w:rtl w:val="true"/>
        </w:rPr>
        <w:footnoteReference w:id="53"/>
      </w:r>
      <w:r>
        <w:rPr>
          <w:rFonts w:ascii="Amiri" w:hAnsi="Amiri" w:eastAsia="Amiri" w:cs="Amiri"/>
          <w:color w:val="111111"/>
          <w:sz w:val="28"/>
          <w:sz w:val="28"/>
          <w:szCs w:val="28"/>
          <w:rtl w:val="true"/>
          <w:lang w:bidi="ar-SA"/>
        </w:rPr>
        <w:t>، وبالتتبع المفيد للظن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الثاني بعدم ثبوت النقل، فالأصل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لا يقتضي نفيَ الوضع في الواقع، والنفي ظاهراً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ثبوت الحقيقة الشرعية في الجملة موجبة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54"/>
      </w:r>
      <w:r>
        <w:rPr>
          <w:rFonts w:ascii="Amiri" w:hAnsi="Amiri" w:eastAsia="Amiri" w:cs="Amiri"/>
          <w:color w:val="111111"/>
          <w:sz w:val="28"/>
          <w:sz w:val="28"/>
          <w:szCs w:val="28"/>
          <w:rtl w:val="true"/>
          <w:lang w:bidi="ar-SA"/>
        </w:rPr>
        <w:t xml:space="preserve">من نفي المعاني المخترعة في الشرع، وليس </w:t>
      </w:r>
      <w:r>
        <w:rPr>
          <w:rStyle w:val="FootnoteAnchor"/>
          <w:rtl w:val="true"/>
        </w:rPr>
        <w:footnoteReference w:id="55"/>
      </w:r>
      <w:r>
        <w:rPr>
          <w:rFonts w:ascii="Amiri" w:hAnsi="Amiri" w:eastAsia="Amiri" w:cs="Amiri"/>
          <w:color w:val="111111"/>
          <w:sz w:val="28"/>
          <w:sz w:val="28"/>
          <w:szCs w:val="28"/>
          <w:rtl w:val="true"/>
          <w:lang w:bidi="ar-SA"/>
        </w:rPr>
        <w:t>إِلَّا شرائط زادها الشارع، فما شك فيه ينفي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ظاهرُ الوهن ساقط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بالاختراع انعقد مبحث الصحيح والأعم</w:t>
      </w:r>
    </w:p>
    <w:p>
      <w:pPr>
        <w:pStyle w:val="Heading2"/>
        <w:numPr>
          <w:ilvl w:val="1"/>
          <w:numId w:val="1"/>
        </w:numPr>
        <w:rPr/>
      </w:pPr>
      <w:bookmarkStart w:id="42" w:name="__RefHeading___Toc4247178_2870459653"/>
      <w:bookmarkStart w:id="43" w:name="_Toc13"/>
      <w:bookmarkEnd w:id="42"/>
      <w:r>
        <w:rPr>
          <w:rtl w:val="true"/>
        </w:rPr>
        <w:t xml:space="preserve">[ </w:t>
      </w:r>
      <w:r>
        <w:rPr>
          <w:rtl w:val="true"/>
        </w:rPr>
        <w:t>مبحث الصحيح والأعم</w:t>
      </w:r>
      <w:r>
        <w:rPr>
          <w:rtl w:val="true"/>
        </w:rPr>
        <w:t>]</w:t>
      </w:r>
      <w:bookmarkEnd w:id="43"/>
    </w:p>
    <w:p>
      <w:pPr>
        <w:pStyle w:val="BookText"/>
        <w:rPr/>
      </w:pPr>
      <w:r>
        <w:rPr>
          <w:rFonts w:ascii="Amiri" w:hAnsi="Amiri" w:eastAsia="Amiri" w:cs="Amiri"/>
          <w:color w:val="111111"/>
          <w:sz w:val="28"/>
          <w:sz w:val="28"/>
          <w:szCs w:val="28"/>
          <w:rtl w:val="true"/>
          <w:lang w:bidi="ar-SA"/>
        </w:rPr>
        <w:t>فاختلفوا بعد الاتفاق على الأحداث في الأسماء هل هي اسم للصحيح أو للمعنى الأعم؟</w:t>
      </w:r>
    </w:p>
    <w:p>
      <w:pPr>
        <w:pStyle w:val="BookText"/>
        <w:rPr/>
      </w:pPr>
      <w:r>
        <w:rPr>
          <w:rFonts w:ascii="Amiri" w:hAnsi="Amiri" w:eastAsia="Amiri" w:cs="Amiri"/>
          <w:color w:val="111111"/>
          <w:sz w:val="28"/>
          <w:sz w:val="28"/>
          <w:szCs w:val="28"/>
          <w:rtl w:val="true"/>
          <w:lang w:bidi="ar-SA"/>
        </w:rPr>
        <w:t>والأصح الأول؛ للتبادر وصحة السلب، ولظاهر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وأمثالها الظاهرة في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وهي مستفيضة قوية الظهور في نفي الصحة </w:t>
      </w:r>
      <w:r>
        <w:rPr>
          <w:rStyle w:val="FootnoteAnchor"/>
          <w:rtl w:val="true"/>
        </w:rPr>
        <w:footnoteReference w:id="58"/>
      </w:r>
      <w:r>
        <w:rPr>
          <w:rFonts w:ascii="Amiri" w:hAnsi="Amiri" w:eastAsia="Amiri" w:cs="Amiri"/>
          <w:color w:val="111111"/>
          <w:sz w:val="28"/>
          <w:sz w:val="28"/>
          <w:szCs w:val="28"/>
          <w:rtl w:val="true"/>
          <w:lang w:bidi="ar-SA"/>
        </w:rPr>
        <w:t>دون نفي الكمال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ينفع الاحتمال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عليه لبعضِ ما ورد فيه، قياسٌ مردودٌ</w:t>
      </w:r>
      <w:r>
        <w:rPr>
          <w:rFonts w:eastAsia="Amiri" w:cs="Amiri" w:ascii="Amiri" w:hAnsi="Amiri"/>
          <w:color w:val="111111"/>
          <w:sz w:val="28"/>
          <w:szCs w:val="28"/>
          <w:rtl w:val="true"/>
          <w:lang w:bidi="ar-SA"/>
        </w:rPr>
        <w:t xml:space="preserve">. </w:t>
      </w:r>
      <w:bookmarkStart w:id="44" w:name="pg9229_140058"/>
    </w:p>
    <w:p>
      <w:pPr>
        <w:pStyle w:val="BookText"/>
        <w:rPr/>
      </w:pPr>
      <w:bookmarkEnd w:id="44"/>
      <w:r>
        <w:rPr>
          <w:rFonts w:ascii="IRNazanin" w:hAnsi="IRNazanin" w:eastAsia="IRNazanin"/>
          <w:color w:val="111111"/>
          <w:sz w:val="28"/>
          <w:sz w:val="28"/>
          <w:szCs w:val="28"/>
          <w:rtl w:val="true"/>
          <w:lang w:bidi="fa-IR"/>
        </w:rPr>
        <w:t xml:space="preserve">واحتج العامل بالأعم </w:t>
      </w:r>
      <w:r>
        <w:rPr>
          <w:rStyle w:val="FootnoteAnchor"/>
          <w:rtl w:val="true"/>
        </w:rPr>
        <w:footnoteReference w:id="59"/>
      </w:r>
      <w:r>
        <w:rPr>
          <w:rFonts w:ascii="IRNazanin" w:hAnsi="IRNazanin" w:eastAsia="IRNazanin"/>
          <w:color w:val="111111"/>
          <w:sz w:val="28"/>
          <w:sz w:val="28"/>
          <w:szCs w:val="28"/>
          <w:rtl w:val="true"/>
          <w:lang w:bidi="fa-IR"/>
        </w:rPr>
        <w:t>بالتبادر وامتناع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وبلزوم كثرة الماهية عند اختلاف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المختلف إنما هو النوع الوضع </w:t>
      </w:r>
      <w:r>
        <w:rPr>
          <w:rStyle w:val="FootnoteAnchor"/>
          <w:rtl w:val="true"/>
        </w:rPr>
        <w:footnoteReference w:id="60"/>
      </w:r>
      <w:r>
        <w:rPr>
          <w:rFonts w:ascii="Amiri" w:hAnsi="Amiri" w:eastAsia="Amiri" w:cs="Amiri"/>
          <w:color w:val="111111"/>
          <w:sz w:val="28"/>
          <w:sz w:val="28"/>
          <w:szCs w:val="28"/>
          <w:rtl w:val="true"/>
          <w:lang w:bidi="ar-SA"/>
        </w:rPr>
        <w:t>للقدر الجامع للأنواع، وهو المبرئ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وثمرة هذا النزاع عندهم إجراء أصالة العدم بناءً على كون الأسامي للأعم، مع أنها تجري على المختار؛ لأنَّ التكليف ليس بالمجهول، بل بالمتيقن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فينفى المشكوك بالأصل وليس المشكوك من أطرف المعلوم</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بالإجمال </w:t>
      </w:r>
      <w:r>
        <w:rPr>
          <w:rStyle w:val="FootnoteAnchor"/>
          <w:rtl w:val="true"/>
        </w:rPr>
        <w:footnoteReference w:id="62"/>
      </w:r>
      <w:r>
        <w:rPr>
          <w:rFonts w:ascii="Amiri" w:hAnsi="Amiri" w:eastAsia="Amiri" w:cs="Amiri"/>
          <w:color w:val="111111"/>
          <w:sz w:val="28"/>
          <w:sz w:val="28"/>
          <w:szCs w:val="28"/>
          <w:rtl w:val="true"/>
          <w:lang w:bidi="ar-SA"/>
        </w:rPr>
        <w:t>حتى لا 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بالاشتغال عند الشك قولٌ ضعيفٌ ستعرف تزييفه </w:t>
      </w:r>
      <w:r>
        <w:rPr>
          <w:rStyle w:val="FootnoteAnchor"/>
          <w:rtl w:val="true"/>
        </w:rPr>
        <w:footnoteReference w:id="63"/>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pStyle w:val="Heading2"/>
        <w:numPr>
          <w:ilvl w:val="1"/>
          <w:numId w:val="1"/>
        </w:numPr>
        <w:rPr/>
      </w:pPr>
      <w:bookmarkStart w:id="45" w:name="__RefHeading___Toc4247180_2870459653"/>
      <w:bookmarkStart w:id="46" w:name="_Toc14"/>
      <w:bookmarkEnd w:id="45"/>
      <w:r>
        <w:rPr>
          <w:rtl w:val="true"/>
        </w:rPr>
        <w:t>في المشترك</w:t>
      </w:r>
      <w:bookmarkEnd w:id="4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بإحالته مقطوع الفساد؛ لإمكانه في حكمة الوضع، ولوجوه </w:t>
      </w:r>
      <w:r>
        <w:rPr>
          <w:rStyle w:val="FootnoteAnchor"/>
          <w:rtl w:val="true"/>
        </w:rPr>
        <w:footnoteReference w:id="64"/>
      </w:r>
      <w:r>
        <w:rPr>
          <w:rFonts w:ascii="Amiri" w:hAnsi="Amiri" w:eastAsia="Amiri" w:cs="Amiri"/>
          <w:color w:val="111111"/>
          <w:sz w:val="28"/>
          <w:sz w:val="28"/>
          <w:szCs w:val="28"/>
          <w:rtl w:val="true"/>
          <w:lang w:bidi="ar-SA"/>
        </w:rPr>
        <w:t xml:space="preserve">في القرآن نحو القرء </w:t>
      </w:r>
      <w:r>
        <w:rPr>
          <w:rStyle w:val="FootnoteAnchor"/>
          <w:rtl w:val="true"/>
        </w:rPr>
        <w:footnoteReference w:id="65"/>
      </w:r>
      <w:r>
        <w:rPr>
          <w:rFonts w:ascii="IRNazanin" w:hAnsi="IRNazanin" w:eastAsia="IRNazanin"/>
          <w:color w:val="111111"/>
          <w:sz w:val="28"/>
          <w:sz w:val="28"/>
          <w:szCs w:val="28"/>
          <w:rtl w:val="true"/>
          <w:lang w:bidi="fa-IR"/>
        </w:rPr>
        <w:t xml:space="preserve">وعسعس </w:t>
      </w:r>
      <w:r>
        <w:rPr>
          <w:rStyle w:val="FootnoteAnchor"/>
          <w:rtl w:val="true"/>
        </w:rPr>
        <w:footnoteReference w:id="66"/>
      </w:r>
      <w:r>
        <w:rPr>
          <w:rFonts w:ascii="Amiri" w:hAnsi="Amiri" w:eastAsia="Amiri" w:cs="Amiri"/>
          <w:color w:val="111111"/>
          <w:sz w:val="28"/>
          <w:sz w:val="28"/>
          <w:szCs w:val="28"/>
          <w:rtl w:val="true"/>
          <w:lang w:bidi="ar-SA"/>
        </w:rPr>
        <w:t>، وفي اللغة نحو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على خلاف الأصل، ولا خلاف في عدم ورود استعماله في كل المعاني ولا في معنى شامل للمجموع إلَّا تجوزاً، وهل يجوز في أكثر من معنى واحد على سبيل الانفراد بأن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يراد منه كل واحد، ويكون مناطاً للحكم مستقلاً كما لو لم يستعمل إلَّا فيه أم لا؟ الأصح العدم، ومنهم </w:t>
      </w:r>
      <w:r>
        <w:rPr>
          <w:rStyle w:val="FootnoteAnchor"/>
          <w:rtl w:val="true"/>
        </w:rPr>
        <w:footnoteReference w:id="67"/>
      </w:r>
      <w:r>
        <w:rPr>
          <w:rFonts w:ascii="Amiri" w:hAnsi="Amiri" w:eastAsia="Amiri" w:cs="Amiri"/>
          <w:color w:val="111111"/>
          <w:sz w:val="28"/>
          <w:sz w:val="28"/>
          <w:szCs w:val="28"/>
          <w:rtl w:val="true"/>
          <w:lang w:bidi="ar-SA"/>
        </w:rPr>
        <w:t xml:space="preserve">من جوّزه حقيقة، ومنهم </w:t>
      </w:r>
      <w:r>
        <w:rPr>
          <w:rStyle w:val="FootnoteAnchor"/>
          <w:rtl w:val="true"/>
        </w:rPr>
        <w:footnoteReference w:id="68"/>
      </w:r>
      <w:r>
        <w:rPr>
          <w:rFonts w:ascii="Amiri" w:hAnsi="Amiri" w:eastAsia="Amiri" w:cs="Amiri"/>
          <w:color w:val="111111"/>
          <w:sz w:val="28"/>
          <w:sz w:val="28"/>
          <w:szCs w:val="28"/>
          <w:rtl w:val="true"/>
          <w:lang w:bidi="ar-SA"/>
        </w:rPr>
        <w:t xml:space="preserve">من جوّزه تجوّزاً، ومنهم </w:t>
      </w:r>
      <w:r>
        <w:rPr>
          <w:rStyle w:val="FootnoteAnchor"/>
          <w:rtl w:val="true"/>
        </w:rPr>
        <w:footnoteReference w:id="69"/>
      </w:r>
      <w:r>
        <w:rPr>
          <w:rFonts w:ascii="Amiri" w:hAnsi="Amiri" w:eastAsia="Amiri" w:cs="Amiri"/>
          <w:color w:val="111111"/>
          <w:sz w:val="28"/>
          <w:sz w:val="28"/>
          <w:szCs w:val="28"/>
          <w:rtl w:val="true"/>
          <w:lang w:bidi="ar-SA"/>
        </w:rPr>
        <w:t xml:space="preserve">من جوّزه على نحو الحقيقة للتثنية والجمع وعلى وجه التجوّز في المفرد، ومنهم </w:t>
      </w:r>
      <w:r>
        <w:rPr>
          <w:rStyle w:val="FootnoteAnchor"/>
          <w:rtl w:val="true"/>
        </w:rPr>
        <w:footnoteReference w:id="70"/>
      </w:r>
      <w:r>
        <w:rPr>
          <w:rFonts w:ascii="IRNazanin" w:hAnsi="IRNazanin" w:eastAsia="IRNazanin"/>
          <w:color w:val="111111"/>
          <w:sz w:val="28"/>
          <w:sz w:val="28"/>
          <w:szCs w:val="28"/>
          <w:rtl w:val="true"/>
          <w:lang w:bidi="fa-IR"/>
        </w:rPr>
        <w:t>من جوّزه في النفي دون الإثبات، وأدلة الكل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الامتناع مطلقاً؛ لعدم إمكان الُمستَعمِل لحاظ اللفظ وجهاً لإرادة أكثر من معنى واحد في استعمال واحد ،مفرداً كان معنى اللفظ أو غيره، حقيقةً كان الاستعمال في الأكثر أو تجوّزاً، ضرورة أنَّ لحاظ اللفظ وجهاً وعنواناً في إرادة معنى ينافي لحاظه وجهاً في إرادة معنی آخر؛ لأنَّ لحاظ اللفظ وجهاً في إرادة معنى إنما يكون تبعاً للحاظ المعنى المودوع في اللفظ الذي هو عنوان المعنى، والمعنى هو المعنون به، فكيف يمكن إرادة معنى آخر مع المعنى الملحوظ بوجهه وعنوانه في استعمال واحد ؟ وهل هذا إلَّا المحال العقلي، ولولا ما يحيل العقل من ذلك لما كان مانع من جوازه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ودعوى اعتبار الوحدة في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 وكون الوضع في حال وحدة المعنى غير مانع لعدم كون الوحدة قيداً في الموضوع ولا في الموضوع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واحتج القائل </w:t>
      </w:r>
      <w:r>
        <w:rPr>
          <w:rStyle w:val="FootnoteAnchor"/>
          <w:rtl w:val="true"/>
        </w:rPr>
        <w:footnoteReference w:id="71"/>
      </w:r>
      <w:r>
        <w:rPr>
          <w:rFonts w:ascii="IRNazanin" w:hAnsi="IRNazanin" w:eastAsia="IRNazanin"/>
          <w:color w:val="111111"/>
          <w:sz w:val="28"/>
          <w:sz w:val="28"/>
          <w:szCs w:val="28"/>
          <w:rtl w:val="true"/>
          <w:lang w:bidi="fa-IR"/>
        </w:rPr>
        <w:t>بالتفصيل على كون الاستعمال في التثنية والجمع على نحو الحقيقة فيهما ، بكونهما بمنزلة تكرار اللفظ ، وعلى كونه على نحو المجاز بالمفرد بكونه موضوعاً للمعنی</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بقيد الوحدة، فإذا استعمل في الأكثر من معنى واحد لزم إلغاء قيد الوحدة، فيكون مستعملاً في جزءالمعنى بعلاقة الكل والجزء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إنما يكون موضوعاً لنفس المعنى من غير ملاحظة قيد الوحدة، وإلَّا لما جاز الاستعمال في أكثر من معنى عند المجوّز ؛ لأنَّ الأكثر ليس جزء المقيد بالوحدة، بل ينافيه؛ لأنَّ المفرد بشرط الوحدة وذلك بشرط لا، فالمفرد يناقض الوضع مع التعدد، ويباينه كما هو واضح، فلا رخصة حينئذٍ في استعمال المفرد في أكثر من معنى، وحيث لا رخصة فالتجوّز أيضاً لا رخصة فيه؛ لأنَّه فرع الرخصة في الاستعمال بالمتعدد، ولا يفيد لفظ المثنى والمجموع إلَّا بمعنى المفرد، فالمراد من كونه بحكم تكرار اللفظ أنه كأنه تكرر وأريد من كل لفظ فردٌ من أفراد معناه لا أنه يراد منه معنى من معانيه، فالأمر بالعينين أمر بفردين من العين الجارية مثلاً لا بالعين الجارحية، والعين الباصرة فلا يكون من استعمالها في أكثر من معنى، على أنه لو دل على التعدد لا يكون من استعمال التثنية والجمع في أكثر من معنى؛ ؛ لأنَّ هيئتهما إنما تدل على إرادة المتعدد مما يراد من مفردهما، وحينئذٍ فيكون استعمالهما وإرادة المتعدد من معانيه من استعمالهما في معنى واحد كما إذا استعملا وأريد المتعدد من </w:t>
      </w:r>
      <w:r>
        <w:rPr>
          <w:rStyle w:val="FootnoteAnchor"/>
          <w:rtl w:val="true"/>
        </w:rPr>
        <w:footnoteReference w:id="72"/>
      </w:r>
      <w:r>
        <w:rPr>
          <w:rFonts w:ascii="Amiri" w:hAnsi="Amiri" w:eastAsia="Amiri" w:cs="Amiri"/>
          <w:color w:val="111111"/>
          <w:sz w:val="28"/>
          <w:sz w:val="28"/>
          <w:szCs w:val="28"/>
          <w:rtl w:val="true"/>
          <w:lang w:bidi="ar-SA"/>
        </w:rPr>
        <w:t xml:space="preserve">معنى واحد منهما لا من استعمال العينين في معنيين؛ ولو أريد من العينين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فردان من الجارية وفردان من الباصرة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استعمال العينين في المعنيين، لكن هذا لا دليل عليه، وكونهما بحكم تكرار اللفظ لا يفيده حينئذ ؛ لأنَّ فيه إلغاء قيد الوحدة التي هي قيد في المفرد والمثنى والمجموع عند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التفصيل بين النفي وغيره أيضاً فاسدٌ؛ لأنَّ النفي لا يقتضي التعدد وإن عمَّ، وإنما ينفي الذي يفهم في حالة الإثبات وضعاً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لا يجوز استعمال اللفظ في المعنى الحقيقي والمجازي؛ لعدم الإذن به من الواضع، وتوقيفه صحة الاستعمال على الرخصة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بجوازه مجازاً مردودٌ مطلقاً؛ لما بينهما من المناقضة</w:t>
      </w:r>
      <w:r>
        <w:rPr>
          <w:rFonts w:ascii="IRNazanin" w:hAnsi="IRNazanin" w:eastAsia="IRNazanin"/>
          <w:color w:val="111111"/>
          <w:sz w:val="28"/>
          <w:sz w:val="28"/>
          <w:szCs w:val="28"/>
          <w:rtl w:val="true"/>
          <w:lang w:bidi="fa-IR"/>
        </w:rPr>
        <w:t>من جهة القرينة المعارضة،بل الجمع بینهما ممتنع عقلاً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المشتق</w:t>
      </w:r>
      <w:r>
        <w:rPr>
          <w:rFonts w:ascii="Amiri" w:hAnsi="Amiri" w:eastAsia="Amiri" w:cs="Amiri"/>
          <w:color w:val="111111"/>
          <w:sz w:val="28"/>
          <w:sz w:val="28"/>
          <w:szCs w:val="28"/>
          <w:rtl w:val="true"/>
          <w:lang w:bidi="ar-SA"/>
        </w:rPr>
        <w:t xml:space="preserve">وهو معنى بسيط منتزع من الذات بملاحظة اتصافها بالمبدأ، وهو حقيقة فيما تلبس بالمبدأ في الحال بالاتفاق </w:t>
      </w:r>
      <w:r>
        <w:rPr>
          <w:rStyle w:val="FootnoteAnchor"/>
          <w:rtl w:val="true"/>
        </w:rPr>
        <w:footnoteReference w:id="73"/>
      </w:r>
      <w:r>
        <w:rPr>
          <w:rFonts w:ascii="Amiri" w:hAnsi="Amiri" w:eastAsia="Amiri" w:cs="Amiri"/>
          <w:color w:val="111111"/>
          <w:sz w:val="28"/>
          <w:sz w:val="28"/>
          <w:szCs w:val="28"/>
          <w:rtl w:val="true"/>
          <w:lang w:bidi="ar-SA"/>
        </w:rPr>
        <w:t xml:space="preserve">، ومجازٌ فيما يتلبس به في الاستقبال بالاتفاق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في الذي انقضى عنه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والأكثر </w:t>
      </w:r>
      <w:r>
        <w:rPr>
          <w:rStyle w:val="FootnoteAnchor"/>
          <w:rtl w:val="true"/>
        </w:rPr>
        <w:footnoteReference w:id="75"/>
      </w:r>
      <w:r>
        <w:rPr>
          <w:rFonts w:ascii="Amiri" w:hAnsi="Amiri" w:eastAsia="Amiri" w:cs="Amiri"/>
          <w:color w:val="111111"/>
          <w:sz w:val="28"/>
          <w:sz w:val="28"/>
          <w:szCs w:val="28"/>
          <w:rtl w:val="true"/>
          <w:lang w:bidi="ar-SA"/>
        </w:rPr>
        <w:t>على كونه مجازاً؛ لصحة السلب مطلقاً عما انقضى عنه وتبادر التلبس في الحال بالمبدأ منه عند الإطلاق، ولو كان موضوعاً للأعم لزم اتصافه بالضدين في الذي انقضى عنه التلبس بالقيام وتلبس حالاً بالقعود، وكالأبيض الذي صار أسودَ، ولا ريب في مضادة الصفات المتقابلة المأخوذة من المبادئ المتضادة على ما ارتكز لها من المعاني، ولو كان للأعم لصح استعماله بلحاظ كلا الحالين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والاحتجاج على كونه حقيقة في ما انقضى عنه المبدأ بصدق العالم على النائم عرفاً في غير محله؛ لأنَّ العلم حال النوم مرتسم بالنفس لم يزل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عدم صحة السلب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ومضروب المنقضي عنه المبدأ فلا ينافي المجازية؛ حيث أُريد من المبدأ معنى يكون التلبس به باقياً في الحال مجازاً؛ ولذا يصح فيهما أنه ليس بمضروب ومقتول الآن، بل كان مضروباً ومقتولاً، ولا فرق بين المصدر السيّال وسائر الأفعال، ولا بين ما طرأ عليه الضد وغيره؛ لما عرفت من الأدلة على اعتبار التلبس بالحال،ففي من انقضى عنه المبدأ مجاز مطلقاً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لامعةٌ في الأوامرالأمر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العالي الفعلَ بالقول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مخالفة عندنا بين الطلب والإرادة التكليفية، بل هما متحدان ولفظهما بإزاء معنى واحد، وما بإزاء أحدهما في الخارج يكون بإزاء الآخر، والطلب المنشأ بلفظه أو بغيره عينالإرادة الإنشائية، ولفظ الأمر للحتم عرفاً ولغةٌ </w:t>
      </w:r>
      <w:r>
        <w:rPr>
          <w:rStyle w:val="FootnoteAnchor"/>
          <w:rtl w:val="true"/>
        </w:rPr>
        <w:footnoteReference w:id="77"/>
      </w:r>
      <w:r>
        <w:rPr>
          <w:rFonts w:ascii="IRNazanin" w:hAnsi="IRNazanin" w:eastAsia="IRNazanin"/>
          <w:color w:val="111111"/>
          <w:sz w:val="28"/>
          <w:sz w:val="28"/>
          <w:szCs w:val="28"/>
          <w:rtl w:val="true"/>
          <w:lang w:bidi="fa-IR"/>
        </w:rPr>
        <w:t>لأنَّه المنساق عند الإطلاق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صيغة افعل فهي للوجوب لغةً ، بل وشرعاً ؛ لأنه المفهوم عرفا منها، والنقل للوجوب الشرعي خلافُ الأصل، وتشهد به آية التحذير </w:t>
      </w:r>
      <w:r>
        <w:rPr>
          <w:rStyle w:val="FootnoteAnchor"/>
          <w:rtl w:val="true"/>
        </w:rPr>
        <w:footnoteReference w:id="78"/>
      </w:r>
      <w:r>
        <w:rPr>
          <w:rFonts w:ascii="Amiri" w:hAnsi="Amiri" w:eastAsia="Amiri" w:cs="Amiri"/>
          <w:color w:val="111111"/>
          <w:sz w:val="28"/>
          <w:sz w:val="28"/>
          <w:szCs w:val="28"/>
          <w:rtl w:val="true"/>
          <w:lang w:bidi="ar-SA"/>
        </w:rPr>
        <w:t>المشتملة على تهديد مخالفة الأمر، ويعلم من سياق الآية أنّ لازم التهديد ترك الواجب، وإلَّا لقبح التهديد لا عن سبب، فلا دور في الاستدلال بالآية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الجمل الخبرية في مقام البعث والطلب ظاهرة في الوجوب، بل هي آكد فيه من الصيغة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تنبیهان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الصيغة يقتضي كون الوجوب تعبدياً بناءً على كون التقرّب المعتبر في العبادة بمعنى إتيان الفعل الله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لِيَعْبُدُوا اللهَ مُخْلِصِينَ لَهُ الدِّينَ</w:t>
      </w:r>
      <w:r>
        <w:rPr>
          <w:rStyle w:val="FootnoteAnchor"/>
          <w:rtl w:val="true"/>
        </w:rPr>
        <w:footnoteReference w:id="80"/>
      </w:r>
      <w:r>
        <w:rPr>
          <w:rFonts w:ascii="Amiri" w:hAnsi="Amiri" w:eastAsia="Amiri" w:cs="Amiri"/>
          <w:color w:val="111111"/>
          <w:sz w:val="28"/>
          <w:sz w:val="28"/>
          <w:szCs w:val="28"/>
          <w:rtl w:val="true"/>
          <w:lang w:bidi="ar-SA"/>
        </w:rPr>
        <w:t>، ولا ريب في إمكان اعتبار التقرّب بهذا المعنى في متعلّق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المراد بالتقرّب المعتبر في العبادة إتيان العمل بقصد الامتثال ـ الذي لا يمكن أخذه في متعلّق الأمر؛ لكون قصد الامتثال من كيفيات الإطاعة عقلاً لا من قيود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المأمور به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مجال للاستدلال بإطلاق الصيغة على عدم اعتبار قصد الامتثال، كما لا وجه لاستظهار التوصلية من إطلاق مادة الصيغة، ولا عدم اعتبار الوجه من إطلاق المادة في العبادات عند الشك في اعتباره فيها ، بل المرجع في الشك في التوصلية والتعبدية حينئذٍ إلى الأصل وهو الاشتغال؛ لأنَّ الشك في المسقط والخروج عن عهدة التكليف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المطلقة إذا كانت في مقام البيان ومجردة عن القرينة فإطلاقها يقتضي حينئذٍ كون الوجوب فيها مطلقاً من جميع الجهات، فيكون نفسياً تعينياً عينياً، سواء وجب شيء آخر أو لا وأتى بشيء آخر أو لا، أتى به آخر أم لا؛ لأنَّ هذه لو كانت كان الواجب مقيداً بها، والمفروض تحقق الإطلاق، فالنفسية والتعينية والعينية ثابتةٌ؛ لمكان الإطلاق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بعد الحضر</w:t>
      </w:r>
      <w:r>
        <w:rPr>
          <w:rFonts w:ascii="Amiri" w:hAnsi="Amiri" w:eastAsia="Amiri" w:cs="Amiri"/>
          <w:color w:val="111111"/>
          <w:sz w:val="28"/>
          <w:sz w:val="28"/>
          <w:szCs w:val="28"/>
          <w:rtl w:val="true"/>
          <w:lang w:bidi="ar-SA"/>
        </w:rPr>
        <w:t xml:space="preserve">إذا ورد أمر عقيب التحريم هل يكون للوجوب </w:t>
      </w:r>
      <w:r>
        <w:rPr>
          <w:rStyle w:val="FootnoteAnchor"/>
          <w:rtl w:val="true"/>
        </w:rPr>
        <w:footnoteReference w:id="82"/>
      </w:r>
      <w:r>
        <w:rPr>
          <w:rFonts w:ascii="Amiri" w:hAnsi="Amiri" w:eastAsia="Amiri" w:cs="Amiri"/>
          <w:color w:val="111111"/>
          <w:sz w:val="28"/>
          <w:sz w:val="28"/>
          <w:szCs w:val="28"/>
          <w:rtl w:val="true"/>
          <w:lang w:bidi="ar-SA"/>
        </w:rPr>
        <w:t xml:space="preserve">كالأمر المبتدأ، أو للإباحة </w:t>
      </w:r>
      <w:r>
        <w:rPr>
          <w:rStyle w:val="FootnoteAnchor"/>
          <w:rtl w:val="true"/>
        </w:rPr>
        <w:footnoteReference w:id="83"/>
      </w:r>
      <w:r>
        <w:rPr>
          <w:rFonts w:ascii="Amiri" w:hAnsi="Amiri" w:eastAsia="Amiri" w:cs="Amiri"/>
          <w:color w:val="111111"/>
          <w:sz w:val="28"/>
          <w:sz w:val="28"/>
          <w:szCs w:val="28"/>
          <w:rtl w:val="true"/>
          <w:lang w:bidi="ar-SA"/>
        </w:rPr>
        <w:t xml:space="preserve">، أو للتبعية </w:t>
      </w:r>
      <w:r>
        <w:rPr>
          <w:rStyle w:val="FootnoteAnchor"/>
          <w:rtl w:val="true"/>
        </w:rPr>
        <w:footnoteReference w:id="84"/>
      </w:r>
      <w:r>
        <w:rPr>
          <w:rFonts w:ascii="Amiri" w:hAnsi="Amiri" w:eastAsia="Amiri" w:cs="Amiri"/>
          <w:color w:val="111111"/>
          <w:sz w:val="28"/>
          <w:sz w:val="28"/>
          <w:szCs w:val="28"/>
          <w:rtl w:val="true"/>
          <w:lang w:bidi="ar-SA"/>
        </w:rPr>
        <w:t>لما قبل النهي إن علّق الأمر بزوال علة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مجرد وروده عقيب التحريم لا يقتضي لأن يكون صارفاً له عما وضع له؛ لكون الحرمة أعم من الوجوب، والعام لا ينافي الخاص، وكما لا يمتنع الانتقال من الحضر إلى الإباحة فكذا لا يمتنع منه إلى الوجوب، والعلم بجوازه 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كونه عقيب الحضر، أو عقيب تو همه مما يصلح لأن يكون الآمر اعتمد على قرينية ذلك لكن لم يثبت فتكون الصيغة مجملة إلَّا أنْ يتمسك بقاعدة المقتضي والمانع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يفيد الوجوب والمانع عنه 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 والاستدلالُ على الأقوال بما ورد من استعمال الشارع في غير محلّه؛ لظهورالمراد بالقرينة الخارجية، فهو خروج عن موضوع البحث،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المرة والتكراروالحقُ أنَّ الأمر مقتضاه مطلق الطلب من غير تقييد بمرة ولا تكرار لا في مادته ولا في هيئته، والاكتفاء بالمرة لمكان تحقق الامتثال ؛ لأنها </w:t>
      </w:r>
      <w:r>
        <w:rPr>
          <w:rStyle w:val="FootnoteAnchor"/>
          <w:rtl w:val="true"/>
        </w:rPr>
        <w:footnoteReference w:id="85"/>
      </w:r>
      <w:r>
        <w:rPr>
          <w:rFonts w:ascii="Amiri" w:hAnsi="Amiri" w:eastAsia="Amiri" w:cs="Amiri"/>
          <w:color w:val="111111"/>
          <w:sz w:val="28"/>
          <w:sz w:val="28"/>
          <w:szCs w:val="28"/>
          <w:rtl w:val="true"/>
          <w:lang w:bidi="ar-SA"/>
        </w:rPr>
        <w:t xml:space="preserve">موضوع لطلب إيجاد الطبيعة باعتبار وجودها في الخارج الحاصلة بالمرة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واحتج على اقتضائه التكرار بوروده مکرراً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المنع أولاً، والمعارضة بالحج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وبكونه كالنهي؛ لاشتراكهما في الطلب </w:t>
      </w:r>
      <w:r>
        <w:rPr>
          <w:rStyle w:val="FootnoteAnchor"/>
          <w:rtl w:val="true"/>
        </w:rPr>
        <w:footnoteReference w:id="88"/>
      </w:r>
      <w:r>
        <w:rPr>
          <w:rFonts w:ascii="Amiri" w:hAnsi="Amiri" w:eastAsia="Amiri" w:cs="Amiri"/>
          <w:color w:val="111111"/>
          <w:sz w:val="28"/>
          <w:sz w:val="28"/>
          <w:szCs w:val="28"/>
          <w:rtl w:val="true"/>
          <w:lang w:bidi="ar-SA"/>
        </w:rPr>
        <w:t>، وهو قياس مع الفارق؛ لعموم النهي ، لكل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وبكون الأمر يقتضي النهي عن الضد والنهي يقتضي دوام الترك فيلزم التكرار بالمأمور به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اقتضاء النهى عن الضد كما ستعرف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استلزام عدم استلزام النهي عن الضد التكرار، وإن كان للدوام فلا يجب لأجله دوام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المأمور به، نعم يتم في ضدين لم يرتفعا لا مطلقاً كما هي دعوى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المختار لو أتى بالفعل ثانياً لم يكن ممتثلاً؛ لتحقق الامتثال بالأول وحصول الغرض به؛ لكونه علة تامة في حصول ذلك، فلا مجال للإتيان به ثانياً بداعي الأمر بعد سقوط الأمر، بل يكون بالثاني شرعاً </w:t>
      </w:r>
      <w:r>
        <w:rPr>
          <w:rStyle w:val="FootnoteAnchor"/>
          <w:rtl w:val="true"/>
        </w:rPr>
        <w:footnoteReference w:id="90"/>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الأمر قد عُلّق على شرط أو وصف مفهم للعلية من هذه الحيثية لزم تكرار المأمور به، وإلَّا فلا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الفور والتراخيالحقُّ أنَّ الظاهر من الأمر طلب إيجاد الطبيعة </w:t>
      </w:r>
      <w:r>
        <w:rPr>
          <w:rStyle w:val="FootnoteAnchor"/>
          <w:rtl w:val="true"/>
        </w:rPr>
        <w:footnoteReference w:id="91"/>
      </w:r>
      <w:r>
        <w:rPr>
          <w:rFonts w:ascii="Amiri" w:hAnsi="Amiri" w:eastAsia="Amiri" w:cs="Amiri"/>
          <w:color w:val="111111"/>
          <w:sz w:val="28"/>
          <w:sz w:val="28"/>
          <w:szCs w:val="28"/>
          <w:rtl w:val="true"/>
          <w:lang w:bidi="ar-SA"/>
        </w:rPr>
        <w:t xml:space="preserve">من غير تقييد بفور، أو تراخ خلافاً لقول </w:t>
      </w:r>
      <w:r>
        <w:rPr>
          <w:rStyle w:val="FootnoteAnchor"/>
          <w:rtl w:val="true"/>
        </w:rPr>
        <w:footnoteReference w:id="92"/>
      </w:r>
      <w:r>
        <w:rPr>
          <w:rFonts w:ascii="Amiri" w:hAnsi="Amiri" w:eastAsia="Amiri" w:cs="Amiri"/>
          <w:color w:val="111111"/>
          <w:sz w:val="28"/>
          <w:sz w:val="28"/>
          <w:szCs w:val="28"/>
          <w:rtl w:val="true"/>
          <w:lang w:bidi="ar-SA"/>
        </w:rPr>
        <w:t>فيهما؛ لأنَّ الأمر ورد بالمعنيين كالواجب المضيق والموسع، فيكون حقيقة في القدر المشترك بينهما، وهو طلب الفعل من غير إشعار بخصوصية الفور والتراخي؛ دفعاً للمجاز والاشتراك؛ ولأنه قابل للتقييد بهما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الآن أو غداً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واحتج القائل بالفور </w:t>
      </w:r>
      <w:r>
        <w:rPr>
          <w:rStyle w:val="FootnoteAnchor"/>
          <w:rtl w:val="true"/>
        </w:rPr>
        <w:footnoteReference w:id="93"/>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إِلَّا تَسْجُدَ إِذ أَمَرْتُكَ</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ولأنَّ التأخير إذا كان دائماً انتفى الوجوب، وإن كان إلى وقت معين وجب وجود ما يدل عليه اللفظ ، وإن كان إلى غير معين لزم تكليف ما لا يطاق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الأول أنه حكاية حال، فلعل أمر الله كان مقروناً بما دلّ على الفور، وهو الفاء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Style w:val="FootnoteAnchor"/>
          <w:rtl w:val="true"/>
        </w:rPr>
        <w:footnoteReference w:id="95"/>
      </w:r>
      <w:r>
        <w:rPr>
          <w:rFonts w:ascii="Amiri" w:hAnsi="Amiri" w:eastAsia="Amiri" w:cs="Amiri"/>
          <w:color w:val="111111"/>
          <w:sz w:val="28"/>
          <w:sz w:val="28"/>
          <w:szCs w:val="28"/>
          <w:rtl w:val="true"/>
          <w:lang w:bidi="ar-SA"/>
        </w:rPr>
        <w:t xml:space="preserve">فإنه تعالى رتب السجود على التسوية والنفخ بفاء التعقيب؛ ولأنَّ ابليس ترك السجود لا بعزم الفعل فيستحق الذم لا من حيث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الثاني أنه منقوض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عليك الفعل في أي وقت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التحقيق أن التأخير يجوز إلى وقت معين، وهو حصول ظن الموت بعد وقت الفعل بلا فصل، ولا يجب أن يكون في اللفظ دلالة عليه؛ لجواز أن يستفاد ذلك الوقت من حصولأمارات الموت كعلو السنّ والمرض الشديد،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الفور ـ عدم دلالة الصيغة على نحو المطلوب من وحدته أو تعدده، فلو أخر عن أول الوقت فلا دلالة على تكليفه بالفعل فيما بعد فوراً ففوراً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الواجب وتقسيمهالواجب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يذم تاركه في الجملة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النفسي المطلوب بالذات، وإلى الغيري المطلوب وصلة؛ وإلى الأصلي الذي جاء به خطاب مستقل ، وإلى التبعي الذي وجب تبعاً لوجوب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الواجب أن يكون نفسياً، وليست النفسية قيداً في الواجب، بل هي مفهومة من إطلاق مورد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التعبدي، وهو الذي لا بد فيه من نية التقرّب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التوصلي، ولا يجب فيه قصد القربة، وقد عرفت مبنى أصالة التوصلية والتعبدية، وحكم الشك في الإطاعة، وعدم إمكان صحة نفي قصد الامتثال بالإطلاق، وحكم ما لو كان دليل الوجوب الإجماع أو حكم العقل، حكم الدليل اللفظي في ذلك من هذه الحشة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الواجب إلى المطلق والمشروطفاعلم أن الواجب المطلق ما لا تقييد في الطلب فيه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المشروط فبخلافه،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الطلب مقيداً في الواقع، فحاصل تصويره على وجه لا يلزم فيه تعليق في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غير معقول أو غير جائز ـ ولا يلزم تأخير المنشأ عن الإنشاء الباطل ، وهو أن القضية الشرطية لا ريب في كون الجزاء فيها إنشاءَ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معرفة حال هذا القيد، وأنّ المقيد ما هو هل هو المادة أوالهيئة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عدم تقيّد المادة </w:t>
      </w:r>
      <w:r>
        <w:rPr>
          <w:rStyle w:val="FootnoteAnchor"/>
          <w:rtl w:val="true"/>
        </w:rPr>
        <w:footnoteReference w:id="97"/>
      </w:r>
      <w:r>
        <w:rPr>
          <w:rFonts w:ascii="Amiri" w:hAnsi="Amiri" w:eastAsia="Amiri" w:cs="Amiri"/>
          <w:color w:val="111111"/>
          <w:sz w:val="28"/>
          <w:sz w:val="28"/>
          <w:szCs w:val="28"/>
          <w:rtl w:val="true"/>
          <w:lang w:bidi="ar-SA"/>
        </w:rPr>
        <w:t xml:space="preserve">لأنَّه يكون حينئذٍ قيداً للمطلوب لا للطلب ،وظاهر القضية خلافه؛ لأنَّ ظاهرها كون القيد قيداً للطلب، فإذا كان كذلك ـ والمفروض عدم جواز التعليق في الإنشاء، والطلب من الإنشائيات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الصيغة لم تستعمل في الطلب المطلق، ولا المقيد الفعلي، حتى يلزم فيها التعليق في إنشائها، أو يلزم تحصيل مقدمات الواجب، لكن المتكلّم حيث لم يكن محباً لإكرام زيد مطلقاً بل إذا اتفق مجيئه، فقبل مجيئه ليس له حب ولا إرادة، ولما أراد إنشاء هذا المعنى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فأكرمه، ولا ريب في كون هذه القضية مؤدية لهذا المعنى الذي أراده، فنفس هذا الطلب الاظهاري الإنشائي ليس فيه تعليق أصلاً، ومنشؤه ليس منفكاً عنه، وإنما التقييد في الطلب الواقعي الذي هو مقتضى هذه القضية الإنشائية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وجودان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إنشائي إظهاري، ووجود واقعي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ليس فيه تعليق أبداً، وهو سبب في حصول الثاني، وهذا الثاني المدلول عليه بهذا الإنشائي الإظهاري تابع لواقعه فإن حصل القيد في الخارج فهو حينئذٍ حاصل، وإلَّا فلا، بخلاف هذا الإنشائي فإنّ وجوده الإنشائي تام ، بمعنى أنّ المتكلّم قد أنشأ المقيد لا أنه إنشاء مقيدٌ، فالموجود بهذا الإيجاد هو الشيء المقيد فلا يلزم التقييد في الإنشاء، ولا تأخير المنشأ عن 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مقتضاه وواقعه المستفاد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الطلب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لواقعه، فإن حصل وجب على المكلف فعله وإلّا فلا، فهذا الوجوب الإنشائي شأني لا فعلي، وقد سمُوه بالواجب المشروط بهذا الاعتبار؛ لأنَّ الطالب تارةً يطلب إكرام زيد طلباً مطلقاً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زيداً، فمدلول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في هذه الصورة طلب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لا يطلب إكرامه،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إن جاءك،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مستعملة في معناها المطلق الغير المتعقب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مستعملة في الطلب الخاص الذي هو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القضية تدل على معناها،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دالان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ومدلولان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والشرطية، والطلب المتعقب بالشرط غير الطلب المطلق فالصيغة إنشاءٌ للمقيد وإيجاد لأمرٍ مقيدٍ لا إيجاد 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أطلنا في توضيح المقام؛ لأَّنه من غوامض الأنظار، وأبكار الأفكار التي استفدناها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سيدنا الأستاذ الميرزا قدس سرهُ ولم يسبقه أحد في تحقيق الواجب المشروط، فإنَّ الخبير يعلم أنه من مزالق الفحول حتى إنَّ بعضهم حيث لم يحقق </w:t>
      </w:r>
      <w:r>
        <w:rPr>
          <w:rStyle w:val="FootnoteAnchor"/>
          <w:rtl w:val="true"/>
        </w:rPr>
        <w:footnoteReference w:id="98"/>
      </w:r>
      <w:r>
        <w:rPr>
          <w:rFonts w:ascii="Amiri" w:hAnsi="Amiri" w:eastAsia="Amiri" w:cs="Amiri"/>
          <w:color w:val="111111"/>
          <w:sz w:val="28"/>
          <w:sz w:val="28"/>
          <w:szCs w:val="28"/>
          <w:rtl w:val="true"/>
          <w:lang w:bidi="ar-SA"/>
        </w:rPr>
        <w:t>كيفية إنشاء الواجب المشروط، وتخيل أنه ينشأ مطلقاً ثم يقيّد فأشكل بأنَّ الطلب ليس قابلاً للإطلاق والتقييد؛ لأنَّ وضعه وضع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أساس لهذا الإشكال على ما حققناه من الدالين والمدلولين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لم يحصّله على ما حققنا فالتزم بما يرجع إلى كونه قضية خبرية لا إنشاء فيهاقال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باعتبار آخر إلى ما يتعلّق وجوبه بالمكلف ولا يتوقف حصوله على أمر غير مقدور كالمعرفة، وليسمّ منجزاً، وإلى ما يتعلّق وجوبه ويتوقف حصوله على أمر غير مقدور، وليسمّ معلّقاً كالحج، فإن وجوبه يتعلّق بالمكلف من أول زمن الاستطاعة أو خروج الرفقة ويتوقف فعله على مجيء وقته وهو غير مقدور له، والفرق بين هذا النوع وبين الواجب المشروط هو أنّ التوقف هناك للوجوب وهنا للفعل</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التوقف هناك للوجوب ظاهر في نفي الوجوب المقيد، وأن الوجوب المقيد إنما هو في الواجب المعلّق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وأنكر بعضُ </w:t>
      </w:r>
      <w:r>
        <w:rPr>
          <w:rStyle w:val="FootnoteAnchor"/>
          <w:rtl w:val="true"/>
        </w:rPr>
        <w:footnoteReference w:id="100"/>
      </w:r>
      <w:r>
        <w:rPr>
          <w:rFonts w:ascii="Amiri" w:hAnsi="Amiri" w:eastAsia="Amiri" w:cs="Amiri"/>
          <w:color w:val="111111"/>
          <w:sz w:val="28"/>
          <w:sz w:val="28"/>
          <w:szCs w:val="28"/>
          <w:rtl w:val="true"/>
          <w:lang w:bidi="ar-SA"/>
        </w:rPr>
        <w:t>الأجلّة التثليث المذكور، وجعل الواجب إمّا مطلقاً أو مشروطاً، وزعم أن الواجب المعلّق هو الواجب المشروط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ومنهم </w:t>
      </w:r>
      <w:r>
        <w:rPr>
          <w:rStyle w:val="FootnoteAnchor"/>
          <w:rtl w:val="true"/>
        </w:rPr>
        <w:footnoteReference w:id="101"/>
      </w:r>
      <w:r>
        <w:rPr>
          <w:rFonts w:ascii="Amiri" w:hAnsi="Amiri" w:eastAsia="Amiri" w:cs="Amiri"/>
          <w:color w:val="111111"/>
          <w:sz w:val="28"/>
          <w:sz w:val="28"/>
          <w:szCs w:val="28"/>
          <w:rtl w:val="true"/>
          <w:lang w:bidi="ar-SA"/>
        </w:rPr>
        <w:t>من أنكر إمكان الواجب المعلّق؛ لاستلزامه تأخر الشرط عن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w:t>
      </w:r>
      <w:r>
        <w:rPr>
          <w:rStyle w:val="FootnoteAnchor"/>
          <w:rtl w:val="true"/>
        </w:rPr>
        <w:footnoteReference w:id="102"/>
      </w:r>
      <w:r>
        <w:rPr>
          <w:rFonts w:ascii="Amiri" w:hAnsi="Amiri" w:eastAsia="Amiri" w:cs="Amiri"/>
          <w:color w:val="111111"/>
          <w:sz w:val="28"/>
          <w:sz w:val="28"/>
          <w:szCs w:val="28"/>
          <w:rtl w:val="true"/>
          <w:lang w:bidi="ar-SA"/>
        </w:rPr>
        <w:t>تثليث الواجبات لكن المشروط بالتقرير الذي حققناه، ومنه يظهر صحة</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المعلّق وأنَّ المنشأ لم ينفك عن الإنشاء في زمان الإنشاء إلَّا أنَّ زمانه هو متأخر في حد ذاته، وإلَّا فحصوله وحصول الإنشاء زماناً متحد، فلا مانع من تقييد المنشأ بالمعنى الذي قد عرفته من الدالّين والمدلولين، لا أنه يطلق ثم يقيّد كما توهمه المورِد، بل ينشأ مقيداً كما ينشأ مطلقاً، فعالمُ وجوده قد يكون مطلقاً وقد يكون مقيداً، فلا تفكيك ولا تقييد للطلب بالمعنى الذي 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وظهر أيضاً ضعف ما أفاده الشيخ </w:t>
      </w:r>
      <w:r>
        <w:rPr>
          <w:rStyle w:val="FootnoteAnchor"/>
          <w:rtl w:val="true"/>
        </w:rPr>
        <w:footnoteReference w:id="103"/>
      </w:r>
      <w:r>
        <w:rPr>
          <w:rFonts w:ascii="Amiri" w:hAnsi="Amiri" w:eastAsia="Amiri" w:cs="Amiri"/>
          <w:color w:val="111111"/>
          <w:sz w:val="28"/>
          <w:sz w:val="28"/>
          <w:szCs w:val="28"/>
          <w:rtl w:val="true"/>
          <w:lang w:bidi="ar-SA"/>
        </w:rPr>
        <w:t xml:space="preserve">من إنكار تثليث الواجبات، وحصرها في المطلق و المشروط، وإنكارِ التعليق وتقييد وجود الواجب؛ لعدم تصويره قدس سرهُ بحسب اللب التثليث، وقد عرفت تصويره بأن يكون الحج مثلاً مطلوباً في نفس الطالب إذا اتفقت له الاستطاعة وأمكنت بالإمكان العقلي بأن استطاع قهراً أو حصلت له بالمقارنة الاتفاقية، أو هو طلبها، فالحج على هذا مطلوب بعد حصول الاستطاعة وليس مشروطاً إلَّا بالإمكان العقلي، وهذا بخلاف ما لو كان في نفسه طلب الحج إذا تحققت الاستطاعة في الخارج وحصلت في الوجود الخارجي بأن تمكن منها في الخارج على أن يكون التمكن منها في الخارج شرطاً له لامطلقاً، فإذا لم يتحقق في الخارج ولم يقدر عليها العبدُ فليس الحج مطلوباً له أبداً ولا محبوباً لديه، وظاهرٌ أنَّ هذا غير الأول، وغير إرادة الحج عن الاستطاعة بقول مطلق من دون اعتبار شيء آخر، بأن يكون نفس الحج عن الاستطاعة على كل تقدير وكل حال مطلوباً له ومحبوباً لديه، وعلى هذا لو علم العبد بهذا الطلب على هذا النوع وجب عليه إتيانه بكل وجه وعلى كل حال؛ لتنجزه بالعلم فيجب عليه تحصيل الاستطاعة، وهذا بخلاف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كان مشروطاً بالإمكان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يجب عليه تحصيل الاستطاعة، لكن لو علم من نفسه أنه يتحقق له هذا التقدير لا محالة على كل حال وجبَ عليه تحصيل مقدمات الواجب المعلّق المتوقف عليها لو كانت له مقدمات يتوقف عليها قبل حصول الاستطاعة؛ لأنَّها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تشريح الأصول، وقد ذكر له الآخوند ثلاثة وجوه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مقدمات الواجب المطلق؛ إذ المفروض أنَّ طلبه غيرُ مقيد بشيء سوى الإمكان العقلي، وقد تحقق وعلم بتحققه المكلف، وهذا بخلاف الواجب المشروط، وهو التقرير الثاني، فإنه لو علم العبد بالطلب على النحو المذكور لم يجب عليه تحصيل الاستطاعة ولا ما يتوقف عليه الواجب لو علم بتحقق الاستطاعة لا محالة؛ لأنَّ الشرط تحققها في الخارج لا إمكانها عقلاً، فلا مانع بحسب اللب ولا بحسب اللفظ من أن تكون الواجبات ثلاثة على هذا النحو؛ والمانع الآخر عند شيخنا </w:t>
      </w:r>
      <w:r>
        <w:rPr>
          <w:rStyle w:val="FootnoteAnchor"/>
          <w:rtl w:val="true"/>
        </w:rPr>
        <w:footnoteReference w:id="104"/>
      </w:r>
      <w:r>
        <w:rPr>
          <w:rFonts w:ascii="Amiri" w:hAnsi="Amiri" w:eastAsia="Amiri" w:cs="Amiri"/>
          <w:color w:val="111111"/>
          <w:sz w:val="28"/>
          <w:sz w:val="28"/>
          <w:szCs w:val="28"/>
          <w:rtl w:val="true"/>
          <w:lang w:bidi="ar-SA"/>
        </w:rPr>
        <w:t>لزوم التقييد في الطلب بحسب الإنشاء، وقد أوضحنا عدم لزوم ذلك بما لا مزيد عليه، والحمد لله رب العالمين</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الواجبوالحقُ أنها مسألة عقلية لا لفظية؛ لأنَّ النزاع في ثبوت نفس الملازمة عقلاً بين وجوب الشيء ووجوب مقدمته، وأنه هل يحكم العقل بالملازمة أم لا؟فظهر أنها أصولية لا فرعية؛ إذ النزاع في الملازمة لا في نفس وجوبها </w:t>
      </w:r>
      <w:r>
        <w:rPr>
          <w:rStyle w:val="FootnoteAnchor"/>
          <w:rtl w:val="true"/>
        </w:rPr>
        <w:footnoteReference w:id="105"/>
      </w:r>
      <w:r>
        <w:rPr>
          <w:rFonts w:ascii="Amiri" w:hAnsi="Amiri" w:eastAsia="Amiri" w:cs="Amiri"/>
          <w:color w:val="111111"/>
          <w:sz w:val="28"/>
          <w:sz w:val="28"/>
          <w:szCs w:val="28"/>
          <w:rtl w:val="true"/>
          <w:lang w:bidi="ar-SA"/>
        </w:rPr>
        <w:t>، فإن ذلك هو الثمرة المترتبة على القول بثبوت الملازمة ولا مورد للأصل لو أريد تأسيسه في المسألة؛ 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عند العقل في ثبوت الملازمة وعدمها؛ لتبين الموضوع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بعض المعاصرين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أصل لعدم الحالةالسابقة</w:t>
      </w:r>
      <w:r>
        <w:rPr>
          <w:rStyle w:val="FootnoteAnchor"/>
          <w:rtl w:val="true"/>
        </w:rPr>
        <w:footnoteReference w:id="106"/>
      </w:r>
      <w:r>
        <w:rPr>
          <w:rFonts w:ascii="Amiri" w:hAnsi="Amiri" w:eastAsia="Amiri" w:cs="Amiri"/>
          <w:color w:val="111111"/>
          <w:sz w:val="28"/>
          <w:sz w:val="28"/>
          <w:szCs w:val="28"/>
          <w:rtl w:val="true"/>
          <w:lang w:bidi="ar-SA"/>
        </w:rPr>
        <w:t>في غير محله،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وتنقسم المقدمة إلى أنحاء عديدة باعتبارات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الداخلية، والمقدمة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بالداخلية ذات أجزاء الماهية المأمور بها؛ فإنها مقدمة للأجزاء بشرط الاجتماع،وليست محلاً للنزاع؛ إذ هي عين المأمور به ذاتاً، ومخالفتها لذيها اعتبارية، فتجب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وبالخارجية ما كان له دخل في تحقق المأمور به، وهو خارج عنه غير أنه لا يتحقق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والشرعية، والعادية التي هي كنصب السلّم، ومرجعٍ الأخيرتينإلى العقلية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وتنقسم أيضاً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الوجود، ومقدمة الوجوب، ومقدمة الصحة، ومقدمة العلم، ولا نزاع في مقدمة الوجوب والمقدمة العلمية؛ لأنَّ الكلام في التي يترشح الوجوب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من قبل وجوب ذيها والمقدمة العلمية يتوقف عليها تحصيل العلم بالبراءة سواء كان الواجب فعلاً أو تركاً، فيجب فعل الجميع أو ترك الجميع تحصيلاً للبراءة بعد العلم الإجماليبالتكليف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المتقدمة، وإلى المتأخرة كالأغسال الليلية المعتبرة في صحة الصوم، والإجازة بناءً على الكشف، وغير ذلك </w:t>
      </w:r>
      <w:r>
        <w:rPr>
          <w:rStyle w:val="FootnoteAnchor"/>
          <w:rtl w:val="true"/>
        </w:rPr>
        <w:footnoteReference w:id="107"/>
      </w:r>
      <w:r>
        <w:rPr>
          <w:rFonts w:ascii="Amiri" w:hAnsi="Amiri" w:eastAsia="Amiri" w:cs="Amiri"/>
          <w:color w:val="111111"/>
          <w:sz w:val="28"/>
          <w:sz w:val="28"/>
          <w:szCs w:val="28"/>
          <w:rtl w:val="true"/>
          <w:lang w:bidi="ar-SA"/>
        </w:rPr>
        <w:t>مما له دخل في الإرادة، فيكون لحاظه شرطاً في حصولها، ولا ريب في كفاية لحاظه ، فيكون لحاظه مقارناً لها وللتكليف والأمر، فلا إشكال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الواجب ينقسم إلى أنحاء، فينقسم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والمشروط؛ والمطلق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 والمعلّق، وقد تقدم تصوير الجميع بما لا مزيد عليه مع دفع كل ما قيل أو يقال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رجوع القيد إلى الهيئة نحو الشرط المتأخر أو المقارن، أو إلى المادة على نحوٍ يجب تحصيله أو لا يجب، ولم يكن في البين ما يعين الحال فيه فالمرجعُ الأصول العملية</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09"/>
      </w:r>
      <w:r>
        <w:rPr>
          <w:rFonts w:ascii="Amiri" w:hAnsi="Amiri" w:eastAsia="Amiri" w:cs="Amiri"/>
          <w:color w:val="111111"/>
          <w:sz w:val="28"/>
          <w:sz w:val="28"/>
          <w:szCs w:val="28"/>
          <w:rtl w:val="true"/>
          <w:lang w:bidi="ar-SA"/>
        </w:rPr>
        <w:t>بترجيح الإطلاق في طرف الهيئة وتقييد المادة؛ لأنَّ إطلاق الهيئة شمولاً وإطلاقَ المادة بدلياً غير شامل لفردين في حالة واحدة؛ ولأنَّ تقييد الهيئة يوجبُ بطلان محل الإطلاق في المادة ويرفع مورده، بخلاف تقييد المادة وإطلاق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الوجهين نظرٌ، فتأ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وينقسم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،وغيري والغيري ما كان الغرض منه التوصل به إلى واجب لا يتوصل إليه إلَّا به، والنفسي ما كان هو الغرض سواء كانت محبوبيته بنفسه كمعرفة الله تعالى، أو كانت للفوائد المترتبة على حسنه الموجب لوجوبه بذاته كسائر الواجبات التي هي في العقليات، ومع الشك في النفسية والغيرية فإطلاقُ الهيئة يقتضى النفسية، ولو كان شرطاً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لواجب آخر وجبَ التنبيه عليه، وإذا لم يكن هناك إطلاقٌ لزمَ الإتيان به مع العلم بوجوب ما احتُملَ كونه شرطاً له فعلاً والعلم بجهة وجوبه ، وإلَّا فلا؛ لكون الشك فيه حينئذٍ بدوياً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استحقاق الثواب والعقاب على امتثال وعصيان النفسي؛ لأَّنَّه المقرّب وتركه المبعد، والغيري بما هو غيري لا يوجبُ قرباً ولا بعداً، والثوابُ والعقاب على امتثال النفسي وعصيانه واحد لا تعدد فيه كما هو ظاهر عند العقل، وما جاء في الثواب على المقدمات </w:t>
      </w:r>
      <w:r>
        <w:rPr>
          <w:rStyle w:val="FootnoteAnchor"/>
          <w:rtl w:val="true"/>
        </w:rPr>
        <w:footnoteReference w:id="110"/>
      </w:r>
      <w:r>
        <w:rPr>
          <w:rFonts w:ascii="Amiri" w:hAnsi="Amiri" w:eastAsia="Amiri" w:cs="Amiri"/>
          <w:color w:val="111111"/>
          <w:sz w:val="28"/>
          <w:sz w:val="28"/>
          <w:szCs w:val="28"/>
          <w:rtl w:val="true"/>
          <w:lang w:bidi="ar-SA"/>
        </w:rPr>
        <w:t xml:space="preserve">فلكونها مستحبةً بنفسها وعبادة يعتبر فيها قصد القربة، وغايتها أحد هذه العبادات، فليس الثواب لكونها مطلوبةً بالغير، بل لكونها مطلوبة بنفسها ندباً </w:t>
      </w:r>
      <w:r>
        <w:rPr>
          <w:rStyle w:val="FootnoteAnchor"/>
          <w:rtl w:val="true"/>
        </w:rPr>
        <w:footnoteReference w:id="111"/>
      </w:r>
      <w:r>
        <w:rPr>
          <w:rFonts w:ascii="Amiri" w:hAnsi="Amiri" w:eastAsia="Amiri" w:cs="Amiri"/>
          <w:color w:val="111111"/>
          <w:sz w:val="28"/>
          <w:sz w:val="28"/>
          <w:szCs w:val="28"/>
          <w:rtl w:val="true"/>
          <w:lang w:bidi="ar-SA"/>
        </w:rPr>
        <w:t>ولهذا تصح ولو لم يأتِ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التوصل بها إلى غاية من الغايات التي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 اعتبار قصد القربة فيها لمحض أمرها الغيري لزمَ قصد الغاية لا محالة، فجعلُ </w:t>
      </w:r>
      <w:r>
        <w:rPr>
          <w:rStyle w:val="FootnoteAnchor"/>
          <w:rtl w:val="true"/>
        </w:rPr>
        <w:footnoteReference w:id="112"/>
      </w:r>
      <w:r>
        <w:rPr>
          <w:rFonts w:ascii="Amiri" w:hAnsi="Amiri" w:eastAsia="Amiri" w:cs="Amiri"/>
          <w:color w:val="111111"/>
          <w:sz w:val="28"/>
          <w:sz w:val="28"/>
          <w:szCs w:val="28"/>
          <w:rtl w:val="true"/>
          <w:lang w:bidi="ar-SA"/>
        </w:rPr>
        <w:t>ثمرة وجوب المقدمة ترتبَ الثواب على فعلها والعقاب على تركها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تنبيهاعتبر ناسُ أشياء في وجوب المقدمة لا أرى صحتها،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أن يكون الإتيان بها بداعي التوصل بها إلى ذيها في المقدمات العبادية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ترتب ذي المقدمة على المقدمة، بحيث لو لم تكن موصلة كشف عن عدم وقوعها على صفةالوجوب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اشتراط وجوبها بإرادة المكلف الفعلَ المتوقف عليها ضرورة كون الملاك في حكم العقل بوجوب المقدمة هو المقدمية والتوقف من غير مدخلية قصد التوصل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امتثال الأمر الغيري في الوضوء يتوقف على قصد التوصل وإلَّا لم يكن ممتثلاً للأمر بالوضوء، وأمّا وقوعه على صفة الوجوب العقلي فلا توقف له على قصد التوصل،بل لو لم يقصد به التوصل وقعَ واجباً كسائر الواجبات التوصلية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عدمُ صحة القول بالمقدمة الموصلة فظاهرٌ؛ لعدم الفرق بين ما يترتب عليه الواجب وما لا يترتب في الاتصاف بالمقدمية وتوقف حصول الواجب عليه الذي هو في حكم العقل بوجوبها والداعي له في طلبها ، ولا غرض سوى ذلك، ولا يعقل أن يكون ترتب الواجب غرضاً وداعياً لوجوبها؛ لعدم ترتبه على تمامها بالضرورة فضلا عن كل واحدة منها في أغلب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التوليدية والسببية تترتب على تمامها، فيكون القول بالمقدمة الموصلة قولاً بعدم وجوب المقدمة إلَّا في التوليديات، وبطلانه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فسادُ اعتبار إرادة المكلف فعلَ ذي المقدمة في وجوبها فظاهرٌ؛ ضرورة تبعية وجوب المقدمة في التقييد والإطلاق لوجوب ذيها بناءً على أنَّ وجوبها من باب حكم العقل بالملازمة، ولا يكون ذو المقدمة مشروطاً بإرادته بالضرورة، فلا تكون المقدمة مشروطةً بإرادته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وينقسم الواجب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الأصلي، وهو ما جاء به خطابٌ مستقلٌ وإرادةٌ بالأصالة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وإلى التبعي وهو ما كان وجوبه بالتبع إلى وجوب غيره؛ لكون إرادته لازمةً لإرادة غيره </w:t>
      </w:r>
      <w:r>
        <w:rPr>
          <w:rStyle w:val="FootnoteAnchor"/>
          <w:rtl w:val="true"/>
        </w:rPr>
        <w:footnoteReference w:id="116"/>
      </w:r>
      <w:r>
        <w:rPr>
          <w:rFonts w:ascii="Amiri" w:hAnsi="Amiri" w:eastAsia="Amiri" w:cs="Amiri"/>
          <w:color w:val="111111"/>
          <w:sz w:val="28"/>
          <w:sz w:val="28"/>
          <w:szCs w:val="28"/>
          <w:rtl w:val="true"/>
          <w:lang w:bidi="ar-SA"/>
        </w:rPr>
        <w:t>، ولو ولو شُك في الواجب أنه واجب أصلي أو تبعي، فلا يخلو إمّا أن يكون الواجب</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التبعي أمراً وجودياً خاصاً غيرَ متقوم بعدمي، أو يكون متقوماً بعدمي بأن يكون هو ما لم يتعلّق به إرادةٌ مستقلة، وعلى الأول لا مجرى لأصالة عدم تعلّق إرادة مستقلة به إلَّا على القول بالأصل المثبت،وعلى الثاني لا مانع من ذلك فيثبت به أنه واجبٌ تبعي، فيترتب عليه آثاره الشرعية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وجوب ما لا يتم الواجب إلاَّ به على أقوالٍ </w:t>
      </w:r>
      <w:r>
        <w:rPr>
          <w:rStyle w:val="FootnoteAnchor"/>
          <w:rtl w:val="true"/>
        </w:rPr>
        <w:footnoteReference w:id="118"/>
      </w:r>
      <w:r>
        <w:rPr>
          <w:rFonts w:ascii="Amiri" w:hAnsi="Amiri" w:eastAsia="Amiri" w:cs="Amiri"/>
          <w:color w:val="111111"/>
          <w:sz w:val="28"/>
          <w:sz w:val="28"/>
          <w:szCs w:val="28"/>
          <w:rtl w:val="true"/>
          <w:lang w:bidi="ar-SA"/>
        </w:rPr>
        <w:t xml:space="preserve">ثالثها حصر الوجوب في المقدمة السببية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إلَّا الشرط الشرعى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وأدلة الكل مدخولة، والحقُ ثبوت الملازمة بين المقدمة وذيها، لشهادة الوجدان بأنَّ من أحبّ أمراً أحبّ كل ما لا يوجد محبوبه إلَّا به، وربما يجعل المقدمة كذيها في قالب الطلب المولوي ويبعث عليها، وفي العيان وجودُ أوامر الغيرية في العبادات، والأمرُ الغيري لا يتعلّق بمقدمة إلّا إذا كان فيها مناط الوجوب</w:t>
      </w:r>
      <w:r>
        <w:rPr>
          <w:rFonts w:ascii="IRNazanin" w:hAnsi="IRNazanin" w:eastAsia="IRNazanin"/>
          <w:color w:val="111111"/>
          <w:sz w:val="28"/>
          <w:sz w:val="28"/>
          <w:szCs w:val="28"/>
          <w:rtl w:val="true"/>
          <w:lang w:bidi="fa-IR"/>
        </w:rPr>
        <w:t>الغیری ،فإذا فی کل مقدمة وجودُ مناط الأمر الغیری  فيصح تعلّقه بها، وهو المطلوب، وإن الحب مترشح من ذي المقدمة على المقدمة التي يتوقف وجود ذيها عليها، وربما كان للمقدمة حب ذاتي وآخر تبعي، ولا مانع من اجتماعهما كالوضوء والغسل، فإنه محبوب لذاته ومحبوب لكونه مما يتوقف حصول الصلاة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مما ذكرنا ظهر بطلان التفصيل بين المقدمة السببية وغير السببية، والتفصيل بين ما لو كانت شرطاً شرعياً وغيره؛ لعدم التفاوت في باب الملازمة بين مقدمة ومقدمة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القول باختصاص الوجوب بالمقدمة السببية 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باختصاص الوجوب بالمقدمة السببية بعد انحصار الوجوب بالمسبب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وجه البعد لزوم التكليف بما لا يطاق لوجوب المسبب حال عدم السبب؛ لأنَّ حصول الشيء عند عدم ما يتوقف عليه يكون ممتنعاً، والممتنع غير مقدور، فواضحُ الفساد؛ ضرورة أنَّ المسبب مقدور بواسطة السبب فلا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وجه البعد حكم العقل بالملازمة فهو قولٌ بوجوب المقدمة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ذكرنا ظهر فساد ما قيل </w:t>
      </w:r>
      <w:r>
        <w:rPr>
          <w:rStyle w:val="FootnoteAnchor"/>
          <w:rtl w:val="true"/>
        </w:rPr>
        <w:footnoteReference w:id="120"/>
      </w:r>
      <w:r>
        <w:rPr>
          <w:rFonts w:ascii="Amiri" w:hAnsi="Amiri" w:eastAsia="Amiri" w:cs="Amiri"/>
          <w:color w:val="111111"/>
          <w:sz w:val="28"/>
          <w:sz w:val="28"/>
          <w:szCs w:val="28"/>
          <w:rtl w:val="true"/>
          <w:lang w:bidi="ar-SA"/>
        </w:rPr>
        <w:t>من لزوم صرف ما دل على طلب المسبب إلى السبب؛ لأنَّ المسبب ممتنع بدون السبب أو واجب إن كان مقترناً به؛ حيثُ عرفت أنَّ المسبب مقدور بواسطة السبب، ولا يعتبر في التكليف غير القدرة على الفعل بلا واسطة أو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الخلاف في المقدمةوالحقُ انحصار الثمرة بالقول بوجوب المقدمة؛ لما عرفت من كون المبحوث فيه هو الملازمة بين وجوب الشيء ووجوب مقدماته فيتفرّع على القول بثبوت الملازمة وجوبُ المقدمة حينئذٍ، ومن أنكر الملازمة لا يلزمه القولُ بوجوب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الثمرة اجتماعُ الوجوب والحرمة بناءً على القول بالملازمة فيما إذا كانت المقدمة محرمة، فيبنى على جواز اجتماع الأمر والنهي وعدمه، بخلاف ما لو قيل بعدم الملازمة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لو تمَّ فإنما يتم فيما لم يكن لذلك الاجتماع مدخلٌ في الصحة والفساد؛ إذ المقدمة إنْ كانت مثل الكون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مقدمة لمطلق الكون، الذي هو جزءُ الصلاة بناءً على كون الفرد مقدمةً للكلي وكانت الصلاة في المكان المغصوب، فتكون المقدمةُ محرمةً متحدةً مع ذيها في الوجود ـ فالفسادُ لا يبتني على القول بالملازمة ،ووجوب المقدمة، بل يحكم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بالفساد ولو لم نقل بوجوب المقدمة؛ للاتحاد، ووحدة الموجود، وعدم جدوى تعدد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المقدمة توصليةً مغايرة في الوجود مع ذيها كالركوب على الدابة المغصوبة لقطع المسافة للحج 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منحصرة أم لا، ومع الانحصار لا وجوب فيها أصلاً، ولكن لا أثر لها في الفساد، فلو ركبها ووصل صحَّ حجه وحصل مطلوبه، ومع التعدد وعدم الانحصار فالوجوب في الجملة، لكن لا أثر له في الفساد أيضاً؛ لكونها موصلة لا غير وقد حصل الواجب بعد حصولها كما هو ظاهر ، بل لا يلزم اجتماع الوجوب والحرمة أصلاً؛ إذ في صورة انحصار المقدمة بالمحرمة إمّا لا وجوب للمقدمة؛ لعدم وجوب ذيها؛ لأجل المزاحمة كما في الصلاة في الدار المغصوبة، وإمّا لا حرمة لها؛ للمزاحمة كما لو صلّى حال الخروج في آخر الوقت، وأمّا في صورة عدم الانحصار فالواجبُ من المقدمات هو غير المحرمة، فلا اجتماع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 ناسٌ </w:t>
      </w:r>
      <w:r>
        <w:rPr>
          <w:rStyle w:val="FootnoteAnchor"/>
          <w:rtl w:val="true"/>
        </w:rPr>
        <w:footnoteReference w:id="122"/>
      </w:r>
      <w:r>
        <w:rPr>
          <w:rFonts w:ascii="Amiri" w:hAnsi="Amiri" w:eastAsia="Amiri" w:cs="Amiri"/>
          <w:color w:val="111111"/>
          <w:sz w:val="28"/>
          <w:sz w:val="28"/>
          <w:szCs w:val="28"/>
          <w:rtl w:val="true"/>
          <w:lang w:bidi="ar-SA"/>
        </w:rPr>
        <w:t>أنَّ النزاع في نفس الوجوب، فجعلوا الثمرة براءة ذمة ناذر الواجب بإتيان المقدمة، وإن كان فيه نظرٌ؛ من جهة انصراف الواجب إلى النفسي إلّا أن يكون قصد الأعم، وتحقق الإصرار على الحرام الموجب للفسق بترك واجب بمقدماته المتعددة، مع أنَّه لو ترك أول المقدمات وامتنع عليه فعل الواجب لم يحرم فعل باقي المقدمات العديدة، فلا يتحقق إلَّا أصل العصيان دون الإصرار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وجعلوا منها </w:t>
      </w:r>
      <w:r>
        <w:rPr>
          <w:rStyle w:val="FootnoteAnchor"/>
          <w:rtl w:val="true"/>
        </w:rPr>
        <w:footnoteReference w:id="123"/>
      </w:r>
      <w:r>
        <w:rPr>
          <w:rFonts w:ascii="Amiri" w:hAnsi="Amiri" w:eastAsia="Amiri" w:cs="Amiri"/>
          <w:color w:val="111111"/>
          <w:sz w:val="28"/>
          <w:sz w:val="28"/>
          <w:szCs w:val="28"/>
          <w:rtl w:val="true"/>
          <w:lang w:bidi="ar-SA"/>
        </w:rPr>
        <w:t>عدم جواز الأجرة على المقدمة بناءً على وجوبها؛ لحرمة أخذ الأجرة على المقدمة على الواجبات، مع أنَّه لا يصح على إطلاقه لا في التوصليات ولا في العباديات، نعم لا بأس به في بعض الواجبات</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في التنبيه على مقدمة غير الواجب من الأحكام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الحرام فلا تترشح الحرمة منه إلى مقدماته التي معها اختيار تركه، نعم لو فرض للحرام مقدمة لا يبقى معها اختيار ترك الحرام كانت تلك المقدمة محرمة والملازمة بينهما محققة، وكذا الحال في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المستحب فالملازمة بينه وبين مقدماته لا شبهة فيها كالمقدمات في الواجب بلا تفاوت في الترشح من طلبها طلب فعل ما يتوقف عليه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الضدالحقُ أن الأمر بالشيء لا يقتضي النهي عن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العينية، أو الجزئية، أو بنحو اللزوم؛ من جهة التلازم بين طلب أحد الضدين وطلب ترك الآخر، أو بنحو المقدمية،والمسألة عقلية أصولية، والأمر أعمُّ من اللفظي واللبي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والضدُ للشيء ما لا يجتمع معه لذاته عقلاً ، وإطلاقه على الترك غيرُ صحيح؛ إذ الترك عدمٌ والضدُ وجوديٌ ، لكنهم سمّوه بالضد العام تجوّزاً، ولتفسير هم له بالكف،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النزاع فيه؛ فإن الأمر بالشيء عينُ النهي عن تركه في نفس الأمر، وإن تغايرا مفهوماً فقد اتحدا في الوجود الخارجي،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إلَّا طلب واحد بسيط، وهو منسوب إلى الوجود طلباً له </w:t>
      </w:r>
      <w:r>
        <w:rPr>
          <w:rStyle w:val="FootnoteAnchor"/>
          <w:rtl w:val="true"/>
        </w:rPr>
        <w:footnoteReference w:id="125"/>
      </w:r>
      <w:r>
        <w:rPr>
          <w:rFonts w:ascii="Amiri" w:hAnsi="Amiri" w:eastAsia="Amiri" w:cs="Amiri"/>
          <w:color w:val="111111"/>
          <w:sz w:val="28"/>
          <w:sz w:val="28"/>
          <w:szCs w:val="28"/>
          <w:rtl w:val="true"/>
          <w:lang w:bidi="ar-SA"/>
        </w:rPr>
        <w:t>، وقد ينسب إلى الترك باعتبار الزجر عن الترك عنه، والعينية إنما هي بهذا الاعتبار،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والضد الخاص هو كل موجود نافى الواجب الشرعي، وهو الذي قيل باقتضاء الأمر النهي عنه </w:t>
      </w:r>
      <w:r>
        <w:rPr>
          <w:rStyle w:val="FootnoteAnchor"/>
          <w:rtl w:val="true"/>
        </w:rPr>
        <w:footnoteReference w:id="1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بعدم اقتضائه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النزاع المذكور في الضدين يجري في الواجب الموسع والمضيق، وهكذا الخلاف لو تخالفا، ثم النهي تابع لمقتضى الدليل فيعمّ النفسي والغيري والتبعي والأصلين، ووهمَ منْ خصه بالتبعي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أفراد مسألة اقتضاء الأمر بالشيء النهيَ عن ضده، عن مسألة ما لا يتم الواجب إلَّا به ـ مع أنَّها من فروعها ـ بناءً على ما ذكرت من خروج الضد العام عن محل الكلام، وانحصار الخلاف في الضد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هذا السؤال فإنما يتم لو كان الاتفاق حاصلاً على مقدمية ترك الضد لفعل الضد الآخر، ولكن أهل العلم بالفن على عدم المقدمية، فالفرقُ ظاهر، والنسبة بينهما عموم مطلق، بل يمكن أن يكون عموماً من وجه؛ لأنَّ النفي والإثبات في كلِّ من المسألتين يجامعُ النفي والإثبات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والمهم في هذه المسألة هو تحقيق اقتضاء الأمر النهيَ عن ضده الخاص بنحو المقدمية لأجل كون ترك الضد مقدمةً لفعل الآخر أم لا؟ وحيث انحصر دليلُ القائلين بالاقتضاء بالضد الخاص بدعوى مقدمية ترك الضد لفعل الواجب لزمنا تحقيقُ الحال في المقدمية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ذهب ناسٌ إلى التوقف من الطرفين </w:t>
      </w:r>
      <w:r>
        <w:rPr>
          <w:rStyle w:val="FootnoteAnchor"/>
          <w:rtl w:val="true"/>
        </w:rPr>
        <w:footnoteReference w:id="129"/>
      </w:r>
      <w:r>
        <w:rPr>
          <w:rFonts w:ascii="Amiri" w:hAnsi="Amiri" w:eastAsia="Amiri" w:cs="Amiri"/>
          <w:color w:val="111111"/>
          <w:sz w:val="28"/>
          <w:sz w:val="28"/>
          <w:szCs w:val="28"/>
          <w:rtl w:val="true"/>
          <w:lang w:bidi="ar-SA"/>
        </w:rPr>
        <w:t xml:space="preserve">، والأكثر توقف الوجود على العدم وعدم توقفه على الوجود </w:t>
      </w:r>
      <w:r>
        <w:rPr>
          <w:rStyle w:val="FootnoteAnchor"/>
          <w:rtl w:val="true"/>
        </w:rPr>
        <w:footnoteReference w:id="130"/>
      </w:r>
      <w:r>
        <w:rPr>
          <w:rFonts w:ascii="Amiri" w:hAnsi="Amiri" w:eastAsia="Amiri" w:cs="Amiri"/>
          <w:color w:val="111111"/>
          <w:sz w:val="28"/>
          <w:sz w:val="28"/>
          <w:szCs w:val="28"/>
          <w:rtl w:val="true"/>
          <w:lang w:bidi="ar-SA"/>
        </w:rPr>
        <w:t xml:space="preserve">، وآخرون كون الفعل مقدمة للترك </w:t>
      </w:r>
      <w:r>
        <w:rPr>
          <w:rStyle w:val="FootnoteAnchor"/>
          <w:rtl w:val="true"/>
        </w:rPr>
        <w:footnoteReference w:id="131"/>
      </w:r>
      <w:r>
        <w:rPr>
          <w:rFonts w:ascii="Amiri" w:hAnsi="Amiri" w:eastAsia="Amiri" w:cs="Amiri"/>
          <w:color w:val="111111"/>
          <w:sz w:val="28"/>
          <w:sz w:val="28"/>
          <w:szCs w:val="28"/>
          <w:rtl w:val="true"/>
          <w:lang w:bidi="ar-SA"/>
        </w:rPr>
        <w:t xml:space="preserve">، وذهب المحقق الخوانساري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توقف وجود الضد المعدوم على دفع الضد الموجود، وعدم توقف رفعه على وجود الآخر،فهو تفصيل بين وجود الضد وعدمه، وقولٌ بالتوقف في صورة الوجود، وبعدمه في صورة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نفي التوقف مطلقاً وفاقاً لمحققي أهل العصر، وهو الذي اختاره البهائي </w:t>
      </w:r>
      <w:r>
        <w:rPr>
          <w:rStyle w:val="FootnoteAnchor"/>
          <w:rtl w:val="true"/>
        </w:rPr>
        <w:footnoteReference w:id="133"/>
      </w:r>
      <w:r>
        <w:rPr>
          <w:rFonts w:ascii="IRNazanin" w:hAnsi="IRNazanin" w:eastAsia="IRNazanin"/>
          <w:color w:val="111111"/>
          <w:sz w:val="28"/>
          <w:sz w:val="28"/>
          <w:szCs w:val="28"/>
          <w:rtl w:val="true"/>
          <w:lang w:bidi="fa-IR"/>
        </w:rPr>
        <w:t xml:space="preserve">وسلطان العلماء </w:t>
      </w:r>
      <w:r>
        <w:rPr>
          <w:rStyle w:val="FootnoteAnchor"/>
          <w:rtl w:val="true"/>
        </w:rPr>
        <w:footnoteReference w:id="134"/>
      </w:r>
      <w:r>
        <w:rPr>
          <w:rFonts w:ascii="Amiri" w:hAnsi="Amiri" w:eastAsia="Amiri" w:cs="Amiri"/>
          <w:color w:val="111111"/>
          <w:sz w:val="28"/>
          <w:sz w:val="28"/>
          <w:szCs w:val="28"/>
          <w:rtl w:val="true"/>
          <w:lang w:bidi="ar-SA"/>
        </w:rPr>
        <w:t xml:space="preserve">والسيد المحقق الكاظمي في المحصول </w:t>
      </w:r>
      <w:r>
        <w:rPr>
          <w:rStyle w:val="FootnoteAnchor"/>
          <w:rtl w:val="true"/>
        </w:rPr>
        <w:footnoteReference w:id="135"/>
      </w:r>
      <w:r>
        <w:rPr>
          <w:rFonts w:ascii="Amiri" w:hAnsi="Amiri" w:eastAsia="Amiri" w:cs="Amiri"/>
          <w:color w:val="111111"/>
          <w:sz w:val="28"/>
          <w:sz w:val="28"/>
          <w:szCs w:val="28"/>
          <w:rtl w:val="true"/>
          <w:lang w:bidi="ar-SA"/>
        </w:rPr>
        <w:t xml:space="preserve">وشيخنا العلّامة المرتضى الأنصاري </w:t>
      </w:r>
      <w:r>
        <w:rPr>
          <w:rStyle w:val="FootnoteAnchor"/>
          <w:rtl w:val="true"/>
        </w:rPr>
        <w:footnoteReference w:id="136"/>
      </w:r>
      <w:r>
        <w:rPr>
          <w:rFonts w:ascii="Amiri" w:hAnsi="Amiri" w:eastAsia="Amiri" w:cs="Amiri"/>
          <w:color w:val="111111"/>
          <w:sz w:val="28"/>
          <w:sz w:val="28"/>
          <w:szCs w:val="28"/>
          <w:rtl w:val="true"/>
          <w:lang w:bidi="ar-SA"/>
        </w:rPr>
        <w:t xml:space="preserve">وكل الاساتيد من تلامذته </w:t>
      </w:r>
      <w:r>
        <w:rPr>
          <w:rStyle w:val="FootnoteAnchor"/>
          <w:rtl w:val="true"/>
        </w:rPr>
        <w:footnoteReference w:id="137"/>
      </w:r>
      <w:r>
        <w:rPr>
          <w:rFonts w:ascii="Amiri" w:hAnsi="Amiri" w:eastAsia="Amiri" w:cs="Amiri"/>
          <w:color w:val="111111"/>
          <w:sz w:val="28"/>
          <w:sz w:val="28"/>
          <w:szCs w:val="28"/>
          <w:rtl w:val="true"/>
          <w:lang w:bidi="ar-SA"/>
        </w:rPr>
        <w:t>، والحجة على ذلك من وجوه يظهر منها الجواب عن حجة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التوقف، وإنما هي المقارنة بين وجود أحد الضدين وعدم الآخر من دون توقف الوجود على عدم؛ وذلك بمنع كون وجود كل منهما مانعاً من وجود الآخر؛ لأنَّ مجرد استحالة اجتماع الضد مع الضد الآخر لا يقتضي كونه مانعاً منه ليكون عدمه مقدمة لفعله؛ إذ الأمور اللازمة للموانع مما يستحيل اجتماعها مع الممنوع مع أنَّ وجودها ليس من الموانع ولا عدمها من المقدمات، فمجردُ عدم إمكان اجتماعهما في محل واحد كما هو قضية التضاد لا يجدي في الحكم بالتمانع إلاَّ بأن يكون عدم أحدهما شرطاً لوجود الآخر، ووجوده مؤثراً في عدم الآخر، وليس لجواز إسناد عدمه إلى عدم علته، ووجود الآخر إلى وجود علته، غاية الأمر أن يكون علة عدم أحدهما مقارنةً لعلة وجود الآخر، فيمتنع وجودها في محل واحد؛ لعدم وجود علتيهما معاً مع انتفاء التمانع بالمعنى الذي يدعيه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مجرد الملازمة مع إمكان تبدل العلة المعدومة بالموجود فهو فاسدٌ؛ لاستلزامه إمكان وجود الضدين المستلزم لارتفاع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التلازم بين وجود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أحدهما </w:t>
      </w:r>
      <w:r>
        <w:rPr>
          <w:rStyle w:val="FootnoteAnchor"/>
          <w:rtl w:val="true"/>
        </w:rPr>
        <w:footnoteReference w:id="138"/>
      </w:r>
      <w:r>
        <w:rPr>
          <w:rFonts w:ascii="Amiri" w:hAnsi="Amiri" w:eastAsia="Amiri" w:cs="Amiri"/>
          <w:color w:val="111111"/>
          <w:sz w:val="28"/>
          <w:sz w:val="28"/>
          <w:szCs w:val="28"/>
          <w:rtl w:val="true"/>
          <w:lang w:bidi="ar-SA"/>
        </w:rPr>
        <w:t>، وانتفاء علة الآخر فننقل الكلام إلى عدم إمكان اجتماع العلتين، فإن كان التمانع بينهما ثبتَ المطلوب فيهما وفي معلوليهما ؛ لسراية التمانع من العلتين إليهما، وإلا فجاز اجتماعهما، ويترتب عليه إمكان وجود الضدين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الكبرى فظاهرةٌ؛ فإن عدم المانع من أجزاء علة الوجود، ولا ينافي ذلك امتناع استناد الوجود إلى المعدوم، فإن ذلك يراد به أن يكون العدم معطياً للوجود، لا أن يكون العدم شرطاً لإيجاد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التمانع وامتناع الاجتماع في محل واحد إنما يقضي بالتوقف فيما إذا لم يكن ذلك العدم مساوياً كما في المقام كما ستعرف، فلا وجه للحكم بالتوقف، بل يكفي في ردّك احتمال التساوي، فنختار الشق الأول من ترديدك، تارةً أنَّ التمانع ـ بمعنى عدم إمكان اجتماعها في الوجود ـ لا يقتضي </w:t>
      </w:r>
      <w:r>
        <w:rPr>
          <w:rStyle w:val="FootnoteAnchor"/>
          <w:rtl w:val="true"/>
        </w:rPr>
        <w:footnoteReference w:id="139"/>
      </w:r>
      <w:r>
        <w:rPr>
          <w:rFonts w:ascii="Amiri" w:hAnsi="Amiri" w:eastAsia="Amiri" w:cs="Amiri"/>
          <w:color w:val="111111"/>
          <w:sz w:val="28"/>
          <w:sz w:val="28"/>
          <w:szCs w:val="28"/>
          <w:rtl w:val="true"/>
          <w:lang w:bidi="ar-SA"/>
        </w:rPr>
        <w:t>بالتوقف كما في سائر أقسام التقابل ، وتارةً نختار الشق الثاني، وأنَّ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المانع بمعنى عدم توقف وجود أحدهما على عدم الآخر لا يقضي بالاجتماع في الوجود كما في سائر أقسام التقابل أيضاً، مضافاً إلى أنَّ الكبرى لا تخلو من منع؛ فإن الموارد التي حكموا فيها بأنَّ عدم الشيء شرطٌ ووجوده مانع يحتملُ ان يراد به التعبير والعنوان، كأن يكون الشرط واقعاً أمراً وجودياً، وإنما جعل ذلك العدم عنواناً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الوجدان السليم بالمقارنة؛ لأنَّا إذا حصلت لنا إرادةُ فعل المأمور به وانتفى عنه الصارف حصل بالوجدان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المأمور به وترك ضده، فيكونان إذاً معلولي علة واحدة ثالثة، فلا وجه لجعل ترك الضد من مقدمات فعل الآخر، وليست ذلك إلَّا مثل السبب الباعث على حصول أحد النقيضين؛ فإنه هو الباعث على رفع الآخر من غير ترتب وتوقف بينهما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قضاء الوجدان بالتوقف مكابرة جداً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بتوقف الوجود على عدم الضد لمكان الممانعة ملزومٌ للقول باستناد ذلك العدم إلى ذلك الوجود؛ إذ كما أنَّ العدم المانع شرطٌ فوجوده علة لارتفاع</w:t>
      </w:r>
      <w:r>
        <w:rPr>
          <w:rFonts w:ascii="IRNazanin" w:hAnsi="IRNazanin" w:eastAsia="IRNazanin"/>
          <w:color w:val="111111"/>
          <w:sz w:val="28"/>
          <w:sz w:val="28"/>
          <w:szCs w:val="28"/>
          <w:rtl w:val="true"/>
          <w:lang w:bidi="fa-IR"/>
        </w:rPr>
        <w:t>المعلول، وهو دورٌ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ترك الضد شرطاً لفعل الواجب كان فعل الواجب علة لترك الضد، فيلزم الدور،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عليّته بدعوى استناد الترك إلى عدم المقتضي باطلٌ؛ إذ قد يوجد المقتضي مع ما يمنع من اقتضائه كما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السبزواري،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الأضداد مانعاً من حصول الحرام نظرٌ ؛ إذ لو كان كذلك كانت الصلاة مثلاً مانعة من الزنا وكان الزنا، أيضاً مانعاً منها، وحينئذٍ كان الزنا موقوفاً على عدم الصلاة، فيكون وجود الصلاة علة لعدم الزنا، والحال أنَّ عدم الزنا علة لوجود الصلاة؛ لأنَّ رفع الموانع من علة الوجود، فيلزم أن يكون العلية من الطرفين، وهو خلفٌ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قريبٌ من سابقه، غير أنَّ المأخوذ فيه كونُ عدم المانع أيضاً علةً، وأنَّ جهة التوقف في الطرفين هو العليّة، والمأخوذ في سابقه في لزوم الدور أنَّ عدم المانع شرطٌ، وأنَّ جهة التوقف في أحد الطرفين على نحو الاشتراط، كما في توقف فعل الضد على ترك الآخر في الطرف الآخر ، وفي الطرف الآخر، على جهة العليّة كما في توقف تركه على فعل الآخر كتوقفالشيء على علته وسببه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بعضهم </w:t>
      </w:r>
      <w:r>
        <w:rPr>
          <w:rStyle w:val="FootnoteAnchor"/>
          <w:rtl w:val="true"/>
        </w:rPr>
        <w:footnoteReference w:id="141"/>
      </w:r>
      <w:r>
        <w:rPr>
          <w:rFonts w:ascii="Amiri" w:hAnsi="Amiri" w:eastAsia="Amiri" w:cs="Amiri"/>
          <w:color w:val="111111"/>
          <w:sz w:val="28"/>
          <w:sz w:val="28"/>
          <w:szCs w:val="28"/>
          <w:rtl w:val="true"/>
          <w:lang w:bidi="ar-SA"/>
        </w:rPr>
        <w:t>، وهو أيضاً قريب من سابقه،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بمقدمية الترك يوجب صحة قول الكعبي </w:t>
      </w:r>
      <w:r>
        <w:rPr>
          <w:rStyle w:val="FootnoteAnchor"/>
          <w:rtl w:val="true"/>
        </w:rPr>
        <w:footnoteReference w:id="142"/>
      </w:r>
      <w:r>
        <w:rPr>
          <w:rFonts w:ascii="Amiri" w:hAnsi="Amiri" w:eastAsia="Amiri" w:cs="Amiri"/>
          <w:color w:val="111111"/>
          <w:sz w:val="28"/>
          <w:sz w:val="28"/>
          <w:szCs w:val="28"/>
          <w:rtl w:val="true"/>
          <w:lang w:bidi="ar-SA"/>
        </w:rPr>
        <w:t>بانتفاء المباح بناءً على وجوب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كون فعل الضد من مقدمات ترك الآخر يكونُ فعل المباحات لترك الأضداد المحرمة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ترك الضد مقدمة لفعل الضد لزمَ ترتب عدم فعل الضد على عدمه؛ لأنَّه معنى المقدمة، وحينئذٍ فيتوقف عدم وجود الضد على عدم ذلك الترك الذي فرض كونه مقدمةً وهو فعل الضد الآخر، وعلى هذا يتوقف فعلُ الفعل على ترك ضده، وتركُ الضد يتوقف على فعل ضده بمقتضى مقدمية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يردُ الدور لو قلنا </w:t>
      </w:r>
      <w:r>
        <w:rPr>
          <w:rStyle w:val="FootnoteAnchor"/>
          <w:rtl w:val="true"/>
        </w:rPr>
        <w:footnoteReference w:id="143"/>
      </w:r>
      <w:r>
        <w:rPr>
          <w:rFonts w:ascii="Amiri" w:hAnsi="Amiri" w:eastAsia="Amiri" w:cs="Amiri"/>
          <w:color w:val="111111"/>
          <w:sz w:val="28"/>
          <w:sz w:val="28"/>
          <w:szCs w:val="28"/>
          <w:rtl w:val="true"/>
          <w:lang w:bidi="ar-SA"/>
        </w:rPr>
        <w:t>بأن الفعل أيضاً علةٌ للترك، ولا نقول به،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الضد إنما استند إلى الصارف؛ لأنَّه أسبقُ من الفعل رتبة، ففعل الضد يتوقف على ترك ضده الآخر، ولا يتوقف ترك الضد على فعل ضده الآخر، بل علته الصارف، فلا 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ننكر الاستناد فعلاً إلى الصارف، ومع ذلك الدورُ بحاله؛ لوقوع الفعل في مرتبة علة الترك المستلزم للتقدم عليه، مع أنَّ الفرض تقدمُ الترك أيضاً على الفعل لمقدميته فلزم تقدمُ ترك الضد على نفسه، وكذلك لزمَ تقدمُ فعل الضد على نفسه؛ لأنَّ تقدم الضد مقدمٌ طبعاً على فعل الضد؛ لمكان مقدميته، وفعلُ الضد المفروض شأنيته للعليّة مقدمٌعلى ترك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الضد مقدمٌ على فعل ضده الذي هو مقدم على ذلك الترك؛ فوجب أن يكون ترك الضد مقدماً على نفسه، وكذا فعل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وأحالَ المحققُ الخوانساري دفعَ الدور بالتفصيل الذي حكيناه عنه، وأنَّ الذي يقتضيه تمانع الأضداد إنما هو توقف وجود الضد على ارتفاع الضد الوجودي، لا على عدم الضد العدمي الذي كان عدمه سابقاً على علة الموجود أو مقارناً معها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إنه لو كان فعل الضد علةً في ترك ضده للزم في صورة </w:t>
      </w:r>
      <w:r>
        <w:rPr>
          <w:rStyle w:val="FootnoteAnchor"/>
          <w:rtl w:val="true"/>
        </w:rPr>
        <w:footnoteReference w:id="145"/>
      </w:r>
      <w:r>
        <w:rPr>
          <w:rFonts w:ascii="Amiri" w:hAnsi="Amiri" w:eastAsia="Amiri" w:cs="Amiri"/>
          <w:color w:val="111111"/>
          <w:sz w:val="28"/>
          <w:sz w:val="28"/>
          <w:szCs w:val="28"/>
          <w:rtl w:val="true"/>
          <w:lang w:bidi="ar-SA"/>
        </w:rPr>
        <w:t>عند عدمه وعدم موجود يصلح للعليّة إما ارتفاع النقيضين ،أو تحقق المعلول بلا علة ،أو استناد الوجود إلى العدم، والكل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عدم الفعل الذي هو علة لعدم الضد، وعدمُ كل شيء من الممكنات يصلحُ لأنْ يكون علّةً لشيء، فإما أن يكون الفعل ـ الذي كان عدمه معلولاً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أم لا، فإن قلتَ بوجوده لزمك القولُ بإسناد الوجود إلى العدم؛ لأنَّا فرضنا انتفاء ما يصلح للعلية في الممكنات كلها، وإن قلتَ بعدم وجود ذلك الفعل ـ الذي كان عدمه معلولاً ـ فإما أن تقولَ بتحقق ذلك العدم المعلول أم لا، فيلزمك على تقدير عدم التحقق ارتفاعُ النقيضين، وعلى التحقق تحققُ المعلول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بعد هذا بيانُ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في المسألةبناءً على اقتضاء الأمر النهيَ بنحو المقدمية قالوا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النهي فساد فعل الضد إذا كان واجباً تعبدياً لانتفاء الطلب عنه ؛ إذ العقل يمنع من اجتماع الأمر والنهي في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قيل بالفساد للنهي حتى على القول </w:t>
      </w:r>
      <w:r>
        <w:rPr>
          <w:rStyle w:val="FootnoteAnchor"/>
          <w:rtl w:val="true"/>
        </w:rPr>
        <w:footnoteReference w:id="147"/>
      </w:r>
      <w:r>
        <w:rPr>
          <w:rFonts w:ascii="Amiri" w:hAnsi="Amiri" w:eastAsia="Amiri" w:cs="Amiri"/>
          <w:color w:val="111111"/>
          <w:sz w:val="28"/>
          <w:sz w:val="28"/>
          <w:szCs w:val="28"/>
          <w:rtl w:val="true"/>
          <w:lang w:bidi="ar-SA"/>
        </w:rPr>
        <w:t>بإمكان اجتماع الأمر والنهي؛ إذ ليس المقام من موارد اجتماع الأمر والنهي المتنازع فيه؛ لعدم كون عنوان المقدمية مأموراً به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عنوانان اتفق تحققهما في وجود واحد، فإنَّ عنوان المقدمية في المقام ليس مما يتوقف عليه المطلوب، بل التوقف على نفس ترك الصلاة إذا كان ضدها مطلوباً فلا يجوز تعلّق الأمر بها للنهي عنها، فالمورد من موارد النهي في العبادات الموجب للفساد، لا من موارد مسألة اجتماع الأمر والنهي</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قيل </w:t>
      </w:r>
      <w:r>
        <w:rPr>
          <w:rStyle w:val="FootnoteAnchor"/>
          <w:rtl w:val="true"/>
        </w:rPr>
        <w:footnoteReference w:id="148"/>
      </w:r>
      <w:r>
        <w:rPr>
          <w:rFonts w:ascii="Amiri" w:hAnsi="Amiri" w:eastAsia="Amiri" w:cs="Amiri"/>
          <w:color w:val="111111"/>
          <w:sz w:val="28"/>
          <w:sz w:val="28"/>
          <w:szCs w:val="28"/>
          <w:rtl w:val="true"/>
          <w:lang w:bidi="ar-SA"/>
        </w:rPr>
        <w:t>بالفساد حتى لو منعت المقدمية ومنع النهي عنها؛ لامتناع الأمر بالصلاة مثلاً مع الأمر بإزالة النجاسة عن المسجد في وقت الصلاة عقلاً؛ لعدم جواز الأمر بالضدين فإِنَّ الأمر بالضد وإن لم يقتضِ النهي من ضده؛ لعدم المقدمية، لكنه يقتضي عدم الأمر به؛ لامتناع الأمر بإيجاد الضدين في زمان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عدم الفساد على القولين؛ لأنَّ النهي غيري فيجامع الأمر، لا نفسي حتى لا يجامع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واضحةُ الضعف كضعف القول بأنَّ ترك الضد إن لم يكن موصولاً لم يكن مطلوباً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بالصحة من وجهين آخرين 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الجهة في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جهة الأمر بالصلاة ـ ولا ريب في رجحانها ومحبوبيتها المُكْفيّةُ في التقرب وإنْ لم يؤمر بها؛ لمكان المزاحم أو المانع الخارجي،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المحبوبية غير أنَّ الأمر المزاحم اقتضى ارتفاع الأمر بها فعلاً مع بقاء ملاك الأمر فيها على حاله، فلا تُخْرِجَ لها عن الرجحان والمحبوبية وقابلية التقرّب بناءً على عدم اقتضاء الأمر النهيَ عن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w:t>
      </w:r>
      <w:r>
        <w:rPr>
          <w:rStyle w:val="FootnoteAnchor"/>
          <w:rtl w:val="true"/>
        </w:rPr>
        <w:footnoteReference w:id="149"/>
      </w:r>
      <w:r>
        <w:rPr>
          <w:rFonts w:ascii="Amiri" w:hAnsi="Amiri" w:eastAsia="Amiri" w:cs="Amiri"/>
          <w:color w:val="111111"/>
          <w:sz w:val="28"/>
          <w:sz w:val="28"/>
          <w:szCs w:val="28"/>
          <w:rtl w:val="true"/>
          <w:lang w:bidi="ar-SA"/>
        </w:rPr>
        <w:t>ضرورة أنَّ المولى لو أمر بإيجاد الصلاة مقارناً لترك الإزالة أوجب ذلك انبعاث المكلف لو علم بتحقق ذلك الترك في الآن المتصل بالآن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ذلك؛ لأنَّه لو صبر إلى أن يتحقق ذلك الترك لم تقع الصلاةُ بالعنوان الذي</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بها </w:t>
      </w:r>
      <w:r>
        <w:rPr>
          <w:rStyle w:val="FootnoteAnchor"/>
          <w:rtl w:val="true"/>
        </w:rPr>
        <w:footnoteReference w:id="150"/>
      </w:r>
      <w:r>
        <w:rPr>
          <w:rFonts w:ascii="Amiri" w:hAnsi="Amiri" w:eastAsia="Amiri" w:cs="Amiri"/>
          <w:color w:val="111111"/>
          <w:sz w:val="28"/>
          <w:sz w:val="28"/>
          <w:szCs w:val="28"/>
          <w:rtl w:val="true"/>
          <w:lang w:bidi="ar-SA"/>
        </w:rPr>
        <w:t xml:space="preserve">وهو المقارنة؛ لأنَّ المفروض أن الأمر بالصلاة مشروطٌ ومتفرٌع على عصيان الأمر الأول بالأهم أعني الإزالة مثلاً فلا أثر للأمر بالصلاة إلّا حال مقارنة الترك المشروط به بالخصوص، فلا يقتضي الإتيان بمتعلّقه على وجه الإطلاق حتى يلزم الالتزام بترك الإزالة؛ ضرورة كونه مشروطاً بأمرٍ خارجي أعني المقارنة لترك الأهم، فلو ترك المكلف الصلاة لعدم تحقق ترك الإزالة في الخارج لم يكن مخالفاً للأمر بالصلاة المشروطة بالترك الخارجي، كما أن الأمر المطلق بالأهم لا يقتضي إيجاد متعلّقه في طرف عدمه؛ لأنَّ الإرادة إذا تعلّقت بشيء من الأشياء كانت موجودة، ولا يمنع وجودُها تركَ المأمور به في الواقع أو فعله؛ لعدم مدخلية هذين الكونين في قدرة المكلف، وإذا كانت الإرادة مع كل هذين الكونين موجودةً، والأمرُ بالصلاة مشروطٌ بالترك الخارجي فلا يلزم من الأمر بالصلاة على هذا النحو وجودُ التكليف بالضدين، بل الأمر الأول بالأهم يقتضي عدم تحقق التكليف بالضدين، والأمرُ بغير الأهم يقتضي ايجاده على تقدير تحقق شرطه، فلا مانع عقلاً من الأمرين على هذا النحو من الترتب الذي لو امتثل المكلفُ الأمر بالأهم لم يكن عاصياً للأمر بغير الأهم؛ لأنَّ الامتثال للأهم يوجبُ عدم تحقق شرط الأمر بضده، ومن المعلوم أن عدمَ إتيان الواجب المشروط لعدم تحقق شرطه ليس مخالفة للأمر به بالضرورة، فلا يلزم من هذين الأمرين ـ اللذين أولهما مطلقٌ والآخر مشروطٌ على النحو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بما لا يطاق؛ لأنَّ ذلك إنما هو فيما إذا كان امتثال كلَّ منهما معصيةَ الآخر ، وهو في المقام غيرُ لازم بالضرورة، فلا بعث للمكلف على الجمع بين الضدين بوجهٍ من الوجوه، والذي يوضح ذلك أنه لو فرض ـ محالاً ـ صدور الضدين معاً من المكلف لم يقعا معاً على وجه الطلب، وإنما المطلوب حينئذٍ الأهم وحده لا آخر معه؛ لانتفاء شرط وجوب الضد الآخر ، ومتى ثبتَ إمكان الأمر بالضدين على النحو المذكور من الترتب وجبَ حمل الأمر بالصلاة في الفرع المذكور على الوجوب المشروط بترك الإزالة؛ لأنَّ المفروض أنَّ المقتضي لوجوب الصلاة بقولٍ مطلق موجودٌ، والمانع منحصرٌ</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بالأمر بما لا يطاق عند الأمر بالضدين، وقد انكشف أن التكليف بالضدين على نحو الترتب المذكور ليس من التكليف بما لا يطاق، فلا بدَّ أن يحكم العقل بتأثير مقتضي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الأمر بالضدين على نحو ما ذكر من الترتب رجعَ إلى الطلب المطلق بكلِّ منهما في زمان واحد؛ لأنَّ الأمر بإيجاد الضد مع الأمر بإيجاد ضده الآخر لا يخلو إمّا أن يكون الأمر بإيجاده مطلقاً في زمان الأمر بضده المطلق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يكون مشروطاً بترك الآخر ، والشرط إمّا أن يكون هو الترك الخارجي للضد الآخر أو هو كون المكلف بحيث يترك في علم الله، فإن كان الأمر بغير الأهم على النحو الأول من الإطلاق لزمَ التكليفُ بما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على نحو الأول من الاشتراط وكان الشرط نفس الترك الخارجي فلا مانع منه، ولا يصير مطلقاً إلا بعد تحقق الترك ومضي زمانه، لكنه خلاف فرض القول بالترتب؛ لأنَّ القائل بالترتب يقول بتحقق الأمرين في زمان واحد وإن كان على النحو الأخير من الاشتراط، فالأمر بغير الأهم يصيرُ مطلقاً في ظرف تحقق شرطه والمفروض وجود الأمر بالأهم أيضاً؛ لمكان إطلاقه، ففي زمان تحقق شرط غير الأهم يتحققُ اجتماع أمرين متعلّقين بضدين، كلُّ واحد منهما مطلقٌ، أمّا الإطلاق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 لأنَّه المفروض، وأمّا إطلاق </w:t>
      </w:r>
      <w:r>
        <w:rPr>
          <w:rStyle w:val="FootnoteAnchor"/>
          <w:rtl w:val="true"/>
        </w:rPr>
        <w:footnoteReference w:id="151"/>
      </w:r>
      <w:r>
        <w:rPr>
          <w:rFonts w:ascii="Amiri" w:hAnsi="Amiri" w:eastAsia="Amiri" w:cs="Amiri"/>
          <w:color w:val="111111"/>
          <w:sz w:val="28"/>
          <w:sz w:val="28"/>
          <w:szCs w:val="28"/>
          <w:rtl w:val="true"/>
          <w:lang w:bidi="ar-SA"/>
        </w:rPr>
        <w:t>ضده؛ فلأنَّ الأمر بالمشروط بعد تحقق شرطه يصير مطلقاً، فيلزمُ من الأمر به التكليف بما لا يطاق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 بما عرفت من انقضاء كلِّ من الأمرين، وعدم انقلاب المشروط مطلقاً في حال، والشرط هو الترك الخارجي لا العنوان المنتزع منه، ولا يلزم تأخير الطلب عن زمان الترك؛ لما عرفت من عدم اقتضاء الأمر المشروط إيجادَ متعلّقه بعد تحقق الشرط، فقد يقتضيه كذلك، وقد يقتضي مقارنة الفعل المشروط كما قررناه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ظهر كون الشرط نفس الترك الخارجي للضد، وأنه لا يلزم منه تأخير الطلب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زمان الترك، ففعلية </w:t>
      </w:r>
      <w:r>
        <w:rPr>
          <w:rStyle w:val="FootnoteAnchor"/>
          <w:rtl w:val="true"/>
        </w:rPr>
        <w:footnoteReference w:id="152"/>
      </w:r>
      <w:r>
        <w:rPr>
          <w:rFonts w:ascii="Amiri" w:hAnsi="Amiri" w:eastAsia="Amiri" w:cs="Amiri"/>
          <w:color w:val="111111"/>
          <w:sz w:val="28"/>
          <w:sz w:val="28"/>
          <w:szCs w:val="28"/>
          <w:rtl w:val="true"/>
          <w:lang w:bidi="ar-SA"/>
        </w:rPr>
        <w:t>الطلب المشروط لا ينافي بقاء الطلب المطلق الذي لا يقتضي إلّا عدم تحقق الترك الذي هو شرط لوجوب ضده، لا أنه يقتضي إيجاد الفعل في ظرف تحقق هذا الترك حتى يتوهم لزوم الأمر بما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وجه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الذي يحيله العقل من الأمر بالضدين فيما إذا كانا مضيّقين لا غير؛ للزوم الأمر بما لا يطاق، أمّا لو كان أحدهما موسعاً فلا مانع عند العقل من الأمر بهما </w:t>
      </w:r>
      <w:r>
        <w:rPr>
          <w:rStyle w:val="FootnoteAnchor"/>
          <w:rtl w:val="true"/>
        </w:rPr>
        <w:footnoteReference w:id="153"/>
      </w:r>
      <w:r>
        <w:rPr>
          <w:rFonts w:ascii="Amiri" w:hAnsi="Amiri" w:eastAsia="Amiri" w:cs="Amiri"/>
          <w:color w:val="111111"/>
          <w:sz w:val="28"/>
          <w:sz w:val="28"/>
          <w:szCs w:val="28"/>
          <w:rtl w:val="true"/>
          <w:lang w:bidi="ar-SA"/>
        </w:rPr>
        <w:t xml:space="preserve">،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انقذ هذا الغريق الساعةَ، وانقذ الآخر من الآن إلى الزوال،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 هذين من الآن إلى الزوال؛ فإن الوقت المضروب للواجب موسعٌ، والمطلوب إيجاد الواجب في طبيعة الوقت المحدود بالحدّين، فلا مانع من الأمر الفعلي بالصلاة في مجموع الوقت مع إيجاب الإزالة في أول الوقت، أمّا بناءٌ على كون التخيير في أجزاء الوقت المضروب عقلياً وعدم سراية الأمر بالطبيعة إلى الأفراد ففي غاية الوضوح، وأما بناءً على كون التخيير بين جزئيات الأزمنة شرعياً، أو بناءً على سراية حكم الطبيعة إلى الأفراد؛ فلعدم لزوم اللغوية في مثل فرع الصلاة والإزالة المفروض كون الفعل في نفسه مقدوراً، وليس من التخيير بين المقدور كإكرام زيد، وغير المقدور كالطيران إلى السماء حتى يكون قبيحاً، أقصاه حكم العقل بوجوب امتثال أمر آخر من الشارع، ولا يقدر مع الامتثال أن يأتي بالفعل الآخر، فلا لغوية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ثمرته أنَّ المكلف لو أراد أن يعصي الواجب المضيّق يقدرُ على إطاعة ّالواجب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التخييريكالأمر بالأشياء على سبيل التخيير كخصال الكفارة يقتضي عرفاً وصفَ كل واحد منها بالوجوب ،على معنى أنَّ المكلف لا يحل له الإخلال بالجميع، ولا يجبُ عليه الإتيان بالجميع، وأيّما فعل كان واجباً بأصل الشرع،والتعيين موكولٌ إلى اختيارالمكلَّف بالفتح،</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فعل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فيه الجمع كخصال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الثواب على فعل أمور، كلُ فعل منها واجبٌ مخيّرٌ، أي بإرادة المكلف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ما يقال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منها واحد من الأبدال لا بعينه غير معيّن عندنا، وهو معيّن عند الله تعالى، فهو باطلٌ؛ لأنَّ التعيين يقتضي إيجاب ذلك المعيّن عند الله وعدم جواز تركه؛ لأنَّ الواجب ليس إلَّا هذا، وقد وقع الاتفاق على جواز ترك كل واحد منها بفعل الآخر، ومعناه جواز ترك كل واحد بشرط الإتيان بالآخر، وذلك تناقضٌ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التخيير بين الأقل والأكثروإنه قد جاء التخيير بين الزائد والناقص في موارد معلومة، واختلفوا في وجوب الأكثر ، فقيل بالوجوب البدلي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والحقُّ عدم الوجوب؛ لإمتثال الأمر بالأقل، فليس الزائد على الأقل ببدل، والأقصر </w:t>
      </w:r>
      <w:r>
        <w:rPr>
          <w:rStyle w:val="FootnoteAnchor"/>
          <w:rtl w:val="true"/>
        </w:rPr>
        <w:footnoteReference w:id="157"/>
      </w:r>
      <w:r>
        <w:rPr>
          <w:rFonts w:ascii="Amiri" w:hAnsi="Amiri" w:eastAsia="Amiri" w:cs="Amiri"/>
          <w:color w:val="111111"/>
          <w:sz w:val="28"/>
          <w:sz w:val="28"/>
          <w:szCs w:val="28"/>
          <w:rtl w:val="true"/>
          <w:lang w:bidi="ar-SA"/>
        </w:rPr>
        <w:t>لا يدخل بالتمام؛ لمكان النية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كانت إرادة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لا يكونُ الزائد حينئذٍ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ندب مستحب </w:t>
      </w:r>
      <w:r>
        <w:rPr>
          <w:rStyle w:val="FootnoteAnchor"/>
          <w:rtl w:val="true"/>
        </w:rPr>
        <w:footnoteReference w:id="15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في الدفعي خاصة دون غيره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وأعلم أنه لا كلام في جواز الأمر بالفعل العبادي المساوي لوقته، وهو واقع، كوجوب صوم رمضان، ولا يجوز أن يكون وقت العبادة يقصر عن فعلها إلَّا أن يكون غرض الآمر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تنزيل الوقت الخارج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 كله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الواجب الموسع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أنه يجوز أن يكون بحيث يفضل منه، وهو الواجب الموسع، وهو ثابت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161"/>
      </w:r>
      <w:r>
        <w:rPr>
          <w:rFonts w:ascii="Amiri" w:hAnsi="Amiri" w:eastAsia="Amiri" w:cs="Amiri"/>
          <w:color w:val="111111"/>
          <w:sz w:val="28"/>
          <w:sz w:val="28"/>
          <w:szCs w:val="28"/>
          <w:rtl w:val="true"/>
          <w:lang w:bidi="ar-SA"/>
        </w:rPr>
        <w:t xml:space="preserve">، ومن المعلوم أنَّ ما بين الدلوك والغسق يفضَلُ من الصلاة؛ إذ ليس المراد تطبيق أجزاء الصلاة على أجزاء الوقت إجماعاً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وتخصيصُ آخر الوقت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الحنفية </w:t>
      </w:r>
      <w:r>
        <w:rPr>
          <w:rStyle w:val="FootnoteAnchor"/>
          <w:rtl w:val="true"/>
        </w:rPr>
        <w:footnoteReference w:id="163"/>
      </w:r>
      <w:r>
        <w:rPr>
          <w:rFonts w:ascii="Amiri" w:hAnsi="Amiri" w:eastAsia="Amiri" w:cs="Amiri"/>
          <w:color w:val="111111"/>
          <w:sz w:val="28"/>
          <w:sz w:val="28"/>
          <w:szCs w:val="28"/>
          <w:rtl w:val="true"/>
          <w:lang w:bidi="ar-SA"/>
        </w:rPr>
        <w:t xml:space="preserve">،أو أوله ـ كما عن المفيد </w:t>
      </w:r>
      <w:r>
        <w:rPr>
          <w:rStyle w:val="FootnoteAnchor"/>
          <w:rtl w:val="true"/>
        </w:rPr>
        <w:footnoteReference w:id="164"/>
      </w:r>
      <w:r>
        <w:rPr>
          <w:rFonts w:ascii="Amiri" w:hAnsi="Amiri" w:eastAsia="Amiri" w:cs="Amiri"/>
          <w:color w:val="111111"/>
          <w:sz w:val="28"/>
          <w:sz w:val="28"/>
          <w:szCs w:val="28"/>
          <w:rtl w:val="true"/>
          <w:lang w:bidi="ar-SA"/>
        </w:rPr>
        <w:t xml:space="preserve">وابن أبي عقيل </w:t>
      </w:r>
      <w:r>
        <w:rPr>
          <w:rStyle w:val="FootnoteAnchor"/>
          <w:rtl w:val="true"/>
        </w:rPr>
        <w:footnoteReference w:id="165"/>
      </w:r>
      <w:r>
        <w:rPr>
          <w:rFonts w:ascii="Amiri" w:hAnsi="Amiri" w:eastAsia="Amiri" w:cs="Amiri"/>
          <w:color w:val="111111"/>
          <w:sz w:val="28"/>
          <w:sz w:val="28"/>
          <w:szCs w:val="28"/>
          <w:rtl w:val="true"/>
          <w:lang w:bidi="ar-SA"/>
        </w:rPr>
        <w:t>ترجيحٌ من غير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الآخرين </w:t>
      </w:r>
      <w:r>
        <w:rPr>
          <w:rStyle w:val="FootnoteAnchor"/>
          <w:rtl w:val="true"/>
        </w:rPr>
        <w:footnoteReference w:id="166"/>
      </w:r>
      <w:r>
        <w:rPr>
          <w:rFonts w:ascii="Amiri" w:hAnsi="Amiri" w:eastAsia="Amiri" w:cs="Amiri"/>
          <w:color w:val="111111"/>
          <w:sz w:val="28"/>
          <w:sz w:val="28"/>
          <w:szCs w:val="28"/>
          <w:rtl w:val="true"/>
          <w:lang w:bidi="ar-SA"/>
        </w:rPr>
        <w:t xml:space="preserve">القول باستحقاق العقاب بالتأخر عن أول الوقت لكن جاء العفو عنه من الشارع بفعله في ثاني الوقت، وعن السيد المرتضى أنه يجب العزم في كل جزء من أجزاء الوقت على الفعل في ثاني الوقت؛ ليفصل عن المندوب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حاصل ؛ لأنَّ المندوب لا يجب فعله في جزء من أجزاء وقته، ومن تركه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لم يفعل في جزء من أجزائه لا يلزمُ له إثمٌ، بخلاف الواجب الموسع؛ فإنه لا يجوز تركه في جميع أجزاء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فات أول الوقت يكون الوجوب مراعى، فإن بقي المكلف سالماً كشفَ عن بقاء الوجوب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فات أول الوقت فاتَ شرط وجوبه ،ويكون فعله مندوباً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وبعضهم </w:t>
      </w:r>
      <w:r>
        <w:rPr>
          <w:rStyle w:val="FootnoteAnchor"/>
          <w:rtl w:val="true"/>
        </w:rPr>
        <w:footnoteReference w:id="170"/>
      </w:r>
      <w:r>
        <w:rPr>
          <w:rFonts w:ascii="Amiri" w:hAnsi="Amiri" w:eastAsia="Amiri" w:cs="Amiri"/>
          <w:color w:val="111111"/>
          <w:sz w:val="28"/>
          <w:sz w:val="28"/>
          <w:szCs w:val="28"/>
          <w:rtl w:val="true"/>
          <w:lang w:bidi="ar-SA"/>
        </w:rPr>
        <w:t>منع أن يفضل من الوقت بدعوى أنه يفضي إلى ترك الواجب، والتزم بتأويل ما جاء من صلاة الزلزلة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هذه الأقوال مخالفةٌ لظاهر الأمر الظاهر في كل وقته بمعنى التخيير في جميع أجزائه،فالكلُّ وقتٌ للامتثال وأيُّ زمان اختاره المكلف أجزأه فالتخيير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التخيير في الشيء تخيير في لوازمه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القول بجواز اتساع وقت العبادة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التخيير في الشيء تخييرٌ في لوازمه؛ للتلازم بين التخيير في اللوازم وبين اتساع الوقت كما هو ظاهر، فلو أخرَ المسافر صلاته حتى حضر أتمها مع اتساع الوقت لها، وإن لم يبق من الوقت إلَّا قدر فعل العبادة تعيّنَ عليه لا محالة وحرم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يتضيّق الموسع بظن الفوات ويثبت العصيان بالتأخير حتى لو انكشف خلاف ظنه على إشكال، بل منع، غير أنه متجه، وهو متجه، وهو أداء لا قضاء كما توهم، كما أنه لا عصيان مع ظنه بقاء الوقت فمات، وقيل بالعصيان في خصوص ما كان محدود الوقت دون غيره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تحكّمٌ</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الواجب الكفائي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تعلّق غرض الشارع بتحصيل الفعل من جماعة لا على سبيل الجمع، بل على سبيل البدل فهو الواجب الكفائي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أنه واجب على كل واحد على السواء؛ لأنَّهم لو تركوه جميعاً عوقبوا؛ حيث به قد أُمروا، ويسقط عنه بفعل غيره؛ لحصول المقصود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البعض فقط؛ لآية النفر </w:t>
      </w:r>
      <w:r>
        <w:rPr>
          <w:rStyle w:val="FootnoteAnchor"/>
          <w:rtl w:val="true"/>
        </w:rPr>
        <w:footnoteReference w:id="172"/>
      </w:r>
      <w:r>
        <w:rPr>
          <w:rFonts w:ascii="Amiri" w:hAnsi="Amiri" w:eastAsia="Amiri" w:cs="Amiri"/>
          <w:color w:val="111111"/>
          <w:sz w:val="28"/>
          <w:sz w:val="28"/>
          <w:szCs w:val="28"/>
          <w:rtl w:val="true"/>
          <w:lang w:bidi="ar-SA"/>
        </w:rPr>
        <w:t xml:space="preserve">، وهو غلط ؛ لأنَّها في بيان ما يسقطه عن الجميع وأضعف منه القول بوجوبه على المجموع </w:t>
      </w:r>
      <w:r>
        <w:rPr>
          <w:rStyle w:val="FootnoteAnchor"/>
          <w:rtl w:val="true"/>
        </w:rPr>
        <w:footnoteReference w:id="173"/>
      </w:r>
      <w:r>
        <w:rPr>
          <w:rFonts w:ascii="Amiri" w:hAnsi="Amiri" w:eastAsia="Amiri" w:cs="Amiri"/>
          <w:color w:val="111111"/>
          <w:sz w:val="28"/>
          <w:sz w:val="28"/>
          <w:szCs w:val="28"/>
          <w:rtl w:val="true"/>
          <w:lang w:bidi="ar-SA"/>
        </w:rPr>
        <w:t>؛ للزوم القصد على كل واحد حينئذٍ، وهو باطل، والإلزام بالنسخ 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ويقع الكلام في أنَّه هل متعلّق الطلب في التكليف الطبيعة أو الفرد في مقامات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النزاع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فاعلم أنه لّما كان متعلّق الطلب بوجوده الذهني،متعلقاً للطلب،و عروض الطلب لمتعلّقة إنمّا هو فی الذهن،اختلفوا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الاتفاق على لزوم اعتبار الوجود في متعلّق الطلب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أنَّ الوجود المعتبر لحاظه في متعلّق الطلب هل هو وجود الطبيعة أو وجود الفرد؟وبعبارة أخرى هل الطبيعة بوجودها الذهني متعلّقةٌ للطلب، أو الفرد بوجوده الذهني متعلّق للطلب؟ويظهر من بعض الاحتجاجات </w:t>
      </w:r>
      <w:r>
        <w:rPr>
          <w:rStyle w:val="FootnoteAnchor"/>
          <w:rtl w:val="true"/>
        </w:rPr>
        <w:footnoteReference w:id="174"/>
      </w:r>
      <w:r>
        <w:rPr>
          <w:rFonts w:ascii="Amiri" w:hAnsi="Amiri" w:eastAsia="Amiri" w:cs="Amiri"/>
          <w:color w:val="111111"/>
          <w:sz w:val="28"/>
          <w:sz w:val="28"/>
          <w:szCs w:val="28"/>
          <w:rtl w:val="true"/>
          <w:lang w:bidi="ar-SA"/>
        </w:rPr>
        <w:t xml:space="preserve">أنَّ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اعتبار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أشخاص الوجودات الخاصة، أو المعنى الواحد الجامع بين الوجودات؟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على أمور </w:t>
      </w:r>
      <w:r>
        <w:rPr>
          <w:rStyle w:val="FootnoteAnchor"/>
          <w:rtl w:val="true"/>
        </w:rPr>
        <w:footnoteReference w:id="175"/>
      </w:r>
      <w:r>
        <w:rPr>
          <w:rFonts w:ascii="Amiri" w:hAnsi="Amiri" w:eastAsia="Amiri" w:cs="Amiri"/>
          <w:color w:val="111111"/>
          <w:sz w:val="28"/>
          <w:sz w:val="28"/>
          <w:szCs w:val="28"/>
          <w:rtl w:val="true"/>
          <w:lang w:bidi="ar-SA"/>
        </w:rPr>
        <w:t xml:space="preserve">لا بدَّ منها </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الماهية من حيث هي هي غيرُ قابلة لتعلّق الطلب مطلقاً فعلاً وتركاً؛ ضرورة كونها بما هي هي ليست إلّا هي، فلا بدَّ أن يكون بلحاظ الوجود أو الترك معها مطلوبة ومتعلّقاً للإرادة سواء كان الغرض والمطلوب نفس الطبيعة بلحاظ الوجود أو أفرادها الملحوظ وجودها 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وظهر مما ذكرنا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اعتبارُ الوجود في متعلّق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لا يكون غاية في الطلب؛ لعدم إمكان تعلّق الطلب بنفس الماهية بما هي هي، فلا يتعلّق بها طلب حتى تكون الغاية في طلبها نفس الوجود أو الترك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الوجود الخارجي غايةٌ في الأمر بالماهية؛ لأنَّه طلب الوجود لها من المكلّف، فالأمر يبعث المكلّف على أنْ يُلبسَ الماهيةَ حلّةَ الوجود في الخارج، فالمطلوب صدور الوجود من المكلّف وحصوله للماهية في الخارج منه، لا طلب الوجود الحاصل؛ فإن ذلك تحصيل للحاصل، وهو غير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المضاف إليه الوجود في الخارج ليس إلّا الكلي الطبيعي، بل يمتنع إضافة الوجود في الخارج إلَّا إليه؛ لأنَّ فردية الفرد لا تتحقق إلَّا بعد اجتماع العناوين والحيثيات في الوجود، فيصيرُ بها فرداً ومجمعاً للعناوين ككونه جسماً وحيواناً وناطقاً، طويلاً أو قصيراً، أبيض أو أسود، وأمثال ذلك من الماهيات والعناوين، وبدونها لا فرد في الخارج، فإنكار وجود الكلي الطبيعي في الخارج ناشئ من عدم تحصيل فردية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يوصف بالكلية إلّا في الذهن كنفس الكلية المنتزعة من الماهية المتصورة في الذهن لا في الخارج، لكن معنى طلب الأمر الماهية المتعلّق بها الطلب هو أن يجعلها المكلف بنفسها في الخارج بناءً على أصالة الماهية، أو يطلب منه ان يُلبسها حلّة الوجود الخارجي، وأن يصدر منه وجودها الخارجي بناءً على أصالة الوجود، فالكلي الطبيعي إذا لبس حلة الوجود الخارجي صار فرداً، ولكن لوازم الوجود الخارجي لا مدخلية لها به ولا بما صار هو به محبوباً ؛ فإن الخصوصيات منها ما هو للماهية وبها تكون محبوبة، ومنها ما هي من لوازم الوجود الخارجي التي لا مدخلية لها بالكلي الطبيعي ولا بمحبوبيته وجوداً وعدماً لو أمكن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انفكاك الخصوصيات الخارجية والعوارض العينية التي للوجود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القائل بأن متعلّق الطلب الأفراد بأن الطبيعة لا توجد في الخارج، والوجود مختص بأفرادها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وجود الكلي الطبيعي في الخارج، وأنه هو الذي له الحظ في الوجود لاغیر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واحتج أيضاً بأن المقدور ليس إلّا الفرد، ولا يمكن تعلّق الطلب بغير المقدور كما هو ظاهر؛ ضرورة كون الطبيعة المجردة عن الخصوصيات لا يمكن تحققها في الخارج، فلا بدَّ من إيجاد الفرد مقدمةً لحصول الطبيعة في 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إذا قيدت بشرط عدم انضمامها بالخصوصيات لا تكون قابلة للوجود الخارجي، وإذا جردت عن هذا الاعتبار فتعلّق الضرورة بها ضروريٌ، وليس وجود الفرد مقدمة لوجود الطبيعة؛ لمكان اتحادهما في الخارج كما لا يخفى على أهل العلم بالمسألة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القائل بتعلّقه بأشخاص الوجودات الخاصة دون معنى الواحد الجامع بين الوجودات، بأنَّ الوجودات بأسرها متباينات ولا جامع لها حتى يمكن تعلّق الطلب به، فلا بدَّ أنْ يكون متعلّق الطلب الأشخاص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منع عدم الجامع بالوجدان؛ ضرورة تعلّق الإرادة بإيجاد الماء لرفع العطش من غير مدخلية خصوصيات الوجود في الإرادة، فكما أن متعلّق الطلب صرف الإيجاد أو صرف الترك، كذلك المتعلّق ذات الماهية المخصوصة ذات المصلحة من غير مدخلية للخصوصيات اللازمة للوجودات الخارجية وجوداً وعدماً لو أمكن انفكاكها كما تقدمت الإشارة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القائل بتعلّق الطلب بوجود الطبيعة، بأن طلب الشيء يتوقف على تصوره، والفرد لا يتصور إلَّا بعد تحققه؛ لأنَّ الصور الذهنية إنما تؤخذ من الخارج، فإذا لم يكن الفرد في الخارج لا يمكن إحاطة الذهن به فكل ما يحيط الذهن به قبل تحقق الفرد فهو كلي يمكن تقييده في الذهن بقيود عديدة بحيث يصير منحصراً في فرد واحد، ولا يخرج بذلك من كونه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كلياً قابلاً للصدق على كثيرين، وبعد التحقق في الخارج لا يكون متعلّقاً للطلب؛ لأنَّه تحصيل لما هو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التصور التفصيلي للمتعلّق ولا يتوقف الطلب على تصور تفصيلاً بل يكفي التصور الإجمالي ولو بالوجه والعنوان، وحينئذٍ لا يستحيل تصور الفرد قبل وقوعه بالوجه والعنوان ضرورة إمكان تصور أفراد الطبيعة بعنوان أنها أفراد لها، ولو لم يكن ذلك لما كان للنزاع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القائل بتعلّق الطلب بالمعنى الوحداني الجامع بين الأفراد، بأن وجود الشخص لا يدخل في الذهن، وإلا لانقلب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المتصور من الأشخاص صورها الذهنية الحاكية عن الخارج، لا بوصف تحققها في الخارج تكون متصورة في الذهن حتى يلزم الانقلاب، بل يكفي انتقاش صورها في الذهن، ويتعلّق الطلب بتلك الصورة الذهنية الحاكية عن الخارجيات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أيضاً بأن إمكان تصور الوجود الشخصي إنما يكون بعد تحققه، وإذا تحقق لا يمكن تعلّق الطلب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ما عرفت من كفاية التصور الإجمالي بالوجه وبالعنوان، وعدم توقف الطلب على التصور التفصيلي، فلا يستحيل تصور الفرد بوجهه؛ ضرورة إمكان تصور أفراد الطبيعة بعنوان أنها أفراد الطبيعة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الأظهر أنّ متعلّق الطلب صرف نفس الماهية باعتبار الوجود من دون مدخلية للوازم الوجودات الخارجية، والمطلوب في الأمر بها الوجود الخارجي على ما أو ضحناه في المقام الثاني فلا نعيد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وثمرة الخلاف في المسألةمنها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 التحريمية، فإنَّ القائل بتعلّق طلب الترك بالماهية لا يمكنه التمسك بالبراءة العقلية؛ للعلم بالنهي عن الطبيعة فلا يمكنه شرب مشكوك الخمرية بأصالة البراءة، بخلاف القائل بتعلّق النهي بالأفراد فيجري أصالة البراءة في هذا الفرد المشكوك ؛ لعدم العلم بحرمته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ارتكب المطلوب تركه، فإن كان المطلوب هو ترك الماهية فقد وجدت في الخارج وتحقق العصيانُ فلا عصيان بارتكابه ثانياً، وإن كان النهي متعلقاً بالأفراد فكل </w:t>
      </w:r>
      <w:r>
        <w:rPr>
          <w:rStyle w:val="FootnoteAnchor"/>
          <w:rtl w:val="true"/>
        </w:rPr>
        <w:footnoteReference w:id="176"/>
      </w:r>
      <w:r>
        <w:rPr>
          <w:rFonts w:ascii="Amiri" w:hAnsi="Amiri" w:eastAsia="Amiri" w:cs="Amiri"/>
          <w:color w:val="111111"/>
          <w:sz w:val="28"/>
          <w:sz w:val="28"/>
          <w:szCs w:val="28"/>
          <w:rtl w:val="true"/>
          <w:lang w:bidi="ar-SA"/>
        </w:rPr>
        <w:t>فردِ فرد إطاعة وعصيان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الماهية ينحل إلى مناهي متعددة بتعدد المصاديق، فهو رجوع إلى تعلّق النهي بالأفراد، وكذلك لو قلنا بدلالة النهي على طلب الترك في جميع الأزمان، فتأمل؛ فإنه يرجع إلى طلب ترك جميع وجودات الماهية، وهو معنى تعلّق الطلب بترك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الأمر بالشيء مع العلم بانتفاءشرطه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عِلْمُ الآمر بانتفاء شرط وجوبه؛ لحكم العقل بامتناعه؛ لأنَّه تكليف بغير المقدور؛ لتوقف وجوده على تمام علة الوجود ومنها الشرط، ولا فرق عندنا بين الممتنع بالذات والممتنع بالغير، وجوّزه الجبرية </w:t>
      </w:r>
      <w:r>
        <w:rPr>
          <w:rStyle w:val="FootnoteAnchor"/>
          <w:rtl w:val="true"/>
        </w:rPr>
        <w:footnoteReference w:id="178"/>
      </w:r>
      <w:r>
        <w:rPr>
          <w:rFonts w:ascii="Amiri" w:hAnsi="Amiri" w:eastAsia="Amiri" w:cs="Amiri"/>
          <w:color w:val="111111"/>
          <w:sz w:val="28"/>
          <w:sz w:val="28"/>
          <w:szCs w:val="28"/>
          <w:rtl w:val="true"/>
          <w:lang w:bidi="ar-SA"/>
        </w:rPr>
        <w:t>وكل من قال بأن القدرة مقارنة للفعل وهي غير مؤثرة فيه؛ لكونه واقعاً بقدرة الله، ولا يشك أنَّ التكليف بفعل الغير حال عدم القدرة عليه تكليفٌ</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لا يطاق، وهو قبيح بالضرورة، فالله سبحانه لا يفعل قبيحاً؛ لحكمته، فاستحال منه وقوع التكليف بالمحال، وأمرُ إبراهيمَ بالذبح لمحضِ الابتلاء ولم يكن الفعلُ مراداً منه، وإذا أُريد بالأمر مصالحُ أُخر غير الفعل فلا مانع منه ولا قبح فيه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انحصار الأمر بداعي طلب الفعل لا غير، باطلةٌ </w:t>
      </w:r>
      <w:r>
        <w:rPr>
          <w:rStyle w:val="FootnoteAnchor"/>
          <w:rtl w:val="true"/>
        </w:rPr>
        <w:footnoteReference w:id="179"/>
      </w:r>
      <w:r>
        <w:rPr>
          <w:rFonts w:ascii="Amiri" w:hAnsi="Amiri" w:eastAsia="Amiri" w:cs="Amiri"/>
          <w:color w:val="111111"/>
          <w:sz w:val="28"/>
          <w:sz w:val="28"/>
          <w:szCs w:val="28"/>
          <w:rtl w:val="true"/>
          <w:lang w:bidi="ar-SA"/>
        </w:rPr>
        <w:t xml:space="preserve">، بل يكون للامتحان وغيره، وهو أمر إنشائي غير أنه صوري لا واقعي بالنسبة إلى الفعل، ولا كلام لأهل العلم فيه، كما لا كلام في جواز إنشائه مع العلم بعدم بلوغه مرتبة الفعلية؛ لعدم شرطه، وهو كثير في الشرعيات والعرفيات فافهم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عدم بقاء الجواز بعد نسخ الوجوبلعدم وجود الجنس بلا فصل </w:t>
      </w:r>
      <w:r>
        <w:rPr>
          <w:rStyle w:val="FootnoteAnchor"/>
          <w:rtl w:val="true"/>
        </w:rPr>
        <w:footnoteReference w:id="181"/>
      </w:r>
      <w:r>
        <w:rPr>
          <w:rFonts w:ascii="Amiri" w:hAnsi="Amiri" w:eastAsia="Amiri" w:cs="Amiri"/>
          <w:color w:val="111111"/>
          <w:sz w:val="28"/>
          <w:sz w:val="28"/>
          <w:szCs w:val="28"/>
          <w:rtl w:val="true"/>
          <w:lang w:bidi="ar-SA"/>
        </w:rPr>
        <w:t>، ودعوى قيام فصل آخر مقامه ممنوعةٌ، فلا بدَّ لتعيين الجواز من دليل آخر في العبادات، ولا دلالة لدليلي الناسخ والمنسوخ على تعيين واحد من الأحكام بوجه من الوجوه لا الجواز ولا غيره، ولا مجرى لاستصحاب الجواز الكلي، وإنْ كان الحق جريانه في الشك في حدوث فرد كلي مقارنِ لارتفاع فرده الآخر، لكنه في المقام من الاستصحاب في الشك في تبدل حكم بحكمِ آخر ، فلا يصح؛ إذ الأحكام الخمسة متضادة، والجواز أحدها، وهو ضد الوجوب فلا يعد عرفاً ـ لو كان ـ أنه باقٍ، بل يعد أنه حادث آخر غيره، فلا مجرى لاستصحابه كما هو ظاهر</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القضاء بفرض جديدلعدم دلالة الأمر بالمؤقت على الأمر به في خارج الوقت، فالأصل براءة الذمة من وجوب القضاء في خارج الوقت </w:t>
      </w:r>
      <w:r>
        <w:rPr>
          <w:rStyle w:val="FootnoteAnchor"/>
          <w:rtl w:val="true"/>
        </w:rPr>
        <w:footnoteReference w:id="182"/>
      </w:r>
      <w:r>
        <w:rPr>
          <w:rFonts w:ascii="Amiri" w:hAnsi="Amiri" w:eastAsia="Amiri" w:cs="Amiri"/>
          <w:color w:val="111111"/>
          <w:sz w:val="28"/>
          <w:sz w:val="28"/>
          <w:szCs w:val="28"/>
          <w:rtl w:val="true"/>
          <w:lang w:bidi="ar-SA"/>
        </w:rPr>
        <w:t>، واستصحابُ وجوب المؤقت بعد انقضاء الوقت غلطٌ ظاهرٌ ، بل الأمر به ظاهرٌ في وحدة المطلوب؛ إذ يطلب الماهية المقيدة، وحيث لا قيد لا تقييد فلا 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كون وقت الفعل خارجاً لازم للفعل فلا يسقط بخروج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الوقت قيدٌ لازم به وإلَّا لجاز تقديم الفعل على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جاء دليل الواجب على الإطلاق، وكان التوقيت بدليل منفصل لم يفهم حينئذٍ طلب الماهية المقيدة؛ لإطلاق دليل الوجوب، فيكون وقت الفعل خارجاً لازماً له فلا يسقط بخروجالوقت؛ لظهور الدليلين في تعدد المطلوب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بالأمر بشيء أمر بهللتبادر واستقامة الطريقة في أمرهم الرسل في سائر الأوامر، ومنه في الكتاب العزيز والسنّة الكثيرة الظاهرة في غرض تبليغ الأمر بذلك الشيء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ودعوى </w:t>
      </w:r>
      <w:r>
        <w:rPr>
          <w:rStyle w:val="FootnoteAnchor"/>
          <w:rtl w:val="true"/>
        </w:rPr>
        <w:footnoteReference w:id="183"/>
      </w:r>
      <w:r>
        <w:rPr>
          <w:rFonts w:ascii="Amiri" w:hAnsi="Amiri" w:eastAsia="Amiri" w:cs="Amiri"/>
          <w:color w:val="111111"/>
          <w:sz w:val="28"/>
          <w:sz w:val="28"/>
          <w:szCs w:val="28"/>
          <w:rtl w:val="true"/>
          <w:lang w:bidi="ar-SA"/>
        </w:rPr>
        <w:t>عدم الدلالة إلَّا بقرينة، يكذّبها العيان والبرهان، بل لو أراد مجرد الأمر بالشيء من غير غرض في حصول ذلك الشيء، فلا بدَّ من ضم ما يدل على ذلك، وكذا لو أراد حصوله بعد تعلّق أمره به لا أصل حصوله احتاجَ إلى نصب قرينةٍ 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الإجزاء وعدمهلا كلام في سقوط الأمر بعد حصول متعلّقه سواء كان الأمر متعلقاً بالعناوين الواقعية الأولية أو بالعناوين الثانوية الطارئة كالعجز والاضطرار والشك في التكليف الواقعي وغير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ضرورة أنه لو كان باقياً بعد حصول متعلّقه لزمَ طلب الحاصل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في أنَّ الأمر الاضطراري الذي أوجبَ حكماً واقعياً في حال الاضطرار، هل يجزي عن الواقع الأولي؟ بمعنى أنه لو ارتفع الاضطرار في الوقت أو في خارجه لم يجب الإتيان بما اقتضاه الأمر الواقعي الأولي، أم لا؟وفيما لو انكشف خلاف ما ظنه المجتهد حكماً واقعياً فهل يجزي الحكم الظاهري الذي هو مؤدى ذلك الظن عن الحكم الواقعي حينئذ أم لا؟وتحقيق الكلام في الأمر الاضطراري </w:t>
      </w:r>
      <w:r>
        <w:rPr>
          <w:rStyle w:val="FootnoteAnchor"/>
          <w:rtl w:val="true"/>
        </w:rPr>
        <w:footnoteReference w:id="184"/>
      </w:r>
      <w:r>
        <w:rPr>
          <w:rFonts w:ascii="Amiri" w:hAnsi="Amiri" w:eastAsia="Amiri" w:cs="Amiri"/>
          <w:color w:val="111111"/>
          <w:sz w:val="28"/>
          <w:sz w:val="28"/>
          <w:szCs w:val="28"/>
          <w:rtl w:val="true"/>
          <w:lang w:bidi="ar-SA"/>
        </w:rPr>
        <w:t>هو أنه إن كانت المصلحة القائمة فيه مساوية لما في الاختياري ومن سنخ واحد لا مغايرة بينهما، كان إجزاؤه عن الأمر الواقعي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 فلا إجزاء وإن كان ذا مصلحة تامة كالاختياري؛ لتغايرهما فلا يكون مجزياً عن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 يكون </w:t>
      </w:r>
      <w:r>
        <w:rPr>
          <w:rStyle w:val="FootnoteAnchor"/>
          <w:rtl w:val="true"/>
        </w:rPr>
        <w:footnoteReference w:id="185"/>
      </w:r>
      <w:r>
        <w:rPr>
          <w:rFonts w:ascii="Amiri" w:hAnsi="Amiri" w:eastAsia="Amiri" w:cs="Amiri"/>
          <w:color w:val="111111"/>
          <w:sz w:val="28"/>
          <w:sz w:val="28"/>
          <w:szCs w:val="28"/>
          <w:rtl w:val="true"/>
          <w:lang w:bidi="ar-SA"/>
        </w:rPr>
        <w:t>تمامية مصلحة الفعل الاضطراري في الخارج موجباً لعدم إمكان استيفاء مصلحة الاختياري الأولي، أمّا مع عدم تمامية الغرض أو عدم تمامية المصلحة، فلا كلام في عدم الإجزاء؛ لإمكان استيفاء الزيادة بعد زوال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 المصلحة قد تكون مترتبة على الاضطرار الفعلي، وقد تكون على الاضطرار في تمام الوقت، وعلى الأول يجوز الإتيان بالفعل الاضطراري مع رجاء زوال العذر، بل حتى مع العلم بالزوال بعد ذلك، وعلى الثاني لا يجوز له ذلك، فلو أتى بالفعل في أول الوقت ثم ارتفع عذره في أثناء الوقت كشفَ عن عدم كونه مأموراً به؛ لأنَّ الفرض أن التكليف بالفعل لا يتعلّق إِلَّا على المضطر في تمام الوقت، فعلى الأول لا إعادة مع ارتفاع العذر في الوقت، والإعادة على الفرض الثاني؛ لكشف انقطاع العذر وعدم كون المأتي به متعلّقاً للأمر لا لعدم إجزاء امتثال الأمر في حال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الإعادة في الوقت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القضاء في خارجه فيسقط على كلا الفرضين إذا استوعب العذر تمام الوقت وارتفع العذر بعده،وأمّا مفاد الأدلة في أنحاء صور التكاليف فمحلّه الفقه، ومع الشك في ظواهر الأدلة في الإعادة والقضاء فالأصل البراءة؛ لكونه من الشك في التكليف والشك في الفوت؛ لاحتمال استيفاء العاجز المصلحة بإتيان الفعل الاضطراري وعدم إمكان الأمر الجديد بالقضاء في خارج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انكشف خلاف ظن المجتهد، فالأظهر عدم الإجزاء؛ لفوات الواقع الذي هو المطلوب ولا وجوب على غيره، أقصاه أن يعذر الجاهل الذي لا طريق له إلى فعل الواقع، فوجوب الواقع لا يرتفع بناءً على ما هو التحقيق من كون الأمارات طرقاً صرفة لا موضوعية لها، فالواقع بعدُ مطلوب وإلا لزمَ التصويب، والغرضُ الموجب للحكم حدوثاً موجب له بقاءً ما لم يحصل، والمفروض عدم حصوله؛ لعدم اشتمال الظن على ما يحصل ذلك الغرض الموجب للتكليف بالواقع، وأقصى ما فيها رفع تحيّر المكلف عند عدم العلم بالواقع، وعذره فيه مع عدم المخالفة، فلا وجه للإجزاء مع بقاء الأمر بالواقع وعدم حصول الغرض واستقلال العقل بعدم المعذورية مع العلم بالمكلف به الواقعي، ولا دليل على عدم إمكان استدراك ما فات من الواقع بمجرد فعل متعلّق الأمر الظاهري العذري، ولا فرق في عدم الإجزاء بين الشبهات الموضوعية أو الحكمية من موارد الأحكام الظاهرية؛ ضرورة علم المكلف بثبوت التكليف حين انكشاف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الإجزاء للأصل فاسدةٌ؛ لكون الشك في السقوط، فالأصل العقلي الاشتغال حتى عند القائل بالسببية في الأمارات؛ لأنَّه لا ينكر أنَّ الأحكام الظاهرية في طول الأحكام الواقعية لا في عرضها؛ لكون الموضوع فيها الشك في الواقع، فلا يمكن أن تكون رافعة للأحكام الواقعية حتى ينحصر الحكم الفعلي بمؤدى الظن أو الأصل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أنَّ الأصل البراءة في الشك في الإعادة والقضاء بعد أداء الفعل الاضطراري، فليكن الأصل هنا كذلك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 هناك بالبراءة؛ لأنَّ التكليف الواقعي في حق المضطر ليس إلّا ما فعله فلو كُلّف بالتمام كان تكليفاً جديداً غيره، فالأصل البراءة، بخلاف المقام؛ فإنَّ الواقع محفوظٌ حال الشك فيه والعمل بالحكم الظاهري، فإذا ارتفع الشك وانكشف الواقع المحفوظُ وشك في سقوطه، كانَ الأصل الاشتغال واستصحاب بقاء التكليف السابق، ولا مجرى لأصالة العدم على أنَّ التحقيق أنه لا مجرى للأصول بعد قيام الدليل الكاشف عن الواقع ُكما هو المفروض</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لامعة في النواهيالحقُّ أنَّ النهي ظاهرُ في التحريم عرفاً، والقولُ </w:t>
      </w:r>
      <w:r>
        <w:rPr>
          <w:rStyle w:val="FootnoteAnchor"/>
          <w:rtl w:val="true"/>
        </w:rPr>
        <w:footnoteReference w:id="186"/>
      </w:r>
      <w:r>
        <w:rPr>
          <w:rFonts w:ascii="Amiri" w:hAnsi="Amiri" w:eastAsia="Amiri" w:cs="Amiri"/>
          <w:color w:val="111111"/>
          <w:sz w:val="28"/>
          <w:sz w:val="28"/>
          <w:szCs w:val="28"/>
          <w:rtl w:val="true"/>
          <w:lang w:bidi="ar-SA"/>
        </w:rPr>
        <w:t xml:space="preserve">بظهوره في الكراهة، أو الاشتراك اللفظي بينهما </w:t>
      </w:r>
      <w:r>
        <w:rPr>
          <w:rStyle w:val="FootnoteAnchor"/>
          <w:rtl w:val="true"/>
        </w:rPr>
        <w:footnoteReference w:id="187"/>
      </w:r>
      <w:r>
        <w:rPr>
          <w:rFonts w:ascii="Amiri" w:hAnsi="Amiri" w:eastAsia="Amiri" w:cs="Amiri"/>
          <w:color w:val="111111"/>
          <w:sz w:val="28"/>
          <w:sz w:val="28"/>
          <w:szCs w:val="28"/>
          <w:rtl w:val="true"/>
          <w:lang w:bidi="ar-SA"/>
        </w:rPr>
        <w:t>، أو المعنوي خلافُ الظاهر جزماً وكذلك صيغة النهى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صيغة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في خصوص التحريم كما هو الأشهر </w:t>
      </w:r>
      <w:r>
        <w:rPr>
          <w:rStyle w:val="FootnoteAnchor"/>
          <w:rtl w:val="true"/>
        </w:rPr>
        <w:footnoteReference w:id="188"/>
      </w:r>
      <w:r>
        <w:rPr>
          <w:rFonts w:ascii="Amiri" w:hAnsi="Amiri" w:eastAsia="Amiri" w:cs="Amiri"/>
          <w:color w:val="111111"/>
          <w:sz w:val="28"/>
          <w:sz w:val="28"/>
          <w:szCs w:val="28"/>
          <w:rtl w:val="true"/>
          <w:lang w:bidi="ar-SA"/>
        </w:rPr>
        <w:t>، ومعناها ترك الفعل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الكف؛ لكون الترك عدمٌ ممتنع </w:t>
      </w:r>
      <w:r>
        <w:rPr>
          <w:rStyle w:val="FootnoteAnchor"/>
          <w:rtl w:val="true"/>
        </w:rPr>
        <w:footnoteReference w:id="189"/>
      </w:r>
      <w:r>
        <w:rPr>
          <w:rFonts w:ascii="Amiri" w:hAnsi="Amiri" w:eastAsia="Amiri" w:cs="Amiri"/>
          <w:color w:val="111111"/>
          <w:sz w:val="28"/>
          <w:sz w:val="28"/>
          <w:szCs w:val="28"/>
          <w:rtl w:val="true"/>
          <w:lang w:bidi="ar-SA"/>
        </w:rPr>
        <w:t>وفيه منعٌ؛ إذ لو تم لوجب نقيضه، ولا نتفى كلُّ طلب، مع أنَّه باعتبار القدرة على استمرار الترك يكون مقدوراً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دلالة النهي على التكرار خلافٌوالحقُّ أنه ليس للتكرار والدوام وضعاً </w:t>
      </w:r>
      <w:r>
        <w:rPr>
          <w:rStyle w:val="FootnoteAnchor"/>
          <w:rtl w:val="true"/>
        </w:rPr>
        <w:footnoteReference w:id="190"/>
      </w:r>
      <w:r>
        <w:rPr>
          <w:rFonts w:ascii="Amiri" w:hAnsi="Amiri" w:eastAsia="Amiri" w:cs="Amiri"/>
          <w:color w:val="111111"/>
          <w:sz w:val="28"/>
          <w:sz w:val="28"/>
          <w:szCs w:val="28"/>
          <w:rtl w:val="true"/>
          <w:lang w:bidi="ar-SA"/>
        </w:rPr>
        <w:t>لسبق الإطلاق إلى الذهن، ولصحة التقييد بالدوام وعدمه من غير تكرير ولا نقض، فلو شرط الإطلاق في ماهية الترك فلا كلام؛ للمنع عن إدخال الماهية في كل ما يوجد من أفرادها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اجتماع الأمر والنهيمع فرض وجود المندوحة للمكلف بأن يكون متمكناً من إيجاد عنوان </w:t>
      </w:r>
      <w:r>
        <w:rPr>
          <w:rStyle w:val="FootnoteAnchor"/>
          <w:rtl w:val="true"/>
        </w:rPr>
        <w:footnoteReference w:id="191"/>
      </w:r>
      <w:r>
        <w:rPr>
          <w:rFonts w:ascii="Amiri" w:hAnsi="Amiri" w:eastAsia="Amiri" w:cs="Amiri"/>
          <w:color w:val="111111"/>
          <w:sz w:val="28"/>
          <w:sz w:val="28"/>
          <w:szCs w:val="28"/>
          <w:rtl w:val="true"/>
          <w:lang w:bidi="ar-SA"/>
        </w:rPr>
        <w:t>المأمور به في غير مورد النهي</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النزاع في الصغرى، وهو أنه هل يلزم من بقاء إطلاق دليل الوجوب وإطلاق دليل النهي في مورد اجتماعهما اجتماعُ الأمر والنهي في الواحد الشخصي أم لا يلزم بأن يكون محل الأمر غيرَ محل النهي وإن اجتمعا في مصداق واحد شخصي؟ولا نزاع في الأمر والنهي بشيءٍ واحد بالجنس،وخروج المتباينين والمتساويين عن محل النزاع؛ لإمكان تعلّق الأمر بأحد المتباينين وتعلّق النهي بالآخر، وعدم إمكان ذلك في المتساويين في الصدق؛ لعدم المندوحة، فمحل النزاع في العامّين من وجه، وأمّا العام المطلق والخاص فاختلفوا في دخوله في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خروجه </w:t>
      </w:r>
      <w:r>
        <w:rPr>
          <w:rStyle w:val="FootnoteAnchor"/>
          <w:rtl w:val="true"/>
        </w:rPr>
        <w:footnoteReference w:id="192"/>
      </w:r>
      <w:r>
        <w:rPr>
          <w:rFonts w:ascii="Amiri" w:hAnsi="Amiri" w:eastAsia="Amiri" w:cs="Amiri"/>
          <w:color w:val="111111"/>
          <w:sz w:val="28"/>
          <w:sz w:val="28"/>
          <w:szCs w:val="28"/>
          <w:rtl w:val="true"/>
          <w:lang w:bidi="ar-SA"/>
        </w:rPr>
        <w:t>إذ المطلق يقتضي الأمر بالطبيعة، والمقيد يقتضي النهي عنها، وهي متحدة في عالم الذهن مع المقيد؛ لأَّنها مقسمٌ له وللمطلق، فيلزم أن يكون المحبوب مبغوضاً حتى في الذهن، وهذا غير معقول، بخلاف مفهوم الصلاة والغصب مثلاً، فإنه لا اتحاد بينهما في الذهن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ذلك فاعلم أنَّ التحقيق في الفرق بين هذه المسألة ومسألة النهي في العبادات، أنَّ النزاع في مسألتنا هذه في إمكان اجتماع ماهيتين إحداهما مطلوبة الفعل والأخرى مطلوبة الترك في شيء جامع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النهي في أنَّ النهي المتعلّق بفرد من أفراد الماهية المأمور بها هل يقتضي رفع الترخيص المستفاد من إطلاق الأمر بها أم لا؟والحقُّ في مسألتنا الإمكان وفاقاً لسيدنا الأستاذ </w:t>
      </w:r>
      <w:r>
        <w:rPr>
          <w:rStyle w:val="FootnoteAnchor"/>
          <w:rtl w:val="true"/>
        </w:rPr>
        <w:footnoteReference w:id="193"/>
      </w:r>
      <w:r>
        <w:rPr>
          <w:rFonts w:ascii="Amiri" w:hAnsi="Amiri" w:eastAsia="Amiri" w:cs="Amiri"/>
          <w:color w:val="111111"/>
          <w:sz w:val="28"/>
          <w:sz w:val="28"/>
          <w:szCs w:val="28"/>
          <w:rtl w:val="true"/>
          <w:lang w:bidi="ar-SA"/>
        </w:rPr>
        <w:t xml:space="preserve">لوجود المقتضي وفقدان المانع، أمّا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الأحكام إنما تتعلّق على الطبائع من حيث هي هي، كما يقتضيه وضع المادة والهيئة، وقضية الصلاة واجبة من قبيل القضايا النفس الأمرية كالإنسان موجود، لا القضايا الخارجية المأخوذ في موضوعها الوجود الخارجي</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القضايا النفس الأمرية لا بدَّ وأن يكون المحمول فيها من لوازم الموضوع بحيث لا ينفك عنه ذهناً ولا خارجاً، وليس المحمول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واجبة كذلك، فلا بدَّ وأنْ يكون من القضايا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بأنَّ هذا في القضية التي مفادها ثبوتُ شيء لشيء، وأمّا القضايا التي مفادها ثبوتُ شيٍءٍ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موجودٌ، فليس كذلك ؛ فإنَّ القولَ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الموجود في الخارج موجودٌ غيرُ معقول ؛ لاستلزامه تقدم الشيء على نفسه، وكونه موجوداً قبل وجوده ،وهذا باطل ببداهة العقل، والقضايا الشرعية ملحقةٌ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ـ أعني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أنه لا مانع من الجواز إلَّا ما زعم المانعُ من لزوم اجتماع الحكمين المتضادين، ولزوم اجتماع الحب والبغض والمصلحة والمفسدة في شيء واحد، وليس كما زعمه؛ لأنَّ عروض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كان أو 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لمتعلّقه إنما هو في الذهن لا في الخارج، واتصاف المحل به أيضاً في الذهن لا في الخارج كالكلية العارضة للإنسان، فإنه لايصير متصفاً بالكلية في الخارج، فالعروض في الذهن؛ لأنّها منتزعة من الماهية المتصورة في الذهن، واتصاف الماهية بالكلية في الذهن؛ لأنّها لا تقبل الكلية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عروض الطلب المتعلّقه واتصاف متعلّقه به في الخارج كالحرارة العارضة للنار والبرودة العارضة للماء لزمَ أنْ لا يتعلّق الطلب إلَّا بعد وجود متعلّقه كما أنّ الحرارة والبرودة لا توجدان إلّا بعد وجود النار والماء، فيلزم طلب الحاصل والنهي عن المتروك وهو محال، ولا يكون عروضه في الذهن واتصاف المحل به في الخارج كالأبوة والبنوة وأمثالهما من الانتزاعيات من المعقولات الثانوية؛ لأنَّ متعلّق الطلب إذا وجد في الخارج مسقطٌ للطلب، ويكون معدوماً له، ولا يعقل أن يتصف في الخارج بما هو يُعدم بسببه، فانحصر كونه على ما قررنا من أنَّ عروضه في الذهن واتصاف المحل به في الذهن أيضاً، فطبيعة الصلاة والغصب وإن كانتا موجودتين بوجود واحد أعني الحركة الشخصية المتحققة في الدار المغصوبة، لكنَّ متعلّق الأمر والنهي ليس الطبيعة الخارجية؛ لما عرفت من لزوم تحصيل الحاصل، بل متعلّقها الطبيعة بوجودها الذهني، لكن لا من حيث ملاحظة كونه وجوداً ذهنياً، بل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كونه حاكياً عن الخارج، وظاهرٌ أنَّ طبيعة الصلاة في الذهن غيرُ طبيعة الغصب في الذهن، فلا يلزم من وجود الأمر والنهي اجتماعهما في محل واحد؛ لورود الأمر والنهي على الحقيقتين المتعددتين بملاحظة الوجود الذهني المتحدتين بملاحظة الوجود الخارجي، والطلبُ العارض على الحقيقتين بوجودهما الذهني الحاكي عن الخارج لا يسري إلى أفرادهما الخارجية؛ لمكان المغايرة في اللحاظ التفصيلي؛لكون الطبيعة بلحاظ وجودها الذهني الحاكي جُعلت محمولاً، والوجودات الخاصة في الخارج موضوعاً ، فهما في هذا اللحاظ متغايران تغاير المحمول والموضوع فلا يسري الطلب القائم بالطبيعة إلى أفرادها، وجوباً كان أو تحريماً؛ لمكان المغايرة في هذا 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الوجود المجرد عن الخصوصيات متعلّق الحب والبغض، لزمَ أنْ يكون المحبوب والمبغوض ليس له وجود في الخارج، وما ليس له وجود في الخارج لا يكون له أثر ، ولا يكون متعلّقاً للأمر والنهي؛ لأنَّه عبارة عن الوجود الجامع الذي لا حظّ له إلَّا 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بوصف كونه جامعاً، لا يتحقق إلَّا في الذهن، لكنَّ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حظَّ له في الخارج غلطٌ؛ فإن المحبوب والمبغوض هي الحقيقة الواحدة التي يحدها العقل في الوجودات الشخصية التي يحويها طبيعة واحدة، أعني صرف الوجود من دون مدخلية للخصوصيات الفردية، كما قد يتعلّق حبنا أو بغضنا بشرب الماء من دون مدخلية الخصوصيات الخارجية في الحب والبغض، ولو لم تكن تلك الطبيعة في الخارج لما أمكننا تعلّق الحب بها، ويدلُّك على تحقق صرف الوجود في الخارج ملاحظةُ وحدة الأثر من أفراد الطبيعة الواحدة، ولو لم يكن ذلك الأثر الواحد من المؤثر الواحد لزمَ تأثيرٌ واحد من المتعدد، وهذا محال عقلاً، أوضحنا سابقاً وجود الكلي الطبيعي في الخارج بما لا مزيد عليه، فراجعه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والغصب من العناوين المنتزعة من الوجودات الخارجية، وليس لها وجود في الخارج حتى يجرد عن الخصوصيات ويكون المجرد مورداً للتكليف، فاللازم في مثلها القول بأنَّ مورد التكليف الوجود الخارجي الذي هو منشأ الانتزاع لتلك العناوين،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وحدة الوجود الخارجي الذي يكون منشاً للانتزاع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تعددُ العناوين مفهوماً لا يجدي في عدم لزوم اجتماع الأمر والنهي في واحد؛ لعدم الحقيقة لها إلَّا عند العقل، والذي يكون مورداً للأمر والنهي ليس إلَّا الوجود الخارجي الذي ينتزع منه عنوان الصلاة وعنوان الغصب، ولا شبهة في وحدته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أوضحنا صرف الوجود في الخارج فلا وجه لهذه الشبهة؛ فإنَّ العناوين المنتزعة لا تنتزع إلّا من صرف الوجود من غير ملاحظة الخصوصيات، فإنَّ مفهوم ضارب إنما ينتزع من ملاحظة حقيقة وجود الإنسان واتصافه بحقيقة وجود المبدأ، من دون دخل الخصوصيات أفراد الإنسان أو كيفيات الضرب في ذلك، فمفهوم الغصب ينتزع من حقيقة التصرّف في تلك العين، من دون مدخلية خصوصيات التصرّف من كونه من الأفعال الصلواتية أو غيرها في ذلك، ومفهوم الصلاة ينتزع من الحركات والأقوال الخاصة مع ملاحظة اتصافها ببعض الشرائط، من دون مدخلية خصوصية وقوعها في محلٌ خاص، وقد عرّفناك قابلية ورود الأمر والنهي على الحقيقتين المتعددتين بملاحظة الوجود الذهني المتحدين بملاحظة الوجود الخارجي، ولما كان منشأ انتزاع الصلاة والغصب متعدداً، وردَ الأمر والنهي وتعلّقا بما هو منشأ لانتزاعها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ظهر ما في كلام شيخنا العلّامة المرتضى قدس سرهُ   في بيان المانع من الاجتماع،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محذور إجتماع الضدين غيرُ منحصر في كون الشيء الواحد معروضاً وموضوعاً للضدين، بل هو أعم منه ومن كون الشيء مصداقاً للضدين، أو معروضاً لأحد الضدين ومصداقاً للآخر، إلَّا ترى أنه كما لا يعقل كون المحل الشخصي معروضاً للسواد والبياض، كذلك لا يعقل كونه مصداقاً للأسود والأبيض، ولا يعقل أيضاً كونه معروضاً للسواد ومصداقاً للأبيض، أو معروضاً للبياض ومصداقاً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فمقاماته يلزمُ في المقام على القول بكون الكلي متعلّقاً للأحكام هو اجتماع الضدين في محل واحد، بحيث يكون الشيء الواحد الشخصي معروضاً للوجوب والحرمة، وأمّا كون الشيء الواحد معروضاً للنهي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ومصداقاً للأمر على مذاقنا ومذاق صاحب الهداية </w:t>
      </w:r>
      <w:r>
        <w:rPr>
          <w:rStyle w:val="FootnoteAnchor"/>
          <w:rtl w:val="true"/>
        </w:rPr>
        <w:footnoteReference w:id="194"/>
      </w:r>
      <w:r>
        <w:rPr>
          <w:rFonts w:ascii="Amiri" w:hAnsi="Amiri" w:eastAsia="Amiri" w:cs="Amiri"/>
          <w:color w:val="111111"/>
          <w:sz w:val="28"/>
          <w:sz w:val="28"/>
          <w:szCs w:val="28"/>
          <w:rtl w:val="true"/>
          <w:lang w:bidi="ar-SA"/>
        </w:rPr>
        <w:t>، وكونه مصداقاً لهما على مذاق المحقق القمي القائل بتعلّق النهي أيضاً بالطبيعة، فلا محيص ولا مناص عنه في المقام، وهذا في نظر العقل غير معقول أيضاً كما نشاهده في الأبيض والأسود</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مقايسة المقام بمسألة الأبيض والأسود قياس مع الفارق موضوعاً ومحمولاً، أمّا موضوعاً؛ فلأن الموضوع في قضية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أبيض هو الجسم بلحاظ الخارج؛ لعدم عروض البياض والسواد إلّا في الخارج نظير ثبوت الحرارة للنار في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حارة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المقام؛ لما عرفت من عدم معقولية اعتبار الوجود في موضوع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كعدم معقولية ذلك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الموضوع هو الصلاة من حيث هي 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محمولاً؛ فلأن المحمول في القضية السابقة عروضه لموضوعه، وهو الجسم، ووقوعه علیه عروض ووقوع حلولي، بمعنى أنَّ عروضه له على نحو الاستقرار والثبوت، وليس هو بآني الحصول، بخلاف المحمول في قضيتنا؛ فإن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الطلب الذي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اللفظ الكاشف عن الإرادة النفسانية، أو عن الإرادة المنكشفة باللفظ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 على متعلّقه تعلّق صدوري بلحاظ، وتعلّق وقوعي بلحاظ آخر، كالضرب مثلاً، حيث إنَّ له أيضاً نسبة صدورية بالنسبة إلى الضارب، ونسبة وقوعية بالنسبة إلى المضروب وليس هو أمراً ثبوتياً حلولياً حالاً في محل الوقوع كحلول البياض والسواد في الجسم، ومن المعلوم أنَّ ذلك بملاحظة إضافته إلى الفاعل من حيث صدوره عنه أمر غيرُ قارّ لا تقرُّر له ليلزم اجتماع الأمر والنهي في محل واحد، كما أنه بلحاظ إضافته إلى فعل المكلف من حيث تعلّقه عليه لا تقرر له أيضاً؛ فتعلّق الأمر على الطبيعة والنهي على الفرد ليس نفوذياً كنفوذ البياض والسواد في الجسم؛ فلا يلزم من وجود الطبيعة في ضمن الفرد في الخارج اجتماعٌ كاجتماع اللونين في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جسم واحد، وإنْ فرض الكلام في أثر هذا الطلب الذي هو منبعث عنه ـ وهو حكم العقل بملاحظة الطلب بوجوب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أمر غير مستقل ليس له استقرار كاستقرار البياض والسواد في محلهما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ما ذكرت نفي المضادية بين الأحكام الخمسة، بل لازم ذلك تجويز الاجتماع فيما إذا كان الشيء الواحد معروضاً للحكمين، مع أنَّ عدمه ضروريٌ،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ننكر ذلك ولا نتحاشى منه؛ إذ عدم اجتماع الحكمين في محل واحد ليس محذوره منحصراً باجتماع الضدين، بل مستنده لزوم التكليف بالمحال، ولزوم اللغوية والعبثية في كلام الحكيم، وتسميتها بالأضداد ليست إلّا لمناسبة بينها وبين الأضداد في عدم إمكان الاجتماع، كيف وقد نرى عدم صدق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ضد عليها؛ إذ الضدان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عن الأمرين الوجوديين اللذين لا يمكن اجتماعهما في محل واحد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الأمرين الوجوديين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الأمران المستقيمان اللذان كان لها تقرير في الخارج، وكان عروضها عروض 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عدم لزوم التكليف بالمحال واللغوية والعبثية فيما إذا كان الشيء الواحد معروضاً لأحد الحكمين ومصداقاً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نعم،يلزم ذلك إذا كان هو معروضاً لهما وموضوعاً لهمابالخصوص؛ ولذا منعنا ذلك خاصة دون القسمين الأخيرين،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ما ذكرنا ما عدَّه المجوزون من الأدلة، وجعله سيدنا الأستاذقدس سرهُ </w:t>
      </w:r>
      <w:r>
        <w:rPr>
          <w:rStyle w:val="FootnoteAnchor"/>
          <w:rtl w:val="true"/>
        </w:rPr>
        <w:footnoteReference w:id="197"/>
      </w:r>
      <w:r>
        <w:rPr>
          <w:rFonts w:ascii="IRNazanin" w:hAnsi="IRNazanin" w:eastAsia="IRNazanin"/>
          <w:color w:val="111111"/>
          <w:sz w:val="28"/>
          <w:sz w:val="28"/>
          <w:szCs w:val="28"/>
          <w:rtl w:val="true"/>
          <w:lang w:bidi="fa-IR"/>
        </w:rPr>
        <w:t>من عمدتها،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إِذنَ الشارع الحكيم في العبادات المكروهة مع وجود المندوحة، سواءٌ كان المكروه بمعناه المصطلح أم غيره بأي معنى كان كاشفٌ عن أنَّ متعلّق الأحكام شيء لا يستلزم من اجتماع حكمين منها في محل اجتماع الضدين؛ فيستفاد من هذا أنَّ متعلّق الأحكام الطبائع من حیث هی هی وبطلان دعوى أنَّ الحكم بالجواز منافٍ لمذهب العدلية من تبعية الأحكام</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للمصلحة والمفسدة خصوصاً في العبادات؛ فإن المصلحة فيها لا تدرك إلّا بقصد التقرب والامتثال والإطاعة، وهي لا تحصلُ في ضمن الحرام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وجه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قلنا بتعلّق الأحكام بالطبائع ولم يلزم اجتماع المصلحة والمفسدة في محل واحد؛ لأنَّا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المتعلّق عليه الأمر حينئذٍ غير الموضوع المتعلّق عليه النهي؛ اذ موضوع الأمر ليس إلَا طبيعة الصلاة وليست فيها إلّا المصلحة الصرفة، وموضوع النهی ليس إلّا طبيعة الغصب وليست فيها إلّا المفسدة الصرفة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الموضوع الملفّق من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حصل بسوء اختيار المكلف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موضوعاً لأحد الخطابين ليعتبر وجود المصلحة والمفسدة فيه، بل لا يعقل فرضه موضوعاً مستقلاً للخطابين؛ إذ ليس فيه مزية بالنسبة إلى أصل الطبيعة إلّا في الوجود والعوارض والمشخصات التي هي من لوازم الماهية، وليس شيء منها صالحاً لكونه معروضاً لحكم آخر مجانس للحكم المتعلّق على الطبيعة أو مغاير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لوازم الماهيات فواضحةٌ ؛ لأنَّ الطلب المتعلّق عليها إن كان مجانساً للطلب المتعلّق على الطبيعة فيلزمُ تحصيل الحاصل وطلب الواجب، وإن مغايراً </w:t>
      </w:r>
      <w:r>
        <w:rPr>
          <w:rStyle w:val="FootnoteAnchor"/>
          <w:rtl w:val="true"/>
        </w:rPr>
        <w:footnoteReference w:id="198"/>
      </w:r>
      <w:r>
        <w:rPr>
          <w:rFonts w:ascii="Amiri" w:hAnsi="Amiri" w:eastAsia="Amiri" w:cs="Amiri"/>
          <w:color w:val="111111"/>
          <w:sz w:val="28"/>
          <w:sz w:val="28"/>
          <w:szCs w:val="28"/>
          <w:rtl w:val="true"/>
          <w:lang w:bidi="ar-SA"/>
        </w:rPr>
        <w:t>له فيلزمُ التكليفُ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الوجود علة غائية للطلب مقدمة عليه تصوراً ومتأخرة عليه وجوداً ـ فلا يعقل أخذها في موضوع الطلب الذي هو علة لوجودها في الخارج، وعلى هذا فالمكلف مدركٌ للمصلحة بواسطة الإتيان بطبيعة الصلاة، وواقعٌ في المفسدة بواسطة إيجاده الغصب، مطيعٌ من هذه الجهة وعاصٍ من تلك، محبوب من هذه ومبغوض من أخرى، كمن خلط عملاً صالحاً وآخر سيئاً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من الأصحاب </w:t>
      </w:r>
      <w:r>
        <w:rPr>
          <w:rStyle w:val="FootnoteAnchor"/>
          <w:rtl w:val="true"/>
        </w:rPr>
        <w:footnoteReference w:id="200"/>
      </w:r>
      <w:r>
        <w:rPr>
          <w:rFonts w:ascii="Amiri" w:hAnsi="Amiri" w:eastAsia="Amiri" w:cs="Amiri"/>
          <w:color w:val="111111"/>
          <w:sz w:val="28"/>
          <w:sz w:val="28"/>
          <w:szCs w:val="28"/>
          <w:rtl w:val="true"/>
          <w:lang w:bidi="ar-SA"/>
        </w:rPr>
        <w:t xml:space="preserve">من فرَع المسألة على أصالة الوجود وأصالة الماهية، وأنَّ الكلي </w:t>
      </w:r>
    </w:p>
    <w:p>
      <w:pPr>
        <w:pStyle w:val="BookText"/>
        <w:rPr/>
      </w:pPr>
      <w:r>
        <w:rPr>
          <w:rFonts w:ascii="Amiri" w:hAnsi="Amiri" w:eastAsia="Amiri" w:cs="Amiri"/>
          <w:color w:val="111111"/>
          <w:sz w:val="28"/>
          <w:sz w:val="28"/>
          <w:szCs w:val="28"/>
          <w:rtl w:val="true"/>
          <w:lang w:bidi="ar-SA"/>
        </w:rPr>
        <w:t>الطبيعي هل هو عين الأفراد أم لا؟ ومما ذكرنا من أنَّ الأمر إنما تعلّق بالماهية،والوجودُ غايةٌ، يُعلم أنه لا دخل لمسألتنا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هذه المسألة،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المتوسط في الأرض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أنه مأمور بالخروج لا لأنَّ الخروج محبوب حسنٌ؛ لكونه تخلصاً كما زعم </w:t>
      </w:r>
      <w:r>
        <w:rPr>
          <w:rStyle w:val="FootnoteAnchor"/>
          <w:rtl w:val="true"/>
        </w:rPr>
        <w:footnoteReference w:id="201"/>
      </w:r>
      <w:r>
        <w:rPr>
          <w:rFonts w:ascii="Amiri" w:hAnsi="Amiri" w:eastAsia="Amiri" w:cs="Amiri"/>
          <w:color w:val="111111"/>
          <w:sz w:val="28"/>
          <w:sz w:val="28"/>
          <w:szCs w:val="28"/>
          <w:rtl w:val="true"/>
          <w:lang w:bidi="ar-SA"/>
        </w:rPr>
        <w:t xml:space="preserve">، بل لمسألة الترتب، وارتكاب أقل المحذورين إذا كان محذور الوقوف أشدَّ من محذور الخروج، وإذا كان مأموراً بالخروج ـ ولو بهذا الاعتبار ـ فلا يعقل </w:t>
      </w:r>
      <w:r>
        <w:rPr>
          <w:rStyle w:val="FootnoteAnchor"/>
          <w:rtl w:val="true"/>
        </w:rPr>
        <w:footnoteReference w:id="202"/>
      </w:r>
      <w:r>
        <w:rPr>
          <w:rFonts w:ascii="Amiri" w:hAnsi="Amiri" w:eastAsia="Amiri" w:cs="Amiri"/>
          <w:color w:val="111111"/>
          <w:sz w:val="28"/>
          <w:sz w:val="28"/>
          <w:szCs w:val="28"/>
          <w:rtl w:val="true"/>
          <w:lang w:bidi="ar-SA"/>
        </w:rPr>
        <w:t>تعلّق النهي به حسبما عرفت، ولا يقع معصية أيضاً؛ لتوقف المعصية على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معاقب عليه؛ لأنَّه مبغوض ذاتاً، وقد أوقع نفسه في ذلك المبغوض الذاتي عمداً وعدواناً، كما هو الحكم في سائر موارد إيقاع النفس في المبغوض ذاتاً، وعلى هذا يكون صلاته حال الخروج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فروع أُخر تُعرف مما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المجوزون </w:t>
      </w:r>
      <w:r>
        <w:rPr>
          <w:rStyle w:val="FootnoteAnchor"/>
          <w:rtl w:val="true"/>
        </w:rPr>
        <w:footnoteReference w:id="20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يجز لما وقع نظيره، وقد وقع، كما في العبادات</w:t>
      </w:r>
    </w:p>
    <w:p>
      <w:pPr>
        <w:pStyle w:val="BookText"/>
        <w:rPr/>
      </w:pPr>
      <w:r>
        <w:rPr>
          <w:rFonts w:ascii="Amiri" w:hAnsi="Amiri" w:eastAsia="Amiri" w:cs="Amiri"/>
          <w:color w:val="111111"/>
          <w:sz w:val="28"/>
          <w:sz w:val="28"/>
          <w:szCs w:val="28"/>
          <w:rtl w:val="true"/>
          <w:lang w:bidi="ar-SA"/>
        </w:rPr>
        <w:t xml:space="preserve">المكروهة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الحمام </w:t>
      </w:r>
      <w:r>
        <w:rPr>
          <w:rStyle w:val="FootnoteAnchor"/>
          <w:rtl w:val="true"/>
        </w:rPr>
        <w:footnoteReference w:id="204"/>
      </w:r>
      <w:r>
        <w:rPr>
          <w:rFonts w:ascii="Amiri" w:hAnsi="Amiri" w:eastAsia="Amiri" w:cs="Amiri"/>
          <w:color w:val="111111"/>
          <w:sz w:val="28"/>
          <w:sz w:val="28"/>
          <w:szCs w:val="28"/>
          <w:rtl w:val="true"/>
          <w:lang w:bidi="ar-SA"/>
        </w:rPr>
        <w:t xml:space="preserve">ومواضع التهمة </w:t>
      </w:r>
      <w:r>
        <w:rPr>
          <w:rStyle w:val="FootnoteAnchor"/>
          <w:rtl w:val="true"/>
        </w:rPr>
        <w:footnoteReference w:id="205"/>
      </w:r>
      <w:r>
        <w:rPr>
          <w:rFonts w:ascii="IRNazanin" w:hAnsi="IRNazanin" w:eastAsia="IRNazanin"/>
          <w:color w:val="111111"/>
          <w:sz w:val="28"/>
          <w:sz w:val="28"/>
          <w:szCs w:val="28"/>
          <w:rtl w:val="true"/>
          <w:lang w:bidi="fa-IR"/>
        </w:rPr>
        <w:t xml:space="preserve">وأمثالهما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الاجتماع إلّا التضاد بين الوجوب والحرمة، وعدم كفاية </w:t>
      </w:r>
    </w:p>
    <w:p>
      <w:pPr>
        <w:pStyle w:val="BookText"/>
        <w:rPr/>
      </w:pPr>
      <w:r>
        <w:rPr>
          <w:rFonts w:ascii="Amiri" w:hAnsi="Amiri" w:eastAsia="Amiri" w:cs="Amiri"/>
          <w:color w:val="111111"/>
          <w:sz w:val="28"/>
          <w:sz w:val="28"/>
          <w:szCs w:val="28"/>
          <w:rtl w:val="true"/>
          <w:lang w:bidi="ar-SA"/>
        </w:rPr>
        <w:t>تعدد الجهة مع وحدة الوجود في الخارج، وهو موجود بعينه في اجتماع الكراهة مع الوجوب، واجتماع الوجوب مع الاستحباب؛ لأنَّ الأحكام متضادة، والتالي باطل؛ لوقوع الاجتماع في موارد لا تحصى، فيكشف وقوعها عن بطلان المقدم، وهو عدم جواز اجتماع الوجوب والحرمة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والتحقيقُ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العبادات المكروهة على ثلاثة أصناف؛ لأنّها قد يتعلّق النهی بعنوان آخر يكون بينه وبين العبادة عموم من وجه كالصلاة في مواضع التهمة، وقد يتعلّق النهي بتلك العبادة مع تقييدها بخصوصية، 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يكون للفرد المكروه بدلٌ كالصلاة في الحمام، وإمّا أنْ لا يكون له بدلٌ كالصوم يوم عاشوراء والنوافل المبتدأة في بعض الأوقات، فهذه ثلاثة أصناف ؛ أما الكلام على الصنف الأول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اجتمع عنوان الواجب مع المكروه وإن كانت جهة الكراهة تقتضي عدم تحقق كل فرد تعيّناً </w:t>
      </w:r>
      <w:r>
        <w:rPr>
          <w:rStyle w:val="FootnoteAnchor"/>
          <w:rtl w:val="true"/>
        </w:rPr>
        <w:footnoteReference w:id="207"/>
      </w:r>
      <w:r>
        <w:rPr>
          <w:rFonts w:ascii="Amiri" w:hAnsi="Amiri" w:eastAsia="Amiri" w:cs="Amiri"/>
          <w:color w:val="111111"/>
          <w:sz w:val="28"/>
          <w:sz w:val="28"/>
          <w:szCs w:val="28"/>
          <w:rtl w:val="true"/>
          <w:lang w:bidi="ar-SA"/>
        </w:rPr>
        <w:t xml:space="preserve">إلَّا أنها لما لم تكن مانعةً للفعل على وجه اللزوم، فلا يقاوم جهة الوجوب الملزمة للفعل؛ فإذا اجتمع عنوان الواجب مع المكروه فاللازمُ بحكم العقل انتفاء وصف الكراهة فعلاً، ولكن لَما كان الفرد الموجود الخارجي مشتملاً على جهة الكراهة مشتملاً على جهة الكراهة يوجدُ فيه حزازة؛ فيكون امتثال الواجب في هذا الفرد أقلَّ ثواباً من امتثاله في غيره؛ لمكان تلك الحزازة، فليست الكراهةُ في هذا الفعل ـ الذي هو مصداق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فعلاً </w:t>
      </w:r>
      <w:r>
        <w:rPr>
          <w:rStyle w:val="FootnoteAnchor"/>
          <w:rtl w:val="true"/>
        </w:rPr>
        <w:footnoteReference w:id="208"/>
      </w:r>
      <w:r>
        <w:rPr>
          <w:rFonts w:ascii="Amiri" w:hAnsi="Amiri" w:eastAsia="Amiri" w:cs="Amiri"/>
          <w:color w:val="111111"/>
          <w:sz w:val="28"/>
          <w:sz w:val="28"/>
          <w:szCs w:val="28"/>
          <w:rtl w:val="true"/>
          <w:lang w:bidi="ar-SA"/>
        </w:rPr>
        <w:t xml:space="preserve">، بل حكمٍ حيثيتي، نظير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فإطلاقُ دليل الكراهة على الوجود الذي يكون فعلاً مصداقاً للواجب؛لاتحاده معه نظيرُ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بالنسبة إلى الفرد الموطوء المجامع مع الحرام من الغنم،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اتحاده مع الواجب ـ يكون مكروهاً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الصنف </w:t>
      </w:r>
      <w:r>
        <w:rPr>
          <w:rStyle w:val="FootnoteAnchor"/>
          <w:rtl w:val="true"/>
        </w:rPr>
        <w:footnoteReference w:id="209"/>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إذا تعلّق النهي بالعبادة مع خصوصية زائدة كالصلاة في الحمام ـ فالنهيُ إمّا أن يرجع إلى نفس تلك الخصوصية بالخصوص، فهو لبيان الكراهة </w:t>
      </w:r>
    </w:p>
    <w:p>
      <w:pPr>
        <w:pStyle w:val="BookText"/>
        <w:rPr/>
      </w:pPr>
      <w:r>
        <w:rPr>
          <w:rFonts w:ascii="Amiri" w:hAnsi="Amiri" w:eastAsia="Amiri" w:cs="Amiri"/>
          <w:color w:val="111111"/>
          <w:sz w:val="28"/>
          <w:sz w:val="28"/>
          <w:szCs w:val="28"/>
          <w:rtl w:val="true"/>
          <w:lang w:bidi="ar-SA"/>
        </w:rPr>
        <w:t>الذاتية فيها وإن لم تكن الكراهة فعلية، فيكون هذا الفرد أقلَّ ثواباً من سائر الأفراد، والنهي حينئذٍ مولوي دال على الكراهة الشرعية بنحو القضية الطبيعية، وإمّا أن يفهم من النهي الإرشاد، وترغيب المكلف بإتيان فرد آخر خالٍ عن المنقصة، وتكون الكراهة حينئذٍ مستفادة منه بطريق الإنْ، وعلى التقديرين لا 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الصنف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للعبادة المنهي عنها بدلٌ كصوم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فالتحقيقُ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رجحان الترك أشدَّ من رجحان الفعل غلبَ جانب الكراهة وزال وصف الاستحباب، والحكم الفعلي هو الكراهة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وجه لِما قيل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إجزاء الغسل الواحد عن الجنابة والجمعة، إنما هو من اجتماع الواجب والمندوب في فرد واحد ، فهو من موارد جواز اجتماع الحكمين المتضادين، بل مطلقُ تداخل الأسباب حتى في منزوحات البئر ونحوها تدلُ على ذلك؛ لمنع صحة التداخل مع التماثل ومع التنافي؛ إذ الأصل في تعدد السبب يقتضي تعدد الطلب، وإذا قام دليل بالخصوص على كفاية غسل واحد عنهما فالموجود في الخارج من قبيل الصلاة في المسجد في كونه مصداقاً للواجب فقط مع أفضليته من سائر المصاديق من جهة اشتماله على جهة الاستحباب فلا يكون جامعاً للحكمين، بل للوجهين، فهما كمفهومين تصادقا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توافقا في الفرد أو تخالفا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فتغني نية الوجهين عن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إذا فهمنا تعدد الحقيقة في الغسلين فلا يكون مورد اجتماع الضدين، بل من قبيل إكرام العالم، واستحباب إكرام الهاشمي، ولو فهمنا وحدتهما حقيقة وقلنا بعدم كفاية غسل واحد عنهما فلا اجتماع أيضاً، ولو قلنا بكفاية الغسل الواحد فهو من تصادق المفهومين لا حكمين كما عرفت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إن شاء الله في مبحث مفهوم الشرط تحقيقُ القول في مسألة الأسباب والمسببات</w:t>
      </w:r>
      <w:r>
        <w:rPr>
          <w:rFonts w:eastAsia="Amiri" w:cs="Amiri" w:ascii="Amiri" w:hAnsi="Amiri"/>
          <w:color w:val="111111"/>
          <w:sz w:val="28"/>
          <w:szCs w:val="28"/>
          <w:rtl w:val="true"/>
          <w:lang w:bidi="ar-SA"/>
        </w:rPr>
        <w:t xml:space="preserve">. </w:t>
      </w:r>
      <w:bookmarkStart w:id="47" w:name="pg9229_140178"/>
    </w:p>
    <w:p>
      <w:pPr>
        <w:pStyle w:val="Heading2"/>
        <w:numPr>
          <w:ilvl w:val="1"/>
          <w:numId w:val="1"/>
        </w:numPr>
        <w:rPr/>
      </w:pPr>
      <w:bookmarkStart w:id="48" w:name="__RefHeading___Toc4247182_2870459653"/>
      <w:bookmarkStart w:id="49" w:name="_Toc15"/>
      <w:bookmarkEnd w:id="47"/>
      <w:bookmarkEnd w:id="48"/>
      <w:r>
        <w:rPr>
          <w:rtl w:val="true"/>
        </w:rPr>
        <w:t>احتج القائل بالامتناع</w:t>
      </w:r>
      <w:bookmarkEnd w:id="49"/>
    </w:p>
    <w:p>
      <w:pPr>
        <w:pStyle w:val="BookText"/>
        <w:rPr/>
      </w:pPr>
      <w:r>
        <w:rPr>
          <w:rFonts w:ascii="Amiri" w:hAnsi="Amiri" w:eastAsia="Amiri" w:cs="Amiri"/>
          <w:color w:val="111111"/>
          <w:sz w:val="28"/>
          <w:sz w:val="28"/>
          <w:szCs w:val="28"/>
          <w:rtl w:val="true"/>
          <w:lang w:bidi="ar-SA"/>
        </w:rPr>
        <w:t>بأنَّ تحقيق الامتناع يتوقف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تضادّ الأحكام بأسرها في مقام فعليتها ومرتبة واقعيتها، لا بوجوداتها الإنشائية من دون انقداح البعث والزجر والترخيص، نحو ما أنشئ وجوبه أو حرمته أو ترخيصه، فلا امتناع في اجتماع الإيجاب والتحريم في فعل واحد إنشاء من دون بعث نحوه وزجر عنه، ووضوحُ الامتناع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أنه لا تزاحم بين الجهات المقتضية لها إلّا في مرتبة فعليتها وواقعيتها، وأنه يمكن إنشاءُ حكمين اقتضائيين لفعل واحد وإن لم يمكن أن يصير فعلياً إلَّا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 تعلّق الأمر والنهي الفعليين بشيء واحد محالٌ، ولا يتوقف امتناعه على استحالة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أنَّ متعلّق الأحكام إنما هو الأفعال بهويتها وحقيقتها لا بأسمائها وعناوينها المنتزعة عنها، وإنما يكون أخذ اسمٍ أو عنوانٍ خاص في متعلّق الأمر والنهي؛ لأجل تحديد ما يتعلّق به أحدهما منها، وتعيّن </w:t>
      </w:r>
      <w:r>
        <w:rPr>
          <w:rStyle w:val="FootnoteAnchor"/>
          <w:rtl w:val="true"/>
        </w:rPr>
        <w:footnoteReference w:id="211"/>
      </w:r>
      <w:r>
        <w:rPr>
          <w:rFonts w:ascii="Amiri" w:hAnsi="Amiri" w:eastAsia="Amiri" w:cs="Amiri"/>
          <w:color w:val="111111"/>
          <w:sz w:val="28"/>
          <w:sz w:val="28"/>
          <w:szCs w:val="28"/>
          <w:rtl w:val="true"/>
          <w:lang w:bidi="ar-SA"/>
        </w:rPr>
        <w:t>مقداره؛ فلا ينثلم وحدة المتعلّق بحسب الهوية والحقيقة واقعاً بتعدد الاسم أوالعنوان، ولا تعدده كذلك بوحدتهما، فالحركة الخاصة الكذائية المحدودة بحدود معينة لا يتعدد إذا سميت باسمين أو انتزع عنها عنوانان من وجهين، كما أنَّ الحركتين الخاصتين اللتين تكون كل منهما محدودة بحدود معينة لا يصيران واحداً إذا سميتا باسم واحد،أو انتزع عنهما مفهوم واحد، وهذا من أوائل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إنما يتعلّق الأحكام في الأدلة بالأسامي والعنوانات بما هي حاكية عن المسميات والمعنونات وفانية فيها لا بما هي بنفسها، ومن الواضح أنه لا يتكثر المحكي والمرئي الواحد بتكثر الحاكي والمرآة، ولا يتحد المتكثر بوحدتهما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الطبيعتين اللتين يتعلّق بأحدهما الأمر وبالأخرى النهي إذا تصادقتا في مورد </w:t>
      </w:r>
    </w:p>
    <w:p>
      <w:pPr>
        <w:pStyle w:val="BookText"/>
        <w:rPr/>
      </w:pPr>
      <w:r>
        <w:rPr>
          <w:rFonts w:ascii="Amiri" w:hAnsi="Amiri" w:eastAsia="Amiri" w:cs="Amiri"/>
          <w:color w:val="111111"/>
          <w:sz w:val="28"/>
          <w:sz w:val="28"/>
          <w:szCs w:val="28"/>
          <w:rtl w:val="true"/>
          <w:lang w:bidi="ar-SA"/>
        </w:rPr>
        <w:t xml:space="preserve">يكشف عن أنهم ليستا بحاكيتين عن هويتين وحقيقتين مطلقاً، بل في غير مورد التصادق، وإلّا يلزم أن يكون لهويتين </w:t>
      </w:r>
      <w:r>
        <w:rPr>
          <w:rStyle w:val="FootnoteAnchor"/>
          <w:rtl w:val="true"/>
        </w:rPr>
        <w:footnoteReference w:id="212"/>
      </w:r>
      <w:r>
        <w:rPr>
          <w:rFonts w:ascii="Amiri" w:hAnsi="Amiri" w:eastAsia="Amiri" w:cs="Amiri"/>
          <w:color w:val="111111"/>
          <w:sz w:val="28"/>
          <w:sz w:val="28"/>
          <w:szCs w:val="28"/>
          <w:rtl w:val="true"/>
          <w:lang w:bidi="ar-SA"/>
        </w:rPr>
        <w:t>، ولا يكون لوجود واحد إلّا ماهية وحقيقة واحدة، ولا عن موجودين متغايرين في الخارج ولو كانا متحدين بحسب الحقيقة والماهية، كالضرب الواقع في الخارج تارةً ظلماً وأخرى تأديباً إِلَّا في غير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تعدد الوجه واختلاف الجهة المأخوذ في أصل عنوان المسألة لا يجدي شيئاً في مورد الاجتماع، لا تعدده بحسب الحقيقة والماهية، ولا بحسب الوجود في الخارج، بل هو واحد ماهيةً ووجوداً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يجدي تعدد ما يحكيه ويريه، وهو المرئي والمحكي ذاتاً ووجوداً؛ لما عرفت أنَّ متعلّقات الأحكام نفسُ الأفعال الخاصة المسماة بأسماء، المعنونات بعناوين متباينات أو متصادقات، مطلقاً أو في الجملة من غير تفاوت في ذلك بين القول بأصالة الوجود والقول بأصالة الماهية؛ لوحدة المورد ماهيةً ووجوداً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الطبيعة المأمور بها والطبيعة المنهي عنها وإنْ كان كلٌ منهما عنواناً للفعل الذي تعلق الأمر به والنهي، فهما مفهومان اعتباريان انتزعا عن الفعل المعنون بهما ولو قلنا بأصالة الماهية، وإلَّا فخصوص ما كان عنواناً منها؛ لبداهة اعتبارية المفاهيم التي ليس بأزائها شيءٌ في الخارج، ولا وجود لها إلّا بوجود ما انتزعت عنه، ولا موطن لها إلَّا الذهن اختصاص</w:t>
      </w:r>
      <w:r>
        <w:rPr>
          <w:rStyle w:val="FootnoteAnchor"/>
          <w:rtl w:val="true"/>
        </w:rPr>
        <w:footnoteReference w:id="213"/>
      </w:r>
      <w:r>
        <w:rPr>
          <w:rFonts w:ascii="Amiri" w:hAnsi="Amiri" w:eastAsia="Amiri" w:cs="Amiri"/>
          <w:color w:val="111111"/>
          <w:sz w:val="28"/>
          <w:sz w:val="28"/>
          <w:szCs w:val="28"/>
          <w:rtl w:val="true"/>
          <w:lang w:bidi="ar-SA"/>
        </w:rPr>
        <w:t xml:space="preserve">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بأصالة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بالحقائق الخارجية التي يكون بإزائها شيء في الخارج، ويكون لها موطن في الذهن والخارج، غاية الأمر تلزمهما الجزئية في الخارج، ويعرضهما الكلية تارةً والجزئية أخرى في الذهن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ظهر عدم ابتناء المسألة على القول بأصالة الوجود والماهية أصلاً كما تخيله </w:t>
      </w:r>
    </w:p>
    <w:p>
      <w:pPr>
        <w:pStyle w:val="BookText"/>
        <w:rPr/>
      </w:pPr>
      <w:r>
        <w:rPr>
          <w:rFonts w:ascii="IRNazanin" w:hAnsi="IRNazanin" w:eastAsia="IRNazanin"/>
          <w:color w:val="111111"/>
          <w:sz w:val="28"/>
          <w:sz w:val="28"/>
          <w:szCs w:val="28"/>
          <w:rtl w:val="true"/>
          <w:lang w:bidi="fa-IR"/>
        </w:rPr>
        <w:t xml:space="preserve">صاحب الفصول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والأصيل في مورد الاجتماع واحد وجوداً وماهيةً، فظهر مما بيناه أنَّ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لوحدته ذاتاً ووجوداً لما اتفق في هذا الأمر وكونه بنفسه متعلّقاً للحكم واقعاً وحقيقةً وإِنْ أخذ في الدليل اسمه أو عنوانه؛ لِما حقق في سابقه ـ لا يمكن أن يكون بالفعل واجباً وحراماً يبعث نحوه ويزجر عنه فعلاً؛ للتضاد بين الأحكام في هذا المقام، وإن لم يكن بينهما التضاد بحسب وجوداتها الإنشائية كما عرفت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تعلّق الأحكام بالطبائع لا الأفراد لا يرفع غائلة هذا التضاد في مورد الاجتماع؛ فإنَّ غاية تقريبه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الطبائع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ليست إلّا هي ولا يصلح لأن يتعلّق بها الأحكام كالآثار العادية والعقلية، إلّا أنها مقيدة بالوجود بحيث كان الوجود خارجاً والتقييد به داخلاً ـ صالحة لتعلّق الأحكام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متعلّق الأمر والنهي على هذا ليسا بمتحدتين أصلاً، لا في مقام تعلّق البعث والزجر ، ولا في مقام الامتثال لأحدهما وعصيان الآخر؛ فإتيان الآخر بإتيان المورد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الأول؛ فلبداهة تعددهما ومباينة أحدهما عن الآخر بما هو متعلّق الأمر أو النهي وإن اتحدا فيما هو خارج عنهما بما 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الثاني؛ فلسقوط أحدهما بالإطاعة والآخر بالعصيان بمجرد الإتيان، فأين اجتماعهما في واحد؟ وانتزاعُ ماهية كذا والمنهي كذا عنه إنما هو بمجرد كونه مما لا ينطبق عليه ما أُمر به ونُهي عنه، من دون أن يتعلّق به بنفسه البعث والزجر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يجدي 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ما يؤخذ في دليلهما من الاسم والعنوان لا يوجب يوجب تعدد ما هو المتعلّق لهما في مورد الاجتماع لا ماهية ولا وجوداً، بل الاسمان أو العنوانان حاكيان في هذا المورد عن واحد يكون متعلّقاً لهما حسب توسعة </w:t>
      </w:r>
    </w:p>
    <w:p>
      <w:pPr>
        <w:pStyle w:val="BookText"/>
        <w:rPr/>
      </w:pPr>
      <w:r>
        <w:rPr>
          <w:rFonts w:ascii="Amiri" w:hAnsi="Amiri" w:eastAsia="Amiri" w:cs="Amiri"/>
          <w:color w:val="111111"/>
          <w:sz w:val="28"/>
          <w:sz w:val="28"/>
          <w:szCs w:val="28"/>
          <w:rtl w:val="true"/>
          <w:lang w:bidi="ar-SA"/>
        </w:rPr>
        <w:t>متعلّقهما واقعاً بحيث يعمانه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الجدوى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لتخيّل أنَّ تعدد العنوان حاكِ عن تعدد المحكي ماهيةً وذاتاً مطلقاً ولو فيما اتحدا وجوداً كما في مورد التصادق، أو أنَّ تعدده كافٍ بأن يكون بنفسه متعلّقا للبعث أو الزجر لا بما هو 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ـ بما لا مزيد عليه ـ فسادهما، وأنَّ المورد الواحد واحد وجوداً وماهيةً، وأنَّ العنوان بما هو هو ليس إلا أمراً انتزاعياً لا وجود له إلا بوجود منشأ الانتزاع، ولا واقعية له بواقعيته، وليس ما يوجب البعث والطلب من الآثار المطلوبة والمبغوضة والصفات الحسنة والذميمة إلَّا في المنشأ دونه، فليس هو كذلك محكوماً بالأمر أو النهي، بل بما هو حاك؛ فيكون المأمور به أو المنهي عنه هو المحكي، وهذا فيما كان المأخوذ في الدليلين أو أحدهما من قبيل أسامي الماهيات أوضح من أنْ يخفى على الأوائل فضلاً عن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هذا التقريب يقتضى الجواز مطلقاً ولو كان العنوانان متساويين؛ لتعددهما في مقام البعث وسقوطهما بالإطاعة والعصيان بإتيان واحد من مصاديقهما، ولا يقول به القائل أيضاً، إلَّا أنْ يدعي أنه مما لا يقول به؛ لأنَّه طلب المحال حينئذ، لا من أجل أنَّ الطلب محال، فتدبر جيداً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حققناه ـ من كون العناوين بمعنوناتها تكون متعلقة للأحكام ـ كما في الأسماء بلا إشكال ولا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غائلة التضاد في مورد الاجتماع في نفس الطلب على حالها سواء قلنا بتعلّق الأحكام بالطبائع أو الأفراد ـ وقد عرفت بما لا مزيد عليه ـ أو بالاختلاف؛ فإنه على هذا يكون أفراد حقيقة واحدة متعلّقة للبعثين؛ إذ يكون الطبيعة المأمور بها ـ على سعتها بحسب الوجود بحيث لا يشذ عنها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للأمر، وإن كانت خصوصيات الأفراد ومشخصاتها خارجةً عنها بما هي مأمور بها، وكان بعض ما يسعها من الأفراد التي تكون بالفعل مبعوثاً إليها حسب قضية البعث إليها على سعتها الذي لازمه عقلا التنجيز فيها بما هي منهي عنها؛ فيكون هذا البعض بوجوده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وجود تلك الحقيقة والماهية من دون ملاحظة خصوصية ـ مبعوثاً إليها، وبما هو وجودها مع ملاحظة الخصوصية ممنوعاً </w:t>
      </w:r>
    </w:p>
    <w:p>
      <w:pPr>
        <w:pStyle w:val="BookText"/>
        <w:rPr/>
      </w:pPr>
      <w:r>
        <w:rPr>
          <w:rFonts w:ascii="Amiri" w:hAnsi="Amiri" w:eastAsia="Amiri" w:cs="Amiri"/>
          <w:color w:val="111111"/>
          <w:sz w:val="28"/>
          <w:sz w:val="28"/>
          <w:szCs w:val="28"/>
          <w:rtl w:val="true"/>
          <w:lang w:bidi="ar-SA"/>
        </w:rPr>
        <w:t xml:space="preserve">فعلاً، وملاحظة الخصوصية وعدم ملاحظتها لا توجب تعدده، بل هو واحد حقيقةً وماهيةً ووجوداً كما لا يخفى على من له أدنى التفات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لمن تدبر فيما قدمناه من حجة الجواز مواضع للنظر؛ فإن قوله في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الأوامر والنواهي إنما هو الأفعال بهوياتها وحقائقها غير معقول؛ لما عرفت من لزوم طلب الحاصل إذا كان تعقل </w:t>
      </w:r>
      <w:r>
        <w:rPr>
          <w:rStyle w:val="FootnoteAnchor"/>
          <w:rtl w:val="true"/>
        </w:rPr>
        <w:footnoteReference w:id="216"/>
      </w:r>
      <w:r>
        <w:rPr>
          <w:rFonts w:ascii="Amiri" w:hAnsi="Amiri" w:eastAsia="Amiri" w:cs="Amiri"/>
          <w:color w:val="111111"/>
          <w:sz w:val="28"/>
          <w:sz w:val="28"/>
          <w:szCs w:val="28"/>
          <w:rtl w:val="true"/>
          <w:lang w:bidi="ar-SA"/>
        </w:rPr>
        <w:t xml:space="preserve">الطلب بنفس الحقيقة الخارجية، ولا دافع لهذه المفسدة إلا التزام </w:t>
      </w:r>
      <w:r>
        <w:rPr>
          <w:rStyle w:val="FootnoteAnchor"/>
          <w:rtl w:val="true"/>
        </w:rPr>
        <w:footnoteReference w:id="217"/>
      </w:r>
      <w:r>
        <w:rPr>
          <w:rFonts w:ascii="Amiri" w:hAnsi="Amiri" w:eastAsia="Amiri" w:cs="Amiri"/>
          <w:color w:val="111111"/>
          <w:sz w:val="28"/>
          <w:sz w:val="28"/>
          <w:szCs w:val="28"/>
          <w:rtl w:val="true"/>
          <w:lang w:bidi="ar-SA"/>
        </w:rPr>
        <w:t>بكون متعلّق التكاليف الصور الذهنية من حيث حكايتها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أكثر تكراره ـ من عدم تعلّق الأحكام بصرف الأسماء ـ فهو من أوضح الواضحات التي لا يتوهمها أحد ؛ لأنّها ألفاظ كاشفة عن معانيها، والمجوز إنما يقول بتعلّق التكاليف بالمفاهيم المتعلّقة في الذهن باعتبار حكايتها عن الخارج كما أوضحناه بما لا مزيد عليه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وحدة مورد تصادق العناوين فإن أراد عدم كونها متميزة بعضها مع بعض في الخارج فهو من أبده ،البديهيات، وإن أراد عدم تحقق لها في نفس الأمر ـ بمعنى كونها صوراً ذهنية لا واقعية لها ـ فهو مقطوع البطلان، ويكفي في تعلّق التكاليف بتلك العناوين تحققها في نفس الأمر على ما ذكرناه، فتأمله؛ فإنه دقيق يكشف للمتأمل فيه ضعف هذه الشبهة والتوهمات، ويوضح الجواز بما لا شبهة فيه ولا إشكال</w:t>
      </w:r>
      <w:r>
        <w:rPr>
          <w:rFonts w:eastAsia="Amiri" w:cs="Amiri" w:ascii="Amiri" w:hAnsi="Amiri"/>
          <w:color w:val="111111"/>
          <w:sz w:val="28"/>
          <w:szCs w:val="28"/>
          <w:rtl w:val="true"/>
          <w:lang w:bidi="ar-SA"/>
        </w:rPr>
        <w:t xml:space="preserve">. </w:t>
      </w:r>
      <w:bookmarkStart w:id="50" w:name="pg9229_140189"/>
    </w:p>
    <w:p>
      <w:pPr>
        <w:pStyle w:val="Heading2"/>
        <w:numPr>
          <w:ilvl w:val="1"/>
          <w:numId w:val="1"/>
        </w:numPr>
        <w:rPr/>
      </w:pPr>
      <w:bookmarkStart w:id="51" w:name="__RefHeading___Toc4247184_2870459653"/>
      <w:bookmarkStart w:id="52" w:name="_Toc16"/>
      <w:bookmarkEnd w:id="50"/>
      <w:bookmarkEnd w:id="51"/>
      <w:r>
        <w:rPr>
          <w:rtl w:val="true"/>
        </w:rPr>
        <w:t>في اقتضاء النهي الفساد</w:t>
      </w:r>
      <w:bookmarkEnd w:id="52"/>
    </w:p>
    <w:p>
      <w:pPr>
        <w:pStyle w:val="BookText"/>
        <w:rPr/>
      </w:pPr>
      <w:r>
        <w:rPr>
          <w:rFonts w:ascii="Amiri" w:hAnsi="Amiri" w:eastAsia="Amiri" w:cs="Amiri"/>
          <w:color w:val="111111"/>
          <w:sz w:val="28"/>
          <w:sz w:val="28"/>
          <w:szCs w:val="28"/>
          <w:rtl w:val="true"/>
          <w:lang w:bidi="ar-SA"/>
        </w:rPr>
        <w:t xml:space="preserve">الحقُّ، اقتضاء النهي المتعلّق بالعبادة نفسها الفساد؛ لدلالة النهي على حرمتها الذاتية، فلا تجتمع الصحة ـ بأي معنى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الحرمة فالنهي عن صوم العيدين نهي عن نفس العبادة،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أمر به كان عبادةً كصوم سائر الأيام المشروطة بالقربة، وربما كان المنهي عنه هو عبادة فعلاً كنهي الحائض عن السجود والركوع </w:t>
      </w:r>
      <w:r>
        <w:rPr>
          <w:rStyle w:val="FootnoteAnchor"/>
          <w:rtl w:val="true"/>
        </w:rPr>
        <w:footnoteReference w:id="218"/>
      </w:r>
      <w:r>
        <w:rPr>
          <w:rFonts w:ascii="Amiri" w:hAnsi="Amiri" w:eastAsia="Amiri" w:cs="Amiri"/>
          <w:color w:val="111111"/>
          <w:sz w:val="28"/>
          <w:sz w:val="28"/>
          <w:szCs w:val="28"/>
          <w:rtl w:val="true"/>
          <w:lang w:bidi="ar-SA"/>
        </w:rPr>
        <w:t>اللذين هما ذاتاً عبادة فتكون محرمة فعلا مع كونها عبادة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فساد العبادة بالنهي عنها نفسها أو عن جزئها العبادي مع الاقتصار عليه لا مع إمكان الإتيان بغير المنهي عنه، وكذا الشرط العبادي المنهي عنه إذا استلزم فساد العبادة المشروطة به، وأما النهي عما لم يكن عبادة فلا اقتضاء له للفساد، فلا ملازمة بين حرمته وفساده لا لغةً ولا عرفاً، فحصر السبب في الشرع لو أوجب مبغوضية المسبب لا يوجبُ فساده وعدم ترتب الأثر الوضعي عليه؛ لعدم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النهي على حرمة السبب العقلي بحيث لا يكاد يحرم مع صحتها كما لو نهى عن ترتب الأثر من أكل الثمن أو المثمن؛ فيدل على فساد ما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وضع النهي للفساد مطلقاً شرعاً وعرفاً ممنوعةٌ، كدعوى كونه حقيقةً شرعيةً في الفساد لقبول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الاتفاق ممنوعةٌ، ولا دليلية في فعلهم، وكون التحريم عن حكمة لا يقتضي الحكم بالفساد وإن اقتضاه ترجيح الترك، لكن لو فعل بالأثر الوضعي تابع له بلا ريب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الاتفاق على حمل المطلق على المقيد لا ينافي الاختلاف في مسألة دلالة النهي على فساد المنهي عنه ؛ إذ الكلام هنا في إحراز الموضوع والمصداق، وفي تلك في بيان الحكم بعد إحراز الموضوع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وزعم بعض مشايخنا </w:t>
      </w:r>
      <w:r>
        <w:rPr>
          <w:rStyle w:val="FootnoteAnchor"/>
          <w:rtl w:val="true"/>
        </w:rPr>
        <w:footnoteReference w:id="219"/>
      </w:r>
      <w:r>
        <w:rPr>
          <w:rFonts w:ascii="Amiri" w:hAnsi="Amiri" w:eastAsia="Amiri" w:cs="Amiri"/>
          <w:color w:val="111111"/>
          <w:sz w:val="28"/>
          <w:sz w:val="28"/>
          <w:szCs w:val="28"/>
          <w:rtl w:val="true"/>
          <w:lang w:bidi="ar-SA"/>
        </w:rPr>
        <w:t>أنّ النزاع هنا راجع إلى أنه هل المسألة من مصاديق مسألة اجتماع الأمر والنهي أم من مصاديق بناء المطلق على المقيد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هل يتعلّق بذات الشيء فيكون من مصاديق تلك المسألة، أم يتعلّق بوصفه الخارجي فيكون من مصاديق هذه؟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أفراد مسألة دلالة النهي على الفساد صورة تعلّق النهي بنفس الشيء، أي بذاته، بل هذا الفرد هو الأصل في هذا النزاع، والبواقي راجعة إليه</w:t>
      </w:r>
      <w:r>
        <w:rPr>
          <w:rFonts w:eastAsia="Amiri" w:cs="Amiri" w:ascii="Amiri" w:hAnsi="Amiri"/>
          <w:color w:val="111111"/>
          <w:sz w:val="28"/>
          <w:szCs w:val="28"/>
          <w:rtl w:val="true"/>
          <w:lang w:bidi="ar-SA"/>
        </w:rPr>
        <w:t xml:space="preserve">. </w:t>
      </w:r>
      <w:bookmarkStart w:id="53" w:name="pg9229_140194"/>
    </w:p>
    <w:p>
      <w:pPr>
        <w:pStyle w:val="Heading2"/>
        <w:numPr>
          <w:ilvl w:val="1"/>
          <w:numId w:val="1"/>
        </w:numPr>
        <w:rPr/>
      </w:pPr>
      <w:bookmarkStart w:id="54" w:name="__RefHeading___Toc4247186_2870459653"/>
      <w:bookmarkStart w:id="55" w:name="_Toc17"/>
      <w:bookmarkEnd w:id="53"/>
      <w:bookmarkEnd w:id="54"/>
      <w:r>
        <w:rPr>
          <w:rtl w:val="true"/>
        </w:rPr>
        <w:t>لامعةٌ في معنى النص، والظاهر، والمؤول، والمنطوق، والمفهوم</w:t>
      </w:r>
      <w:bookmarkEnd w:id="55"/>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يحتمل سوى المعنى الذي عليه دلَّ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هو الواضح </w:t>
      </w:r>
      <w:r>
        <w:rPr>
          <w:rStyle w:val="FootnoteAnchor"/>
          <w:rtl w:val="true"/>
        </w:rPr>
        <w:footnoteReference w:id="221"/>
      </w:r>
      <w:r>
        <w:rPr>
          <w:rFonts w:ascii="Amiri" w:hAnsi="Amiri" w:eastAsia="Amiri" w:cs="Amiri"/>
          <w:color w:val="111111"/>
          <w:sz w:val="28"/>
          <w:sz w:val="28"/>
          <w:szCs w:val="28"/>
          <w:rtl w:val="true"/>
          <w:lang w:bidi="ar-SA"/>
        </w:rPr>
        <w:t xml:space="preserve">، وفي الاصطلاح الراجح مع احتمال غير </w:t>
      </w:r>
      <w:r>
        <w:rPr>
          <w:rStyle w:val="FootnoteAnchor"/>
          <w:rtl w:val="true"/>
        </w:rPr>
        <w:footnoteReference w:id="222"/>
      </w:r>
      <w:r>
        <w:rPr>
          <w:rFonts w:ascii="Amiri" w:hAnsi="Amiri" w:eastAsia="Amiri" w:cs="Amiri"/>
          <w:color w:val="111111"/>
          <w:sz w:val="28"/>
          <w:sz w:val="28"/>
          <w:szCs w:val="28"/>
          <w:rtl w:val="true"/>
          <w:lang w:bidi="ar-SA"/>
        </w:rPr>
        <w:t xml:space="preserve">،وهو دليل شرعي يجب اتباعه والعمل به بالاتفاق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يؤول إذا رجع </w:t>
      </w:r>
      <w:r>
        <w:rPr>
          <w:rStyle w:val="FootnoteAnchor"/>
          <w:rtl w:val="true"/>
        </w:rPr>
        <w:footnoteReference w:id="224"/>
      </w:r>
      <w:r>
        <w:rPr>
          <w:rFonts w:ascii="Amiri" w:hAnsi="Amiri" w:eastAsia="Amiri" w:cs="Amiri"/>
          <w:color w:val="111111"/>
          <w:sz w:val="28"/>
          <w:sz w:val="28"/>
          <w:szCs w:val="28"/>
          <w:rtl w:val="true"/>
          <w:lang w:bidi="ar-SA"/>
        </w:rPr>
        <w:t>،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الكلام عن ظاهره إلى معنى يحتمله </w:t>
      </w:r>
      <w:r>
        <w:rPr>
          <w:rStyle w:val="FootnoteAnchor"/>
          <w:rtl w:val="true"/>
        </w:rPr>
        <w:footnoteReference w:id="225"/>
      </w:r>
      <w:r>
        <w:rPr>
          <w:rFonts w:ascii="Amiri" w:hAnsi="Amiri" w:eastAsia="Amiri" w:cs="Amiri"/>
          <w:color w:val="111111"/>
          <w:sz w:val="28"/>
          <w:sz w:val="28"/>
          <w:szCs w:val="28"/>
          <w:rtl w:val="true"/>
          <w:lang w:bidi="ar-SA"/>
        </w:rPr>
        <w:t>، والصحيح منه ما كان موافقاً لوضع اللغة، أو عرف الاستعمال، أو عادة صاحب الشرع، وأن يقوم الدليل على أنَّ المراد بذلك اللفظ هو المعنى الذي حمل عليه إذا كان لا يستعمل كثيراً فيه، ولا يصح التأويل بالقياس جلياً كان القياس أو خفياً، ولا بلا دليل، ولا مع الدليل المرجوح أو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اللفظ في محل النطق، أي يكون حكماً للمذكور وحالاً أحواله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اللفظ لا بمحل النطق، أي يكون حكماً غير مذكور وحالاً من أحواله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وبالجملة، إنَّ الألفاظ قوالب للمعاني المستفادة منها، فقد يستفاد منها من جهة النطق تصريحاً، وقد يستفاد منها من جهته تلويحاً؛ فالأول المنطوق، والثاني 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والمنطوق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يحتمل التأويل، وهو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يحتمله وهو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أيضاً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 عليه اللفظ بالمطابقة أو 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 عليه اللفظ بالالتزام، وغيرُ الصريح ينقسم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اقتضاء، وإيماء، وإشارةٍ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الاقتضاء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الصدق، أو الصحة العقلية، أو الشرعية عليه مع كون ذلك مقصود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يقترن اللفظ بحكم لو لم يكن للتعليل لكان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مقصوداً للمتكلّم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الاقتضاء والإيماء والإشارة من المفهوم لا من المنطوق الغير الصريح، ولا واسطة بينهما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 المنطوق بأنَّ المعنى الذي يكون بحسب اللفظ والمفهوم هو ما فهم من من غير هذه الجهة، فيكونان كالكلي والجزئي من صفات المدلول، ويكون دلالة الاقتضاء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ينقسم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،موافقة، ومفهوم مخالفة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المسكوت عنه موافقاً للملفوظ به، فإن كان أولى بالحكم </w:t>
      </w:r>
      <w:bookmarkStart w:id="56" w:name="pg9229_140198"/>
    </w:p>
    <w:p>
      <w:pPr>
        <w:pStyle w:val="BookText"/>
        <w:rPr/>
      </w:pPr>
      <w:bookmarkEnd w:id="56"/>
      <w:r>
        <w:rPr>
          <w:rFonts w:ascii="Amiri" w:hAnsi="Amiri" w:eastAsia="Amiri" w:cs="Amiri"/>
          <w:color w:val="111111"/>
          <w:sz w:val="28"/>
          <w:sz w:val="28"/>
          <w:szCs w:val="28"/>
          <w:rtl w:val="true"/>
          <w:lang w:bidi="ar-SA"/>
        </w:rPr>
        <w:t>من المنطوق به فيسمى فحوى الخطاب، وإن كان مساوياً له فيسمى لحن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ومفهوم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حيث يكون المسكوت عنه مخالفاً للمذكور في الحكم إثباتاً ونفياً، فيثبت للمسكوت عنه نقيض حكم المنطوق به ويسمى دليل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وأنواع مفهوم المخالفة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الشرط، ومفهوم الصفة، ومفهوم العلة، ومفهوم العدد، ومفهوم الغاية،ومفهوم اللقب، ومفهوم الحصر ، ومفهوم الحال، ومفهوم الزمان، ومفهوم المكان؛ والثلاثة الأخيرة من جملة مفاهيم الصفة؛ لأنَّ المراد بها الصفة المعنوية لا النعت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إشكال يجري في كلية المفاهيم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المعلّق على الشرط مثلاً هو الإنشاء الخاص الحاصل بهذا الكلام، فأقصى ما يفيد الشرطية هو انتفاء ذلك الإنشاء دون غيره، ومقتضى هذا الإشكال إبطال المفاهيم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القائلين بالمفهوم ليس التعليق بالنسبة إلى الإنشاء الخاص والانتفاء عند الانتفاء بالنسبة إليه، فالمعلّق ليس عندهم نفس الإنشاء حتى ينتفي على كل تقدير؛ فإنَّ هذا غير معقول؛ ضرورة أنَّ الإنشاء إيجاد، وهو ينعدم بعد وجوده حتى في اللقب، فلا يعقل فيه التعليق، بل غرضهم أنَّ التعليق إنما هو المنشأ،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لاحظ أولاً سنخ الوجوب ـ الذي هو مدلول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ثم أنشأ ذلك الوجوب المعلق، فالمعلّق والمعلّق عليه والتعليق </w:t>
      </w:r>
      <w:r>
        <w:rPr>
          <w:rStyle w:val="FootnoteAnchor"/>
          <w:rtl w:val="true"/>
        </w:rPr>
        <w:footnoteReference w:id="229"/>
      </w:r>
      <w:r>
        <w:rPr>
          <w:rFonts w:ascii="Amiri" w:hAnsi="Amiri" w:eastAsia="Amiri" w:cs="Amiri"/>
          <w:color w:val="111111"/>
          <w:sz w:val="28"/>
          <w:sz w:val="28"/>
          <w:szCs w:val="28"/>
          <w:rtl w:val="true"/>
          <w:lang w:bidi="ar-SA"/>
        </w:rPr>
        <w:t>إنما هو قبل الإنشاء، والإنشاء خبر متفرع عليها، فالانتفاء عند الانتفاء إنما هو بالنسبة إلى المنشأ لا الإنشاء وإنْ كان تقييد الهيئة باطلاً عندنا كما ذكرناه في الواجب المعلّق مشروحاً، لكن تكلّمنا هنا على مذاق القوم</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4247188_2870459653"/>
      <w:bookmarkStart w:id="58" w:name="_Toc18"/>
      <w:bookmarkEnd w:id="57"/>
      <w:r>
        <w:rPr>
          <w:rtl w:val="true"/>
        </w:rPr>
        <w:t xml:space="preserve">[ </w:t>
      </w:r>
      <w:r>
        <w:rPr>
          <w:rtl w:val="true"/>
        </w:rPr>
        <w:t>حجية مفهوم الشرط</w:t>
      </w:r>
      <w:r>
        <w:rPr>
          <w:rtl w:val="true"/>
        </w:rPr>
        <w:t>]</w:t>
      </w:r>
      <w:bookmarkEnd w:id="5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حجية مفهوم الشرط فقد اختلفوا فيه ، فالمثبت ادعى أنَّ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شرطية سالبة بشرطها وجزائها، لازمة للقضية الشرطية التي تكون </w:t>
      </w:r>
      <w:bookmarkStart w:id="59" w:name="pg9229_140200"/>
    </w:p>
    <w:p>
      <w:pPr>
        <w:pStyle w:val="BookText"/>
        <w:rPr/>
      </w:pPr>
      <w:bookmarkEnd w:id="59"/>
      <w:r>
        <w:rPr>
          <w:rFonts w:ascii="Amiri" w:hAnsi="Amiri" w:eastAsia="Amiri" w:cs="Amiri"/>
          <w:color w:val="111111"/>
          <w:sz w:val="28"/>
          <w:sz w:val="28"/>
          <w:szCs w:val="28"/>
          <w:rtl w:val="true"/>
          <w:lang w:bidi="ar-SA"/>
        </w:rPr>
        <w:t xml:space="preserve">معنى القضية اللفظية، ولها خصوصية، بتلك الخصوصية مستلزمة لها؛ بدعوى دلالة أدوات الشرط على كون مدخولها علةً تامةً للجزاء؛ فتدلّ على الانتفاء عند الانتفاء كما دلت على الثبوت عند الثبوت بالوضع، بدعوى أنَّ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للانتفاء عند الانتفاء، وجعل ما 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تامة، أو بالإطلاق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الشرط وعدم تقييده، الموجب للحمل على تأثيره مطلقاً فيثبت انحصاره بالعليّة وتأثيره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القضية الشرطية كونُ الجزاء يُوجد في ظرف وجود الشرط مع ارتباط بين الشرط والجزاء بوجه، فقد يكون الشرط علةً تامة للجزاء، وقد يكون معلولاً، وقد يكونان معلولين لعلة ثالثة، وقد يكون الشرط أحد أجزاء العلة التامة بعد الفراغ عن باقيها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دلالة أدوات الشرط على كون مدخولها علةً تامةً للجزاء بالوضع أو الإطلاق فلم ينهض عليه دليل إلى حده ، وما ذكروه </w:t>
      </w:r>
      <w:r>
        <w:rPr>
          <w:rStyle w:val="FootnoteAnchor"/>
          <w:rtl w:val="true"/>
        </w:rPr>
        <w:footnoteReference w:id="230"/>
      </w:r>
      <w:r>
        <w:rPr>
          <w:rFonts w:ascii="Amiri" w:hAnsi="Amiri" w:eastAsia="Amiri" w:cs="Amiri"/>
          <w:color w:val="111111"/>
          <w:sz w:val="28"/>
          <w:sz w:val="28"/>
          <w:szCs w:val="28"/>
          <w:rtl w:val="true"/>
          <w:lang w:bidi="ar-SA"/>
        </w:rPr>
        <w:t>دليلاً عليه لا يتم، وجاءهم الوهم من بعض القضايا الشرطية التي تجيء نادراً بالعلية بتوسط بعض القرائن الحالية والمقالية، فظنوها قرينةً عامة فيفهم منها دائماً العليّة بالإطلاق فلا بد من الحمل عليه، وهو وهمٌ في وهم</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4247190_2870459653"/>
      <w:bookmarkStart w:id="61" w:name="_Toc19"/>
      <w:bookmarkEnd w:id="60"/>
      <w:r>
        <w:rPr>
          <w:rtl w:val="true"/>
        </w:rPr>
        <w:t xml:space="preserve">[ </w:t>
      </w:r>
      <w:r>
        <w:rPr>
          <w:rtl w:val="true"/>
        </w:rPr>
        <w:t>تعدد العلة هل يوجب تعدد المعلول أم لا؟</w:t>
      </w:r>
      <w:r>
        <w:rPr>
          <w:rtl w:val="true"/>
        </w:rPr>
        <w:t>]</w:t>
      </w:r>
      <w:bookmarkEnd w:id="61"/>
    </w:p>
    <w:p>
      <w:pPr>
        <w:pStyle w:val="BookText"/>
        <w:rPr/>
      </w:pPr>
      <w:r>
        <w:rPr>
          <w:rFonts w:ascii="Amiri" w:hAnsi="Amiri" w:eastAsia="Amiri" w:cs="Amiri"/>
          <w:color w:val="111111"/>
          <w:sz w:val="28"/>
          <w:sz w:val="28"/>
          <w:szCs w:val="28"/>
          <w:rtl w:val="true"/>
          <w:lang w:bidi="ar-SA"/>
        </w:rPr>
        <w:t>وتعدد العلة يوجب تعدد المعلول بلا كلام إنما الخلاف في أن تعدد الشرط في القضايا الشرطية التي جاءت من الشارع هل هو تعدد للعلة أم لا؟ ويتفرّع على الخلاف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الأصل عدم تداخل الأسباب أم لا؟ وكذا الكلام في المسببات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الكلام تارةً بحسب اللب، وأخرى بحسب ظاهر القضية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بحسب اللب فجعل السببية يتصور على أربعة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السبب نفس الطبيعة المهملة المرسلة على وجه الإهمال من غیر اعتبار وجود فيها أو عدم، وهي الماهية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بحسب الوجود على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يصدق على القليل والكثير كالماء والخط والتكلّم والوطي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ليس كذلك، كالإنسان، ومقتضى هذا الوجه بقسميه هو التداخل، بل لا يعقل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السبب هو الماهية بقيد وجودها وتحققها في ضمن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السبب هو نفس الفرد، ومقتضاهما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السيد الأستاذ </w:t>
      </w:r>
      <w:r>
        <w:rPr>
          <w:rStyle w:val="FootnoteAnchor"/>
          <w:rtl w:val="true"/>
        </w:rPr>
        <w:footnoteReference w:id="231"/>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السبب هو الماهية المهملة،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حصل الامتثال بها مرة واحدة طول العمر ارتفع أثرها سواء تحققت بعدها أم لا كما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المسبب إما الطلب، أو تنجزه، وإما اشتغال الذمة بالطبيعة؛ وهذا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المسبب هو الطبيعة بلحاظ طبيعتها وإطلاقها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الطبيعة بلحاظ فعليتها ووجودها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الثلاثة الأول هو التداخل، كما أنَّ مقتضى الأخير والرابع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منها؛ فلأنَّ تعدد الطلب إن اقتضى تعدد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تعدد الواجب، بل يجوز تعلّق الأوامر الكثيرة على شيء واحد لداع من الدواعي ووجه من الوجوه، كالأوامر المتعلّقة بالصلاة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منها؛ فلأنَّ التنجز قابل للتأكيد، ولا شك أنَّ التأكيد حقيقة لا مجاز، نظير تكرار الطلب، لكن لا يكاد يوجد في الشرعيات أمر مطلق متكرر يشك في التداخل فيه </w:t>
      </w:r>
    </w:p>
    <w:p>
      <w:pPr>
        <w:pStyle w:val="BookText"/>
        <w:rPr/>
      </w:pP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منها؛ فإنه مقتضى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الرابع ؛ فلأن الحكم المعلّق بالفرد لا إطلاق له من حيث كون الفرد مأتياً بالأمر </w:t>
      </w:r>
      <w:r>
        <w:rPr>
          <w:rStyle w:val="FootnoteAnchor"/>
          <w:rtl w:val="true"/>
        </w:rPr>
        <w:footnoteReference w:id="232"/>
      </w:r>
      <w:r>
        <w:rPr>
          <w:rFonts w:ascii="Amiri" w:hAnsi="Amiri" w:eastAsia="Amiri" w:cs="Amiri"/>
          <w:color w:val="111111"/>
          <w:sz w:val="28"/>
          <w:sz w:val="28"/>
          <w:szCs w:val="28"/>
          <w:rtl w:val="true"/>
          <w:lang w:bidi="ar-SA"/>
        </w:rPr>
        <w:t>الآخر وعدمه؛ لأنَّ الإتيان بالطبيعة للأمر الخاص ليس من أقسام وجودها، فلا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ظاهر القضية فالقائل </w:t>
      </w:r>
      <w:r>
        <w:rPr>
          <w:rStyle w:val="FootnoteAnchor"/>
          <w:rtl w:val="true"/>
        </w:rPr>
        <w:footnoteReference w:id="233"/>
      </w:r>
      <w:r>
        <w:rPr>
          <w:rFonts w:ascii="Amiri" w:hAnsi="Amiri" w:eastAsia="Amiri" w:cs="Amiri"/>
          <w:color w:val="111111"/>
          <w:sz w:val="28"/>
          <w:sz w:val="28"/>
          <w:szCs w:val="28"/>
          <w:rtl w:val="true"/>
          <w:lang w:bidi="ar-SA"/>
        </w:rPr>
        <w:t>بظهورها في التعدد واستقلال كل شرط بالتأثير بالسببية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تعدد الشرط لزم تعدد العلة، ولازم تعدد العلل تعدد المعلول، فلكل علة معلول مستقل، والأصل عدم تداخل الأسباب مع التنافي ومع التماثل، وكذلك الكلام في المعلول عنده، خلافاً لبعض الفحول </w:t>
      </w:r>
      <w:r>
        <w:rPr>
          <w:rStyle w:val="FootnoteAnchor"/>
          <w:rtl w:val="true"/>
        </w:rPr>
        <w:footnoteReference w:id="234"/>
      </w:r>
      <w:r>
        <w:rPr>
          <w:rFonts w:ascii="Amiri" w:hAnsi="Amiri" w:eastAsia="Amiri" w:cs="Amiri"/>
          <w:color w:val="111111"/>
          <w:sz w:val="28"/>
          <w:sz w:val="28"/>
          <w:szCs w:val="28"/>
          <w:rtl w:val="true"/>
          <w:lang w:bidi="ar-SA"/>
        </w:rPr>
        <w:t>؛ لأنَّ مقتضى أدلة السببية كون كل واحد من أفراد الطبيعة سواء وجدت دفعة أو بالتفاوت ـ سبباً مستقلاً؛ فلو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فالنوم اللاحق إذا أثر في وضوء آخر فهو على القاعدة، وإذا لم يؤثر شرعاً فاللازم تقييد موضوع الشرط بالنوم الخاص ، وهو النوم الأول أو الغير المسبوق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القضية وحدة المسبب، وهو حقيقة الوضوء في القضية المفروضة، فلم لا يكون هذا صارفاً عن ظهور إطلاق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مع أنَّه لنا أن نمنع اقتضاء إطلاق السببية كون كل فرد سبباً مستقلاً؛ فإنَّ الطبيعة إذا كانت معروضة للأمر لا يقتضي إطلاقها كونَ كل واحد من أفرادها واجباً مستقلاً، فكذا معروض السببية؛ إذ لافرق بين كون الشيء معروضاً للأمر أو معروضاً للسبية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الألفاظ الدالة على المفاهيم إنما تدل بالوضع على الطبيعة المهملة المعرّاة عن اعتبار الإطلاق والتقييد، والوجود والعدم، وحيثُ كانت بهذا النحو غير قابلة لمعروضية </w:t>
      </w:r>
    </w:p>
    <w:p>
      <w:pPr>
        <w:pStyle w:val="BookText"/>
        <w:rPr/>
      </w:pPr>
      <w:r>
        <w:rPr>
          <w:rFonts w:ascii="Amiri" w:hAnsi="Amiri" w:eastAsia="Amiri" w:cs="Amiri"/>
          <w:color w:val="111111"/>
          <w:sz w:val="28"/>
          <w:sz w:val="28"/>
          <w:szCs w:val="28"/>
          <w:rtl w:val="true"/>
          <w:lang w:bidi="ar-SA"/>
        </w:rPr>
        <w:t>الحكم لزمَ بحكم العقل اعتبار الوجود حتى يصح كونها باعتبار الوجود، تصير موضوعاً للحكم، والوجود اللازم اعتباره بحكم العقل هو صرف الوجود فهو القدر المتيقن من اعتبار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وجود خاص مقيد بقيد وجودي أو عدمي أو كل واحد من الوجودات الخاصة فموقوف على النص على اعتباره، فالأخذ بصرف الوجود في موضوع الأمر والاكتفاء في مقام الامتثال بفرد واحد كونه من باب القدر المتيقن وعدم دلالة دليل على أزيد منه، فلو جاء دليل على اعتبار الزائد لم يكن معارضاً؛ لأنَّ الأخذ به كان من باب القدر المتيقن وعدم الدليل على الزايد، فمقتضى الجزاء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 قطع النظر عن الشرط ـ كون موضوع الأمر هو صرف الوجود، ومقتضى سبيته الفعلية المستفادة من القضية الشرطية كونُ كل فرد من أفراد النوم سبباً فعلياً؛ لأنَّ الأسباب العادية والمؤثرات الخارجية تكونُ بهذه المثابة، أعني أنَّ كل طبيعة تكون في الخارج مؤثرة يؤثر كل فرد منها، ومن هنا تحمل السبية المستفادة من القضايا الواردة من الشارع على المتعارف من الأسباب، فيفهم من القضية الشرطية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أداة الشرط، وهو العليّة الفعلية لما جعل شرطاً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المفهوم للقضية من جهة المرتكز الذهني العرفي من الأمر المتعارف، وهو كون كل وجود لهذا الشرط علةً فعليّةً، فعلى هذا يلزم الحكم بتعدد التأثير عند تعدد تلك د؛ لأنه لو حكمنا به لم نرتكب خلافاً لظاهر القضية؛ لما عرفت من أنَّ الأخذ بصرف الوجود في موضوع الأمر إنما كان من جهة عدم البيان وهذا الظهور العرفي للقضية يصير بياناً له، بخلاف أنه لو حكمنا بعدم تعدد التأثير فلا بد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في الظاهر المستفاد من أدوات الشرط بحملها على إفادة كون تاليها مقتضياً للعلة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في ظاهر الآخر المستفاد من العرف من غير دليل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المسبب ليس هو فعل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يقتضي تعدد أفراد </w:t>
      </w:r>
    </w:p>
    <w:p>
      <w:pPr>
        <w:pStyle w:val="BookText"/>
        <w:rPr/>
      </w:pPr>
      <w:r>
        <w:rPr>
          <w:rFonts w:ascii="Amiri" w:hAnsi="Amiri" w:eastAsia="Amiri" w:cs="Amiri"/>
          <w:color w:val="111111"/>
          <w:sz w:val="28"/>
          <w:sz w:val="28"/>
          <w:szCs w:val="28"/>
          <w:rtl w:val="true"/>
          <w:lang w:bidi="ar-SA"/>
        </w:rPr>
        <w:t>السبب الفعلي تعدده، بل المسبب هو الوجوب، ولا يقتضي تعدد أسباب الوجوب تعدده، بل يتأكد بتعدد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القضية أنَّ السبب الشرعي يقتضي نفس الفعل، وأمرُ الشارع إنما جاء من قبل هذا الاقتضاء، بمعنى أنَّ الشارع أمرنا بإعطاء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كل واحد من السببين مؤثراً في عنوان غيرِ ما يكون الآخر مؤثراً فيه واجتمعا في فرد واحد، فلا يقتضي تعدد السبب تعدد الوجود، كما لو قال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عالم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هاشمي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،فجاءك عالمٌ هاشمي، فلا شبهة في أنَّه لو أكرمتَ ذلك العالم الهاشمي كنتَ قدامتثلت الأمرين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القضية وحدةُ عنوان المسبب، ولا شك أنه مع وحدة العنوان في المسبب لا يمكن القول بتعدد التأثير إلَّا بالتزام تعدد الوجود؛ لعدم معقولية تداخل الوجودين من طبيعة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عن الظهور فلا أقلَّ من الشك في المفهومين المتأثرين من سببين،هل يجتمعان في مصداق واحد أم لا ؟ ومقتضى القاعدة الاشتغال؛ لأنَّ الاشتغال بالتكليفين ثابتٌ، ولا يعلم الفراغ إلَّا بإيجادين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محصول حجة القائلين بعدم التداخل ، لكنك قد عرفت التحقيق في مفاد القضايا الشرطية، ومقتضاه أنه يكفي في صدق القضايا الشرطية المتعددة ـ التي جزاؤها حقيقة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تلك الحقيقة مرةً واحدةً ولو تعدد ما جعل شرطاً في الخارج، وكذا في صورة تعدد أفراد الطبيعة الواحدة التي جعلت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وجد الجزاء ثم تحقق فرد من أفراد ما جعل شرطاً يجبُ إتيان الجزاء ثانياً؛ لأنَّ مقتضى القضية الشرطية تحققُ الجزاء في ظرف وجود الشرط، فالفعل الموجود قبل تحقق الشرط لا يكفي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أنَّ الأصل في باب الأسباب أن في صورة تعدد السبب وعدم تخلل المسبب يكفي المسبب الواحد، وأمّا في صورة التخلل فيجبُ الإتيان بفعل الآخر للوجود </w:t>
      </w:r>
      <w:bookmarkStart w:id="62" w:name="pg9229_140211"/>
    </w:p>
    <w:p>
      <w:pPr>
        <w:pStyle w:val="BookText"/>
        <w:rPr/>
      </w:pPr>
      <w:bookmarkEnd w:id="62"/>
      <w:r>
        <w:rPr>
          <w:rFonts w:ascii="IRNazanin" w:hAnsi="IRNazanin" w:eastAsia="IRNazanin"/>
          <w:color w:val="111111"/>
          <w:sz w:val="28"/>
          <w:sz w:val="28"/>
          <w:szCs w:val="28"/>
          <w:rtl w:val="true"/>
          <w:lang w:bidi="fa-IR"/>
        </w:rPr>
        <w:t>الاحق</w:t>
      </w:r>
      <w:r>
        <w:rPr>
          <w:rFonts w:eastAsia="IRNazanin" w:cs="IRNazanin"/>
          <w:color w:val="111111"/>
          <w:sz w:val="28"/>
          <w:szCs w:val="28"/>
          <w:rtl w:val="true"/>
          <w:lang w:bidi="fa-IR"/>
        </w:rPr>
        <w:t>.</w:t>
      </w:r>
    </w:p>
    <w:p>
      <w:pPr>
        <w:pStyle w:val="Heading2"/>
        <w:numPr>
          <w:ilvl w:val="1"/>
          <w:numId w:val="1"/>
        </w:numPr>
        <w:rPr/>
      </w:pPr>
      <w:bookmarkStart w:id="63" w:name="__RefHeading___Toc4247192_2870459653"/>
      <w:bookmarkStart w:id="64" w:name="_Toc20"/>
      <w:bookmarkEnd w:id="63"/>
      <w:r>
        <w:rPr>
          <w:rtl w:val="true"/>
        </w:rPr>
        <w:t>[</w:t>
      </w:r>
      <w:r>
        <w:rPr>
          <w:rtl w:val="true"/>
        </w:rPr>
        <w:t>مفهوم الوصف</w:t>
      </w:r>
      <w:r>
        <w:rPr>
          <w:rtl w:val="true"/>
        </w:rPr>
        <w:t>]</w:t>
      </w:r>
      <w:bookmarkEnd w:id="64"/>
    </w:p>
    <w:p>
      <w:pPr>
        <w:pStyle w:val="BookText"/>
        <w:rPr/>
      </w:pPr>
      <w:r>
        <w:rPr>
          <w:rFonts w:ascii="Amiri" w:hAnsi="Amiri" w:eastAsia="Amiri" w:cs="Amiri"/>
          <w:color w:val="111111"/>
          <w:sz w:val="28"/>
          <w:sz w:val="28"/>
          <w:szCs w:val="28"/>
          <w:rtl w:val="true"/>
          <w:lang w:bidi="ar-SA"/>
        </w:rPr>
        <w:t>وأمّا مفهوم الوصف فقد اختلفوا في أنَّ إثبات حكم لذاتٍ مأخوذةٍ مع بعض صفاتها هل يستلزم انتفاء ذلك الحكم عند انتفاء تلك الصفة أم لا؟</w:t>
      </w:r>
    </w:p>
    <w:p>
      <w:pPr>
        <w:pStyle w:val="BookText"/>
        <w:rPr/>
      </w:pPr>
      <w:r>
        <w:rPr>
          <w:rFonts w:ascii="Amiri" w:hAnsi="Amiri" w:eastAsia="Amiri" w:cs="Amiri"/>
          <w:color w:val="111111"/>
          <w:sz w:val="28"/>
          <w:sz w:val="28"/>
          <w:szCs w:val="28"/>
          <w:rtl w:val="true"/>
          <w:lang w:bidi="ar-SA"/>
        </w:rPr>
        <w:t xml:space="preserve">والمراد بالمفهوم في المقام رفعُ سنخ الحكم عن غير محلّ الوصف على وجه تكون القضية المشتملة على الوصف منحلةً إلى عقدٍ 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في محل الوصف ـ وعقدٍ سلبي في غير محلٌ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عدم الدلالة على انتفاء ذلك الحكم عند انتفاء تلك الصفة إلّا بالقرائن الخارجية المفيدة للمفهوم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الأوصاف الواقعة في الحدود والتعاريف وفتوى الأصحاب؛ حيث إنَّها يقصد بها الأصلاح طرداً وعكساً الملازم لإرادة المفهوم، والنزاعُ في استناد الدلالة إلى الوضع لا إلى القرائن ولا دلالة كما يشهد به العرف وثبوت الوضع في الشرط لو كان لا يستلزم القول به في الصفة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التعليق على الوصف يشعر بالعلية </w:t>
      </w:r>
      <w:r>
        <w:rPr>
          <w:rStyle w:val="FootnoteAnchor"/>
          <w:rtl w:val="true"/>
        </w:rPr>
        <w:footnoteReference w:id="235"/>
      </w:r>
      <w:r>
        <w:rPr>
          <w:rFonts w:ascii="Amiri" w:hAnsi="Amiri" w:eastAsia="Amiri" w:cs="Amiri"/>
          <w:color w:val="111111"/>
          <w:sz w:val="28"/>
          <w:sz w:val="28"/>
          <w:szCs w:val="28"/>
          <w:rtl w:val="true"/>
          <w:lang w:bidi="ar-SA"/>
        </w:rPr>
        <w:t>، لا يقتضي القول بمفهوم الوصف؛ لأنَّه لا ينفي احتمال خصوصية المورد فلا إشعار فيه على العلية التامة، ولو سلّم فلا ينفي احتمال التعدد كما هو المقصود في إثبات المفهوم، إلّا انه لا ينافي ثبوت المفهوم في الجملة، مع أنَّه غير مطّرد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 عبداً أسوداً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مضافاً إلى أنَّ الأصل هو الاشتراك</w:t>
      </w:r>
    </w:p>
    <w:p>
      <w:pPr>
        <w:pStyle w:val="BookText"/>
        <w:rPr/>
      </w:pPr>
      <w:r>
        <w:rPr>
          <w:rFonts w:ascii="Amiri" w:hAnsi="Amiri" w:eastAsia="Amiri" w:cs="Amiri"/>
          <w:color w:val="111111"/>
          <w:sz w:val="28"/>
          <w:sz w:val="28"/>
          <w:szCs w:val="28"/>
          <w:rtl w:val="true"/>
          <w:lang w:bidi="ar-SA"/>
        </w:rPr>
        <w:t>المعنوي فيما لو استعمل اللفظ في معنيين بينهما جامع قريب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تبادر العرف لمفهوم الوصف عند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 عبداً أسوداً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 على عدم مطلوبية شراء الأبيض على وجهِ لواشتراه لم يكن ممتثلاً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عدم مطلوبية شراء الأبيض إنما هو بواسطة المطلوبية بالأسود في الإنشاء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الخاص والكلام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مفاده عدم مطلوبيته مطلقاً كان ذلك وجهاً</w:t>
      </w:r>
      <w:r>
        <w:rPr>
          <w:rFonts w:eastAsia="Amiri" w:cs="Amiri" w:ascii="Amiri" w:hAnsi="Amiri"/>
          <w:color w:val="111111"/>
          <w:sz w:val="28"/>
          <w:szCs w:val="28"/>
          <w:rtl w:val="true"/>
          <w:lang w:bidi="ar-SA"/>
        </w:rPr>
        <w:t xml:space="preserve">. </w:t>
      </w:r>
      <w:bookmarkStart w:id="65" w:name="pg9229_140213"/>
    </w:p>
    <w:p>
      <w:pPr>
        <w:pStyle w:val="BookText"/>
        <w:rPr/>
      </w:pPr>
      <w:bookmarkEnd w:id="65"/>
      <w:r>
        <w:rPr>
          <w:rFonts w:ascii="Amiri" w:hAnsi="Amiri" w:eastAsia="Amiri" w:cs="Amiri"/>
          <w:color w:val="111111"/>
          <w:sz w:val="28"/>
          <w:sz w:val="28"/>
          <w:szCs w:val="28"/>
          <w:rtl w:val="true"/>
          <w:lang w:bidi="ar-SA"/>
        </w:rPr>
        <w:t>وبالجملة، لا دلالة لفظية على حدِ غيره من المباحث المتعلّقة بالظواهر اللفظية، على أنَّ الشيء إذا كان له وصفان فوصف بأحدهما دون الآخر كانَ المراد ما فيه تلك الصفة دون الآخر، ومثلّوا 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غنم سائمة فيه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خبير أنَّ اللازم في أخذ المفهوم الأخذ بجميع مجامع الكلام وقيوده سوى النفي والإثبات، فمفهوم الوصف في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غير السائمة فيه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والسور في القضايا آلةٌ لملاحظة ما يتعلّق به، ولا يعتبر موضوعاً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فساد دعوى تخیّل اختلافهما في الكم أيضاً ، وأدلتهم على ذلك كلها مدخولة لا تنهض على ذلك، أقصاه الإشعار، وهو غير محل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نقول بالحجية في كل مورد يكون ظاهراً في العليّة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منع الظهور في الانحصار في الوصف الظاهر في العلية، فالقولُ بالتفصيل بين ما كان الوصف علةً وبين غيره ضعيفٌ جداً أيضاً، فتدبر</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4247194_2870459653"/>
      <w:bookmarkStart w:id="67" w:name="_Toc21"/>
      <w:bookmarkEnd w:id="66"/>
      <w:r>
        <w:rPr>
          <w:rtl w:val="true"/>
        </w:rPr>
        <w:t>[</w:t>
      </w:r>
      <w:r>
        <w:rPr>
          <w:rtl w:val="true"/>
        </w:rPr>
        <w:t>مفهوم الغاية</w:t>
      </w:r>
      <w:r>
        <w:rPr>
          <w:rtl w:val="true"/>
        </w:rPr>
        <w:t>]</w:t>
      </w:r>
      <w:bookmarkEnd w:id="67"/>
    </w:p>
    <w:p>
      <w:pPr>
        <w:pStyle w:val="BookText"/>
        <w:rPr/>
      </w:pPr>
      <w:r>
        <w:rPr>
          <w:rFonts w:ascii="Amiri" w:hAnsi="Amiri" w:eastAsia="Amiri" w:cs="Amiri"/>
          <w:color w:val="111111"/>
          <w:sz w:val="28"/>
          <w:sz w:val="28"/>
          <w:szCs w:val="28"/>
          <w:rtl w:val="true"/>
          <w:lang w:bidi="ar-SA"/>
        </w:rPr>
        <w:t>وأمّا مفهوم الغاية فالنزاع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الغاية هل تدخل في المغيّى أو لا؟</w:t>
      </w:r>
    </w:p>
    <w:p>
      <w:pPr>
        <w:pStyle w:val="BookText"/>
        <w:rPr/>
      </w:pPr>
      <w:r>
        <w:rPr>
          <w:rFonts w:ascii="Amiri" w:hAnsi="Amiri" w:eastAsia="Amiri" w:cs="Amiri"/>
          <w:color w:val="111111"/>
          <w:sz w:val="28"/>
          <w:sz w:val="28"/>
          <w:szCs w:val="28"/>
          <w:rtl w:val="true"/>
          <w:lang w:bidi="ar-SA"/>
        </w:rPr>
        <w:t>وفي أنَّ الحكم المغيّى هل ينتفي بعد حصول الغاية أو لا؟</w:t>
      </w:r>
    </w:p>
    <w:p>
      <w:pPr>
        <w:pStyle w:val="BookText"/>
        <w:rPr/>
      </w:pPr>
      <w:r>
        <w:rPr>
          <w:rFonts w:ascii="Amiri" w:hAnsi="Amiri" w:eastAsia="Amiri" w:cs="Amiri"/>
          <w:color w:val="111111"/>
          <w:sz w:val="28"/>
          <w:sz w:val="28"/>
          <w:szCs w:val="28"/>
          <w:rtl w:val="true"/>
          <w:lang w:bidi="ar-SA"/>
        </w:rPr>
        <w:t xml:space="preserve">والحقُّ، دخول ما بعد الأداة؛ لأنَّ غاية الشيء آخره، وهي داخلةٌ فيه بحكم أصالة الحقيقة؛ لأنَّ الظاهر أنَّ الأداة موضوعة للنهاية الحقيقية، كما أنَّ الحق تقييد الحكم بالغاية يوجبُ انتفاء الحكم رأساً وسنخاً عما بعد الغاية على وجه لو ثبت له مثل الحكم المذكور بدليل آخر كان معارضاً لذلك التقييد، وإنَّ اعتبار المفهوم في المقام مثل اعتباره في الشرط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سنخ الحكم في جانب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فانتفاء الحكم الشخصي ثابت في اللقب والوصف أيضاً ، بل ذلك ضروري؛ ضرورة اختصاص كل حكم مختص بموضوع بذلك الموضوع، والعرف شاهد على ثبوت 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انتفاء الدلالة مكابرةٌ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bookmarkStart w:id="68" w:name="pg9229_140215"/>
    </w:p>
    <w:p>
      <w:pPr>
        <w:pStyle w:val="BookText"/>
        <w:rPr/>
      </w:pPr>
      <w:bookmarkEnd w:id="68"/>
      <w:r>
        <w:rPr>
          <w:rFonts w:ascii="Amiri" w:hAnsi="Amiri" w:eastAsia="Amiri" w:cs="Amiri"/>
          <w:color w:val="111111"/>
          <w:sz w:val="28"/>
          <w:sz w:val="28"/>
          <w:szCs w:val="28"/>
          <w:rtl w:val="true"/>
          <w:lang w:bidi="ar-SA"/>
        </w:rPr>
        <w:t xml:space="preserve">ولا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الدلالة، والظاهر ثبوت نظيرها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الابتدائية، كما أنَّ الترتيب في المشتمل </w:t>
      </w:r>
      <w:r>
        <w:rPr>
          <w:rStyle w:val="FootnoteAnchor"/>
          <w:rtl w:val="true"/>
        </w:rPr>
        <w:footnoteReference w:id="236"/>
      </w:r>
      <w:r>
        <w:rPr>
          <w:rFonts w:ascii="Amiri" w:hAnsi="Amiri" w:eastAsia="Amiri" w:cs="Amiri"/>
          <w:color w:val="111111"/>
          <w:sz w:val="28"/>
          <w:sz w:val="28"/>
          <w:szCs w:val="28"/>
          <w:rtl w:val="true"/>
          <w:lang w:bidi="ar-SA"/>
        </w:rPr>
        <w:t xml:space="preserve">على الكلمتين ظاهر الاستفادة </w:t>
      </w:r>
      <w:r>
        <w:rPr>
          <w:rStyle w:val="FootnoteAnchor"/>
          <w:rtl w:val="true"/>
        </w:rPr>
        <w:footnoteReference w:id="237"/>
      </w:r>
      <w:r>
        <w:rPr>
          <w:rFonts w:ascii="Amiri" w:hAnsi="Amiri" w:eastAsia="Amiri" w:cs="Amiri"/>
          <w:color w:val="111111"/>
          <w:sz w:val="28"/>
          <w:sz w:val="28"/>
          <w:szCs w:val="28"/>
          <w:rtl w:val="true"/>
          <w:lang w:bidi="ar-SA"/>
        </w:rPr>
        <w:t>فهو الأصل، إلَّا ان يقوم دليل على غيره فيكون مجازاً بدليله في آية الوضوء فتأمل</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4247196_2870459653"/>
      <w:bookmarkStart w:id="70" w:name="_Toc22"/>
      <w:bookmarkEnd w:id="69"/>
      <w:r>
        <w:rPr>
          <w:rtl w:val="true"/>
        </w:rPr>
        <w:t xml:space="preserve">[ </w:t>
      </w:r>
      <w:r>
        <w:rPr>
          <w:rtl w:val="true"/>
        </w:rPr>
        <w:t>مفهوم الحصر</w:t>
      </w:r>
      <w:r>
        <w:rPr>
          <w:rtl w:val="true"/>
        </w:rPr>
        <w:t>]</w:t>
      </w:r>
      <w:bookmarkEnd w:id="70"/>
    </w:p>
    <w:p>
      <w:pPr>
        <w:pStyle w:val="BookText"/>
        <w:rPr/>
      </w:pPr>
      <w:r>
        <w:rPr>
          <w:rFonts w:ascii="Amiri" w:hAnsi="Amiri" w:eastAsia="Amiri" w:cs="Amiri"/>
          <w:color w:val="111111"/>
          <w:sz w:val="28"/>
          <w:sz w:val="28"/>
          <w:szCs w:val="28"/>
          <w:rtl w:val="true"/>
          <w:lang w:bidi="ar-SA"/>
        </w:rPr>
        <w:t xml:space="preserve">وأمّا مفهوم الحصر فهو أقوى من مفهوم الغاية، وأنواع الحصر خمسة عشر نوعاً أقواها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الدال على فساد العمل بلا نية،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المبتدأ في الخبر، وذلك بأن يكون معرّفاً باللام أو الإضافة،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فهم العرف من هذا التركيب حصرَ الوصف، ومقتضى التعريف كونُ الحمل ذاتياً كما هو مذهب الأكثر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ومن مفاد الحمل عند حملك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الحصرُ قطعاً، وإن حملها على الجنس فالظاهر اتحاد ذي الجنس بالشخص،وأما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اتحاد؛ لعموم الخبر، وحكمُ الوصف التأخير، وإنما يقدم لبيان الحصر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هذه الوجوه لا تخلو من نظر، والمدار على ما كان العمل به معلوماً عند العرف، والنافي لم يأتِ بحجة، فإنَّ أهل العرف تفهم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جميع المحمولات عن زيد، وهذا مستفادٌ من المنطوق وإثبات القيام لزيد المستفاد من المفهومريا، </w:t>
      </w:r>
      <w:bookmarkStart w:id="71" w:name="pg9229_140218"/>
    </w:p>
    <w:p>
      <w:pPr>
        <w:pStyle w:val="BookText"/>
        <w:rPr/>
      </w:pPr>
      <w:bookmarkEnd w:id="71"/>
      <w:r>
        <w:rPr>
          <w:rFonts w:ascii="Amiri" w:hAnsi="Amiri" w:eastAsia="Amiri" w:cs="Amiri"/>
          <w:color w:val="111111"/>
          <w:sz w:val="28"/>
          <w:sz w:val="28"/>
          <w:szCs w:val="28"/>
          <w:rtl w:val="true"/>
          <w:lang w:bidi="ar-SA"/>
        </w:rPr>
        <w:t>وكذلك القول بالتفصيل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الإضراب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إذا كانت مسبوقة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كالنصِّ في ثبوت المفهوم</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4247198_2870459653"/>
      <w:bookmarkStart w:id="73" w:name="_Toc23"/>
      <w:bookmarkEnd w:id="72"/>
      <w:r>
        <w:rPr>
          <w:rtl w:val="true"/>
        </w:rPr>
        <w:t xml:space="preserve">[ </w:t>
      </w:r>
      <w:r>
        <w:rPr>
          <w:rtl w:val="true"/>
        </w:rPr>
        <w:t xml:space="preserve">مفهوم اللقب </w:t>
      </w:r>
      <w:r>
        <w:rPr>
          <w:rtl w:val="true"/>
        </w:rPr>
        <w:t>]</w:t>
      </w:r>
      <w:bookmarkEnd w:id="73"/>
    </w:p>
    <w:p>
      <w:pPr>
        <w:pStyle w:val="BookText"/>
        <w:rPr/>
      </w:pPr>
      <w:r>
        <w:rPr>
          <w:rFonts w:ascii="Amiri" w:hAnsi="Amiri" w:eastAsia="Amiri" w:cs="Amiri"/>
          <w:color w:val="111111"/>
          <w:sz w:val="28"/>
          <w:sz w:val="28"/>
          <w:szCs w:val="28"/>
          <w:rtl w:val="true"/>
          <w:lang w:bidi="ar-SA"/>
        </w:rPr>
        <w:t>وأمّا مفهوم اللقب وهو تعليق الحكم بالاسم العلم،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اسم النوع،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الغنم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يجعل أحد أركان الكلام كالفاعل والمفعول والمبتدأ والخبر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أنه لا مفهوم فيه؛ لانتفاء الدلالات الثلاث، ولم يعمل به أحد إلّا أبو بكر الدقاق </w:t>
      </w:r>
      <w:r>
        <w:rPr>
          <w:rStyle w:val="FootnoteAnchor"/>
          <w:rtl w:val="true"/>
        </w:rPr>
        <w:footnoteReference w:id="240"/>
      </w:r>
      <w:r>
        <w:rPr>
          <w:rFonts w:ascii="Amiri" w:hAnsi="Amiri" w:eastAsia="Amiri" w:cs="Amiri"/>
          <w:color w:val="111111"/>
          <w:sz w:val="28"/>
          <w:sz w:val="28"/>
          <w:szCs w:val="28"/>
          <w:rtl w:val="true"/>
          <w:lang w:bidi="ar-SA"/>
        </w:rPr>
        <w:t xml:space="preserve">ونقله أبو خطاب الحنبلي في التمهيد </w:t>
      </w:r>
      <w:r>
        <w:rPr>
          <w:rStyle w:val="FootnoteAnchor"/>
          <w:rtl w:val="true"/>
        </w:rPr>
        <w:footnoteReference w:id="241"/>
      </w:r>
      <w:r>
        <w:rPr>
          <w:rFonts w:ascii="Amiri" w:hAnsi="Amiri" w:eastAsia="Amiri" w:cs="Amiri"/>
          <w:color w:val="111111"/>
          <w:sz w:val="28"/>
          <w:sz w:val="28"/>
          <w:szCs w:val="28"/>
          <w:rtl w:val="true"/>
          <w:lang w:bidi="ar-SA"/>
        </w:rPr>
        <w:t xml:space="preserve">عن منصوص أحمد بن حنبل، وقال به مالك وداود وبعضُ الشافعية على ما حكاه بن تورك </w:t>
      </w:r>
      <w:r>
        <w:rPr>
          <w:rStyle w:val="FootnoteAnchor"/>
          <w:rtl w:val="true"/>
        </w:rPr>
        <w:footnoteReference w:id="242"/>
      </w:r>
      <w:r>
        <w:rPr>
          <w:rFonts w:ascii="Amiri" w:hAnsi="Amiri" w:eastAsia="Amiri" w:cs="Amiri"/>
          <w:color w:val="111111"/>
          <w:sz w:val="28"/>
          <w:sz w:val="28"/>
          <w:szCs w:val="28"/>
          <w:rtl w:val="true"/>
          <w:lang w:bidi="ar-SA"/>
        </w:rPr>
        <w:t xml:space="preserve">، والقائل به لم يأتِ بحجة لغوية ولا شرعية ولا عقلية، وأمّا إذا دلت عليه القرينة فهو خارج عن محل النزاع، فقولُ الحنابلة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بما دلّت عليه القرينةُ دون غيره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،ليس تفصيلاً في المسألة</w:t>
      </w:r>
      <w:r>
        <w:rPr>
          <w:rFonts w:eastAsia="Amiri" w:cs="Amiri" w:ascii="Amiri" w:hAnsi="Amiri"/>
          <w:color w:val="111111"/>
          <w:sz w:val="28"/>
          <w:szCs w:val="28"/>
          <w:rtl w:val="true"/>
          <w:lang w:bidi="ar-SA"/>
        </w:rPr>
        <w:t xml:space="preserve">. </w:t>
      </w:r>
      <w:bookmarkStart w:id="74" w:name="pg9229_140220"/>
    </w:p>
    <w:p>
      <w:pPr>
        <w:pStyle w:val="Heading2"/>
        <w:numPr>
          <w:ilvl w:val="1"/>
          <w:numId w:val="1"/>
        </w:numPr>
        <w:rPr/>
      </w:pPr>
      <w:bookmarkStart w:id="75" w:name="__RefHeading___Toc4247200_2870459653"/>
      <w:bookmarkStart w:id="76" w:name="_Toc24"/>
      <w:bookmarkEnd w:id="74"/>
      <w:bookmarkEnd w:id="75"/>
      <w:r>
        <w:rPr>
          <w:rtl w:val="true"/>
        </w:rPr>
        <w:t>[</w:t>
      </w:r>
      <w:r>
        <w:rPr>
          <w:rtl w:val="true"/>
        </w:rPr>
        <w:t>مفهوم للعدد</w:t>
      </w:r>
      <w:r>
        <w:rPr>
          <w:rtl w:val="true"/>
        </w:rPr>
        <w:t>]</w:t>
      </w:r>
      <w:bookmarkEnd w:id="7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مفهوم للعدد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بعدد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يدل على انتفاء الحكم فيما عدا ذلك العدد زائداً كان أو ناقصاً ، خلافاً للشافعي </w:t>
      </w:r>
      <w:r>
        <w:rPr>
          <w:rStyle w:val="FootnoteAnchor"/>
          <w:rtl w:val="true"/>
        </w:rPr>
        <w:footnoteReference w:id="244"/>
      </w:r>
      <w:r>
        <w:rPr>
          <w:rFonts w:ascii="IRNazanin" w:hAnsi="IRNazanin" w:eastAsia="IRNazanin"/>
          <w:color w:val="111111"/>
          <w:sz w:val="28"/>
          <w:sz w:val="28"/>
          <w:szCs w:val="28"/>
          <w:rtl w:val="true"/>
          <w:lang w:bidi="fa-IR"/>
        </w:rPr>
        <w:t xml:space="preserve">وأحمد </w:t>
      </w:r>
      <w:r>
        <w:rPr>
          <w:rStyle w:val="FootnoteAnchor"/>
          <w:rtl w:val="true"/>
        </w:rPr>
        <w:footnoteReference w:id="245"/>
      </w:r>
      <w:r>
        <w:rPr>
          <w:rFonts w:ascii="Amiri" w:hAnsi="Amiri" w:eastAsia="Amiri" w:cs="Amiri"/>
          <w:color w:val="111111"/>
          <w:sz w:val="28"/>
          <w:sz w:val="28"/>
          <w:szCs w:val="28"/>
          <w:rtl w:val="true"/>
          <w:lang w:bidi="ar-SA"/>
        </w:rPr>
        <w:t xml:space="preserve">ومالك </w:t>
      </w:r>
      <w:r>
        <w:rPr>
          <w:rStyle w:val="FootnoteAnchor"/>
          <w:rtl w:val="true"/>
        </w:rPr>
        <w:footnoteReference w:id="246"/>
      </w:r>
      <w:r>
        <w:rPr>
          <w:rFonts w:ascii="Amiri" w:hAnsi="Amiri" w:eastAsia="Amiri" w:cs="Amiri"/>
          <w:color w:val="111111"/>
          <w:sz w:val="28"/>
          <w:sz w:val="28"/>
          <w:szCs w:val="28"/>
          <w:rtl w:val="true"/>
          <w:lang w:bidi="ar-SA"/>
        </w:rPr>
        <w:t xml:space="preserve">وداود الظاهري </w:t>
      </w:r>
      <w:r>
        <w:rPr>
          <w:rStyle w:val="FootnoteAnchor"/>
          <w:rtl w:val="true"/>
        </w:rPr>
        <w:footnoteReference w:id="247"/>
      </w:r>
      <w:r>
        <w:rPr>
          <w:rFonts w:ascii="Amiri" w:hAnsi="Amiri" w:eastAsia="Amiri" w:cs="Amiri"/>
          <w:color w:val="111111"/>
          <w:sz w:val="28"/>
          <w:sz w:val="28"/>
          <w:szCs w:val="28"/>
          <w:rtl w:val="true"/>
          <w:lang w:bidi="ar-SA"/>
        </w:rPr>
        <w:t xml:space="preserve">وصاحب الهداية </w:t>
      </w:r>
      <w:r>
        <w:rPr>
          <w:rStyle w:val="FootnoteAnchor"/>
          <w:rtl w:val="true"/>
        </w:rPr>
        <w:footnoteReference w:id="248"/>
      </w:r>
      <w:r>
        <w:rPr>
          <w:rFonts w:ascii="Amiri" w:hAnsi="Amiri" w:eastAsia="Amiri" w:cs="Amiri"/>
          <w:color w:val="111111"/>
          <w:sz w:val="28"/>
          <w:sz w:val="28"/>
          <w:szCs w:val="28"/>
          <w:rtl w:val="true"/>
          <w:lang w:bidi="ar-SA"/>
        </w:rPr>
        <w:t>من الحنفية، فذهب هؤلاء إلى القول بالمفهوم للعدد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صاحب المطارح في التقريرات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القول بالإثبات مطلقاً ولم نعرف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bookmarkStart w:id="77" w:name="pg9229_140222"/>
    </w:p>
    <w:p>
      <w:pPr>
        <w:pStyle w:val="Heading2"/>
        <w:numPr>
          <w:ilvl w:val="1"/>
          <w:numId w:val="1"/>
        </w:numPr>
        <w:rPr/>
      </w:pPr>
      <w:bookmarkStart w:id="78" w:name="__RefHeading___Toc4247202_2870459653"/>
      <w:bookmarkStart w:id="79" w:name="_Toc25"/>
      <w:bookmarkEnd w:id="77"/>
      <w:bookmarkEnd w:id="78"/>
      <w:r>
        <w:rPr>
          <w:rtl w:val="true"/>
        </w:rPr>
        <w:t>في مباحث العموم</w:t>
      </w:r>
      <w:bookmarkEnd w:id="79"/>
    </w:p>
    <w:p>
      <w:pPr>
        <w:pStyle w:val="BookText"/>
        <w:rPr/>
      </w:pP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اللفظ المستغرق لجميع ما يصلح له بحسب وضع واحد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4247204_2870459653"/>
      <w:bookmarkStart w:id="81" w:name="_Toc26"/>
      <w:bookmarkEnd w:id="80"/>
      <w:r>
        <w:rPr>
          <w:rtl w:val="true"/>
        </w:rPr>
        <w:t>[</w:t>
      </w:r>
      <w:r>
        <w:rPr>
          <w:rtl w:val="true"/>
        </w:rPr>
        <w:t>الجمع المنكر</w:t>
      </w:r>
      <w:r>
        <w:rPr>
          <w:rtl w:val="true"/>
        </w:rPr>
        <w:t>]</w:t>
      </w:r>
      <w:bookmarkEnd w:id="81"/>
    </w:p>
    <w:p>
      <w:pPr>
        <w:pStyle w:val="BookText"/>
        <w:rPr/>
      </w:pPr>
      <w:r>
        <w:rPr>
          <w:rFonts w:ascii="Amiri" w:hAnsi="Amiri" w:eastAsia="Amiri" w:cs="Amiri"/>
          <w:color w:val="111111"/>
          <w:sz w:val="28"/>
          <w:sz w:val="28"/>
          <w:szCs w:val="28"/>
          <w:rtl w:val="true"/>
          <w:lang w:bidi="ar-SA"/>
        </w:rPr>
        <w:t>وأما الجمع المنكر فلا يفيد العموم؛ لأنَّه لا يوصف بالأقل،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رجال ثلاثة وأربعة وخمسة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ومفهومُ الجمع المنكر قابلٌ للتقسيم إلى هذه المراتب، ومورد القسمة ـ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مغايرٌ لأقسامه وغير مستلزم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لا يعمّ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لصدقه على كل جملة، وإذا نوّن دار أمره بين الكل وغيره؛ لوضعه للكلي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لأنَّه موضوع كل جملة، فحمله على العموم أولى؛ لأنَّه حملٌ على حقائق الجمع جميعاً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ما جمع وضع للقدر الجامع للكل، والعلم بالأقل موافقٌ مع 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ما يصدق عليه الجمع ثلاثةٌ لا اثنان عند المحققين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82" w:name="pg9229_140225"/>
    </w:p>
    <w:p>
      <w:pPr>
        <w:pStyle w:val="Heading2"/>
        <w:numPr>
          <w:ilvl w:val="1"/>
          <w:numId w:val="1"/>
        </w:numPr>
        <w:rPr/>
      </w:pPr>
      <w:bookmarkStart w:id="83" w:name="__RefHeading___Toc4247206_2870459653"/>
      <w:bookmarkStart w:id="84" w:name="_Toc27"/>
      <w:bookmarkEnd w:id="82"/>
      <w:bookmarkEnd w:id="83"/>
      <w:r>
        <w:rPr>
          <w:rtl w:val="true"/>
        </w:rPr>
        <w:t xml:space="preserve">[ </w:t>
      </w:r>
      <w:r>
        <w:rPr>
          <w:rtl w:val="true"/>
        </w:rPr>
        <w:t>صيغ العموم</w:t>
      </w:r>
      <w:r>
        <w:rPr>
          <w:rtl w:val="true"/>
        </w:rPr>
        <w:t>]</w:t>
      </w:r>
      <w:bookmarkEnd w:id="84"/>
    </w:p>
    <w:p>
      <w:pPr>
        <w:pStyle w:val="BookText"/>
        <w:rPr/>
      </w:pPr>
      <w:r>
        <w:rPr>
          <w:rFonts w:ascii="Amiri" w:hAnsi="Amiri" w:eastAsia="Amiri" w:cs="Amiri"/>
          <w:color w:val="111111"/>
          <w:sz w:val="28"/>
          <w:sz w:val="28"/>
          <w:szCs w:val="28"/>
          <w:rtl w:val="true"/>
          <w:lang w:bidi="ar-SA"/>
        </w:rPr>
        <w:t>وصيغ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وجميع، وأيّ في الاستفهام والمجازاة، أيُّ الشرط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يأتيني فله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في الأزمنة خاصة،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وما،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يشمل العبيد والإماء، لكن إذا كانت </w:t>
      </w:r>
      <w:r>
        <w:rPr>
          <w:rStyle w:val="FootnoteAnchor"/>
          <w:rtl w:val="true"/>
        </w:rPr>
        <w:footnoteReference w:id="253"/>
      </w:r>
      <w:r>
        <w:rPr>
          <w:rFonts w:ascii="Amiri" w:hAnsi="Amiri" w:eastAsia="Amiri" w:cs="Amiri"/>
          <w:color w:val="111111"/>
          <w:sz w:val="28"/>
          <w:sz w:val="28"/>
          <w:szCs w:val="28"/>
          <w:rtl w:val="true"/>
          <w:lang w:bidi="ar-SA"/>
        </w:rPr>
        <w:t>نكرة موصوفة،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بما معجب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أو كانت غير موصوفة،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لا تعم،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في الأمكنة خاصة،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وجدت العلماء فأحسن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إفادتها العموم، فالأكثر </w:t>
      </w:r>
      <w:r>
        <w:rPr>
          <w:rStyle w:val="FootnoteAnchor"/>
          <w:rtl w:val="true"/>
        </w:rPr>
        <w:footnoteReference w:id="254"/>
      </w:r>
      <w:r>
        <w:rPr>
          <w:rFonts w:ascii="Amiri" w:hAnsi="Amiri" w:eastAsia="Amiri" w:cs="Amiri"/>
          <w:color w:val="111111"/>
          <w:sz w:val="28"/>
          <w:sz w:val="28"/>
          <w:szCs w:val="28"/>
          <w:rtl w:val="true"/>
          <w:lang w:bidi="ar-SA"/>
        </w:rPr>
        <w:t xml:space="preserve">على أنها للعموم فقط، وعن السيد المرتضى </w:t>
      </w:r>
      <w:r>
        <w:rPr>
          <w:rStyle w:val="FootnoteAnchor"/>
          <w:rtl w:val="true"/>
        </w:rPr>
        <w:footnoteReference w:id="255"/>
      </w:r>
      <w:r>
        <w:rPr>
          <w:rFonts w:ascii="Amiri" w:hAnsi="Amiri" w:eastAsia="Amiri" w:cs="Amiri"/>
          <w:color w:val="111111"/>
          <w:sz w:val="28"/>
          <w:sz w:val="28"/>
          <w:szCs w:val="28"/>
          <w:rtl w:val="true"/>
          <w:lang w:bidi="ar-SA"/>
        </w:rPr>
        <w:t>أنها مشتركة بين العموم والخصوص؛ لأنَّها وردت لكل منهما، والأصل في الاستعمال الحقيقة، وفيه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وللخصوص بالخصوص ، لأنه المتيقن ، فالحمل عليه أولى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أنها تختص بالعموم لا غير؛ لنص أهل العلم باللغة </w:t>
      </w:r>
      <w:r>
        <w:rPr>
          <w:rStyle w:val="FootnoteAnchor"/>
          <w:rtl w:val="true"/>
        </w:rPr>
        <w:footnoteReference w:id="257"/>
      </w:r>
      <w:r>
        <w:rPr>
          <w:rFonts w:ascii="Amiri" w:hAnsi="Amiri" w:eastAsia="Amiri" w:cs="Amiri"/>
          <w:color w:val="111111"/>
          <w:sz w:val="28"/>
          <w:sz w:val="28"/>
          <w:szCs w:val="28"/>
          <w:rtl w:val="true"/>
          <w:lang w:bidi="ar-SA"/>
        </w:rPr>
        <w:t>وفهم أهل العرف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والجنس في عرف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الماهية المعرّاة من جميع الاعتبارات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85" w:name="pg9229_140227"/>
    </w:p>
    <w:p>
      <w:pPr>
        <w:pStyle w:val="BookText"/>
        <w:rPr/>
      </w:pPr>
      <w:bookmarkEnd w:id="85"/>
      <w:r>
        <w:rPr>
          <w:rFonts w:ascii="Amiri" w:hAnsi="Amiri" w:eastAsia="Amiri" w:cs="Amiri"/>
          <w:color w:val="111111"/>
          <w:sz w:val="28"/>
          <w:sz w:val="28"/>
          <w:szCs w:val="28"/>
          <w:rtl w:val="true"/>
          <w:lang w:bidi="ar-SA"/>
        </w:rPr>
        <w:t>واسم الجنس ما دلّ على الماهية لا بشرط شيء كرجل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للفرد المنتشر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 والأول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واستعمالُ الكلي بالفرد مجازٌ إن قصد منه الفرد، وإنْ أُريد من حيث حلول الجنس في ضمنه فهو </w:t>
      </w:r>
      <w:r>
        <w:rPr>
          <w:rStyle w:val="FootnoteAnchor"/>
          <w:rtl w:val="true"/>
        </w:rPr>
        <w:footnoteReference w:id="260"/>
      </w:r>
      <w:r>
        <w:rPr>
          <w:rFonts w:ascii="Amiri" w:hAnsi="Amiri" w:eastAsia="Amiri" w:cs="Amiri"/>
          <w:color w:val="111111"/>
          <w:sz w:val="28"/>
          <w:sz w:val="28"/>
          <w:szCs w:val="28"/>
          <w:rtl w:val="true"/>
          <w:lang w:bidi="ar-SA"/>
        </w:rPr>
        <w:t>حقيقة، وعلى المجاز لا ينحصر معناه بالفرد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وتدخلُ لام الجنس عليه لتعريف الجنس كالشمس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ولامُ العهد الذهني قد ترد لما يعهد ذهناً إذا كان الفرد بها مشاعاً قد عهد، والمعرّف بها مستعمل بالحقيقة فهو إذاً حقيقة، وإنما فهم الفرد من القرينة ، فلا يلزم في اللفظ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قيد بالفرد فهو مجاز؛ لأنَّه موضوع لِما تجرّد عن القيد، وقد قيد بالفرد </w:t>
      </w:r>
      <w:r>
        <w:rPr>
          <w:rStyle w:val="FootnoteAnchor"/>
          <w:rtl w:val="true"/>
        </w:rPr>
        <w:footnoteReference w:id="261"/>
      </w:r>
      <w:r>
        <w:rPr>
          <w:rFonts w:ascii="Amiri" w:hAnsi="Amiri" w:eastAsia="Amiri" w:cs="Amiri"/>
          <w:color w:val="111111"/>
          <w:sz w:val="28"/>
          <w:sz w:val="28"/>
          <w:szCs w:val="28"/>
          <w:rtl w:val="true"/>
          <w:lang w:bidi="ar-SA"/>
        </w:rPr>
        <w:t>، وأورد بالنقض بالمنكر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في المنكر نوعيَّ لا شخصي، فلا يرد النقض،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تفيد استغراق كل الأفراد مع انتفاء العهد، ويلحظ بها الفرد المعين وإن لم یلفظ به</w:t>
      </w:r>
      <w:r>
        <w:rPr>
          <w:rFonts w:eastAsia="IRNazanin" w:cs="IRNazanin"/>
          <w:color w:val="111111"/>
          <w:sz w:val="28"/>
          <w:szCs w:val="28"/>
          <w:rtl w:val="true"/>
          <w:lang w:bidi="fa-IR"/>
        </w:rPr>
        <w:t>.</w:t>
      </w:r>
    </w:p>
    <w:p>
      <w:pPr>
        <w:pStyle w:val="Heading2"/>
        <w:numPr>
          <w:ilvl w:val="1"/>
          <w:numId w:val="1"/>
        </w:numPr>
        <w:rPr/>
      </w:pPr>
      <w:bookmarkStart w:id="86" w:name="__RefHeading___Toc4247208_2870459653"/>
      <w:bookmarkStart w:id="87" w:name="_Toc28"/>
      <w:bookmarkEnd w:id="86"/>
      <w:r>
        <w:rPr>
          <w:rtl w:val="true"/>
        </w:rPr>
        <w:t>[</w:t>
      </w:r>
      <w:r>
        <w:rPr>
          <w:rtl w:val="true"/>
        </w:rPr>
        <w:t>الجمع المعرَّف باللام</w:t>
      </w:r>
      <w:r>
        <w:rPr>
          <w:rtl w:val="true"/>
        </w:rPr>
        <w:t>]</w:t>
      </w:r>
      <w:bookmarkEnd w:id="87"/>
    </w:p>
    <w:p>
      <w:pPr>
        <w:pStyle w:val="BookText"/>
        <w:rPr/>
      </w:pPr>
      <w:r>
        <w:rPr>
          <w:rFonts w:ascii="Amiri" w:hAnsi="Amiri" w:eastAsia="Amiri" w:cs="Amiri"/>
          <w:color w:val="111111"/>
          <w:sz w:val="28"/>
          <w:sz w:val="28"/>
          <w:szCs w:val="28"/>
          <w:rtl w:val="true"/>
          <w:lang w:bidi="ar-SA"/>
        </w:rPr>
        <w:t xml:space="preserve">والجمع المعرَّف باللام يجري به جميع ما ذكر من الأقسام، ويقتضي العموم عرفاً إذا عُرّف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عهد ؛ فلا شيء من المراتب بمعيّن عند المخاطب حتى ينصرف إليه، والعمومُ فيه جميعي لا مجموعي كما يراه بعضٌ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المفرد المعرّف باللام موضوعٌ للجنس مع انتفاء العهد</w:t>
      </w:r>
      <w:r>
        <w:rPr>
          <w:rFonts w:eastAsia="Amiri" w:cs="Amiri" w:ascii="Amiri" w:hAnsi="Amiri"/>
          <w:color w:val="111111"/>
          <w:sz w:val="28"/>
          <w:szCs w:val="28"/>
          <w:rtl w:val="true"/>
          <w:lang w:bidi="ar-SA"/>
        </w:rPr>
        <w:t xml:space="preserve">. </w:t>
      </w:r>
      <w:bookmarkStart w:id="88" w:name="pg9229_140229"/>
    </w:p>
    <w:p>
      <w:pPr>
        <w:pStyle w:val="BookText"/>
        <w:rPr/>
      </w:pPr>
      <w:bookmarkEnd w:id="88"/>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لوصفه بالجمع وتحققِ الإخراج منه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قرينة على إرادة العموم، لا وضعه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فهمَ نفس الجنس منه عرفاً دليلٌ على عدم اشتراكه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يُفهم العموم عند الإطلاق إذا علّق الحكم بنفس الجنس، ويفهم العموم بالحكمة والسريان،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سريان الجنس في كل فرد، هذا إذا لم يكن هناك فرد شائع، وإلَّا انصرف إلى الفرد الشائع؛ لأنَّه الراجح في الكلام عند أهل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دار الأمر في معنى اللام بين الحمل على العهد أو غيره فالحمل عليه أولى وأصحّ</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4247210_2870459653"/>
      <w:bookmarkStart w:id="90" w:name="_Toc29"/>
      <w:bookmarkEnd w:id="89"/>
      <w:r>
        <w:rPr>
          <w:rtl w:val="true"/>
        </w:rPr>
        <w:t>والنكرةُ في سياق النفي</w:t>
      </w:r>
      <w:bookmarkEnd w:id="90"/>
    </w:p>
    <w:p>
      <w:pPr>
        <w:pStyle w:val="BookText"/>
        <w:rPr/>
      </w:pPr>
      <w:r>
        <w:rPr>
          <w:rFonts w:ascii="Amiri" w:hAnsi="Amiri" w:eastAsia="Amiri" w:cs="Amiri"/>
          <w:color w:val="111111"/>
          <w:sz w:val="28"/>
          <w:sz w:val="28"/>
          <w:szCs w:val="28"/>
          <w:rtl w:val="true"/>
          <w:lang w:bidi="ar-SA"/>
        </w:rPr>
        <w:t>يُفهم منها العموم عرفاً،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نقيض المثبتة؛ لأنَّه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مناقضاً للقول الأول، وهي غير عامة في الإثبات فتعم النكرة في النفي، وإلّا شا لما تناقض؛ لأنَّ الايجاب الجزئي إنما يناقضه السلب الكلي</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4247212_2870459653"/>
      <w:bookmarkStart w:id="92" w:name="_Toc30"/>
      <w:bookmarkEnd w:id="91"/>
      <w:r>
        <w:rPr>
          <w:rtl w:val="true"/>
        </w:rPr>
        <w:t>وتركُ الاستفصال للعموم</w:t>
      </w:r>
      <w:bookmarkEnd w:id="92"/>
    </w:p>
    <w:p>
      <w:pPr>
        <w:pStyle w:val="BookText"/>
        <w:rPr/>
      </w:pPr>
      <w:r>
        <w:rPr>
          <w:rFonts w:ascii="Amiri" w:hAnsi="Amiri" w:eastAsia="Amiri" w:cs="Amiri"/>
          <w:color w:val="111111"/>
          <w:sz w:val="28"/>
          <w:sz w:val="28"/>
          <w:szCs w:val="28"/>
          <w:rtl w:val="true"/>
          <w:lang w:bidi="ar-SA"/>
        </w:rPr>
        <w:t>فيما إذا أطلق الجواب عما يحتمل فيه الوجوه فيحمل على الكل، إلَّا إذا كان له وجه معروف ينصرف الإطلاق إليه حينئذٍ ، وهذا مع علم السائل بعلم المسؤول بالوجوه المحتملة فيه كما هو الحال في رواة أصحابنا في أسئلتهم عن الأئمة الأطهار العالمين بعلم ما كان وما يكون، ولا فرق بين الفعل والقول إلَّا أن يكون تعليل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مسألة خطاب المعدوم بخطاب المشافهة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 ولا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النزاع غيرُ النزاع في تكليف المعدوم وطلب المراد منه في النفس ـ الذي</w:t>
      </w:r>
    </w:p>
    <w:p>
      <w:pPr>
        <w:pStyle w:val="BookText"/>
        <w:rPr/>
      </w:pPr>
      <w:r>
        <w:rPr>
          <w:rFonts w:ascii="Amiri" w:hAnsi="Amiri" w:eastAsia="Amiri" w:cs="Amiri"/>
          <w:color w:val="111111"/>
          <w:sz w:val="28"/>
          <w:sz w:val="28"/>
          <w:szCs w:val="28"/>
          <w:rtl w:val="true"/>
          <w:lang w:bidi="ar-SA"/>
        </w:rPr>
        <w:t xml:space="preserve">هو بين الأشاعرة وغيرهم المبني على ثبوت الكلام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الأشاعرة لما أثبتوا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لقدم الخطابات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التي هي الأحكام الشرعية التي بها كان التكليفُ، ومعلوم أنه لا مكلف حينئذٍ لزمَ تكليف المعدوم، ولما كان هذا البناء على قدم الكلام النفسي الفاسد وظهر فساد المبنى في محلّه </w:t>
      </w:r>
      <w:r>
        <w:rPr>
          <w:rStyle w:val="FootnoteAnchor"/>
          <w:rtl w:val="true"/>
        </w:rPr>
        <w:footnoteReference w:id="265"/>
      </w:r>
      <w:r>
        <w:rPr>
          <w:rFonts w:ascii="IRNazanin" w:hAnsi="IRNazanin" w:eastAsia="IRNazanin"/>
          <w:color w:val="111111"/>
          <w:sz w:val="28"/>
          <w:sz w:val="28"/>
          <w:szCs w:val="28"/>
          <w:rtl w:val="true"/>
          <w:lang w:bidi="fa-IR"/>
        </w:rPr>
        <w:t>ظهرَ فساد الابتناء</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محلُّ هذا النزاع في علم الكلام، والمذكور في علم أصول الفقه توجيه الخطاب إلى المعدوم، وهو نزاع بين الحنابلة وغيرهم، والأشاعرة فيه كالمعتزلة على المنع </w:t>
      </w:r>
      <w:r>
        <w:rPr>
          <w:rStyle w:val="FootnoteAnchor"/>
          <w:rtl w:val="true"/>
        </w:rPr>
        <w:footnoteReference w:id="266"/>
      </w:r>
      <w:r>
        <w:rPr>
          <w:rFonts w:ascii="Amiri" w:hAnsi="Amiri" w:eastAsia="Amiri" w:cs="Amiri"/>
          <w:color w:val="111111"/>
          <w:sz w:val="28"/>
          <w:sz w:val="28"/>
          <w:szCs w:val="28"/>
          <w:rtl w:val="true"/>
          <w:lang w:bidi="ar-SA"/>
        </w:rPr>
        <w:t>، وإنما أجازه الحنابلة</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وتحريره يقع في باب العموم والخصوص، وقد وهم غيرُ واحد من المتأخرين </w:t>
      </w:r>
      <w:r>
        <w:rPr>
          <w:rStyle w:val="FootnoteAnchor"/>
          <w:rtl w:val="true"/>
        </w:rPr>
        <w:footnoteReference w:id="267"/>
      </w:r>
      <w:r>
        <w:rPr>
          <w:rFonts w:ascii="Amiri" w:hAnsi="Amiri" w:eastAsia="Amiri" w:cs="Amiri"/>
          <w:color w:val="111111"/>
          <w:sz w:val="28"/>
          <w:sz w:val="28"/>
          <w:szCs w:val="28"/>
          <w:rtl w:val="true"/>
          <w:lang w:bidi="ar-SA"/>
        </w:rPr>
        <w:t xml:space="preserve">وخلطوا النزاعين وجعلوه نزاعاً واحداً، وأشكلَ عليهم الأمر في تحرير محل النزاع، ونسبوا إلى الأشاعرة ما هو مذهب الحنابلة، وجوّز بعضهم </w:t>
      </w:r>
      <w:r>
        <w:rPr>
          <w:rStyle w:val="FootnoteAnchor"/>
          <w:rtl w:val="true"/>
        </w:rPr>
        <w:footnoteReference w:id="268"/>
      </w:r>
      <w:r>
        <w:rPr>
          <w:rFonts w:ascii="Amiri" w:hAnsi="Amiri" w:eastAsia="Amiri" w:cs="Amiri"/>
          <w:color w:val="111111"/>
          <w:sz w:val="28"/>
          <w:sz w:val="28"/>
          <w:szCs w:val="28"/>
          <w:rtl w:val="true"/>
          <w:lang w:bidi="ar-SA"/>
        </w:rPr>
        <w:t xml:space="preserve">توجيه الخطاب إلى المعدوم مع ضم الموجود، ومنهم </w:t>
      </w:r>
      <w:r>
        <w:rPr>
          <w:rStyle w:val="FootnoteAnchor"/>
          <w:rtl w:val="true"/>
        </w:rPr>
        <w:footnoteReference w:id="269"/>
      </w:r>
      <w:r>
        <w:rPr>
          <w:rFonts w:ascii="Amiri" w:hAnsi="Amiri" w:eastAsia="Amiri" w:cs="Amiri"/>
          <w:color w:val="111111"/>
          <w:sz w:val="28"/>
          <w:sz w:val="28"/>
          <w:szCs w:val="28"/>
          <w:rtl w:val="true"/>
          <w:lang w:bidi="ar-SA"/>
        </w:rPr>
        <w:t>من جوّزه مطلقاً على طريق التجوّز وتنزيل المعدوم منزلة الموجود حتى يكون استعمال أدوات الخطاب حقيقة لا مجاز فيها، وأخرج الخطابات الغير المصدرة بأداة الخطاب عن محل النزاع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r>
        <w:rPr>
          <w:rStyle w:val="FootnoteAnchor"/>
          <w:rtl w:val="true"/>
        </w:rPr>
        <w:footnoteReference w:id="270"/>
      </w:r>
      <w:r>
        <w:rPr>
          <w:rFonts w:ascii="Amiri" w:hAnsi="Amiri" w:eastAsia="Amiri" w:cs="Amiri"/>
          <w:color w:val="111111"/>
          <w:sz w:val="28"/>
          <w:sz w:val="28"/>
          <w:szCs w:val="28"/>
          <w:rtl w:val="true"/>
          <w:lang w:bidi="ar-SA"/>
        </w:rPr>
        <w:t>، وأمثال ذلك مع أَنَّه داخل في النزاع؛ لأنّه كما عرفت في توجيه الخطاب إلى المعدوم بخطاب المشافهة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 ولا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للناس بجملة يراد منها الإنشاء لا الإخبار ، ولا ينحصر خطاب المشافهة بالمصدر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أن جميع خطابات الله عزَّ وجلَّ كانت لجميع الناس؛ إذ لا معدوم منهم عنده؛ فإنه خلقهم أولاً أرواحاً وكانوا جنوداً مجندة قبل خلق أجسادهم </w:t>
      </w:r>
      <w:r>
        <w:rPr>
          <w:rStyle w:val="FootnoteAnchor"/>
          <w:rtl w:val="true"/>
        </w:rPr>
        <w:footnoteReference w:id="271"/>
      </w:r>
      <w:r>
        <w:rPr>
          <w:rFonts w:ascii="Amiri" w:hAnsi="Amiri" w:eastAsia="Amiri" w:cs="Amiri"/>
          <w:color w:val="111111"/>
          <w:sz w:val="28"/>
          <w:sz w:val="28"/>
          <w:szCs w:val="28"/>
          <w:rtl w:val="true"/>
          <w:lang w:bidi="ar-SA"/>
        </w:rPr>
        <w:t>، بل وخاطبهم وهم أرواح،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فهذه الخطابات القرآنية وغيرها كلها للموجودين، غيرَ أن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هو حاضر مجلس</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ببدنه وروحه، ومنهم من هو حاضر عند الله بروحه، والمخاطب بالخطاب العام الكل؛ إذ ليس المراد بالخطاب البعث والتحريك الفعلي، ولا بالنهي الزجر الفعلي حتى يكون له أثر بالنسبة إلى الأرواح الغير المتجسدة، بل إنما المراد التكليف المتكفل له الخطاب ولا خصوصية للسامع قطعاً غير تنجز تلك الأحكام بالنسبة إليه وصيرورتها 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النزاع في أنَّ المعدوم هل يكون الحكم الذي صار فعلياً بالنسبة إلى الموجود بعد علمه به يكون فعلياً بالنسبة إلى المعدوم أم لا؟ فهذا من الكلام الذي يلحق بالهذيان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عام لكل إنسان ولا خصوصية فيه للأشخاص السامعين، بل هو كخطاب زرارة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فكما لا اعتبار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في هذا الحكم كذلك </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لا اعتبار للحاضرين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القطع بعدم خصوصية زرارة بهذا الحكم أجلى من القطع بعدم خصوصية السامعين في مسجد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القرآنية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كان النزاع من حيث البعث والتحريك وأنَّ البعث والتحريك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هل يعمُّ بعث المعدوم وتحريكه فهو بكلام أهل السواد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النزاع في الصناعة اللفظية فالقائل بالإمتناع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أدوات الخطاب موضوعةٌ لخطاب المشافهة المعيّن الشخصي والجسم الحسي فلا استعمال في المعدوم وغير الموجود، والقائل بالجواز ينكر الوضع على النحو المذكور أو يقول بصحة تنزيل المعدوم منزلة الموجود؛ فتكون الخطابات القرآنية قد لوحظ فيها التنزيل واستعملت في المخاطبة للحاضر والغائب المنزل منزلة الحاضر ؛ فيكون النزاع حينئذ لفظياً؛ لأنَّ المنكر لا ينكر إمكان التنزيل، والمثبت لا ينكر عدم وضع الأداة للأعم من الموجود والمعدوم، فما هذا التشاجر الذي لا يرجع إلى طائل؟ سواء كانت المسألة عقلية أو لغوية، وكم من مباحث الأصول ما</w:t>
      </w:r>
    </w:p>
    <w:p>
      <w:pPr>
        <w:pStyle w:val="BookText"/>
        <w:rPr/>
      </w:pPr>
      <w:r>
        <w:rPr>
          <w:rFonts w:ascii="Amiri" w:hAnsi="Amiri" w:eastAsia="Amiri" w:cs="Amiri"/>
          <w:color w:val="111111"/>
          <w:sz w:val="28"/>
          <w:sz w:val="28"/>
          <w:szCs w:val="28"/>
          <w:rtl w:val="true"/>
          <w:lang w:bidi="ar-SA"/>
        </w:rPr>
        <w:t>هو لا روح له عند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التخصيصاعلم أنَّ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متصل، وهو ما لا يستقل بنفسه،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 وهو بخلافه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التخصيص بالمخصص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المتصل خمسة أقسام بالاستقراء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والغاية، والشرط، والوصف، والبدل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والأولان يخرجان المذكور ، والبواقي غيره، ويجب إبقاء الأكثر بعد التخصيص ؛ لقبح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كل الرمان الذي في الدار، وفيه عشرة وقد أكل واحدة على أنه يكفي الشك في الرخصة في غير ما ذكر من بقاء الأكثر؛ فالجواز فيه معلوم، وفي غيره مشكوك، وجواز إطلاق العام وإرادة الخاص في الخبر والأمر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 خَالِقُ كُلِّ شَيْءٍ</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المشركين</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والمراد به ما عدا أهل الذمة، لكن هذا لا ينافي ما ذكر من اعتبار إبقاء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مع إبقاء واحد؛ لأن ترجيح بقاء ما عدا الواحد قبيح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الأكثر أولى؛ لقربه من مدلول العام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ما سمعته من الشك في الرخصة في غير صورة بقاء الأكثر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 الواحد متيقن البقاء وغيره مشكوك فالأصل عدم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لما عرفت من قبح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كل 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أقوال أُخر ضعيفة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93" w:name="pg9229_140238"/>
    </w:p>
    <w:p>
      <w:pPr>
        <w:pStyle w:val="BookText"/>
        <w:rPr/>
      </w:pPr>
      <w:bookmarkEnd w:id="93"/>
      <w:r>
        <w:rPr>
          <w:rFonts w:ascii="Amiri" w:hAnsi="Amiri" w:eastAsia="Amiri" w:cs="Amiri"/>
          <w:color w:val="111111"/>
          <w:sz w:val="28"/>
          <w:sz w:val="28"/>
          <w:szCs w:val="28"/>
          <w:rtl w:val="true"/>
          <w:lang w:bidi="ar-SA"/>
        </w:rPr>
        <w:t>لما كان الاستثناء هو الإخراج، ولا إخراج إلّا بعد الدخول، ثم لا معنى للإخراج إلّا الإخراج من تعلّق الحكم، كان المستثنى مشتملاً على التناقض لاجتماع النفي والإثبات عليه، غايته أن أحدهما يرد عليه في ضمن المستثنى منه والآخر منفرداً، فأشكل ذلك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الجواب أن المخرج في الواقع والحقيقة غير محكوم عليه في ضمن العام وإن تحقق الحكم صورة، فإنّ إطلاق القوم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القوم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بل إذا كان التخصيص بالمتصل لم يتم المحكوم عليه بعد حتى يجيء المتصل، فإنهما شيء واحد؛ لمكان الاتصال وعدم الاستقلال؛ ولهذا لم يعد التخصيص به إنكاراً بعد الإقرار، بخلاف المنفصل فإنه لا يسمع، ويشهد لما ذكرنا أنّ أهل العرف ـ على اختلاف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خصصوا بالمتصل لم يخطر لهم هذا التناقض ببال أصلاً وإن كان المتكلّم أو السامع ممن خاصم في هذه المسألة، وهذا بخلاف ما إذا سمعوا التخصيص بالمنفصل، فإنا نراهم يحكمون حينئذ بالتناقض وينساق إليهم، وليس هناك إلَّا الاتصال وعدم انعقاد الظهور فيه إلا بعد الفراغ؛ لأنّ للمتكلّم أن يلحق بكلامه ما شاء من اللواحق ما دام متشاغلاً به، فافهم</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4247214_2870459653"/>
      <w:bookmarkStart w:id="95" w:name="_Toc31"/>
      <w:bookmarkEnd w:id="94"/>
      <w:r>
        <w:rPr>
          <w:rtl w:val="true"/>
        </w:rPr>
        <w:t xml:space="preserve">[ </w:t>
      </w:r>
      <w:r>
        <w:rPr>
          <w:rtl w:val="true"/>
        </w:rPr>
        <w:t>حجية العام في الباقي</w:t>
      </w:r>
      <w:r>
        <w:rPr>
          <w:rtl w:val="true"/>
        </w:rPr>
        <w:t>]</w:t>
      </w:r>
      <w:bookmarkEnd w:id="95"/>
    </w:p>
    <w:p>
      <w:pPr>
        <w:pStyle w:val="BookText"/>
        <w:rPr/>
      </w:pPr>
      <w:r>
        <w:rPr>
          <w:rFonts w:ascii="Amiri" w:hAnsi="Amiri" w:eastAsia="Amiri" w:cs="Amiri"/>
          <w:color w:val="111111"/>
          <w:sz w:val="28"/>
          <w:sz w:val="28"/>
          <w:szCs w:val="28"/>
          <w:rtl w:val="true"/>
          <w:lang w:bidi="ar-SA"/>
        </w:rPr>
        <w:t xml:space="preserve">وإذا خُصَّ العام بمخصص مبين المفهوم والمصداق فهو حجة أيضاً في الباقي مطلقاً بلا خلاف </w:t>
      </w:r>
      <w:r>
        <w:rPr>
          <w:rStyle w:val="FootnoteAnchor"/>
          <w:rtl w:val="true"/>
        </w:rPr>
        <w:footnoteReference w:id="281"/>
      </w:r>
      <w:r>
        <w:rPr>
          <w:rFonts w:ascii="IRNazanin" w:hAnsi="IRNazanin" w:eastAsia="IRNazanin"/>
          <w:color w:val="111111"/>
          <w:sz w:val="28"/>
          <w:sz w:val="28"/>
          <w:szCs w:val="28"/>
          <w:rtl w:val="true"/>
          <w:lang w:bidi="fa-IR"/>
        </w:rPr>
        <w:t xml:space="preserve">من أصحابنا، وهو مذهب الأفاضل من الجمهور </w:t>
      </w:r>
      <w:r>
        <w:rPr>
          <w:rStyle w:val="FootnoteAnchor"/>
          <w:rtl w:val="true"/>
        </w:rPr>
        <w:footnoteReference w:id="282"/>
      </w:r>
      <w:r>
        <w:rPr>
          <w:rFonts w:ascii="Amiri" w:hAnsi="Amiri" w:eastAsia="Amiri" w:cs="Amiri"/>
          <w:color w:val="111111"/>
          <w:sz w:val="28"/>
          <w:sz w:val="28"/>
          <w:szCs w:val="28"/>
          <w:rtl w:val="true"/>
          <w:lang w:bidi="ar-SA"/>
        </w:rPr>
        <w:t xml:space="preserve">، وفصل بعضُهم بين المتصل والمنفصل فقال بحجية الأول دون الثاني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الحجية مطلقاً؛ لنا حكم العرف والعقلاء بانقطاع عذر العبد المأمور بإكرام العلماء إلَّا زيداً، إذا لم يكرم عالماً ؛ وما ذلك إلا لظهور العام في الباقي على وجه لا يشوبه شائبة </w:t>
      </w:r>
    </w:p>
    <w:p>
      <w:pPr>
        <w:pStyle w:val="BookText"/>
        <w:rPr/>
      </w:pPr>
      <w:r>
        <w:rPr>
          <w:rFonts w:ascii="IRNazanin" w:hAnsi="IRNazanin" w:eastAsia="IRNazanin"/>
          <w:color w:val="111111"/>
          <w:sz w:val="28"/>
          <w:sz w:val="28"/>
          <w:szCs w:val="28"/>
          <w:rtl w:val="true"/>
          <w:lang w:bidi="fa-IR"/>
        </w:rPr>
        <w:t>إجمال وإهمال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والمتتبع لموارد الاحتجاجات والمخاصمات في كلمات أهل المعرفة وأرباب العصمة ظاهرا منهم وأصحابهم من أهل العلم بالمناظرة من أهل اللسان والمحاورة يرى ذلك ظاهراً كالشمس في رابعة النهار ، كيف ولولا ذلك لانسدّ باب الاستنباط في الفقه؛ لتوقفه على الأخذ بأمثال هذه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عدم وجود عام غير مخصص،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عام إِلَّا وقد خُصَّ </w:t>
      </w:r>
      <w:r>
        <w:rPr>
          <w:rStyle w:val="FootnoteAnchor"/>
          <w:rtl w:val="true"/>
        </w:rPr>
        <w:footnoteReference w:id="284"/>
      </w:r>
      <w:r>
        <w:rPr>
          <w:rFonts w:ascii="Amiri" w:hAnsi="Amiri" w:eastAsia="Amiri" w:cs="Amiri"/>
          <w:color w:val="111111"/>
          <w:sz w:val="28"/>
          <w:sz w:val="28"/>
          <w:szCs w:val="28"/>
          <w:rtl w:val="true"/>
          <w:lang w:bidi="ar-SA"/>
        </w:rPr>
        <w:t>ولذا قال أهل العلم باللسان عند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المخصص أقوى ظهوراً من غيره؛ لكونه مظنةً للتخصيص الوجدان المستقيم يرى ذلك بمكان </w:t>
      </w:r>
      <w:r>
        <w:rPr>
          <w:rStyle w:val="FootnoteAnchor"/>
          <w:rtl w:val="true"/>
        </w:rPr>
        <w:footnoteReference w:id="285"/>
      </w:r>
      <w:r>
        <w:rPr>
          <w:rFonts w:ascii="Amiri" w:hAnsi="Amiri" w:eastAsia="Amiri" w:cs="Amiri"/>
          <w:color w:val="111111"/>
          <w:sz w:val="28"/>
          <w:sz w:val="28"/>
          <w:szCs w:val="28"/>
          <w:rtl w:val="true"/>
          <w:lang w:bidi="ar-SA"/>
        </w:rPr>
        <w:t>فصام من الوضوح ولا يحتاج إلى البرهان ولكنا مع ذلك نوضح الوجه في ذلك بالبرهان كي لا يبقى قول القائل،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الباقي بعد التخصيص مرتبة من مراتب المجاز، والمراتب  فيه متساوية، فتعيين خصوص الباقي دون باقي المراتب ترجيح بلا مرجح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المرجح أقربية الباقي إلى مدلول العام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الأقربية المعتبرة في الترجيح هي المقيدة لغلبة الاستعمال في اللفظ بعد صرفه عن معناه الحقيقي، وأما غيرها فلا عبرة بها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غير متحققة في المقام؛ لأنَّ الموارد الباقية مصداقه، ولا ريب باختلافه على وجه لا يمكن أن يحصل غلبة في مرتبة من مراتبه كما لا يخفى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 الجواب ما أفاده سيدنا الأستاذ حجة الإسلام الميرزا له في مجلس الدرس بسامراء وهو أنَّ الظهور العام في الباقي إنما هو مسبب من الوضع الأصلي للعام؛ حيث </w:t>
      </w:r>
    </w:p>
    <w:p>
      <w:pPr>
        <w:pStyle w:val="BookText"/>
        <w:rPr/>
      </w:pPr>
      <w:r>
        <w:rPr>
          <w:rFonts w:ascii="Amiri" w:hAnsi="Amiri" w:eastAsia="Amiri" w:cs="Amiri"/>
          <w:color w:val="111111"/>
          <w:sz w:val="28"/>
          <w:sz w:val="28"/>
          <w:szCs w:val="28"/>
          <w:rtl w:val="true"/>
          <w:lang w:bidi="ar-SA"/>
        </w:rPr>
        <w:t xml:space="preserve">إنَّ العام قبل التخصيص دال على إراءة جميع الأفراد الممتازة في ذاتها، فكأنَّ المتكلم أراد جميع الأفراد المتميزة بلفظ واحد دال على تمامها، فدلالة العام المتعلقة بذات الأفراد أصلية، ودلالته على اجتماع الأفراد ـ أعني 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عرضيةٌ ؛ لأنَّ واقع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هذه ذوات مدخولها المتميزة في ذاتها، وكون تلك الذوات المتميزة مجموعةً، فإذا ارتفع عن الأفراد الاجتماع السابق بإخراج بعض الأفراد فدلالة العام السابقة ـ التي كانت قبل هذا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بعد باقية؛ لفرض تشخصها سابقاً واستقلالها، فاللفظ المستعمل في الباقي وإنْ لم يكن حقيقةً اصطلاحية،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لم يستعمل في تمام ما وضع له، ولكنه مع ذلك ليس مجازاً على حد سائر المجازات التي لا بد في استعمالها في غير الموضوع له </w:t>
      </w:r>
      <w:r>
        <w:rPr>
          <w:rStyle w:val="FootnoteAnchor"/>
          <w:rtl w:val="true"/>
        </w:rPr>
        <w:footnoteReference w:id="289"/>
      </w:r>
      <w:r>
        <w:rPr>
          <w:rFonts w:ascii="Amiri" w:hAnsi="Amiri" w:eastAsia="Amiri" w:cs="Amiri"/>
          <w:color w:val="111111"/>
          <w:sz w:val="28"/>
          <w:sz w:val="28"/>
          <w:szCs w:val="28"/>
          <w:rtl w:val="true"/>
          <w:lang w:bidi="ar-SA"/>
        </w:rPr>
        <w:t xml:space="preserve">من علاقة، ويكون الاستعمال فيها بلحاظ تلك العلاقة، بل الظهور السابق ـ الذي كان به كل فرد من هذه الأفراد الباقية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حاله السابق من الظهور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الذي كان لهذه الأفراد من العام في الظهور لم يزل، وحينئذ فاستعمال اللفظ في الباقي كاستعماله لو لم يكن للعام في الواقع أفراد سوى أفراد هذا الباقي من حيث الظهور والإراءة، فالمرآتية بالنسبة إلى هذه الأفراد بمقتضى الوضع الأولى الحقيقي باق له لم يزل، فهو ليس حقيقة اصطلاحية ولا مجازاً اصطلاحياً، فإذا ثبت أنَّ دلالة العام على كل فرد لم تكن محتاجة إلى دلالته على انضمام الأفراد الأخر، بل كانت كالمستقلة بنفسها، وهذه الدلالة في الباقي موجودة؛ لثبوت مقتضيها وعدم ما يوجب صرف اللفظ السابق الثابت له؛ لفرض اختصاص المخصص بغير هذه الأفراد، فالباقي متعيّن على تعيّن الجميع عند عدم المخصص، فافهم واغتنم</w:t>
      </w:r>
      <w:r>
        <w:rPr>
          <w:rFonts w:eastAsia="Amiri" w:cs="Amiri" w:ascii="Amiri" w:hAnsi="Amiri"/>
          <w:color w:val="111111"/>
          <w:sz w:val="28"/>
          <w:szCs w:val="28"/>
          <w:rtl w:val="true"/>
          <w:lang w:bidi="ar-SA"/>
        </w:rPr>
        <w:t xml:space="preserve">. </w:t>
      </w:r>
      <w:bookmarkStart w:id="96" w:name="pg9229_140244"/>
    </w:p>
    <w:p>
      <w:pPr>
        <w:pStyle w:val="Heading2"/>
        <w:numPr>
          <w:ilvl w:val="1"/>
          <w:numId w:val="1"/>
        </w:numPr>
        <w:rPr/>
      </w:pPr>
      <w:bookmarkStart w:id="97" w:name="__RefHeading___Toc4247216_2870459653"/>
      <w:bookmarkStart w:id="98" w:name="_Toc32"/>
      <w:bookmarkEnd w:id="96"/>
      <w:bookmarkEnd w:id="97"/>
      <w:r>
        <w:rPr>
          <w:rtl w:val="true"/>
        </w:rPr>
        <w:t>[</w:t>
      </w:r>
      <w:r>
        <w:rPr>
          <w:rtl w:val="true"/>
        </w:rPr>
        <w:t>في التمسك بالعام في الشبهة المصداقية فيما لو كان المخصص لفظياً</w:t>
      </w:r>
      <w:r>
        <w:rPr>
          <w:rtl w:val="true"/>
        </w:rPr>
        <w:t>]</w:t>
      </w:r>
      <w:bookmarkEnd w:id="98"/>
    </w:p>
    <w:p>
      <w:pPr>
        <w:pStyle w:val="BookText"/>
        <w:rPr/>
      </w:pPr>
      <w:r>
        <w:rPr>
          <w:rFonts w:ascii="IRNazanin" w:hAnsi="IRNazanin" w:eastAsia="IRNazanin"/>
          <w:color w:val="111111"/>
          <w:sz w:val="28"/>
          <w:sz w:val="28"/>
          <w:szCs w:val="28"/>
          <w:rtl w:val="true"/>
          <w:lang w:bidi="fa-IR"/>
        </w:rPr>
        <w:t>وفيما لو كان تخصيص العام بما أخذ عنواناً في موضوع الحكم وشك في فرد أنه من أیهما؟</w:t>
      </w:r>
    </w:p>
    <w:p>
      <w:pPr>
        <w:pStyle w:val="BookText"/>
        <w:rPr/>
      </w:pPr>
      <w:r>
        <w:rPr>
          <w:rFonts w:ascii="Amiri" w:hAnsi="Amiri" w:eastAsia="Amiri" w:cs="Amiri"/>
          <w:color w:val="111111"/>
          <w:sz w:val="28"/>
          <w:sz w:val="28"/>
          <w:szCs w:val="28"/>
          <w:rtl w:val="true"/>
          <w:lang w:bidi="ar-SA"/>
        </w:rPr>
        <w:t>فالحقُ عندنا عدُم جواز التعويل على العام في حكم المصداق المشكوك الاندراج في العام المخصص بمخصص لفظي مبين ومعنون بما عنون به العام،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وشُك في مصداقٍ لإجراء حكم العام عليه، سواء كان العام أو الخاص حكماً تكليفياً بأقسامه، أو وضعياً كذلك؛لأنَّ العام لا يرفع الشك المتولّد من الترديد في الأمور الخارجية التي لا دخل لإرادة المتكلّم فيها، والعام مرجعٌ فيما شك فيه من مراد المتكلّم؛ فلو شككنا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يرتفع الشك في عدالته بالرجوع إلى المتكلم من حيث إنَّه متكلّم بالعام، بل نسبة المشكوك إلى العنوانين نسبة واحدة؛ فلا يمكن الحكم بدخوله في أحدهما؛ للزوم الترجيح بلا مرجح، بل يرجع فيها إلى الأصول إنْ كان مجملاً مطلقاً، ولا يرجع إلى العام مطلقاً؛ لعدم اقتضائه الكشف عن المصداق في المشكوك، وجدَ الأصل أو انتفى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العام مقتضٍ والمخصص مانع واضحةٌ الفساد عند أهل النظر، مع أنَّه لا بدَّ من إحراز المانع بدليلٍ، ومجردُ الشك في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الحالة السابقة ـ لا يقتضي الحكم بالعدم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العلم بالحالة السابقة قبل زمان الشك؛ فالأخذ حينئذٍ بالاستصحاب من بعض </w:t>
      </w:r>
      <w:r>
        <w:rPr>
          <w:rStyle w:val="FootnoteAnchor"/>
          <w:rtl w:val="true"/>
        </w:rPr>
        <w:footnoteReference w:id="290"/>
      </w:r>
      <w:r>
        <w:rPr>
          <w:rFonts w:ascii="IRNazanin" w:hAnsi="IRNazanin" w:eastAsia="IRNazanin"/>
          <w:color w:val="111111"/>
          <w:sz w:val="28"/>
          <w:sz w:val="28"/>
          <w:szCs w:val="28"/>
          <w:rtl w:val="true"/>
          <w:lang w:bidi="fa-IR"/>
        </w:rPr>
        <w:t xml:space="preserve">الأخبارية المتمسكين في موارد الاستصحابات الموضوعية بعموم الدليل، وما ذلك منهم بعجيب، لكن للشهيد الثاني كلام ربما أشعر بذلك أيضاً؛ حيث احتمل إلحاق الخنثى المرتدة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بالرجل؛ لعموم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دينه فاقتلوه</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p>
    <w:p>
      <w:pPr>
        <w:pStyle w:val="BookText"/>
        <w:rPr/>
      </w:pPr>
      <w:r>
        <w:rPr>
          <w:rFonts w:ascii="Amiri" w:hAnsi="Amiri" w:eastAsia="Amiri" w:cs="Amiri"/>
          <w:color w:val="111111"/>
          <w:sz w:val="28"/>
          <w:sz w:val="28"/>
          <w:szCs w:val="28"/>
          <w:rtl w:val="true"/>
          <w:lang w:bidi="ar-SA"/>
        </w:rPr>
        <w:t xml:space="preserve">منه المرأة ويبقى الباقي داخلاً في العموم؛ إذ لا نصَّ على الخنثى بخصوصه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ويدلك على عدم جواز التعويل المذكور ظهورُ العام بعد التخصيص في الأفراد الغير</w:t>
      </w:r>
    </w:p>
    <w:p>
      <w:pPr>
        <w:pStyle w:val="BookText"/>
        <w:rPr/>
      </w:pPr>
      <w:r>
        <w:rPr>
          <w:rFonts w:ascii="Amiri" w:hAnsi="Amiri" w:eastAsia="Amiri" w:cs="Amiri"/>
          <w:color w:val="111111"/>
          <w:sz w:val="28"/>
          <w:sz w:val="28"/>
          <w:szCs w:val="28"/>
          <w:rtl w:val="true"/>
          <w:lang w:bidi="ar-SA"/>
        </w:rPr>
        <w:t xml:space="preserve">المتصفة بعنوان الخاص؛ لمكان تقييد الخاص بما عنون به العام الظاهر في إرادة ما عدا أفر الخاص، وإلّا لزمَ التنافي؛ لتعارض أصالة الحقيقة في كّل من العام والخاص؛ فالعام حاكمٌ بإكرام فساق العلماء، والخاص حاكمٌ بعدم إكرامهم حينئذٍ، فلا بدَّ من رفع التنافي بكون الخاص كاشفاً عن حقيقة مراد المتكلّم من العام، وليس هو إلَّا ماعدا أفراد الخاص؛ فإذا كان المراد في الواقع من العام الأفراد المعنونة بغير أفراد الخاص لا يمكن التمسك به في حكم </w:t>
      </w:r>
      <w:r>
        <w:rPr>
          <w:rStyle w:val="FootnoteAnchor"/>
          <w:rtl w:val="true"/>
        </w:rPr>
        <w:footnoteReference w:id="293"/>
      </w:r>
      <w:r>
        <w:rPr>
          <w:rFonts w:ascii="Amiri" w:hAnsi="Amiri" w:eastAsia="Amiri" w:cs="Amiri"/>
          <w:color w:val="111111"/>
          <w:sz w:val="28"/>
          <w:sz w:val="28"/>
          <w:szCs w:val="28"/>
          <w:rtl w:val="true"/>
          <w:lang w:bidi="ar-SA"/>
        </w:rPr>
        <w:t xml:space="preserve">الفرد المشكوك المصداقية له؛ لعدم اتصافه بالوصف العنواني المعنون به العام كما هو ظاهر؛ فإنْ كان هناك أصل موضوعي فهو المرجع وإلاّ فما تقتضيه الأصول، ولا خصوصية لإجراء أصل البراءة في المقام كما توهم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التمسك بالعام في الشبهة المصداقية فيما لو كان المخصص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المخصص لبياً، ولم يؤخذ</w:t>
      </w:r>
      <w:r>
        <w:rPr>
          <w:rStyle w:val="FootnoteAnchor"/>
          <w:rtl w:val="true"/>
        </w:rPr>
        <w:footnoteReference w:id="295"/>
      </w:r>
      <w:r>
        <w:rPr>
          <w:rFonts w:ascii="Amiri" w:hAnsi="Amiri" w:eastAsia="Amiri" w:cs="Amiri"/>
          <w:color w:val="111111"/>
          <w:sz w:val="28"/>
          <w:sz w:val="28"/>
          <w:szCs w:val="28"/>
          <w:rtl w:val="true"/>
          <w:lang w:bidi="ar-SA"/>
        </w:rPr>
        <w:t xml:space="preserve">عنواناً في موضوع </w:t>
      </w:r>
      <w:r>
        <w:rPr>
          <w:rStyle w:val="FootnoteAnchor"/>
          <w:rtl w:val="true"/>
        </w:rPr>
        <w:footnoteReference w:id="296"/>
      </w:r>
      <w:r>
        <w:rPr>
          <w:rFonts w:ascii="Amiri" w:hAnsi="Amiri" w:eastAsia="Amiri" w:cs="Amiri"/>
          <w:color w:val="111111"/>
          <w:sz w:val="28"/>
          <w:sz w:val="28"/>
          <w:szCs w:val="28"/>
          <w:rtl w:val="true"/>
          <w:lang w:bidi="ar-SA"/>
        </w:rPr>
        <w:t>الحكم، ووقع الشك في فرد أنه من أيّهما ؟</w:t>
      </w:r>
    </w:p>
    <w:p>
      <w:pPr>
        <w:pStyle w:val="BookText"/>
        <w:rPr/>
      </w:pPr>
      <w:r>
        <w:rPr>
          <w:rFonts w:ascii="Amiri" w:hAnsi="Amiri" w:eastAsia="Amiri" w:cs="Amiri"/>
          <w:color w:val="111111"/>
          <w:sz w:val="28"/>
          <w:sz w:val="28"/>
          <w:szCs w:val="28"/>
          <w:rtl w:val="true"/>
          <w:lang w:bidi="ar-SA"/>
        </w:rPr>
        <w:t xml:space="preserve">فالحقُّ صحة التعويل على العام كما 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وعلمنا من تعبيره وبيانه أنه لا يريد إكرام الفاسق، وشككنا في زيد العالم هل هو الفاسق أم لا؟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فالعامُ محكمٌ فيه فيجب إكرامه؛ لأنَّ المولى لم يعتبر في موضوع حكم العام صفةً غير العلم، والمفروض إحراز عنوان العام في المشكوك الفسق؛ فأصالة عدم كونه فاسقاً ترفعُ </w:t>
      </w:r>
      <w:bookmarkStart w:id="99" w:name="pg9229_140249"/>
    </w:p>
    <w:p>
      <w:pPr>
        <w:pStyle w:val="BookText"/>
        <w:rPr/>
      </w:pPr>
      <w:bookmarkEnd w:id="99"/>
      <w:r>
        <w:rPr>
          <w:rFonts w:ascii="Amiri" w:hAnsi="Amiri" w:eastAsia="Amiri" w:cs="Amiri"/>
          <w:color w:val="111111"/>
          <w:sz w:val="28"/>
          <w:sz w:val="28"/>
          <w:szCs w:val="28"/>
          <w:rtl w:val="true"/>
          <w:lang w:bidi="ar-SA"/>
        </w:rPr>
        <w:t xml:space="preserve">الشك في الفسق في المقام بعد إحراز عنوان العام في الفرد المشكوك، الموجب لإحراز ما هو الموضوع في الحكم من عنوان العام، فيصح التعويل على العام بلا كلام، بل التحقيقُ أنَّ الرجوع إلى العام في المقام يوجبُ رفع الشك عن زيد المذكور؛ لأنَّ تعبير المولى بالعموم من دون أخذ عنوانٍ آخر ـ كما هو المفروض ـ يكشفُ عن أنه لا يرى في أفراد العلماء فاسقاً، وإلَّا لكان عليه تخصيص العلماء بغير الفساق، فكل من يجب إكرامه ليس بفاسق؛ لأنّا قد فرضنا أنا نعلم أنه لا يريد إكرام الفاسق ؛ فينتج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زيداً ليس بفاسق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فالتمسك بالعام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رفع الشك بأصل العدم، بل بالعموم يستكشفُ واقع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 ذلك المثال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وعلمنا أنه لا يريد إكرام عدوه؛ فإنا نستكشف أنه لا يرى من هو عدوه في جيرانه، بل نستكشفُ من ثبوت الإكرام الملازم لعدم العداوة عدمَ كونه عدواً، بل التحقيقُ ذلك لو كان المخصص في المثال المذكور لفظياً 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للاستكشاف المذكور حرفاً بحرف،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التخصيصات اللفظية قد لا توجبُ التنويع ولا تعدد الموضوع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جيراني ولا تكرم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الغالب فيها اقتضاء تعدد الموضعين وتنويعها كالعالم الفاسق والعالم غير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فالمدار في صحة التعويل وعدم صحة التعويل على العام في الشبهة الموضوعية ليس على مجرد كون المخصص لبياً ولفظياً، بل على الفهم العرفي، والتنويع وعدم التنويع</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4247218_2870459653"/>
      <w:bookmarkStart w:id="101" w:name="_Toc33"/>
      <w:bookmarkEnd w:id="100"/>
      <w:r>
        <w:rPr>
          <w:rtl w:val="true"/>
        </w:rPr>
        <w:t>[</w:t>
      </w:r>
      <w:r>
        <w:rPr>
          <w:rtl w:val="true"/>
        </w:rPr>
        <w:t>التخصيص بالمجمل</w:t>
      </w:r>
      <w:r>
        <w:rPr>
          <w:rtl w:val="true"/>
        </w:rPr>
        <w:t>]</w:t>
      </w:r>
      <w:bookmarkEnd w:id="10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والتخصيص بالمجمل أي المبهم غير المعين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المشركين إلَّا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التمسك به؛ لأنَّ جهالة المخرج توجب جهالة الباقي؛ لأنَّ المجموع بمنزلة كلام واحد فتسري جهالته إليه، ولو كان مبيناً من جهة أخرى أخذ به؛ لوجود المقتضي وانتفاء المانع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الكفار إلّا بعض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غير اليهود يجبُ الأخذ به بعموم العام، فالأخذ يتوقف على البيان</w:t>
      </w:r>
      <w:r>
        <w:rPr>
          <w:rFonts w:eastAsia="Amiri" w:cs="Amiri" w:ascii="Amiri" w:hAnsi="Amiri"/>
          <w:color w:val="111111"/>
          <w:sz w:val="28"/>
          <w:szCs w:val="28"/>
          <w:rtl w:val="true"/>
          <w:lang w:bidi="ar-SA"/>
        </w:rPr>
        <w:t xml:space="preserve">. </w:t>
      </w:r>
      <w:bookmarkStart w:id="102" w:name="pg9229_140251"/>
    </w:p>
    <w:p>
      <w:pPr>
        <w:pStyle w:val="Heading2"/>
        <w:numPr>
          <w:ilvl w:val="1"/>
          <w:numId w:val="1"/>
        </w:numPr>
        <w:rPr/>
      </w:pPr>
      <w:bookmarkStart w:id="103" w:name="__RefHeading___Toc4247220_2870459653"/>
      <w:bookmarkStart w:id="104" w:name="_Toc34"/>
      <w:bookmarkEnd w:id="102"/>
      <w:bookmarkEnd w:id="103"/>
      <w:r>
        <w:rPr>
          <w:rtl w:val="true"/>
        </w:rPr>
        <w:t>[</w:t>
      </w:r>
      <w:r>
        <w:rPr>
          <w:rtl w:val="true"/>
        </w:rPr>
        <w:t>هل يرجع إلى العام في الشبهة المصداقية؟</w:t>
      </w:r>
      <w:r>
        <w:rPr>
          <w:rtl w:val="true"/>
        </w:rPr>
        <w:t>]</w:t>
      </w:r>
      <w:bookmarkEnd w:id="104"/>
    </w:p>
    <w:p>
      <w:pPr>
        <w:pStyle w:val="BookText"/>
        <w:rPr/>
      </w:pPr>
      <w:r>
        <w:rPr>
          <w:rFonts w:ascii="Amiri" w:hAnsi="Amiri" w:eastAsia="Amiri" w:cs="Amiri"/>
          <w:color w:val="111111"/>
          <w:sz w:val="28"/>
          <w:sz w:val="28"/>
          <w:szCs w:val="28"/>
          <w:rtl w:val="true"/>
          <w:lang w:bidi="ar-SA"/>
        </w:rPr>
        <w:t>ولا رجوع إلى العام في الشبهة المصداقية ولا يرتفع الإجمال عن المخصص بالعام، وصور أصل التخصيص بالمجمل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مردداً بين متباينين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اشتراكه بین آحادٍ من العام، ولا ريب في الحكم بالإجمال فيه، سواء كان من التخصيص بالمتصل أو المنفصل؛ لأنَّ المفروض انتفاء العلم أو الظن بالمراد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مردداً بين الأقل والأكثر وكان الأقل لا يشمله الأكثر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الزيدين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وتردد الأمر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الفردان من العلماء المسميان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فرد واحد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والحكمُ بالإجمال فيه ظاهرٌ، سواء كان المخصص متصلاً أو منفصلاً؛ لعدم ما يوجب البيان لا من اللفظ ولا من الأصل؛ لأنَّ أصالة عدم خروج الأكثر معارضةٌ بأصالة عدم خروج الأقل؛ فإنَّ الأقل في مثله بمنزلة المتباينين، والواحدُ المعلوم خروجه مفهوماً لا يجدي بعد معارضة الأصل الجاري بالمصداق بأصالة عدم خروج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بخروج الفردين وإن كانا متغايرين يشتملُ على زيادة تخصيص في العام، بخلاف الحكم بخروج فرد واحد ، فهو مخالف لأصل واحد، والأول مخالف 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الأصل لا يوجب الترجيح عندنا، إنما ذلك في الأدلة الاجتهادية لا الأصول وإنْ ابتنيت على الظنون النوعية،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دائراً بين الأقل والأكثر مع شمول الأكثر للأقل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وشك في العدالة هل هي الملكة أو حسن الظاهر، فصاحب الملكة دخوله في العام معلومٌ، أو يكون دخوله في المخصص معلوم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ولا تكرم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 في معنى الفاسق هل هو مرتكب الكبائر فقط، أو يعمه ومرتكب الصغائر، فمرتكب الكبائر داخلٌ في المخصص قطعاً، والشك إنما هو في الزائد؟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التخصيص فيه بالمتصل كالشرط والغاية والصفة وبدل البعض، فالظاهرُ </w:t>
      </w:r>
    </w:p>
    <w:p>
      <w:pPr>
        <w:pStyle w:val="BookText"/>
        <w:rPr/>
      </w:pPr>
      <w:r>
        <w:rPr>
          <w:rFonts w:ascii="Amiri" w:hAnsi="Amiri" w:eastAsia="Amiri" w:cs="Amiri"/>
          <w:color w:val="111111"/>
          <w:sz w:val="28"/>
          <w:sz w:val="28"/>
          <w:szCs w:val="28"/>
          <w:rtl w:val="true"/>
          <w:lang w:bidi="ar-SA"/>
        </w:rPr>
        <w:t xml:space="preserve">الإجمال أيضاً وسريان الإجمال في العام، فيسقط العام عن الاعتبار بالنسبة إلى تلك الأفراد المشكوكة والمرجع فيها الأصول لا العام؛ لأنَّ العدالة أخذت قيداً في الموضوع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وإجمالُ المقيد بعد إجمال القيد غيرُ خفي، فكان الموضوع نفس العدالة، وكان المرجع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عدول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اشتباه العدالة بين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،العام في غير تلك الأفراد المشكوكة مبينٌ لا إجمال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التخصيص بالمنفصل فقد يظهر عدم سريان الإجمال إلى العام، فيؤخذ في المعلوم المتيقن وهو مرتكب الكبيرة،ويدفع الزائد بأصالة عدم التخصيص فيؤخذ فيه بالعموم دون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مرتكب الكبيرة معلوم الخروج بالقرينة، وأما غيره فغيرُ معلوم؛ فالأصل عدم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كان الخاص من المتصل أو المنفصل؟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الظهور بعدُ لم يتم في المتصل، ولم تتم الدلالة على الأفراد المندرجة فيه قبل الإتيان بالقيد، وهذا بخلاف المنفصل؛ فإنَّ التخصيص فيه لأجل التعارض لا لأجل عدم تمامية الظهور، والصور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فيها المخصص متصلاً وقد يكون منفصلاً؛ فتكون الصور 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فرض سابع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المخصص معارضاً بمخصص آخر، والمعلوم أنَّ العام مخصص بأحدهما ولم يعلم بعينه، والحكم فيه الترجيح وإن لم يمكن </w:t>
      </w:r>
      <w:r>
        <w:rPr>
          <w:rStyle w:val="FootnoteAnchor"/>
          <w:rtl w:val="true"/>
        </w:rPr>
        <w:footnoteReference w:id="298"/>
      </w:r>
      <w:r>
        <w:rPr>
          <w:rFonts w:ascii="Amiri" w:hAnsi="Amiri" w:eastAsia="Amiri" w:cs="Amiri"/>
          <w:color w:val="111111"/>
          <w:sz w:val="28"/>
          <w:sz w:val="28"/>
          <w:szCs w:val="28"/>
          <w:rtl w:val="true"/>
          <w:lang w:bidi="ar-SA"/>
        </w:rPr>
        <w:t>، فما عرفت في المخصص المجمل في محل الاشتباه من الرجوع إلى الأصول على الأصح، وفي الرجوع فيه إلى التخيير وجهٌ، فيتخير بينهما</w:t>
      </w:r>
      <w:r>
        <w:rPr>
          <w:rFonts w:eastAsia="Amiri" w:cs="Amiri" w:ascii="Amiri" w:hAnsi="Amiri"/>
          <w:color w:val="111111"/>
          <w:sz w:val="28"/>
          <w:szCs w:val="28"/>
          <w:rtl w:val="true"/>
          <w:lang w:bidi="ar-SA"/>
        </w:rPr>
        <w:t xml:space="preserve">. </w:t>
      </w:r>
      <w:bookmarkStart w:id="105" w:name="pg9229_140255"/>
    </w:p>
    <w:p>
      <w:pPr>
        <w:pStyle w:val="Heading2"/>
        <w:numPr>
          <w:ilvl w:val="1"/>
          <w:numId w:val="1"/>
        </w:numPr>
        <w:rPr/>
      </w:pPr>
      <w:bookmarkStart w:id="106" w:name="__RefHeading___Toc4247222_2870459653"/>
      <w:bookmarkStart w:id="107" w:name="_Toc35"/>
      <w:bookmarkEnd w:id="105"/>
      <w:bookmarkEnd w:id="106"/>
      <w:r>
        <w:rPr>
          <w:rtl w:val="true"/>
        </w:rPr>
        <w:t>وهل يجوز العمل بالعام قبل الفحص عن المخصص؟</w:t>
      </w:r>
      <w:bookmarkEnd w:id="10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وكلمة الفصل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العمومات غيرُ قابل </w:t>
      </w:r>
      <w:r>
        <w:rPr>
          <w:rStyle w:val="FootnoteAnchor"/>
          <w:rtl w:val="true"/>
        </w:rPr>
        <w:footnoteReference w:id="299"/>
      </w:r>
      <w:r>
        <w:rPr>
          <w:rFonts w:ascii="Amiri" w:hAnsi="Amiri" w:eastAsia="Amiri" w:cs="Amiri"/>
          <w:color w:val="111111"/>
          <w:sz w:val="28"/>
          <w:sz w:val="28"/>
          <w:szCs w:val="28"/>
          <w:rtl w:val="true"/>
          <w:lang w:bidi="ar-SA"/>
        </w:rPr>
        <w:t xml:space="preserve">للتخصيص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w:t>
      </w:r>
      <w:r>
        <w:rPr>
          <w:rStyle w:val="FootnoteAnchor"/>
          <w:rtl w:val="true"/>
        </w:rPr>
        <w:footnoteReference w:id="301"/>
      </w:r>
      <w:r>
        <w:rPr>
          <w:rFonts w:ascii="Amiri" w:hAnsi="Amiri" w:eastAsia="Amiri" w:cs="Amiri"/>
          <w:color w:val="111111"/>
          <w:sz w:val="28"/>
          <w:sz w:val="28"/>
          <w:szCs w:val="28"/>
          <w:rtl w:val="true"/>
          <w:lang w:bidi="ar-SA"/>
        </w:rPr>
        <w:t xml:space="preserve">، فكل ما سميتُ أُمّاً من نسب أو 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حرام،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مِن دَابَّةٍ فِي الْأَرْضِ إِلَّا عَلَى اللَّهِ رِزْقُهَا</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النوع 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هو قابل للتخصيص وقد علم تخصيصها تفصيلاً ، أو هي من أطراف ما علم تخصيصه إجمالاً، فهذا النوع أيضاً 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لا عِلْمَ بتخصيصه لا تفصيلاً، ولا هو من أطراف ما علم تخصيصه إجمالاً غير أنه معرّضٌ للتخصيص، ولا كلام في اعتبار أصالة العموم فيه في الجملة من باب الظن النوعي للمشافهين وغيرهم، فهذا النوع هو محلُّ الخلاف؛ فالقائل بلزوم الفحص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اتباع أصالة العموم بعد الفحص عن المخصص واليأس من العثور عليه؛ لأنَّه معرّضُ للتخصيص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والنافي يقول باتباع أصالة العموم مطلقاً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 لزوم الفحص فيه؛ لكونه معرّضاً للتخصيص، وقد استقامت الطريقة على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خلفاً عن سلف حتى حكى الإجماعَ عليه جماعةٌ </w:t>
      </w:r>
      <w:r>
        <w:rPr>
          <w:rStyle w:val="FootnoteAnchor"/>
          <w:rtl w:val="true"/>
        </w:rPr>
        <w:footnoteReference w:id="307"/>
      </w: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والشكُ في المقام كافٍ في عدم جواز التمسك به قبل الفحص؛ لعدم جريان أصالة عدم المخصص قبل الفحص؛ لأنَّ المفروض كونه معرّضاً للتخصيص؛ فأصالةُ العموم التي هي معتبرة من باب الظن النوعي لا يمكن اتباعها مع وجود ما يصلح لأن يكون مقيداً لإطلاقها، نظير وجود ما يصلح أن يكون قرينةٌ على المجاز، المانع من اتباع أصالة الحقيقة فی اللفظ، ومع الشك في حجية أصالة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ما يصلح ـ لا معنى لأصالة عدم التخصيص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هذا فلا حاجة إلى ما قيل </w:t>
      </w:r>
      <w:r>
        <w:rPr>
          <w:rStyle w:val="FootnoteAnchor"/>
          <w:rtl w:val="true"/>
        </w:rPr>
        <w:footnoteReference w:id="308"/>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العمومات التي بأيدينا المحتملِ تخصيصها من جهة علمنا الإجمالي بوجود مخصصات لها في الأخبار التي يمكن الوصول إليها، وحينئذٍ فلا يمكن إجراء الأصول قبل الفحص ؛ لعدم صحة إجرائها في أطراف المعلوم بالإجمال ـ كما هو محرر في موضعه </w:t>
      </w:r>
      <w:r>
        <w:rPr>
          <w:rStyle w:val="FootnoteAnchor"/>
          <w:rtl w:val="true"/>
        </w:rPr>
        <w:footnoteReference w:id="309"/>
      </w:r>
      <w:r>
        <w:rPr>
          <w:rFonts w:ascii="Amiri" w:hAnsi="Amiri" w:eastAsia="Amiri" w:cs="Amiri"/>
          <w:color w:val="111111"/>
          <w:sz w:val="28"/>
          <w:sz w:val="28"/>
          <w:szCs w:val="28"/>
          <w:rtl w:val="true"/>
          <w:lang w:bidi="ar-SA"/>
        </w:rPr>
        <w:t>ـ ويجب الفحص حتى يرتفع ما كان يقتضيه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 ذكرنا حتى يخرج عن كونه معرّضاً، وعلى القول بمانعية العلم الإجمالي فحتى يرتفع، وارتفاعه بالفحص ظاهرٌ، وعلى القول باعتبار الظن الشخصي وعدم حصوله قبل الفحص فالظن بعدم المخصص عند حصول الظن بالمراد بعد الفحص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الاختلاف في صورة تعدد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الناس في صورة تعدد المستثنى منه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يتعدد ما يصلح لأن يكون مستثنى منه كـ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ربيعة وأجلّ مضر إلَّا الرعاء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الْمُحْصَنَاتِ ثُمَّ لَم يَأْتُوا بِأَرْبَعَةِ شُهَدَاءَ فَاجْلِدُوهُمْ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ثَمَانِينَ جَلْدَةً وَلَا تَقْبَلُوا لهُمْ شَهَادَةَ أَبَدًا وَأُولئِكَ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w:t>
      </w:r>
      <w:r>
        <w:rPr>
          <w:rStyle w:val="FootnoteAnchor"/>
          <w:rtl w:val="true"/>
        </w:rPr>
        <w:footnoteReference w:id="310"/>
      </w:r>
      <w:r>
        <w:rPr>
          <w:rFonts w:ascii="Amiri" w:hAnsi="Amiri" w:eastAsia="Amiri" w:cs="Amiri"/>
          <w:color w:val="111111"/>
          <w:sz w:val="28"/>
          <w:sz w:val="28"/>
          <w:szCs w:val="28"/>
          <w:rtl w:val="true"/>
          <w:lang w:bidi="ar-SA"/>
        </w:rPr>
        <w:t>، فَإِنَّ كلاً من المأمور بجلدهم والمنهي عن قبول شهادتهم والمخبر بفسقهم صالحٌ في حد ذاته لأن يكون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مستثنى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الشيخ الطوسي </w:t>
      </w:r>
      <w:r>
        <w:rPr>
          <w:rStyle w:val="FootnoteAnchor"/>
          <w:rtl w:val="true"/>
        </w:rPr>
        <w:footnoteReference w:id="311"/>
      </w:r>
      <w:r>
        <w:rPr>
          <w:rFonts w:ascii="Amiri" w:hAnsi="Amiri" w:eastAsia="Amiri" w:cs="Amiri"/>
          <w:color w:val="111111"/>
          <w:sz w:val="28"/>
          <w:sz w:val="28"/>
          <w:szCs w:val="28"/>
          <w:rtl w:val="true"/>
          <w:lang w:bidi="ar-SA"/>
        </w:rPr>
        <w:t xml:space="preserve">وجماعة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جميع ما تقدم مما هو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Style w:val="FootnoteAnchor"/>
          <w:rtl w:val="true"/>
        </w:rPr>
        <w:footnoteReference w:id="313"/>
      </w:r>
      <w:r>
        <w:rPr>
          <w:rFonts w:ascii="Amiri" w:hAnsi="Amiri" w:eastAsia="Amiri" w:cs="Amiri"/>
          <w:color w:val="111111"/>
          <w:sz w:val="28"/>
          <w:sz w:val="28"/>
          <w:szCs w:val="28"/>
          <w:rtl w:val="true"/>
          <w:lang w:bidi="ar-SA"/>
        </w:rPr>
        <w:t xml:space="preserve">وجماعة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الأخير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تارةً راجعاً إلى الكل وأخرى إلى الأخير؛ فيكون مشتركاً بينهما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طريقته في كل ما استعمل على 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ناسٌ </w:t>
      </w:r>
      <w:r>
        <w:rPr>
          <w:rStyle w:val="FootnoteAnchor"/>
          <w:rtl w:val="true"/>
        </w:rPr>
        <w:footnoteReference w:id="316"/>
      </w:r>
      <w:r>
        <w:rPr>
          <w:rFonts w:ascii="Amiri" w:hAnsi="Amiri" w:eastAsia="Amiri" w:cs="Amiri"/>
          <w:color w:val="111111"/>
          <w:sz w:val="28"/>
          <w:sz w:val="28"/>
          <w:szCs w:val="28"/>
          <w:rtl w:val="true"/>
          <w:lang w:bidi="ar-SA"/>
        </w:rPr>
        <w:t>بالتوقف، فلم يحكموا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متفقون على الرجوع إلى الأخير؛ حيث إنّه القدر المتيقن على كل تقدير، لا حيث إنَّ الاستثناء في هذا الباب موضوعٌ للأخير، بل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للأخير، والقائلُ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للجميع، والقائلُ بالوضع للأمرين، والمتوقف الذي لم يدرِ لأي الأمرين وُضِعَ ،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الأخير متيقنُ الدخول؛لأنَّه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موضوعٌ له وحده، أو داخلٌ مع غيره، فالكل قاطعون بأنَّ الأخير موضوعٌ له إمّا وحده أو مع غيره، فالكلام فيما عداه مع الاتفاق على عدم تخصيصه بما عدا الأخير، فالمانعُ من ردّه إلى ما عدا الأخير عند العلّامة كونُه حقيقةً في الأخير فقط، فلا يصرف إلى المجموع إلّا مع القرينة كسائر المجازات، ولا يصرف عند السيد إلى المجموع؛ لعدم القرينة على التعيين وإن كان حقيقةً فيه أيضاً،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القائلون بالتوقف لا يعلمون إلَّا أنه موضوع لأحد الأمرين، فلا يرجعون إلى الجميع إلَّا بالقرينة، 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القول بالاشتراك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ظهرَ الانقطاعُ أو الاتصالُ أو قامتُ قرينةٌ على الرجوع إلى أحد الأمرين، فلا إشكال في وجوب العمل على ما هو الظاهر، وإلّا فالظاهر الاختصاص بالأخير؛ لأصالة عدم تعلّقه بغيرها فتستصحب، على أنَّ القول بوضعه للإخراج مما يليه ليس بذلك البعيد، بل يشهد به التبادر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تخصيص العام بمفهوم الموافقة والمخالفة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تخصيص العام بمفهوم الموافقة والمخالفة لا خلاف في الأول، كالتخصيص بالشرط والصفة والغاية والبدل، سواء ثبت لها مفهوم أم لا؛ فالتخصيص بالصفة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قريش الشرفا، فإنك قصرت العام الذي علّقت به الحكم على بعض أفراده، وهو التخصيص؛ فإنه قصر العام على بعض أفراده، وليس عبارة عن الإخراج من متعلّق الحكم في الخارج، إنما ذلك لازم التخصيص، لكنه يبتني على إثبات المفهوم في الشرط والغاية والصفة، ومن نفاه نفى هذا اللازم ولم يبقَ عنده إلَّا الإخراج من الحكم على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ظهر الجواب عما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التخصيص ليس عبارة عن خروج بعض أفراد العام عن تعليق الحكم به والحكم عليه بشيء حتى يكون المخرج مسكوتاً عنه؛ لأنَّ ذلك ليس من مدلول اللفظ كي يصحَّ الإخراج منه، وإنما يجيء تبعاً، ولا عن دلالة العام عليه وشموله له؛ إذ لا زال دالاً عليه شاملاً له، وإنما هو عبارة عن إخراجه عن تعلق الحكم بالعام في الخارج، ومتى خرج عن تعلّق الحكم ثبت نقيضه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فالحكم بكون الوصف من المخصصات يستلزمُ إثبات مفهوم الوصف ـ أعني نفي الحكم عن غير محل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ولاستحالة ارتفاع النقيضين مع وقوع الخلاف في المفهوم، واتفاق الكلمة على عدِّه في المخصصات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الكلام في الشرط والغاية والبدل، فجوابه ما عرفت من كون التخصيص عبارة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قصر العام على بعض أفراده، لا أنه عين الإخراج، إنما ذلك لازمه عند مثبت المفهوم دون العكس،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الخلاف في جواز التخصيص بمفهوم المخالفة بناءً على ثبوته، الأظهر الجواز؛ لأنَّه كالمنطوق في الحجية، بل دلالة اللفظ على المفهوم أظهر من دلالته على المنطوق؛لأنّه المقصود بالإفاده، فلا إشكال في تخصيص العام بمفهوم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القول بثبوته في قبال العام وعدم التصرّف في ظاهر الجملة الشرطية والأخذ بظهورها ـ ولكن الإشكال في تحقيق أنَّ الجملة الشرطية أظهر في إرادة الانتفاء عند الانتفاءبينهما، أو العام أظهر في إرادة الأفراد منه؛ فإنَّ الأظهر هو القرينة على التصرّف في الآخر بما لا يخالفه بحسب العمل؟الأظهر أنَّ العام هو الأظهر دلالةً في شموله لمحل المعارضة إذا كان العام متصلاً بالجملة الشرطية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قالوا </w:t>
      </w:r>
      <w:r>
        <w:rPr>
          <w:rStyle w:val="FootnoteAnchor"/>
          <w:rtl w:val="true"/>
        </w:rPr>
        <w:footnoteReference w:id="317"/>
      </w:r>
      <w:r>
        <w:rPr>
          <w:rFonts w:ascii="Amiri" w:hAnsi="Amiri" w:eastAsia="Amiri" w:cs="Amiri"/>
          <w:color w:val="111111"/>
          <w:sz w:val="28"/>
          <w:sz w:val="28"/>
          <w:szCs w:val="28"/>
          <w:rtl w:val="true"/>
          <w:lang w:bidi="ar-SA"/>
        </w:rPr>
        <w:t>بذلك في معارضة منطوق التعليل في آية النبأ مع المفهوم بالنسبة إلى خبر العدل الظني؛ فإنَّ قضية عموم التعليل عدمُ الاعتماد على الخبر الظني، ومقتضى المفهوم ثبوته، وعموم التعليل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كان غير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معارضة المفهوم المذكور مع العمومات </w:t>
      </w:r>
      <w:r>
        <w:rPr>
          <w:rStyle w:val="FootnoteAnchor"/>
          <w:rtl w:val="true"/>
        </w:rPr>
        <w:footnoteReference w:id="318"/>
      </w:r>
      <w:r>
        <w:rPr>
          <w:rFonts w:ascii="Amiri" w:hAnsi="Amiri" w:eastAsia="Amiri" w:cs="Amiri"/>
          <w:color w:val="111111"/>
          <w:sz w:val="28"/>
          <w:sz w:val="28"/>
          <w:szCs w:val="28"/>
          <w:rtl w:val="true"/>
          <w:lang w:bidi="ar-SA"/>
        </w:rPr>
        <w:t xml:space="preserve">الناهية عن العمل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الشرطية أظهر من العام، فيقدم ظهورها على ظهوره؛ لأنَّ مرجع الكلام إلى تعارض الظاهرين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،أنه لا ميزان في البين للأظهرية، وتختلف بحسب المقامات، وإنْ كان كلٌ من العام وما له المفهوم يصلحُ لأن يكون قرينة متصلة للتصرّف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 أنَّ الدلالة على كل منهما إن كانت بالإطلاق فلا عموم ولا مفهوم؛لعدم تمامية مقدمات الحكمة في واحد منهما ؛ التزاحمهما كما لو زاحم ظهور أحدهما وضعاً لظهور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 وضعاً فلا دلالة بالإطلاق، فالمرجع حينئذٍ فيما دار بين العموم والمفهوم إلى الأصول العملية، وهذا مع عدم كون أحدهما أظهر، ولو كان أحدهما أظهر كان مانعاً من انعقاد  الظهور أو استقرار الظهور في الآخر، فيكون الأظهر، وهو المرجع وعليه المعول، فافهم وتأمل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التخصيص بالمخصص المنفصل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المخصص المنفصل فلا خلاف في تخصيص الكتاب بالكتاب وبالخبر المتواتر كما يجوز تخصيصه بهما عند المحققين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تخصيص العام الكتابي بالخبر الظني فالحقُّ، جوازه أيضاً؛ لاستقامة الطريقة خلفاً عن سلف على العمل بأخبار الآحاد المعتبرة في قبال العام الكتابي، فالإجماع على العمل بالخبرالمخالف لعموم القرآن محقق بالقطع واليقين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أنَّ ذلك لعله لاحتفاف الخبر بقرينة قطعية مدفوعةٌ بما ذكره الشيخ عند احتجاجه بعمل الصحابة على حجية الأخبار بأنه تعويل على ما يعلم ضرورة خلافه،ولا يحسن مكالمة مدعيه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الخاص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حجيتهما ـ ضروريٌ، 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القطعي لا يعارضه الظني في المقام غلطٌ ؛ فإنَّ الكتاب قطعيٌ من حيث السند، والخبر ظنيٌ من حيث السند، ومن هذه الحيثية لا تعارض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من حيث الدلالة وهما ظنيان؛ فإن أصالة الحقيقة في العام يجبُ الأخذ بها ولكن يجبُ تقديم ما هو صالح للقرينة عليها، وقد فرضنا أنّ خبر الواحد صالح لذلك سنداً باعتبار العلم بحجيته، ودلالةً؛ لأنَّه الخاص المفروض</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حجيته فيقدم على أصالة الحقيقة في العام، سواء كانت حجيتها من باب التعبد أو من باب الظن؛ لأنَّها مقيدة بعدم قيام ظن معتبر على خلافها، وقد قام الظن المعتبر على خلافها في العام، وهي في العام غير صالحة لرفع اليد عن دليل اعتباره، على أنَّ التحقيق أنَّ ما جاء من طريق شركاء القرآن إنما هو بيانُ المراد من عموماته وإطلاقاتها، ولا تعارض بينهما عند أهل العلم بالقرآن،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 المجوّزُ والمانعُ بوجوه لا ينبغي التعرّض لها؛ لضعفها وقصورها، وفيما ذكرناه كفاية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العام والخاصفاعلم أنَّ الخاص المخالف لحكم العام إن كان وروده مقارناً لورود العام فهو مبينٌ للعام عرفاً، من غير فرق بين العامين من وجه وغيره، سواء كانا ظنيّين، أو كان العام قطعياً والخاص ظنياً، أو العكس، سواء قلنا باعتبار أصالة الحقيقة من باب الظن أو من باب التعبد ؛ لكون أصالة الحقيقة في العام مقيدة بعدم ورود الظن بخلافها، وهكذا لو سبق ورود الخاص أو تأخر وكان وروده بعد العام قبل حضور وقت العمل به، فهو في كل هذه الصور مبينٌ ومخصص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زمان الحاجة بالعام قبل الخاص كان الخاص ناسخاً، لا مبيناً ولا مخصصاً؛ لئلا يلزم تأخير البيان عن وقت الحاجة إذا كان العام وارداً لبيان الحكم الواقعي، وإلاّ كان الخاص مبيناً له ومخصصاً أيضاً كما هو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ورود العام بعد حضور وقت العمل بالخاص، فيُحتملُ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الخاص للعام، ويحتمل أن يكون العام ناسخاً للخاص، وأنّ الأظهر تخصيص الخاص؛ لكثرته وشيوعه وقلّة النسخ وندرته في الأحكام، ومن هنا حكموا بالتخصيص عند الجهل بتاريخ الدليلين، والتردد بين ورود الخاص بعد حضور وقت العمل بالعام أو قبل حضوره؛ لأنَّ كثرة التخصيص وندرة النسخ توجبُ الظن بالتخصيص، وإلحاقه بالأعمّ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الأغلب على إشكال؛ لأنَّ الحمل على البيان والتخصيص إنما يكون إذا كان ورود العام بعد حضور وقت العمل بالخاص؛ لظهور الخاص حينئذ في الدوام، وأما مجرد الظن بالتخصيص لا دليل عليه ؛ إذا لم يوجب ظهور الخاص بالدوام، فالمرجع حينئذٍ الأصول العملية في مثله، فتأمل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وإذا ورد عام وخاص متنافيا الظاهر فخصص الأعم من وجه بالمرجح الذي له إنْ کان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وردا بعد وقت العمل فالثاني مخصص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ورد عام وخاصان فلا يخصص أحدهما بالآخر </w:t>
      </w:r>
      <w:r>
        <w:rPr>
          <w:rStyle w:val="FootnoteAnchor"/>
          <w:rtl w:val="true"/>
        </w:rPr>
        <w:footnoteReference w:id="322"/>
      </w:r>
      <w:r>
        <w:rPr>
          <w:rFonts w:ascii="Amiri" w:hAnsi="Amiri" w:eastAsia="Amiri" w:cs="Amiri"/>
          <w:color w:val="111111"/>
          <w:sz w:val="28"/>
          <w:sz w:val="28"/>
          <w:szCs w:val="28"/>
          <w:rtl w:val="true"/>
          <w:lang w:bidi="ar-SA"/>
        </w:rPr>
        <w:t>، بل تكون نسبته لهما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المطلق والمقيد</w:t>
      </w:r>
      <w:r>
        <w:rPr>
          <w:rFonts w:ascii="IRNazanin" w:hAnsi="IRNazanin" w:eastAsia="IRNazanin"/>
          <w:color w:val="111111"/>
          <w:sz w:val="28"/>
          <w:sz w:val="28"/>
          <w:szCs w:val="28"/>
          <w:rtl w:val="true"/>
          <w:lang w:bidi="fa-IR"/>
        </w:rPr>
        <w:t xml:space="preserve">الحقُّ، أنَّ المطلق موضوع للماهية من حيث هي هي، المبهمة المعراة عن سائر الطوارئ بالکیة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 بالشرطية</w:t>
      </w:r>
      <w:r>
        <w:rPr>
          <w:rFonts w:ascii="Amiri" w:hAnsi="Amiri" w:eastAsia="Amiri" w:cs="Amiri"/>
          <w:color w:val="111111"/>
          <w:sz w:val="28"/>
          <w:sz w:val="28"/>
          <w:szCs w:val="28"/>
          <w:rtl w:val="true"/>
          <w:lang w:bidi="ar-SA"/>
        </w:rPr>
        <w:t>، فتعريفه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شائع في جنسه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غلطٌ، إلّا أن 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يراد به التعريف مطلقاً، بل شرح الاسم بما هو أقرب إلى ذهن السامع لا إلى الوضع، فالمطلقُ مهمل كالمجمل في غير مورد البيان؛ لخروج الشياع والسريان وكل الطوارئ عنه وضعاً، فلو أريد به أحد الطوارئ فلا بدّ من نصب قرينة حالية أو مقالية أو دليل الحكمة أعني إحراز كون المتكلّم في مقام البيان لتمام مراده، دون البعض ودون القدر المتيقن، فإذا أحرز أنه في مقام بیان تمام مراده أخذ به على الإطلاق، وإلا فإن كان له جهات وأحرز كونه في مقام بيان الجهة الفلانية فيؤخذ به في مورده خاصة، إلّا أن تكون ملازمة بين الجهة التي هو في بيانها مع الجهات الأُخر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والمقيدُ ما يقابل المطلق،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الماهية بقيد من قيودها، أو ما كان له دلالة على شيء من القيود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واعلم أنّ ما ذكرناه في التخصيص للعام فهو جارٍ في تقييد المطلق، وحمل المطلق، على القید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 اتحاد الحكم لا مع تعدده وكان ما يوجبه متحداً لا تعدد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يتفقا في السبب والحكم فيحمل أحدهما على الآخر سواء اختلفا في الإثبات والنفي أو توافقا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 ولا تعتق رقبة كافرة، ومن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 إن ظاهرتَ، واعتق رقبة مؤمنة إنْ ظاهرتَ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مجرّداً عن ذكر الموجب، فإنّ العرف يحكمون أنَّ المراد بالمطلق هو المقيد، وأنَّ هذا الحمل بيانٌ للمطلق وهو راجع إلى التقييد، فالعمل بالمقيد متعين للجمع بينهما مع كثرة التقييد ومساعدة العرف عليه، ولعل السرَّ أظهرية إطلاق الأمر في الإيجاب من ظهور المطلق في الإطلاق كي يحمل الأمر في المقيد على الاستحباب،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 حقيقة في المقيدعلى التحقيق؛ لما عرفت من معنى المطلق، وأن مدلوله الماهية المجردة، فهي صالحة للإطلاق والتقييد من جهة التجرّد، فكما أنَّ الإطلاق ليس مدلول المطلق حتى يكون استعماله في المقيد مجازاً، كذلك الماهية المقيدة ليست مدلول المطلق، بل مدلول الماهية المجرّدة، فالمطلق في ضمن المقيد متحقق قطعاً، فهو حقيقة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أنه مبين له لا ناسخ، والحمل على المقيد إنما هو في الواجبات دون غيرها المستحبات؛ فإن حمل الأمر بالمقيد في المستحبات على تأكيد الاستحباب عند أهل العلم بالفقه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المجمل والمبينوالمجمل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المبهم، من أجمل الأمر إذا أبهم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 تعاريفه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دل دلالة لا يتعين المراد بها إلا بمعين سواء كان عدم التعيين بوضع اللغة، أو بعرف الشرع، أو بالاستعمال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والمبيّنُ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 من بانَ إذا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الاصطلاح هو الدال على المراد بخطاب لا يستقل بنفسه في الدلالة على المراد، كقوله تعالى مبيناً للبقرة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﴿فَاقع لَّوْنُهَا</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والإجمال أقسام وأنواع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حال الأفراد الاسمية، وهو إما يكون بتصريفه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والقيلولة،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للفاعل والمفعول وإما أن يكون بأصل وضعه، فإما أن تكون معانيه متضادة كالقرء للطهر والحيض والناهل للعطشان والريان أو متشابهة غير متضادة، فإما أن يتناول معاني كثيرة بحسب خصوصياتها فهو المشترك، وإما بحسب معنى تشترك فيه فهو المتواطئ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في الأفعال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أقبل وأدبر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الحروف، كتردد الواو بين العطف والابتداء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 حال التركيب،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يَعْفُو الَّذِي بيَده عُقْدَة النكاح</w:t>
      </w:r>
      <w:r>
        <w:rPr>
          <w:rStyle w:val="FootnoteAnchor"/>
          <w:rtl w:val="true"/>
        </w:rPr>
        <w:footnoteReference w:id="327"/>
      </w:r>
      <w:r>
        <w:rPr>
          <w:rFonts w:ascii="Amiri" w:hAnsi="Amiri" w:eastAsia="Amiri" w:cs="Amiri"/>
          <w:color w:val="111111"/>
          <w:sz w:val="28"/>
          <w:sz w:val="28"/>
          <w:szCs w:val="28"/>
          <w:rtl w:val="true"/>
          <w:lang w:bidi="ar-SA"/>
        </w:rPr>
        <w:t>؛ لتردده بين الزوج والولي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مرجع الضمير والصفة، وفي تعدد المجازات المتساوية مع مانع يمنع من حمله على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فعل المعصوم إذا فعل فعلاً يحتمل وجهين احتمالاً واحداً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الثامن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الأوامر بصيغة الخبر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وَالجُرُوحَ قِصَاصُ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﴿وَالْطَلَّقَاتُ يَتَرَبَّصْنَ بِأَنفُسِهِنَّ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 وقد اختلف فيها، فالأكثر على أنها تفيد الإيجاب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يتوقف فيها حتى يرد دليل يبين المراد بها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الموارد التي اختلف في إجمالها، والأظهر عدم اجمالها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التي علق التحريم على الأعيان،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Style w:val="FootnoteAnchor"/>
          <w:rtl w:val="true"/>
        </w:rPr>
        <w:footnoteReference w:id="334"/>
      </w:r>
      <w:r>
        <w:rPr>
          <w:rFonts w:ascii="Amiri" w:hAnsi="Amiri" w:eastAsia="Amiri" w:cs="Amiri"/>
          <w:color w:val="111111"/>
          <w:sz w:val="28"/>
          <w:sz w:val="28"/>
          <w:szCs w:val="28"/>
          <w:rtl w:val="true"/>
          <w:lang w:bidi="ar-SA"/>
        </w:rPr>
        <w:t>، ﴿ حُرِّمَتْ عَلَيْكُمْ أُمَّهَاتُكُمْ</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 ذهبت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مجمل؛ لتردده بين الكل والبعض </w:t>
      </w:r>
      <w:r>
        <w:rPr>
          <w:rStyle w:val="FootnoteAnchor"/>
          <w:rtl w:val="true"/>
        </w:rPr>
        <w:footnoteReference w:id="33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السَّارِقُ وَالسَّارِقَةُ فَاقْطَعُوا أَيْدِيَها</w:t>
      </w:r>
      <w:r>
        <w:rPr>
          <w:rStyle w:val="FootnoteAnchor"/>
          <w:rtl w:val="true"/>
        </w:rPr>
        <w:footnoteReference w:id="338"/>
      </w:r>
      <w:r>
        <w:rPr>
          <w:rFonts w:ascii="Amiri" w:hAnsi="Amiri" w:eastAsia="Amiri" w:cs="Amiri"/>
          <w:color w:val="111111"/>
          <w:sz w:val="28"/>
          <w:sz w:val="28"/>
          <w:szCs w:val="28"/>
          <w:rtl w:val="true"/>
          <w:lang w:bidi="ar-SA"/>
        </w:rPr>
        <w:t xml:space="preserve">، قال الحنفية بإجمالها </w:t>
      </w:r>
      <w:r>
        <w:rPr>
          <w:rStyle w:val="FootnoteAnchor"/>
          <w:rtl w:val="true"/>
        </w:rPr>
        <w:footnoteReference w:id="3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والأكثر على نفي الإجمال </w:t>
      </w:r>
      <w:r>
        <w:rPr>
          <w:rStyle w:val="FootnoteAnchor"/>
          <w:rtl w:val="true"/>
        </w:rPr>
        <w:footnoteReference w:id="340"/>
      </w:r>
      <w:r>
        <w:rPr>
          <w:rFonts w:ascii="IRNazanin" w:hAnsi="IRNazanin" w:eastAsia="IRNazanin"/>
          <w:color w:val="111111"/>
          <w:sz w:val="28"/>
          <w:sz w:val="28"/>
          <w:szCs w:val="28"/>
          <w:rtl w:val="true"/>
          <w:lang w:bidi="fa-IR"/>
        </w:rPr>
        <w:t xml:space="preserve">، وهو الأظهر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في المسجد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صيام لمن لم يبيت الصيام من الليل</w:t>
      </w:r>
      <w:r>
        <w:rPr>
          <w:rFonts w:eastAsia="Amiri" w:cs="Amiri" w:ascii="Amiri" w:hAnsi="Amiri"/>
          <w:color w:val="111111"/>
          <w:sz w:val="28"/>
          <w:szCs w:val="28"/>
          <w:rtl w:val="true"/>
          <w:lang w:bidi="ar-SA"/>
        </w:rPr>
        <w:t xml:space="preserve">) » </w:t>
      </w:r>
      <w:r>
        <w:rPr>
          <w:rStyle w:val="FootnoteAnchor"/>
          <w:rtl w:val="true"/>
        </w:rPr>
        <w:footnoteReference w:id="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إلَّا بولي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فذهب الباقلاني وأهل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مجمل </w:t>
      </w:r>
      <w:r>
        <w:rPr>
          <w:rStyle w:val="FootnoteAnchor"/>
          <w:rtl w:val="true"/>
        </w:rPr>
        <w:footnoteReference w:id="346"/>
      </w:r>
      <w:r>
        <w:rPr>
          <w:rFonts w:ascii="Amiri" w:hAnsi="Amiri" w:eastAsia="Amiri" w:cs="Amiri"/>
          <w:color w:val="111111"/>
          <w:sz w:val="28"/>
          <w:sz w:val="28"/>
          <w:szCs w:val="28"/>
          <w:rtl w:val="true"/>
          <w:lang w:bidi="ar-SA"/>
        </w:rPr>
        <w:t xml:space="preserve">، والأكثر </w:t>
      </w:r>
      <w:r>
        <w:rPr>
          <w:rStyle w:val="FootnoteAnchor"/>
          <w:rtl w:val="true"/>
        </w:rPr>
        <w:footnoteReference w:id="347"/>
      </w:r>
      <w:r>
        <w:rPr>
          <w:rFonts w:ascii="Amiri" w:hAnsi="Amiri" w:eastAsia="Amiri" w:cs="Amiri"/>
          <w:color w:val="111111"/>
          <w:sz w:val="28"/>
          <w:sz w:val="28"/>
          <w:szCs w:val="28"/>
          <w:rtl w:val="true"/>
          <w:lang w:bidi="ar-SA"/>
        </w:rPr>
        <w:t>على نفي الإجمال؛ فإن منها ما هو في نفي الكمال، ومنها ما هو في نفي الصحة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أنَّ الصلاة المتلبس بها بغير طهور فاسدةً لا يحصل بها امتثال، سواء كان اسم الصلاة للصحيح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حمل النفي على نفي الذات مبني على القول بالصحيح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تأخير البيان عن وقت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تأخير البيان عن وقت الحاجة في ما يحتاج إلى بيان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وعام، ومجاز، ومشترك، وفعل متردد ، ومطلق، إذا تأخر بيانه في الواجبات الفورية؛ لقبحه عند العقلاء، بل حكى الباقلاني إجماع أرباب الشرائع على امتناعه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تأخيره عن زمن الخطاب فجائز إلى وقت الحاجة إلى الفعل عرفاً وعقلاً وذلك</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الواجبات التي ليست بفورية، حيث يكون الخطاب لا ظاهر له، كالأسماء المتواطئة والمشتركة، أو له ظاهر وقد استعمل في خلافه، كتأخير التخصيص والنسخ ونحو ذلك، والمتتبع لموارد هذه الشريعة الطاهرة يجدها قاضية بجواز تأخير البيان عن وقت الخطاب قضاءً ظاهراً واضحاً لا ينكره من له أدنى خبرة بها وممارسته لها، كما أنه يجوز التأخير على التدريج بأن يبين بياناً أولاً ثم يبين بياناً ثانياً </w:t>
      </w:r>
      <w:r>
        <w:rPr>
          <w:rStyle w:val="FootnoteAnchor"/>
          <w:rtl w:val="true"/>
        </w:rPr>
        <w:footnoteReference w:id="349"/>
      </w:r>
      <w:r>
        <w:rPr>
          <w:rFonts w:ascii="Amiri" w:hAnsi="Amiri" w:eastAsia="Amiri" w:cs="Amiri"/>
          <w:color w:val="111111"/>
          <w:sz w:val="28"/>
          <w:sz w:val="28"/>
          <w:szCs w:val="28"/>
          <w:rtl w:val="true"/>
          <w:lang w:bidi="ar-SA"/>
        </w:rPr>
        <w:t>كالتخصيص بعد التخصيص؛ لعدم المانع عن ذلك عرفاً وشرعاً وعقلاً، والكلّ بيان</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الأدلة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والأدلة الشرعية عندنا أربعة؛ لأنَّ الدليل على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وحي أو لا، والأول إما نوع لفظه معجزاً أو لا، والأول الكتاب، والثاني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كاشف عن تحقق وحي أو لا، والأول الإجماع، والثاني 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الكتابولا خلاف بين المسلمين في جواز العمل بظواهره من دون نص، ولم يخالف في ذلك غير بعض الأخبارية </w:t>
      </w:r>
      <w:r>
        <w:rPr>
          <w:rStyle w:val="FootnoteAnchor"/>
          <w:rtl w:val="true"/>
        </w:rPr>
        <w:footnoteReference w:id="350"/>
      </w:r>
      <w:r>
        <w:rPr>
          <w:rFonts w:ascii="Amiri" w:hAnsi="Amiri" w:eastAsia="Amiri" w:cs="Amiri"/>
          <w:color w:val="111111"/>
          <w:sz w:val="28"/>
          <w:sz w:val="28"/>
          <w:szCs w:val="28"/>
          <w:rtl w:val="true"/>
          <w:lang w:bidi="ar-SA"/>
        </w:rPr>
        <w:t xml:space="preserve">، وأدلتهم كلها مدخولة، كيف وقد أنزل الله على رسوله كتاباً عربياً بلسان قومه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عباده فيه ونهاهم وعلمهم وأوعدهم، وذكر لهم أدلة على وجوده وصفاته الجمالية والجلالية، وقصّ عليهم قصص الماضين؛ ليعتبروا، وغير ذلك، وقد فهم القوم تلك المقاصد منه، وقطعوا بأنَّ الله أراد منهم ما فهموه، ولم يبين النبي الله لهم جميع ما في القرآن، ولم يكن له قيم غيره لله الله ، حينئذ ، وكيف يسوغ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ألغزَ وعمّى وأحال البيان إلى النبي الله ، بل إلى من يجيء بعد البعثة بقرب من ثلاثمئة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 الإمام الاستدلال به، ووقع الاحتجاج به من الرواة، وأقروهم الأئمة، وقد أقمتُ الحجج والبراهين على الحجية، وعلى دفع شبهة هؤلاء الحشوية في كتابي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قاطعة اللجاج في إبطال طريقة أهل الاعوجاج بما لا أعرفُ أحداً سبقني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المحصلوهو الاتفاق في حكم للأصحاب الكاشف عن قول المعصوم، سواء كان من الكل أو البعض، والعلم بالإجماع لأهل العلم بالفقه والحديث ليس بذلك الصعب؛ فإن من يطلع على مقالة خاصة إمام وبطانته ومن يدين الله تعالى بطاعته من جلّ أصحابه عَلِمَ بحكم العادة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تلك مقالته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إذا رأيتَ الطبقة الأولى والثانية من أصحاب أبي عبد علیه السلام يقولون بفتيا، أتراك ترتاب في أنهم إنما صدروا بذلك عنه علیه السلام ؟ وحصول العلم باتفاق جميع أصحابه أو جلّهم أوضح من أن يخفى أو يحتاج إلى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ذلك كما يكون في أيام ظهور أصحاب العصمة علیه السلام يكون في الغيبة؛ وذلك بتتبع قادتهم في أصولهم في الحديث؛ الجريان عادتهم بالأخذ بما يعقدونه من الأبواب؛ فإنَّ عنوان كل باب فتوى، فإذا وجدنا حكماً في عنوان باب في أصل من الأصول حصل لنا ظن، ثم إذا وافقه أصل آخر قوي ذلك الظن، وهكذا إلى أن يصل إلى مرتبة يحصل عندها القطعُ بأنه عينُ ما حكم به المعصوم، ويختلف ذلك باختلاف مكانة أصحاب الأصول في العلم والتقوى وعدم النقل بالمعنى ونحو ذلك، ولعل أكثر ما في كتب السيد والشيخ والمحمدين </w:t>
      </w:r>
      <w:r>
        <w:rPr>
          <w:rStyle w:val="FootnoteAnchor"/>
          <w:rtl w:val="true"/>
        </w:rPr>
        <w:footnoteReference w:id="352"/>
      </w:r>
      <w:r>
        <w:rPr>
          <w:rFonts w:ascii="Amiri" w:hAnsi="Amiri" w:eastAsia="Amiri" w:cs="Amiri"/>
          <w:color w:val="111111"/>
          <w:sz w:val="28"/>
          <w:sz w:val="28"/>
          <w:szCs w:val="28"/>
          <w:rtl w:val="true"/>
          <w:lang w:bidi="ar-SA"/>
        </w:rPr>
        <w:t xml:space="preserve">ومن قاربهم من ذلك، وربما كان من كتب الفتاوى ما يدعيه من جاء بعد ذلك كالمحقق والعلّامة والشهيد ،وغيرهم كذا أفاده السيد المحقق في المحصول </w:t>
      </w:r>
      <w:r>
        <w:rPr>
          <w:rStyle w:val="FootnoteAnchor"/>
          <w:rtl w:val="true"/>
        </w:rPr>
        <w:footnoteReference w:id="353"/>
      </w:r>
      <w:r>
        <w:rPr>
          <w:rFonts w:ascii="Amiri" w:hAnsi="Amiri" w:eastAsia="Amiri" w:cs="Amiri"/>
          <w:color w:val="111111"/>
          <w:sz w:val="28"/>
          <w:sz w:val="28"/>
          <w:szCs w:val="28"/>
          <w:rtl w:val="true"/>
          <w:lang w:bidi="ar-SA"/>
        </w:rPr>
        <w:t>، وهو 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صاحب المعالم تعذرُ حصوله في هذه الأعصار غريبة، وقد زيّفها سلطان العلماء في حاشيته </w:t>
      </w:r>
      <w:r>
        <w:rPr>
          <w:rStyle w:val="FootnoteAnchor"/>
          <w:rtl w:val="true"/>
        </w:rPr>
        <w:footnoteReference w:id="35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الكشف عن قول المعصوم عند القدماء منحصر باتفاق كل العلماء؛ لأنَّه سيدهم، فيقطع بموافقته من إجماعهم، ويعلم قوله إجمالاً </w:t>
      </w:r>
      <w:r>
        <w:rPr>
          <w:rStyle w:val="FootnoteAnchor"/>
          <w:rtl w:val="true"/>
        </w:rPr>
        <w:footnoteReference w:id="355"/>
      </w:r>
      <w:r>
        <w:rPr>
          <w:rFonts w:ascii="Amiri" w:hAnsi="Amiri" w:eastAsia="Amiri" w:cs="Amiri"/>
          <w:color w:val="111111"/>
          <w:sz w:val="28"/>
          <w:sz w:val="28"/>
          <w:szCs w:val="28"/>
          <w:rtl w:val="true"/>
          <w:lang w:bidi="ar-SA"/>
        </w:rPr>
        <w:t>، فلا دور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لزمهم القول باعتبار مجهول النسب، وقد عرفت المنهج الصحيح في طريق الكشف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كلامهم في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الدخولي وطريقة الشيخ في الإجماع قاعدة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اللطف المعروفة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وفيه بحث ونظر، فالطريق منحصر في النقل والتتبع على النحو الذي أوضحناه،الموجب للقطع بقول الإمام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والقطع حجة بنفسه عقلاً، وطريق إلى الواقع كالمرآة، أو كالشمس في الكشف للعين، يستحيلُ النهي عنه شرعاً وعقلاً؛ للزوم التناقض من حيث المورد، ومن حيث السبب، ومن حيث القاطع ؛ ولكون الإطاعة حسنة لا تقبل المنع ، كما أن مخالفة القطع قبيحة لا تقبل الترخيص، ولا أتم منه في الكشف الذاتي، وهو المانع من تصرف الشارع فيه نفياً أو إثباتاً؛ لأنَّه بنفسه طريق للواقع، فلو كانت حجيته بجعل لزم الدور أو التسلسل؛ فإن الأمر بمتابعته لا يوجب التنجز؛ لوجوده الواقعي، فلا بد من العلم بالأمر ، وهذا العلم يحتاج إلى الأمر وهكذا، فإما أن يدور أو يتسلسل كما هو ظاهر، ولا يسمى حجة عرفية إِلَّا مجازاً؛ لأنَّ الحجة في الاصطلاح ما يستلزم القطع بالمطلوب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يؤخذ طريقاً في موضوع حكم شرعي ويكون وسطاً، لا حجة لحكم آخر، وقد يكون موضوعياً صرفاً لم يلحظه الشارع إلا من جهة كونه صفة خاصة، وقد يكون تمام الموضوع كما لو رتب الحرمة على مقطوع الخمرية بما هو مقطوع الخمرية أصاب الواقع أم لا، فأقسامه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صرف، وهو الموضوع عقلاً الذي لا تناله يد التصرف عقلاً وشرعاً، وموضوعيٌ صرف، وموضوعي طريقي من أي وجه كان، وتمام الموضوع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الأمارات مقام القطع الطريقي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تقوم الأمارات وبعض الأصول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الطريقي الصرف بلا كلام، وتقوم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 الطريقي على الأصح وفاقاً للشيخ </w:t>
      </w:r>
      <w:r>
        <w:rPr>
          <w:rStyle w:val="FootnoteAnchor"/>
          <w:rtl w:val="true"/>
        </w:rPr>
        <w:footnoteReference w:id="357"/>
      </w:r>
      <w:r>
        <w:rPr>
          <w:rFonts w:ascii="Amiri" w:hAnsi="Amiri" w:eastAsia="Amiri" w:cs="Amiri"/>
          <w:color w:val="111111"/>
          <w:sz w:val="28"/>
          <w:sz w:val="28"/>
          <w:szCs w:val="28"/>
          <w:rtl w:val="true"/>
          <w:lang w:bidi="ar-SA"/>
        </w:rPr>
        <w:t xml:space="preserve">والسيد الأستاذ </w:t>
      </w:r>
      <w:r>
        <w:rPr>
          <w:rStyle w:val="FootnoteAnchor"/>
          <w:rtl w:val="true"/>
        </w:rPr>
        <w:footnoteReference w:id="358"/>
      </w:r>
      <w:r>
        <w:rPr>
          <w:rFonts w:ascii="Amiri" w:hAnsi="Amiri" w:eastAsia="Amiri" w:cs="Amiri"/>
          <w:color w:val="111111"/>
          <w:sz w:val="28"/>
          <w:sz w:val="28"/>
          <w:szCs w:val="28"/>
          <w:rtl w:val="true"/>
          <w:lang w:bidi="ar-SA"/>
        </w:rPr>
        <w:t>، وقد أوضحه سيدنا الأستاذ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اعتبر العلم من باب طريقيته وكاشفيته في شيء،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الخمر إذا علمت بها فاجتنبها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وقام الدليل على طريقية شيء كالخمر</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فالظاهر أنه يقوم مقام العلم، فإذا أخبر المخبر بأنَّ المائع الخاص خمرٌ وجبَ اجتنابه، وتوضيح ذلك يتم ببيان أمور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المراد من أخذ العلم من باب الطريقية ليس بأن يستعمل العلم في غير معناه كالكاشف والطريق ونحوهما، بل هو مستعمل في معناه وهو الاعتقاد الجازم </w:t>
      </w:r>
      <w:r>
        <w:rPr>
          <w:rStyle w:val="FootnoteAnchor"/>
          <w:rtl w:val="true"/>
        </w:rPr>
        <w:footnoteReference w:id="361"/>
      </w:r>
      <w:r>
        <w:rPr>
          <w:rFonts w:ascii="Amiri" w:hAnsi="Amiri" w:eastAsia="Amiri" w:cs="Amiri"/>
          <w:color w:val="111111"/>
          <w:sz w:val="28"/>
          <w:sz w:val="28"/>
          <w:szCs w:val="28"/>
          <w:rtl w:val="true"/>
          <w:lang w:bidi="ar-SA"/>
        </w:rPr>
        <w:t xml:space="preserve">، لكن اعتبار الاعتقاد الجازم قد يكون بملاحظة الخصوصية فيه غير الانكشاف للواقع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يكون بملاحظة انكشاف الواقع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وإن كان انكشاف الواقع ليس إلا بالعلم فلا يقتضي اعتباره من جهة انكشاف الواقع استعماله في غير معناه، بل انكشاف الواقع ليس إلا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فالعلم ـ وهو انكشاف الواقع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مأخوذاً في الشيء من تلك الجهة لا من جهة خصوصية أخرى مأخوذة فيه ككونه خصوص اليقين فيلحظ فيه خصوصية اليقينية التي هي غير جهة الكشف، وإن كان موجوداً معه إلا أنه لم يلحظ فيه ولم يعتبر لأجل تلك الخصوصية التي هي أمر خاص غير وصف الكشف؛ فإنه لو اعتبر تلك الخصوصية التي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من جهة الكشف يصيرُ كسائر الأوصاف والأمور المعتبرة في الأشياء التي يحتاجُ قيام شيء آخر مقامه إلى دليل تنزيل مخصوص کدلیل تنزيل التراب منزلة الماء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بخلاف ما لو اعتبر لأجل طريقيته وكاشفيته؛ فإنَّ دليل طريقية الطرق يكفي في قيامها؛ لأنَّ المفروض اعتباره من جهة الكشف، فكل ما جعل كاشفاً يقوم مقامه؛ لأنه كاشفاً، والموضوع حقيقة الواقع المحرز بالطريق التام ولو بالجعل، فإذا ثبت كون الظن طريقاً بحكم الشارع ترتب عليه الأثر؛ لتحقق موضوعه ولو تنزيلاً، ولا يحتاج ذلك إلى لحاظه باللحاظين المتضادين كما زعمه بعض أفاضل العصر </w:t>
      </w:r>
      <w:r>
        <w:rPr>
          <w:rStyle w:val="FootnoteAnchor"/>
          <w:rtl w:val="true"/>
        </w:rPr>
        <w:footnoteReference w:id="364"/>
      </w:r>
      <w:r>
        <w:rPr>
          <w:rFonts w:ascii="Amiri" w:hAnsi="Amiri" w:eastAsia="Amiri" w:cs="Amiri"/>
          <w:color w:val="111111"/>
          <w:sz w:val="28"/>
          <w:sz w:val="28"/>
          <w:szCs w:val="28"/>
          <w:rtl w:val="true"/>
          <w:lang w:bidi="ar-SA"/>
        </w:rPr>
        <w:t xml:space="preserve">إذ لا لحاظ إلّا كونه مرآة صرفاً وطريقاً محضاً إلى ذات المتعلّق من حيث هي لا إلى حكمه حتى يتوجه إشكال الاستعمال في متضادين، لكن هذا البيان لا يفي بقيام مثل الاستصحاب مقامه، فالأولى أنْ بالجعل يصير يقرر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قيام الاستصحاب مقام القطع الطريقيالعلم إذا أخذ طريقاً ومن جهة حصول المعلوم عند العالم وله سواء أخذ لصرف ترتيب حكم متعلّقه؛ لأنَّ متعلّقه ما لم يحصل عند العالم ليس عليه دلالة ترتيب حكمه، إذا اشترط في حصول الحكم حصول الشيء عند العالم، والمفروض أنَّ في الواقع والحقيقة لا يكون حصول الشيء عند المكلف إلَّا ما يعلم ، يعني أنَّ العلم هو الحصول عنده، والحصول عنده ليس إلا العلم إلا أنه إذا ادعى مرتبة من الحصول الظني أنه ذلك الحصول العلمي وأنه الحصول الواقعي ادعاءً عند المكلف لزم ترتيب حكم المتعلّق؛ إذ الحكم الذي يتوقف حصوله على الحصول عند المكلف فذلك إدخال موضوعي بجعل ذلك الحصول حصولاً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علمياً بالادعاء، والإغماض عن احتمال الخلاف، وإذا حكم بالبناء على المتيقن فالعمل بهذا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البناء على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للبقاء عندك بحسب ذلك الحكم؛ فإنَّ ما هو الحكم الباقي حاصل عندك جزماً، فقد حصل ما هو الواقع الجعلي الشرعي، ولما لم يكن المقصود إلَّا حصول الواقع فقد حصل أو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الواقع وقد حصل، فقد ثبت ما نحن بصدده من قيام الاستصحاب مقام العلم الطريقي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أيضاً بين أن يكون الحكم للمعلّق ويكون الاستصحاب لإحرازه، أو للمعلّق بوصف كونه حاصلاً عندك؛ فإنَّ بالاستصحاب حصولاً عندك، وهو بمنزلة ،المتعلّق فالحصول بوصف كونه حاصلاً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أقسام الظن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وللظن أقسام القطع وزيادة </w:t>
      </w:r>
      <w:r>
        <w:rPr>
          <w:rStyle w:val="FootnoteAnchor"/>
          <w:rtl w:val="true"/>
        </w:rPr>
        <w:footnoteReference w:id="365"/>
      </w:r>
      <w:r>
        <w:rPr>
          <w:rFonts w:ascii="Amiri" w:hAnsi="Amiri" w:eastAsia="Amiri" w:cs="Amiri"/>
          <w:color w:val="111111"/>
          <w:sz w:val="28"/>
          <w:sz w:val="28"/>
          <w:szCs w:val="28"/>
          <w:rtl w:val="true"/>
          <w:lang w:bidi="ar-SA"/>
        </w:rPr>
        <w:t>لأنه قد يكون طريقاً صرفاً، وقد يكون موضوعاً، والموضوع تارةً يتصور أخذه من حيث الكشف، وأخرى من حيث قيامه بالمكلف، وعلى التقديرين فتارةً يتصور جزءاً للموضوع، وأخرى تمام الموضوع، والأول لا بدَّ أنْ يكون موضوعاً لحكم متعلّقه؛ حيث إنَّه لم يحرز به متعلّقه؛ فلا بد من توسيطه، فهذه صور تسع في الظن، والكل لا تخلو عن الموضوعية إلا ما كان طريقاً صرفاً إلى نفس الأحكام؛ لوجوب الامتثال بحكم العقل، فيكون منجعلا حينئذ كالعلم بعد اجتماع شرائط الحكم، وذلك الظن المعتبر بدليل الانسداد الكلي أو الجزئي بناءً على تقرير الحكومة لا الكشف ولا يكون وسطاً لترتب آثار متعلّقه؛ حيث إنَّ الحكم الظاهري المترتب عليه كأنه من إلزام العقل، لا بجعل الشارع إرشاداً من العقل لتحصيل الأمن من الضرر المترتب على المخالفة</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مسألة التجرّيفإن كان النزاع في استحقاق العقوبة وعدمه فالمسألة كلامية، وإن كان النزاع في ارتكاب الشيء المقطوع حرمته هل هو قبيح أم لا ؟ فالمسألة أصولية يستدل بها على حكم شرعي، وإن كان النزاع في أنَّ ارتكاب ما قطع بحرمته هل هو حرام شرعاً أم لا؟ فالمسألة 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في تحرير محل النزاع فيها ما أفاده سيدنا الأستاذة قدس سره </w:t>
      </w:r>
      <w:r>
        <w:rPr>
          <w:rStyle w:val="FootnoteAnchor"/>
          <w:rtl w:val="true"/>
        </w:rPr>
        <w:footnoteReference w:id="366"/>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التجري والانقياد في نظر العقل والعقلاء في حكم الإطاعة والمعصية في استحقاق فاعلهما المدح والثواب والذم والعقاب أو لا كما يشهد به عنوان المسألة واستدلالهم على الاستحقاق بحكم العقل بقبح التجرّي ؛ فمرجع النزاع على هذا إلى أن الثواب والعقاب من لوازم الإطاعة والمعصية الحقيقيتين، أو هما من آثار مطلق الإطاعة والمعصية وإن كانتا حكمتين </w:t>
      </w:r>
      <w:r>
        <w:rPr>
          <w:rStyle w:val="FootnoteAnchor"/>
          <w:rtl w:val="true"/>
        </w:rPr>
        <w:footnoteReference w:id="367"/>
      </w:r>
      <w:r>
        <w:rPr>
          <w:rFonts w:ascii="Amiri" w:hAnsi="Amiri" w:eastAsia="Amiri" w:cs="Amiri"/>
          <w:color w:val="111111"/>
          <w:sz w:val="28"/>
          <w:sz w:val="28"/>
          <w:szCs w:val="28"/>
          <w:rtl w:val="true"/>
          <w:lang w:bidi="ar-SA"/>
        </w:rPr>
        <w:t>؛ لإتحاد المناط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من كلمات بعضهم أن النزاع في أنَّ الفعل غير المحرم ذاتاً هل يقتضي تعلّق القطع به كونه حراماً ومبغوضاً للشارع على أن يكون القطع من الجهات المقبحة والمحسنة؟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عدم اتصاف الفعل بالحرمة الشرعية؛ لأنَّ العناوين المتحققة مع الفعل المتجرى به، منها ما ليس اختيارياً، ككونه شرب ماء مقطوع الخمرية وكونه تجرأ، ومنها ما لا شبهة في عدم تحريمه ككونه مقطوع الخمرية؛ لعدم قابلية هذا العنوان للحكم الشرعي المولوي؛ لأنَّه نظير الحكم بحرمة المعصية ووجوب الإطاعة،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استحقاق العقاب على التجرّي لا الفعل؛ لأنَّ المناط في الاستحقاق الموجود في الإطاعة والمعصية موجود في الانقياد والتجرّي بعينه ضرورة أن ترتب المدح والثواب في الإطاعة ليس لأجل صدور ذات الواجب وتحققه في الخارج، وكذا ترتب الذم والعقاب على المعصية ليس لحصول ضرر من فعل المحرم يترتب على الآمر، بل لا مدخلية لذات الواجب ولا لذات المحرم في الاستحقاق ضرورة عدم عود الضرر والنفع فيها لا إلى نفس الفاعل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إلى الآمر ؛ لغنائه المطلق، فليس إلَّا أن المناط في الاستحقاق عند الإطاعة كونُ العبد واقفاً بحضرته ساعياً في حصول مرضاته، وغير ذلك من العناوين للإطاعة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عند المعصية؛ فكونه مستخفاً بحق مولاه، وهاتكاً لحرمته بارتكاب مناهيه، غير مبال بمعصيته وترك طاعته، وأمثال ذلك من العناوين التي تكون المعصية بها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أنّ المناط في الاستحقاق موجود في التجرّي، فالتجرّي معصية حكمية عند العقل والعقلاء، كما أن الانقياد إطاعة حكمية؛ فالمتجرّي بوصف كونه متجرياً وطاغياً مستحق للعقاب عند العقل، وأقصى ما جاء العفو عن القصد إلى المعصية المؤيد لما حققناه؛ إذ التجرّي المبحوث فيه هتك للمولى في الظاهر ، فهو أعظم من القصد إلى المعصية التي دلت الأخبار </w:t>
      </w:r>
      <w:r>
        <w:rPr>
          <w:rStyle w:val="FootnoteAnchor"/>
          <w:rtl w:val="true"/>
        </w:rPr>
        <w:footnoteReference w:id="368"/>
      </w:r>
      <w:r>
        <w:rPr>
          <w:rFonts w:ascii="Amiri" w:hAnsi="Amiri" w:eastAsia="Amiri" w:cs="Amiri"/>
          <w:color w:val="111111"/>
          <w:sz w:val="28"/>
          <w:sz w:val="28"/>
          <w:szCs w:val="28"/>
          <w:rtl w:val="true"/>
          <w:lang w:bidi="ar-SA"/>
        </w:rPr>
        <w:t xml:space="preserve">على النهي عنها، ولا وجه فيها إلَّا القبح المسبب عن التجري؛ لأنَّ النهي عن القصد ليس إلَّا إرشادياً تعلّق بالقصد؛ لما فيه من الهتك والطغيان، فمراتب التجرّي مختلفة كمراتب الانقياد فظهر فساد توهم تحقق عقابين في المعصية الحقيقية </w:t>
      </w:r>
      <w:r>
        <w:rPr>
          <w:rStyle w:val="FootnoteAnchor"/>
          <w:rtl w:val="true"/>
        </w:rPr>
        <w:footnoteReference w:id="369"/>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ذكروه من الدليل فإنا نختار ثبوت العقاب على من أصاب دون من أخطأ، ولزوم ابتناء العقاب على أمر غير اختياري غيرُ مانع إلَّا إذا لم يرجع إلى الإرادة والاختيار بالآخرة كما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إنكار الأخباريين لحجية القطع الناشئ من 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جمع من الأخبارية نفي حجية القطع المسند إلى العقل فقط؛ لأنَّه يكثر الخطأ في مبادئ حكم العقل، فإن أرادوا عدم جواز العمل بالقطع بعد حصوله ـ كما هو المصرح به من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بعضهم </w:t>
      </w:r>
      <w:r>
        <w:rPr>
          <w:rStyle w:val="FootnoteAnchor"/>
          <w:rtl w:val="true"/>
        </w:rPr>
        <w:footnoteReference w:id="370"/>
      </w:r>
      <w:r>
        <w:rPr>
          <w:rFonts w:ascii="Amiri" w:hAnsi="Amiri" w:eastAsia="Amiri" w:cs="Amiri"/>
          <w:color w:val="111111"/>
          <w:sz w:val="28"/>
          <w:sz w:val="28"/>
          <w:szCs w:val="28"/>
          <w:rtl w:val="true"/>
          <w:lang w:bidi="ar-SA"/>
        </w:rPr>
        <w:t>ـ فقد عرفت أنَّه لا يعقل النهي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أرادوا عدم جواز الخوض في المقدمات العقلية لتحصيل المطالب؛ لما بها من الخطأ فغير مسلّم، على أن الطرق المسلوكة لهم في تحصيل المطالب من الأدلة الشرعية ليست بأقل تلك، ولو جاز طرحها عقلاً لجاز طرح طرق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أرادوا عدم تنجز الحكم الشرعي بالقطع المستند إلى العقل فهو غلط صرف؛ لأنَّ العلم المأخوذ في حكم العقل بوجوب الإطاعة غير مقيد بسبب خاص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المنفي في كلامهم هو حكم العقل غير المفيد للقطع، وإنَّ كلام السيد الصدر في عدم جواز اتباع غير النقل فيما لا قطع فيه بالحكم، فهم لا ينكرون حجية القطع بالحكم إذا حصل </w:t>
      </w:r>
      <w:r>
        <w:rPr>
          <w:rStyle w:val="FootnoteAnchor"/>
          <w:rtl w:val="true"/>
        </w:rPr>
        <w:footnoteReference w:id="371"/>
      </w:r>
      <w:r>
        <w:rPr>
          <w:rFonts w:ascii="Amiri" w:hAnsi="Amiri" w:eastAsia="Amiri" w:cs="Amiri"/>
          <w:color w:val="111111"/>
          <w:sz w:val="28"/>
          <w:sz w:val="28"/>
          <w:szCs w:val="28"/>
          <w:rtl w:val="true"/>
          <w:lang w:bidi="ar-SA"/>
        </w:rPr>
        <w:t xml:space="preserve">، لكن صرَّح بعض الأفاضل بتصريح بعضهم بعدم جواز العمل بالقطع المستند إلى حكم العقل بعد حصوله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عرفت أنَّه إذا حصل لا يتفاوت من حيث المورد، ولا من حيث السبب، ولا من حيث القاطع، لا عقلاً ولا شرعاً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حجية قطع القطاع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فالقولُ بعدم حجية قطع القطاع فاسد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ـ سواء احتمل تصرف المولى في  حجية القطع أم لا ؛ لما عرفت سابقاً من كونه حجة بنفسه بلا جعل، وإلا دار أو تسلسل، والمنع من العمل به محال ومستلزم للتناقض ، اللهم إلا أنْ يريد القطع المأخوذ جزءاً في الموضوع، فتأمل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العلم الإجماليوفيه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التكليف بالعلم الإجمالي وتنجزه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كفاية العلم الإجمالي في تنجز التكليف المعلوم بالإجمال وثبوت الحكم به على المكلف، وحكم العقل بلزوم الامتثال؛ لصحة المؤاخذة على مخالفة الحكم مع القطع به بين أطراف محصورة، فالعلم الإجمالي علة تامة عند العقل بالحكم بلزوم الموافقة الاحتمالية وترك المخالفة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صحة المؤاخذة على مخالفته مع القطع به بين أطراف محصورة، وعدم صحتها مع عدم حصرها أو مع الإذن في الاقتحام فيها هو كون القطع الإجمالي مقتضياً للتنجيز لا علة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صحة المؤاخذة مع عدم الحصر فليس لوجود المانع من التنجيز؛ إنما هو لعدم القدرة على الامتثال وعدم التكليف بما يلزم منه العسر والحرج، وأما إذن الشارع بارتكاب بعض الأطراف فكذلك لا يكون من باب المانع من التنجيز؛ إنما هو تعبد بالحكم الظاهري، وجعل أحدهما بدلاً عن الواقع وحكم بكفايته عنه إما تعييناً أو تخييراً فليس في البين تجويز للترك لا إلى بدل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العلم الإجمالي بالنسبة إلى لزوم الموافقة القطعية مقتض لا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بالتنجيز تعليقي عند العقل، بمعنى أنّ العقل يحكم بالتنجيز لولا المانع ـ وهو إذن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من قبيل المقتضي لا العلة التامة، وفيه نظر؛ 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الامتثال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سقوط التكليف بالعلم الإجمالي بالامتثال بأن يوافقه إجمالاً في التوصليات والعبادات ما لم يحتج إلى التكرار، كالتردد بين الأقل والأكثر في العبادة وجاء بالأكثر؛ لحصول الغرض وعدم الإخلال بما يعتبر، بل الأصح كفايته في امتثال العبادة إذا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استلزم التكرار ؛ لعدم الإخلال حتى بنية الوجه لو جهل سمتَ القبلة وصلّى الصلاة المشتملة على الواجب لوجوبه، أقصاه أنه غير معين بخصوصه، على أن اعتبار الوجه كلام شعري لا دليل عليه، والإجماع </w:t>
      </w:r>
      <w:r>
        <w:rPr>
          <w:rStyle w:val="FootnoteAnchor"/>
          <w:rtl w:val="true"/>
        </w:rPr>
        <w:footnoteReference w:id="374"/>
      </w:r>
      <w:r>
        <w:rPr>
          <w:rFonts w:ascii="Amiri" w:hAnsi="Amiri" w:eastAsia="Amiri" w:cs="Amiri"/>
          <w:color w:val="111111"/>
          <w:sz w:val="28"/>
          <w:sz w:val="28"/>
          <w:szCs w:val="28"/>
          <w:rtl w:val="true"/>
          <w:lang w:bidi="ar-SA"/>
        </w:rPr>
        <w:t xml:space="preserve">المنقول على عدم جواز التكرار ممنوع وغير مقبول، فتحصل الصلاة بالثوبين وإلى الجهات الأربع بلا شبهة، كما لا شبهة في عدم لزوم تعيين العبادة المجهولة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المطلق وكفاية الاحتياط الموجب للعلم الإجمالي بالإطاعة، وهو أولى من الظن المطلق الانسدادي ؛ فإن كان تقديم الامتثال الظني بالظن المطلق الانسدادي من جهة اعتبار نية الوجه فقد عرفت إمكانها مع الاحتياط، وعدم اعتبارها عند أهل النظر، بل الحق كفاية الاحتياط وعدم لزوم الظن المخصوص بالامتثال فضلا عن الظن المطلق لزم التكرار أم لا؛ إذ لا وجه له إلَّا اعتبار نية الوجه التي عرفت وجه عدم اعتبارها؛ ضرورة أن العلم الإجمالي بالامتثال أولى من الظن في تحصيل العمل بعد العلم بعدم اعتبار نية الوجه، فلسنا في شك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مجرى للأصل في نية الوجه ولا في نية التقرب؛ حيث لا تؤخذ القربة جزءاً أو شرطاً في العبادة؛ للزوم الدور، ولا بأمر آخر؛ للزوم التسلسل، وإنما الحاكم بها العقل؛ لرجوعها إلى كيفية الإطاعة التي هي وظيفة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وللعلم الإجمالي صور وأقسام؛ لأنَّ الإجمال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الاشتباه في نفس الحكم مع العلم بالمتعلق تفصيلاً، أو في المتعلق العلم بالحكم كذلك، أو فيهما معاً، والشبهة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منشؤها الاشتباه في الحكم الصادر من الشارع على وجه يكون رفعه من وظيفة الشارع ، أو الأمور الخارجية على وجه يكون رفعه بها وليس من وظيفة الشارع، ويكون ما به الإجمال في الأول كلياً، وتسمّى الشبهة فيه حكمية، وصورها ثلاث، وفي الثاني جزئياً، وتسمى موضوعية ومصداقية، وصورها ثلاث</w:t>
      </w:r>
      <w:r>
        <w:rPr>
          <w:rFonts w:eastAsia="Amiri" w:cs="Amiri" w:ascii="Amiri" w:hAnsi="Amiri"/>
          <w:color w:val="111111"/>
          <w:sz w:val="28"/>
          <w:szCs w:val="28"/>
          <w:rtl w:val="true"/>
          <w:lang w:bidi="ar-SA"/>
        </w:rPr>
        <w:t>.</w:t>
      </w:r>
      <w:bookmarkStart w:id="108" w:name="pg9229_140306"/>
    </w:p>
    <w:p>
      <w:pPr>
        <w:pStyle w:val="BookText"/>
        <w:rPr/>
      </w:pPr>
      <w:bookmarkEnd w:id="108"/>
      <w:r>
        <w:rPr>
          <w:rFonts w:ascii="Amiri" w:hAnsi="Amiri" w:eastAsia="Amiri" w:cs="Amiri"/>
          <w:color w:val="111111"/>
          <w:sz w:val="28"/>
          <w:sz w:val="28"/>
          <w:szCs w:val="28"/>
          <w:rtl w:val="true"/>
          <w:lang w:bidi="ar-SA"/>
        </w:rPr>
        <w:t>جواز المخالفة الالتزامية دون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منشأ الاشتباه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عدم النص كمسألة شرب التتن، أو إجماله دوران </w:t>
      </w:r>
      <w:r>
        <w:rPr>
          <w:rStyle w:val="FootnoteAnchor"/>
          <w:rtl w:val="true"/>
        </w:rPr>
        <w:footnoteReference w:id="375"/>
      </w:r>
      <w:r>
        <w:rPr>
          <w:rFonts w:ascii="Amiri" w:hAnsi="Amiri" w:eastAsia="Amiri" w:cs="Amiri"/>
          <w:color w:val="111111"/>
          <w:sz w:val="28"/>
          <w:sz w:val="28"/>
          <w:szCs w:val="28"/>
          <w:rtl w:val="true"/>
          <w:lang w:bidi="ar-SA"/>
        </w:rPr>
        <w:t xml:space="preserve">الأمر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بالتشديد والتخفيف، أو تعارض النصين في الخطاب أو متعلّقه، ومنه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تواتر القراءات؛ فالصور فيها اثنتا عشرة، ومنشؤه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اشتباه في المكلف به، وإما في التكليف؛ وطرفا الشبهة في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احتمالان في مخاطب واحد كما في الخنثى، أو في مخاطبين كما في واجد المني في الثوب المشترك؛ فالصور فيها تسع فيكون المجموع إحدى وعشرين صورة</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4247224_2870459653"/>
      <w:bookmarkStart w:id="110" w:name="_Toc36"/>
      <w:bookmarkEnd w:id="109"/>
      <w:r>
        <w:rPr>
          <w:rtl w:val="true"/>
        </w:rPr>
        <w:t>في جواز المخالفة الالتزامية دون العملية</w:t>
      </w:r>
      <w:bookmarkEnd w:id="110"/>
    </w:p>
    <w:p>
      <w:pPr>
        <w:pStyle w:val="BookText"/>
        <w:rPr/>
      </w:pPr>
      <w:r>
        <w:rPr>
          <w:rFonts w:ascii="Amiri" w:hAnsi="Amiri" w:eastAsia="Amiri" w:cs="Amiri"/>
          <w:color w:val="111111"/>
          <w:sz w:val="28"/>
          <w:sz w:val="28"/>
          <w:szCs w:val="28"/>
          <w:rtl w:val="true"/>
          <w:lang w:bidi="ar-SA"/>
        </w:rPr>
        <w:t>لا إشكال في جواز مخالفة العلم الإجمالي إذا لم يترتب على مخالفته المخالفة في العمل، سواء كان ذلك في الشبهات الموضوعية أو الحكمية غير أن الأصول في الشبهة الموضوعية تخرج مجاريها عن موضوع التكليف، ولا بد فيها من اتحاد زماني الوجوب والحرمة، وعدم كون أحدهما المعين تعبدياً بأن يكونا توصليين، أو يكون أحدهما غير المعين تعبدياً، أمثلة الشبهة في الموضوع الالتزام بإباحة وطء المرأة المرددة بين من حرم وطأها بالحلف، ومن وجب وطأها به، ومن أمثلة الشبهة في الحكم الالتزام بإباحة موضوع كلي مردد بين كونه واجباً وحراماً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بحكم الله واجب والحكم بالإباحة طرح لحكم الله الواقعي وهو محرم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وجوب الموافقة لحكم الله فهو حاصل؛ لأنَّ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وافق الواجب وإن ترك وافق الحرمة؛ إنّ المفروض عدم توقف الموافقة على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وجوب الانقياد والتدين بحكم الله فحاصل أيضاً؛ لأنه حينئذ يكون تابعاً للعلم بالحكم؛ لكونه من اللوازم العقلية له، فإن علم به المكلف تفصيلاً وجب التديُن </w:t>
      </w:r>
      <w:bookmarkStart w:id="111" w:name="pg9229_140308"/>
    </w:p>
    <w:p>
      <w:pPr>
        <w:pStyle w:val="BookText"/>
        <w:rPr/>
      </w:pPr>
      <w:bookmarkEnd w:id="111"/>
      <w:r>
        <w:rPr>
          <w:rFonts w:ascii="Amiri" w:hAnsi="Amiri" w:eastAsia="Amiri" w:cs="Amiri"/>
          <w:color w:val="111111"/>
          <w:sz w:val="28"/>
          <w:sz w:val="28"/>
          <w:szCs w:val="28"/>
          <w:rtl w:val="true"/>
          <w:lang w:bidi="ar-SA"/>
        </w:rPr>
        <w:t>به كذلك، وإن عَلِمَ به إجمالاً وجبَ التدين به والالتزام به على ما هو عليه في الواقع، ولا دليل على وجوب التدين بما يحتمل الموافقة وهو أحدهما لا على التعيين، فافهم</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4247226_2870459653"/>
      <w:bookmarkStart w:id="113" w:name="_Toc37"/>
      <w:bookmarkEnd w:id="112"/>
      <w:r>
        <w:rPr>
          <w:rtl w:val="true"/>
        </w:rPr>
        <w:t>في حرمة المخالفة العملية</w:t>
      </w:r>
      <w:bookmarkEnd w:id="113"/>
    </w:p>
    <w:p>
      <w:pPr>
        <w:pStyle w:val="BookText"/>
        <w:rPr/>
      </w:pPr>
      <w:r>
        <w:rPr>
          <w:rFonts w:ascii="Amiri" w:hAnsi="Amiri" w:eastAsia="Amiri" w:cs="Amiri"/>
          <w:color w:val="111111"/>
          <w:sz w:val="28"/>
          <w:sz w:val="28"/>
          <w:szCs w:val="28"/>
          <w:rtl w:val="true"/>
          <w:lang w:bidi="ar-SA"/>
        </w:rPr>
        <w:t xml:space="preserve">للمعلوم بالإجمال، أما حرمة المخالفة القطعية كارتكاب كلا المشتبهين؛ فلأن التكليف من الخطاب التفصيلي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بذلك المعلوم إجمالاً، وهو الخمر المردد بين الإنائين؛ لأنَّ الأحكام الشرعية ثابتة لموضوعاتها الواقعية من غير اشتراطها بالعلم بها؛ لاستحالة التقييد بذلك ولا بموضوعاتها، فإذا ثبت تعلّق التكليف بالعنوان الواقعي المحرم حكم العقل بوجوب إطاعته؛ دفعاً للضرر المقطوع به المترتب على الخمر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الموافقة القطعية؛ فلأنه بعد ثبوت التكليف بالعنوان المردد يتحقق احتمال العقاب بارتكاب أحد المشتبهين على سبيل البدل؛ لاحتمال كونه الحرام الواقعي، ولا قبح على العقاب بعد فرض ثبوت التكليف به، وكما يحكم العقل بوجوب دفع الضرر المقطوع به كذلك يحكم بوجوب دفع الضرر المحتمل، هذا إذا كان الاشتباه في مصاديق الحكم في المكلف 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في المكلف فإما أن يكون طرفا الشبهة في المكلف في مخاطبين كما في لمكلف، واجدي المني في الثوب المشترك، أو في مخاطب واحد كما في الخنثى، فإن كان الأول فالأصل في كل من واجدي المني يجري بلا معارض؛ لعدم تنجز الخطاب في حق كل منهما ؛ لإناطته </w:t>
      </w:r>
      <w:r>
        <w:rPr>
          <w:rStyle w:val="FootnoteAnchor"/>
          <w:rtl w:val="true"/>
        </w:rPr>
        <w:footnoteReference w:id="377"/>
      </w:r>
      <w:r>
        <w:rPr>
          <w:rFonts w:ascii="Amiri" w:hAnsi="Amiri" w:eastAsia="Amiri" w:cs="Amiri"/>
          <w:color w:val="111111"/>
          <w:sz w:val="28"/>
          <w:sz w:val="28"/>
          <w:szCs w:val="28"/>
          <w:rtl w:val="true"/>
          <w:lang w:bidi="ar-SA"/>
        </w:rPr>
        <w:t xml:space="preserve">بعلم كل منهما بكونه جنباً، وهو منتف، وليس الجنب المردد بينهما متعلّقاً للحكم وإن ورد أنه يجب الغسل على كل جنب </w:t>
      </w:r>
      <w:r>
        <w:rPr>
          <w:rStyle w:val="FootnoteAnchor"/>
          <w:rtl w:val="true"/>
        </w:rPr>
        <w:footnoteReference w:id="378"/>
      </w:r>
      <w:r>
        <w:rPr>
          <w:rFonts w:ascii="Amiri" w:hAnsi="Amiri" w:eastAsia="Amiri" w:cs="Amiri"/>
          <w:color w:val="111111"/>
          <w:sz w:val="28"/>
          <w:sz w:val="28"/>
          <w:szCs w:val="28"/>
          <w:rtl w:val="true"/>
          <w:lang w:bidi="ar-SA"/>
        </w:rPr>
        <w:t>لكون كل منهما شاكاً في توجه هذا الحكم إليه شكاً صرفاً؛ فلا تتحقق المعصية التي هيا المناط في الاستحقاق</w:t>
      </w:r>
      <w:r>
        <w:rPr>
          <w:rFonts w:eastAsia="Amiri" w:cs="Amiri" w:ascii="Amiri" w:hAnsi="Amiri"/>
          <w:color w:val="111111"/>
          <w:sz w:val="28"/>
          <w:szCs w:val="28"/>
          <w:rtl w:val="true"/>
          <w:lang w:bidi="ar-SA"/>
        </w:rPr>
        <w:t xml:space="preserve">. </w:t>
      </w:r>
      <w:bookmarkStart w:id="114" w:name="pg9229_140310"/>
    </w:p>
    <w:p>
      <w:pPr>
        <w:pStyle w:val="BookText"/>
        <w:rPr/>
      </w:pPr>
      <w:bookmarkEnd w:id="114"/>
      <w:r>
        <w:rPr>
          <w:rFonts w:ascii="Amiri" w:hAnsi="Amiri" w:eastAsia="Amiri" w:cs="Amiri"/>
          <w:color w:val="111111"/>
          <w:sz w:val="28"/>
          <w:sz w:val="28"/>
          <w:szCs w:val="28"/>
          <w:rtl w:val="true"/>
          <w:lang w:bidi="ar-SA"/>
        </w:rPr>
        <w:t>أما الخنثى فالأقوى أنها داخلة في الواقع تحت الذكر أو الأنثى لا أنها قسم ثالث؛فحكمُها مع الغير الاحترازُ مطلقاً؛ لأنَّ العلم الإجمالي علة لتنجيز التكليف، فيجب الاحتياط في جميع التكاليف المختصة بكلُّ من الفريقين؛ فالخنثى إذا نظرت إلى كلتا الطائفتين تعلمُ إجمالاً بمخالفتها أحد الخطابين، فيجب عليها ترك اللباس المختص بالرجال واللباس المختص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الحكمان المتعلّقان بها إلزاميين بل كان أحدهما إلزامياً والآخر من قبيل الإباحة والرخصة ، فالمرجع فيهما أصالة البراءة؛ لكون الشك فيهما راجعاً إلى الشك في التكليف كما في ستر جميع البدن غير العورة، بناءً على عدم وجوبه على الرجل حتى عن المرأة، وأما حكم معاملة الغير معها فأصل البراءة، كما في واجدي المني في الثوب المشترك؛ فإنهما من وادٍ واحد</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4247228_2870459653"/>
      <w:bookmarkStart w:id="116" w:name="_Toc38"/>
      <w:bookmarkEnd w:id="115"/>
      <w:r>
        <w:rPr>
          <w:rtl w:val="true"/>
        </w:rPr>
        <w:t>في إمكان التعبد بالظن</w:t>
      </w:r>
      <w:bookmarkEnd w:id="116"/>
    </w:p>
    <w:p>
      <w:pPr>
        <w:pStyle w:val="BookText"/>
        <w:rPr/>
      </w:pPr>
      <w:r>
        <w:rPr>
          <w:rFonts w:ascii="Amiri" w:hAnsi="Amiri" w:eastAsia="Amiri" w:cs="Amiri"/>
          <w:color w:val="111111"/>
          <w:sz w:val="28"/>
          <w:sz w:val="28"/>
          <w:szCs w:val="28"/>
          <w:rtl w:val="true"/>
          <w:lang w:bidi="ar-SA"/>
        </w:rPr>
        <w:t>والمراد الإمكان الوقوعي، والحقُّ إمكانه عقلاً؛ لعدم ما يحيله بالقطع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تحليل الحرام وتحريم الحلال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بفتوى المجتهد، واليد والشهادة، مع أنَّه لا يلزم من ذلك بالنسبة إلى الحكم الواقعي مخالفةٌ، ولزومُه في الحكم الظاهري لا ضير فيه؛ لأنَّ الأوامر الظاهرية ليست أوامر حقيقية؛ ولأن الملحوظ في موضوعها الشك في الأولية؛ فالعنوانُ المتعلّق للأحكام الواقعية لا يجتمع مع العنوان المتعلّق للأحكام الظاهرية في ذهن الأمر أبداً، مع أنَّ العقل حاكم عند امتناع تحصيل العلم بالرجوع إلى الظن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إمكانه لا يجوز التعبد بالظن إلَّا إذا كان لحكمة؛ لكونه مفوتاً للواقع، فلا يجوز عند العقل التعبد به شرعاً من غير تدارك عن الواقع، فلا مانع من الأخذ بما دلّ على حجية بعض الظنون</w:t>
      </w:r>
      <w:r>
        <w:rPr>
          <w:rFonts w:eastAsia="Amiri" w:cs="Amiri" w:ascii="Amiri" w:hAnsi="Amiri"/>
          <w:color w:val="111111"/>
          <w:sz w:val="28"/>
          <w:szCs w:val="28"/>
          <w:rtl w:val="true"/>
          <w:lang w:bidi="ar-SA"/>
        </w:rPr>
        <w:t xml:space="preserve">. </w:t>
      </w:r>
      <w:bookmarkStart w:id="117" w:name="pg9229_140312"/>
    </w:p>
    <w:p>
      <w:pPr>
        <w:pStyle w:val="Heading2"/>
        <w:numPr>
          <w:ilvl w:val="1"/>
          <w:numId w:val="1"/>
        </w:numPr>
        <w:rPr/>
      </w:pPr>
      <w:bookmarkStart w:id="118" w:name="__RefHeading___Toc4247230_2870459653"/>
      <w:bookmarkStart w:id="119" w:name="_Toc39"/>
      <w:bookmarkEnd w:id="117"/>
      <w:bookmarkEnd w:id="118"/>
      <w:r>
        <w:rPr>
          <w:rtl w:val="true"/>
        </w:rPr>
        <w:t>في جواز اعتبار الأمارات مع إمكان العلم</w:t>
      </w:r>
      <w:bookmarkEnd w:id="119"/>
    </w:p>
    <w:p>
      <w:pPr>
        <w:pStyle w:val="BookText"/>
        <w:rPr/>
      </w:pPr>
      <w:r>
        <w:rPr>
          <w:rFonts w:ascii="Amiri" w:hAnsi="Amiri" w:eastAsia="Amiri" w:cs="Amiri"/>
          <w:color w:val="111111"/>
          <w:sz w:val="28"/>
          <w:sz w:val="28"/>
          <w:szCs w:val="28"/>
          <w:rtl w:val="true"/>
          <w:lang w:bidi="ar-SA"/>
        </w:rPr>
        <w:t>كما لو كان في الأمر باتباع الظن مصلحةٌ مرجحةٌ يتدارك بها الحكم ما فات؛ ضرورة عدم القبح</w:t>
      </w:r>
      <w:r>
        <w:rPr>
          <w:rStyle w:val="FootnoteAnchor"/>
          <w:rtl w:val="true"/>
        </w:rPr>
        <w:footnoteReference w:id="379"/>
      </w:r>
      <w:r>
        <w:rPr>
          <w:rFonts w:ascii="Amiri" w:hAnsi="Amiri" w:eastAsia="Amiri" w:cs="Amiri"/>
          <w:color w:val="111111"/>
          <w:sz w:val="28"/>
          <w:sz w:val="28"/>
          <w:szCs w:val="28"/>
          <w:rtl w:val="true"/>
          <w:lang w:bidi="ar-SA"/>
        </w:rPr>
        <w:t>حينئذٍ بهذا الإلزام، وهذه الحكمة لا تعارض مصلحة الحكم فلا تناقض؛ ولأنها في الأمر لا في الفعل، فلا تصويب على الحكم الظاهري، وليست الأحكام تابعةً للظنون بالضرورة؛ للقطع باشتراك الأحكام بين المكلفين، فكلٌ مكلفٌ بالواقع لكنه لا ينجز إلَّا بالعلم به، ولا فعلية مع 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عليه العمل بمؤدى الظن ما لم يظهر خلافه، فإن ظهر مخالفته للواقع لم يجز عمل عليه؛ لأنَّه لا اعتبار به حينئذٍ، ولم يأتِ بالمطلوب إلَّا على القول بالتصويب </w:t>
      </w:r>
      <w:r>
        <w:rPr>
          <w:rStyle w:val="FootnoteAnchor"/>
          <w:rtl w:val="true"/>
        </w:rPr>
        <w:footnoteReference w:id="380"/>
      </w:r>
      <w:r>
        <w:rPr>
          <w:rFonts w:ascii="Amiri" w:hAnsi="Amiri" w:eastAsia="Amiri" w:cs="Amiri"/>
          <w:color w:val="111111"/>
          <w:sz w:val="28"/>
          <w:sz w:val="28"/>
          <w:szCs w:val="28"/>
          <w:rtl w:val="true"/>
          <w:lang w:bidi="ar-SA"/>
        </w:rPr>
        <w:t>لأنَّ الظن كاشفٌ فقط وطريقٌ محض، وليس مؤداه حكماً؛ لما عرفت من بقاء الواقع واشتراك الكل فيه، أقصى ما في الظن أنَّ المظنون حكمٌ عذري لا جعل له في نفس الأمر، فالقولُ بوجوب التعبد به على الله في غاية السقوط عند أهل العلم بجعل الطرق الظنية؛ فإنهم يعلمون أنه لا يجعل نفس الفعل، بل الواجب إمضاء حكم العقل</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4247232_2870459653"/>
      <w:bookmarkStart w:id="121" w:name="_Toc40"/>
      <w:bookmarkEnd w:id="120"/>
      <w:r>
        <w:rPr>
          <w:rtl w:val="true"/>
        </w:rPr>
        <w:t>[</w:t>
      </w:r>
      <w:r>
        <w:rPr>
          <w:rtl w:val="true"/>
        </w:rPr>
        <w:t>الأصل حرمة العمل بالظن</w:t>
      </w:r>
      <w:r>
        <w:rPr>
          <w:rtl w:val="true"/>
        </w:rPr>
        <w:t>]</w:t>
      </w:r>
      <w:bookmarkEnd w:id="12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 مأخذٍ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المانعة عن الأخذ بمطلق الظن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الإطلاق في الخطابات الشرعية الواردة في المنع من الأخذ بالظن، وأنها لم ترد في مطلق الظن بل في ما لم يكن عن مأخذٍ كالظن الحاصل بالحدس والخرص والتخمين،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واقتفاء الآثار من غير 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ممنوعةٌ بالسنة إلی جمیع الأدلة والخطایات</w:t>
      </w:r>
      <w:r>
        <w:rPr>
          <w:rFonts w:ascii="Amiri" w:hAnsi="Amiri" w:eastAsia="Amiri" w:cs="Amiri"/>
          <w:color w:val="111111"/>
          <w:sz w:val="28"/>
          <w:sz w:val="28"/>
          <w:szCs w:val="28"/>
          <w:rtl w:val="true"/>
          <w:lang w:bidi="ar-SA"/>
        </w:rPr>
        <w:t xml:space="preserve">نعم، بعضها ربما كان مساقه ما ذكر ، لكن ما جاء في المنع من الأخذ بمطلق الظن كثير في الكتاب والسنة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حرمة التدين بالظن والتعبد به لا مجرد العمل به من غير تدين ولا استناد؛ فإنه إذا لم يخالف الواقع مع التمكن منه ولا الأصل المعتبر مع العجز عن الواقع فلا دليل على حرمته، خصوصاً إذا كان العمل به عن احتياط وعملاً برجاء مطابقة الواقع ولم يعارضه احتياط آخر، بل كان حسناً ما لم يستلزم طرح ما يجب الأخذ به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الشك في حجية الظن يحرمُ العمل به؛ لأنَّه تعبد بالشك في الحقيقة، والقولُ بأنَّ الأصل إباحةُ العمل بالظن في غاية السقوط كالقول بالتخيير؛ لدوران الأمر بين محذورين الحرمة والوجوب؛ لكفاية عدم العلم بالوجوب بالتحريم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يقرر الأصل بوجوه </w:t>
      </w:r>
      <w:r>
        <w:rPr>
          <w:rStyle w:val="FootnoteAnchor"/>
          <w:rtl w:val="true"/>
        </w:rPr>
        <w:footnoteReference w:id="384"/>
      </w:r>
      <w:r>
        <w:rPr>
          <w:rFonts w:ascii="Amiri" w:hAnsi="Amiri" w:eastAsia="Amiri" w:cs="Amiri"/>
          <w:color w:val="111111"/>
          <w:sz w:val="28"/>
          <w:sz w:val="28"/>
          <w:szCs w:val="28"/>
          <w:rtl w:val="true"/>
          <w:lang w:bidi="ar-SA"/>
        </w:rPr>
        <w:t>أُخر مدخولةٌ لا ينبغي التعرّض لها بعد الذي عرفتَ</w:t>
      </w:r>
      <w:r>
        <w:rPr>
          <w:rFonts w:eastAsia="Amiri" w:cs="Amiri" w:ascii="Amiri" w:hAnsi="Amiri"/>
          <w:color w:val="111111"/>
          <w:sz w:val="28"/>
          <w:szCs w:val="28"/>
          <w:rtl w:val="true"/>
          <w:lang w:bidi="ar-SA"/>
        </w:rPr>
        <w:t xml:space="preserve">. </w:t>
      </w:r>
      <w:bookmarkStart w:id="122" w:name="pg9229_140316"/>
    </w:p>
    <w:p>
      <w:pPr>
        <w:pStyle w:val="Heading2"/>
        <w:numPr>
          <w:ilvl w:val="1"/>
          <w:numId w:val="1"/>
        </w:numPr>
        <w:rPr/>
      </w:pPr>
      <w:bookmarkStart w:id="123" w:name="__RefHeading___Toc4247234_2870459653"/>
      <w:bookmarkStart w:id="124" w:name="_Toc41"/>
      <w:bookmarkEnd w:id="122"/>
      <w:bookmarkEnd w:id="123"/>
      <w:r>
        <w:rPr>
          <w:rtl w:val="true"/>
        </w:rPr>
        <w:t>لامعةٌ في الظنون الخاصة التي دل الدليل على اعتبارها بالخصوص</w:t>
      </w:r>
      <w:bookmarkEnd w:id="12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في تشخيص المراد في ظواهر الألفاظ كالأخذ بالإطلاق إذا لم يكن شائعاً في فرد، والأخذ بالشائع، والحكم بالعموم مع عدم المخصص والأخذ بالمخصص حيث وجد، والأخذ بأصالة الحقيقة عند احتمال غير الموضوع له اللفظ، وقد استقامت الطريقة على اعتبار هذه الأصول عند العرف، والشارع أحدهم؛ ضرورة سلوكه الطريقة واستمراره عليها على نحو يوجب القطع بلزوم اتباع ظاهر كلامه في تعيين مراده، ومنعُ بعض هؤلاء الأخبارية من الأخذ بظواهر الألفاظ في الكتاب العزيز ـ وقد تقدم تزييفه في بيان حجية الكتاب ـ وإن كانوا فيه على ما لا يحسن مكالمتهم فيه مع تواتر الأخبار بالعمل بالكتاب، وما جاء من المنع عن التفسير بالرأي مؤيدٌ لما قلناه لا مانع من الأخذ بالظواهر عند أهل العلم بالمحاورات ،كما جاء التعريض بهؤلاء العامة الذين يتأولون القرآن بما هو خلاف</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العلم الإجمالي بالصوارف عن الظهور لا يسقطُ الظاهر عن ظهوره بالضرورة، أقصاه أن يوجب العلم بالفحص وعدم العمل بالعام قبل الفحص، وبالمطلق قبل الفحص عن القيد، أما أنَّ الفحص لا يرفع التوقف فكلامٌ ظاهر الفساد؛ ضرورة عدم العلم بالموانع إلّا بالذي بأيدينا ، وقد فرضنا عدم صحة نفيها قبل الفحص، أما بعده لا علم أصلاً؛ فالأصل لا مانع من إجرائه سواء في ذلك ظواهر الكتاب وغيره؛ ضرورة العلم بأنه لم يُلغز بهذه الظواهر حتى لا يعرفه إلّا شركاء القرآن ولا علم بالنهي عن ظواهر الكتاب، فالأصل الإباحة</w:t>
      </w:r>
      <w:r>
        <w:rPr>
          <w:rFonts w:eastAsia="Amiri" w:cs="Amiri" w:ascii="Amiri" w:hAnsi="Amiri"/>
          <w:color w:val="111111"/>
          <w:sz w:val="28"/>
          <w:szCs w:val="28"/>
          <w:rtl w:val="true"/>
          <w:lang w:bidi="ar-SA"/>
        </w:rPr>
        <w:t xml:space="preserve">. </w:t>
      </w:r>
      <w:bookmarkStart w:id="125" w:name="pg9229_140318"/>
    </w:p>
    <w:p>
      <w:pPr>
        <w:pStyle w:val="Heading2"/>
        <w:numPr>
          <w:ilvl w:val="1"/>
          <w:numId w:val="1"/>
        </w:numPr>
        <w:rPr/>
      </w:pPr>
      <w:bookmarkStart w:id="126" w:name="__RefHeading___Toc4247236_2870459653"/>
      <w:bookmarkStart w:id="127" w:name="_Toc42"/>
      <w:bookmarkEnd w:id="125"/>
      <w:bookmarkEnd w:id="126"/>
      <w:r>
        <w:rPr>
          <w:rtl w:val="true"/>
        </w:rPr>
        <w:t>وأما تشخيص الوضع بقول اللغوي</w:t>
      </w:r>
      <w:bookmarkEnd w:id="127"/>
    </w:p>
    <w:p>
      <w:pPr>
        <w:pStyle w:val="BookText"/>
        <w:rPr/>
      </w:pPr>
      <w:r>
        <w:rPr>
          <w:rFonts w:ascii="Amiri" w:hAnsi="Amiri" w:eastAsia="Amiri" w:cs="Amiri"/>
          <w:color w:val="111111"/>
          <w:sz w:val="28"/>
          <w:sz w:val="28"/>
          <w:szCs w:val="28"/>
          <w:rtl w:val="true"/>
          <w:lang w:bidi="ar-SA"/>
        </w:rPr>
        <w:t xml:space="preserve">فقد نقل عليه الإجماع </w:t>
      </w:r>
      <w:r>
        <w:rPr>
          <w:rStyle w:val="FootnoteAnchor"/>
          <w:rtl w:val="true"/>
        </w:rPr>
        <w:footnoteReference w:id="385"/>
      </w:r>
      <w:r>
        <w:rPr>
          <w:rFonts w:ascii="Amiri" w:hAnsi="Amiri" w:eastAsia="Amiri" w:cs="Amiri"/>
          <w:color w:val="111111"/>
          <w:sz w:val="28"/>
          <w:sz w:val="28"/>
          <w:szCs w:val="28"/>
          <w:rtl w:val="true"/>
          <w:lang w:bidi="ar-SA"/>
        </w:rPr>
        <w:t>واتفاق العقلاء، والحقُّ أنه لم يقم عليه دليل قاطع إلى حده، نعم يعتبر فيه ما يعتبر في الخبر لا الشهادة ، اللهم إلّا أنْ يفيد سكون النفس والاطمئنان كسائر الموارد التي يرجع فيها إلى أهل الخبرة؛ فإنها ما لم تفد الظن الاطمئناني لا دليل على حجيتها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من قول اللغوي الاطمئنان بالأوضاع؛ لأنَّه ليس من أهل ذلك، وإنما خبرته بموارد الاستعمال لا الوضع والحقيقة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دريد،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السكيت ، وأمثالهم  </w:t>
      </w:r>
      <w:r>
        <w:rPr>
          <w:rStyle w:val="FootnoteAnchor"/>
          <w:rtl w:val="true"/>
        </w:rPr>
        <w:footnoteReference w:id="386"/>
      </w:r>
      <w:r>
        <w:rPr>
          <w:rFonts w:ascii="Amiri" w:hAnsi="Amiri" w:eastAsia="Amiri" w:cs="Amiri"/>
          <w:color w:val="111111"/>
          <w:sz w:val="28"/>
          <w:sz w:val="28"/>
          <w:szCs w:val="28"/>
          <w:rtl w:val="true"/>
          <w:lang w:bidi="ar-SA"/>
        </w:rPr>
        <w:t xml:space="preserve">من أهل العلم باللغة من الشيعة الثقات في النقل عن العرب، نعم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يضبطان موارد الاستعمال،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وضع لتشخيص الحقيقة من المجاز كما لا يخفى على الممارس</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4247238_2870459653"/>
      <w:bookmarkStart w:id="129" w:name="_Toc43"/>
      <w:bookmarkEnd w:id="128"/>
      <w:r>
        <w:rPr>
          <w:rtl w:val="true"/>
        </w:rPr>
        <w:t>{</w:t>
      </w:r>
      <w:r>
        <w:rPr>
          <w:rtl w:val="true"/>
        </w:rPr>
        <w:t>حجية الإجماع المنقول بخبر الواحد</w:t>
      </w:r>
      <w:r>
        <w:rPr>
          <w:rtl w:val="true"/>
        </w:rPr>
        <w:t>}</w:t>
      </w:r>
      <w:bookmarkEnd w:id="12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بخبر الواحد، ولا كلام فيه لكل من قال بحجية الخبر إذا نقل الثقة العدل الضابط السبب والمسبب عن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نقله كذلك في زمن الغيبة موهونٌ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غير محلها، مع الاعتراف بأنه ربما يتفق لبعض الأجلّة التشرف برؤيته علیه السلام وأخذه الفتوى من جنابه وينقل عنه بعنوان الإجماع المحكي؛ لداعي الإخفاء، كما أنه لا ينبغي الريب </w:t>
      </w:r>
    </w:p>
    <w:p>
      <w:pPr>
        <w:pStyle w:val="BookText"/>
        <w:rPr/>
      </w:pPr>
      <w:r>
        <w:rPr>
          <w:rFonts w:ascii="IRNazanin" w:hAnsi="IRNazanin" w:eastAsia="IRNazanin"/>
          <w:color w:val="111111"/>
          <w:sz w:val="28"/>
          <w:sz w:val="28"/>
          <w:szCs w:val="28"/>
          <w:rtl w:val="true"/>
          <w:lang w:bidi="fa-IR"/>
        </w:rPr>
        <w:t xml:space="preserve">في عدم حجية نقل رأي الإمام علیه السلام الالها في ضمن النقل حدساً؛ لأنَّ أدلة حجية خبر الواحد لا تشمل الخبر الحدسي، بل تختص بالإخبار عن حس فقط، والأصل إنما ينفي الخطأ الحسي لا الحدسي، وغالبُ الإجماعات الحاكية للأحكام غيرُ ناقلة عن حس، بل الغالب فيها </w:t>
      </w:r>
      <w:r>
        <w:rPr>
          <w:rStyle w:val="FootnoteAnchor"/>
          <w:rtl w:val="true"/>
        </w:rPr>
        <w:footnoteReference w:id="387"/>
      </w:r>
      <w:r>
        <w:rPr>
          <w:rFonts w:ascii="Amiri" w:hAnsi="Amiri" w:eastAsia="Amiri" w:cs="Amiri"/>
          <w:color w:val="111111"/>
          <w:sz w:val="28"/>
          <w:sz w:val="28"/>
          <w:szCs w:val="28"/>
          <w:rtl w:val="true"/>
          <w:lang w:bidi="ar-SA"/>
        </w:rPr>
        <w:t>الحدس ،وإن كان الحاكي الشيخ فمعلومٌ أنّ استناده إلى قاعدة اللطف التي لا تتم عندنا ولا جدوى بنقل قول العلماء؛ لعدم الملازمة لقول الإمام ال الا عند المنقول إليه، وعلمُ الناقل بالملازمة لا يجدي عند غير العالم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 ظهوره في اتفاق كل العلماء المستلزم لقول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 أقصاه ظهوره في اتفاق أهل عصره لا أهل جميع الأعصار؛ فإنه المستلزم للعلم بقول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فيهم من إذا حكى الإجماع يمكن حمله على نقل من يعرف بالفتوى، أو أنه فهم من اتفاق علماء عصره اتفاقَ العلماء، ومنهم من يفهم اتفاقهم من العمل بأصل أو خبر أو قاعدة، وكل هذا يدخل في النقل بالحدس الذي لا دليل على حجيته للمنقول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السبب مما ينفع المتتبع الذي يريد تحصيل الإجماع كنقل تواتر الخبر لا يفيد التواتر، لكن من الأمارات النافعة للمتتبع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المنقول عن حس مع اجتماع شرائط النقل نافعٌ يترتب عليه أثره الذي له</w:t>
      </w:r>
      <w:r>
        <w:rPr>
          <w:rFonts w:eastAsia="Amiri" w:cs="Amiri" w:ascii="Amiri" w:hAnsi="Amiri"/>
          <w:color w:val="111111"/>
          <w:sz w:val="28"/>
          <w:szCs w:val="28"/>
          <w:rtl w:val="true"/>
          <w:lang w:bidi="ar-SA"/>
        </w:rPr>
        <w:t xml:space="preserve">. </w:t>
      </w:r>
      <w:bookmarkStart w:id="130" w:name="pg9229_140322"/>
    </w:p>
    <w:p>
      <w:pPr>
        <w:pStyle w:val="Heading2"/>
        <w:numPr>
          <w:ilvl w:val="1"/>
          <w:numId w:val="1"/>
        </w:numPr>
        <w:rPr/>
      </w:pPr>
      <w:bookmarkStart w:id="131" w:name="__RefHeading___Toc4247240_2870459653"/>
      <w:bookmarkStart w:id="132" w:name="_Toc44"/>
      <w:bookmarkEnd w:id="130"/>
      <w:bookmarkEnd w:id="131"/>
      <w:r>
        <w:rPr>
          <w:rtl w:val="true"/>
        </w:rPr>
        <w:t>في الشهرة في الفتوى</w:t>
      </w:r>
      <w:bookmarkEnd w:id="132"/>
    </w:p>
    <w:p>
      <w:pPr>
        <w:pStyle w:val="BookText"/>
        <w:rPr/>
      </w:pPr>
      <w:r>
        <w:rPr>
          <w:rFonts w:ascii="Amiri" w:hAnsi="Amiri" w:eastAsia="Amiri" w:cs="Amiri"/>
          <w:color w:val="111111"/>
          <w:sz w:val="28"/>
          <w:sz w:val="28"/>
          <w:szCs w:val="28"/>
          <w:rtl w:val="true"/>
          <w:lang w:bidi="ar-SA"/>
        </w:rPr>
        <w:t>الحقِّ ، عدم اعتبار الشهرة؛ إذ أقصاه إفادة الظن ولا دليل على حجية 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تنقيح المناط الذي اقتضى حجية الخبر ـ وهو الظن ـ وهو في الشهرة موجودٌ إن لم يكن الظن فيه أقوى مدفوعةٌ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لو سلّم فهو تنقيح ظني لا حجية فيه أيضاً، وفي العيان ما يغني عن الخبر ، قد رأينا الشهرة </w:t>
      </w:r>
      <w:r>
        <w:rPr>
          <w:rStyle w:val="FootnoteAnchor"/>
          <w:rtl w:val="true"/>
        </w:rPr>
        <w:footnoteReference w:id="388"/>
      </w:r>
      <w:r>
        <w:rPr>
          <w:rFonts w:ascii="Amiri" w:hAnsi="Amiri" w:eastAsia="Amiri" w:cs="Amiri"/>
          <w:color w:val="111111"/>
          <w:sz w:val="28"/>
          <w:sz w:val="28"/>
          <w:szCs w:val="28"/>
          <w:rtl w:val="true"/>
          <w:lang w:bidi="ar-SA"/>
        </w:rPr>
        <w:t>على نجاسة البئر بالملاقاة بحيث كادت أن تكون إجماعاً، فلّما حققنا المأخذ فإذا هو الأمر بالنزح غير الملزوم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إفادة فيها للظن الاطمئناني تحقيقاً، نعم لو كانت مما توجبه لأمكن القول بحجيتها لبناء العقلاء والإجماع العملي على اعتبار الظن الاطمئناني كما ستعرف في حجية خبر الواحد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الاستدلال بما دلَّ على حجية الشهرة في الرواية على الشهرة في الفتوى ولو بالفحوى </w:t>
      </w:r>
      <w:r>
        <w:rPr>
          <w:rStyle w:val="FootnoteAnchor"/>
          <w:rtl w:val="true"/>
        </w:rPr>
        <w:footnoteReference w:id="389"/>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Heading2"/>
        <w:numPr>
          <w:ilvl w:val="1"/>
          <w:numId w:val="1"/>
        </w:numPr>
        <w:rPr/>
      </w:pPr>
      <w:bookmarkStart w:id="133" w:name="__RefHeading___Toc4247242_2870459653"/>
      <w:bookmarkStart w:id="134" w:name="_Toc45"/>
      <w:bookmarkEnd w:id="133"/>
      <w:r>
        <w:rPr>
          <w:rtl w:val="true"/>
        </w:rPr>
        <w:t>حجية خبر الواحد</w:t>
      </w:r>
      <w:bookmarkEnd w:id="134"/>
    </w:p>
    <w:p>
      <w:pPr>
        <w:pStyle w:val="BookText"/>
        <w:rPr/>
      </w:pPr>
      <w:r>
        <w:rPr>
          <w:rFonts w:ascii="Amiri" w:hAnsi="Amiri" w:eastAsia="Amiri" w:cs="Amiri"/>
          <w:color w:val="111111"/>
          <w:sz w:val="28"/>
          <w:sz w:val="28"/>
          <w:szCs w:val="28"/>
          <w:rtl w:val="true"/>
          <w:lang w:bidi="ar-SA"/>
        </w:rPr>
        <w:t xml:space="preserve">لا خلاف بيننا في عدم حجية خبر الواحد من حيث إنَّه خبر واحد، إنما ذاك حجة عند مخالفينا </w:t>
      </w:r>
      <w:r>
        <w:rPr>
          <w:rStyle w:val="FootnoteAnchor"/>
          <w:rtl w:val="true"/>
        </w:rPr>
        <w:footnoteReference w:id="390"/>
      </w:r>
      <w:r>
        <w:rPr>
          <w:rFonts w:ascii="Amiri" w:hAnsi="Amiri" w:eastAsia="Amiri" w:cs="Amiri"/>
          <w:color w:val="111111"/>
          <w:sz w:val="28"/>
          <w:sz w:val="28"/>
          <w:szCs w:val="28"/>
          <w:rtl w:val="true"/>
          <w:lang w:bidi="ar-SA"/>
        </w:rPr>
        <w:t xml:space="preserve">، وهو الذي حكى السيد المرتضى الإجماع </w:t>
      </w:r>
      <w:r>
        <w:rPr>
          <w:rStyle w:val="FootnoteAnchor"/>
          <w:rtl w:val="true"/>
        </w:rPr>
        <w:footnoteReference w:id="391"/>
      </w:r>
      <w:r>
        <w:rPr>
          <w:rFonts w:ascii="Amiri" w:hAnsi="Amiri" w:eastAsia="Amiri" w:cs="Amiri"/>
          <w:color w:val="111111"/>
          <w:sz w:val="28"/>
          <w:sz w:val="28"/>
          <w:szCs w:val="28"/>
          <w:rtl w:val="true"/>
          <w:lang w:bidi="ar-SA"/>
        </w:rPr>
        <w:t>على المنع من العمل به كالقياس، وهو</w:t>
      </w:r>
    </w:p>
    <w:p>
      <w:pPr>
        <w:pStyle w:val="BookText"/>
        <w:rPr/>
      </w:pPr>
      <w:r>
        <w:rPr>
          <w:rFonts w:ascii="Amiri" w:hAnsi="Amiri" w:eastAsia="Amiri" w:cs="Amiri"/>
          <w:color w:val="111111"/>
          <w:sz w:val="28"/>
          <w:sz w:val="28"/>
          <w:szCs w:val="28"/>
          <w:rtl w:val="true"/>
          <w:lang w:bidi="ar-SA"/>
        </w:rPr>
        <w:t xml:space="preserve">الذي يرويه القوم في مجامعهم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وجدنا الطريقة مستقيمة على المنع عن ذلك، ومثله الشاذ النادر الذي لم يعمل به أحد، والخلاف بيننا في خبر الثقة والعدل الضابط الإمامي غير المحفوف بإحدى القرائن </w:t>
      </w:r>
    </w:p>
    <w:p>
      <w:pPr>
        <w:pStyle w:val="BookText"/>
        <w:rPr/>
      </w:pPr>
      <w:r>
        <w:rPr>
          <w:rFonts w:ascii="Amiri" w:hAnsi="Amiri" w:eastAsia="Amiri" w:cs="Amiri"/>
          <w:color w:val="111111"/>
          <w:sz w:val="28"/>
          <w:sz w:val="28"/>
          <w:szCs w:val="28"/>
          <w:rtl w:val="true"/>
          <w:lang w:bidi="ar-SA"/>
        </w:rPr>
        <w:t>الأربع التي تضمه في المتفق على حجيته عند الكل السيد وغيره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حجية خبر الثقة المأمون الذي تسكن النفس ويطمئن القلب بصدوره؛ فإنا استقرأنا طريقة صاحب الشرع وأوصيائه الحجج وأصحابهم على اختلاف طبقاتهم والآخذين عنهم طبقة بعد طبقة حتى الآن على العمل بالخبر الذي تطمئن النفس به ويسكن القلب إليه، ويعدون ذلك علماً، وهو كذلك عند العرف والعقلاء، وما جاء في الظن </w:t>
      </w:r>
      <w:r>
        <w:rPr>
          <w:rStyle w:val="FootnoteAnchor"/>
          <w:rtl w:val="true"/>
        </w:rPr>
        <w:footnoteReference w:id="393"/>
      </w:r>
      <w:r>
        <w:rPr>
          <w:rFonts w:ascii="IRNazanin" w:hAnsi="IRNazanin" w:eastAsia="IRNazanin"/>
          <w:color w:val="111111"/>
          <w:sz w:val="28"/>
          <w:sz w:val="28"/>
          <w:szCs w:val="28"/>
          <w:rtl w:val="true"/>
          <w:lang w:bidi="fa-IR"/>
        </w:rPr>
        <w:t>فالمراد به ما يقابل العلم المذكور، أعني ما لم تطمئن به النفس ولا يسكن إليه القلب؛ ولذا تراهم يهتمون في التفتيش عن عدالة الراوي وثقته وضبطه وأمانته، وعند التعارض الأخذ بالأعدل والأصدق وبما خالف القوم، كل ذلك تحصيلاً بما تطمئن به النفس ويسكن إليه القلب، ولا أعرفُ استقراءً قطعياً يوجبُ القطع والجزم على العمل بخبر الثقة المأمون مثلَ هذا الاستقراء، لكنه لا يكون إلّا لمن كان طويل الباع في الآثار والأخبار، والسير والرجال، وقد حكى الشيخ في العدة الإجماعَ العملي على ذلك مع بيان وجه تحصيله بما لا يمكن لأحد إنكاره،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يدل على ذلك إجماع الفرقة المحقة فإني وجدتها مجمعة على العمل بهذه الأخبار التي رووها في تصانيفهم، ودونوها في أصولهم، لا يتناكرون ذلك ولا يتدافعونه، حتى أنَّ واحداً إذا أفتى بشيء لا يعرفونه سألوه من أين قلت هذا؟ فإذا أحالهم على كتاب معروف وأصل مشهور ، وكان رواه ثقة لا ينكر حديثه، سكتوا وسلّموا الأمر في ذلك وقبلوا قوله، وهذه عادتهم وسجيتهم من عهد النبي علا الله ومن بعده إلى زمان الصادق جعفر بن محمد علیه السلام الذي انتشر عنه العلم وكثرت الرواية من جهته، فلولا أنَّ العمل بهذه الأخبار كان جائزاً لَما أجمعوا ولأنكروا؛ لأنَّ إجماعهم لا يكون إلَّا عن معصوم لا يجوز عليه الغلط والسهو،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يكشف عن ذلك أنه لَما كان العمل بالقياس محظوراً في الشريعة عندهم لم يعملوا به أصلاً، وإذا شذ واحد وعمل به في بعض المسائل واستعمله على وجه الحاجة لخصمه وإن </w:t>
      </w:r>
    </w:p>
    <w:p>
      <w:pPr>
        <w:pStyle w:val="BookText"/>
        <w:rPr/>
      </w:pPr>
      <w:r>
        <w:rPr>
          <w:rFonts w:ascii="Amiri" w:hAnsi="Amiri" w:eastAsia="Amiri" w:cs="Amiri"/>
          <w:color w:val="111111"/>
          <w:sz w:val="28"/>
          <w:sz w:val="28"/>
          <w:szCs w:val="28"/>
          <w:rtl w:val="true"/>
          <w:lang w:bidi="ar-SA"/>
        </w:rPr>
        <w:t>لم يعلم اعتقاده تركوا قوله وأنكروا عليه وتبرؤا من قوله، حتى إنهم ينكرون تصانيف من وصفنا رواياته لّما كان عاملاً بالقياس فلو كان العمل بأخبار الآحاد يجري هذا المجرى؛ لوجب أيضاً فيه مثل ذلك وقد علمنا خلافه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استمر يعرض ويجيب ويقرر ويبين إلى أن احتج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مذاهبهم في الأحكام على حسب اختلاف الأخبار من دون تضليل بعضهم لبعض ولا تقاطع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باعتناء شأن الرجال والفحص عن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المحقق في المحصول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في أنَّ عمل الطائفة مذ كانت، وافترق الناس إلى شيعي وسني ودونوا الأخبار، ونظروا في الرجال للجرح والتعديل في أيام الصادقين وبعدهما، إنما هو على الأخذ بأخبار الآحاد لا طريقة لهم سوى ذلك، وأقصى همهم التفتيش عن عدالة الراوي، فإذا أصابوا ذلك لم يتوقفوا، اللهم إلّا أن يكون ما يرويه مظنة ريبة كأن يكون خارجاً عن قواعدهم المعروفة لديهم أو لما تقتضيه الأنظار كما جاء في دية الأصابع </w:t>
      </w:r>
      <w:r>
        <w:rPr>
          <w:rStyle w:val="FootnoteAnchor"/>
          <w:rtl w:val="true"/>
        </w:rPr>
        <w:footnoteReference w:id="394"/>
      </w:r>
      <w:r>
        <w:rPr>
          <w:rFonts w:ascii="IRNazanin" w:hAnsi="IRNazanin" w:eastAsia="IRNazanin"/>
          <w:color w:val="111111"/>
          <w:sz w:val="28"/>
          <w:sz w:val="28"/>
          <w:szCs w:val="28"/>
          <w:rtl w:val="true"/>
          <w:lang w:bidi="fa-IR"/>
        </w:rPr>
        <w:t>، أو يكون في أيديهم ما يعارضه أو نحو ذلك، فيرجعون حينئذ إلى الإمام علیه السلام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جاءنا عنك بكذا ، وروى عن أبيك كيت وكيت جرت بذلك عادتهم واستمرت عليه طريقتهم في مدة تزيد على مئتي عام وآية الهدى بين أظهرهم، فلو كان الأخذ بخبر الواحد محظوراً ومما يشك في أمره ـ مع عموم البلوى ـ لكثر عنه السؤال من جميع الآفاق، ولجاءتك الأخبار بذلك تترى كما جاءت في القياس، ولئن أهملوا السؤال عن هذا الأصل العظيم في هذه المدد المتطاولة فما كان لآل الله أن يهملوا شيعتهم ويقرّوهم على هذا الخطأ وهم بمرأى منهم ومسمع، وقد استمرت طريقة العلماء منهم في تناولهم أن يعمدوا إلى الأصل الذي لا يكونون رووه من قبل فيتناولونه عمن رواه ولو بواسطة لا يزيدون على أن يرويه لهم</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آخر كلامه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نقل كلام الشيخ وهذا السيد المحقق بيانُ وجه تحصيل الاستقراء القطعي والإجماع العملي الذي ادعيناه، وهو أسدُّ أدلة المسألة وأتمها، والدليل العلمي الذي يوجب القطع والجزم بالحجية على وجه التعبد والتدين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سيرة العقلاء أيضاً مستمرة على العمل بخبر الثقة وعدّهم ذلك علماً ـ إذا كان مما يسكن إليه القلب وتطمئن به النفس، ويكفي في تحصيل رضاء الشارع به في الشرعيات وإمضائه له عدم الردع عنه المعلوم بالضرورة، ضرورة أنه لو كان أقل ردع لاشتهر وبانَ، وليس من ذلك أثر، وهو كافٍ في المسألة أيضاً،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الأدلة التي ذكروها للحجية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بمفهوم الشرط في آية النبأ </w:t>
      </w:r>
      <w:r>
        <w:rPr>
          <w:rStyle w:val="FootnoteAnchor"/>
          <w:rtl w:val="true"/>
        </w:rPr>
        <w:footnoteReference w:id="396"/>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الحكم بإيجاب التبين عن النبأ الذي جيء به على كون الجائي به الفاسق يقتضي انتفاءه عند انتفائه؛ فيكون خبر العدل ذا أثر شرعي حقيقة بحكم الآية، فيجبُ ترتيب أثره عليه عند إخبار العدل به كسائر ذوات الآثار من الموضوعات، والآية شاملة للخبر الحاكي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بنحو القضية</w:t>
      </w:r>
    </w:p>
    <w:p>
      <w:pPr>
        <w:pStyle w:val="BookText"/>
        <w:rPr/>
      </w:pPr>
      <w:r>
        <w:rPr>
          <w:rFonts w:ascii="Amiri" w:hAnsi="Amiri" w:eastAsia="Amiri" w:cs="Amiri"/>
          <w:color w:val="111111"/>
          <w:sz w:val="28"/>
          <w:sz w:val="28"/>
          <w:szCs w:val="28"/>
          <w:rtl w:val="true"/>
          <w:lang w:bidi="ar-SA"/>
        </w:rPr>
        <w:t>الطبيعية، أو لشمول الحكم فيها له مناطاً وإن لم يشمله لفظاً، أو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w:t>
      </w:r>
      <w:r>
        <w:rPr>
          <w:rStyle w:val="FootnoteAnchor"/>
          <w:rtl w:val="true"/>
        </w:rPr>
        <w:footnoteReference w:id="397"/>
      </w:r>
      <w:r>
        <w:rPr>
          <w:rFonts w:ascii="Amiri" w:hAnsi="Amiri" w:eastAsia="Amiri" w:cs="Amiri"/>
          <w:color w:val="111111"/>
          <w:sz w:val="28"/>
          <w:sz w:val="28"/>
          <w:szCs w:val="28"/>
          <w:rtl w:val="true"/>
          <w:lang w:bidi="ar-SA"/>
        </w:rPr>
        <w:t>الدالة على حجية نقل الراوي إذا كان مع التخويف، وتثبت حجيته بدونه بعدم القول بالفصل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الكتمان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إلى آخر الآية؛ فإنّ حرمة </w:t>
      </w:r>
      <w:bookmarkStart w:id="135" w:name="pg9229_140330"/>
    </w:p>
    <w:p>
      <w:pPr>
        <w:pStyle w:val="BookText"/>
        <w:rPr/>
      </w:pPr>
      <w:bookmarkEnd w:id="135"/>
      <w:r>
        <w:rPr>
          <w:rFonts w:ascii="Amiri" w:hAnsi="Amiri" w:eastAsia="Amiri" w:cs="Amiri"/>
          <w:color w:val="111111"/>
          <w:sz w:val="28"/>
          <w:sz w:val="28"/>
          <w:szCs w:val="28"/>
          <w:rtl w:val="true"/>
          <w:lang w:bidi="ar-SA"/>
        </w:rPr>
        <w:t>الكتمان تستلزم القبول عقلاً، وإلا لزم لغويته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فَاسْأَلُوا أهل الذِّكْرِ إِن كُنتُمْ لَا تَعْلَمُونَ</w:t>
      </w:r>
      <w:r>
        <w:rPr>
          <w:rStyle w:val="FootnoteAnchor"/>
          <w:rtl w:val="true"/>
        </w:rPr>
        <w:footnoteReference w:id="399"/>
      </w:r>
      <w:r>
        <w:rPr>
          <w:rFonts w:ascii="IRNazanin" w:hAnsi="IRNazanin" w:eastAsia="IRNazanin"/>
          <w:color w:val="111111"/>
          <w:sz w:val="28"/>
          <w:sz w:val="28"/>
          <w:szCs w:val="28"/>
          <w:rtl w:val="true"/>
          <w:lang w:bidi="fa-IR"/>
        </w:rPr>
        <w:t xml:space="preserve">، فوجوب </w:t>
      </w:r>
      <w:r>
        <w:rPr>
          <w:rStyle w:val="FootnoteAnchor"/>
          <w:rtl w:val="true"/>
        </w:rPr>
        <w:footnoteReference w:id="400"/>
      </w:r>
      <w:r>
        <w:rPr>
          <w:rFonts w:ascii="Amiri" w:hAnsi="Amiri" w:eastAsia="Amiri" w:cs="Amiri"/>
          <w:color w:val="111111"/>
          <w:sz w:val="28"/>
          <w:sz w:val="28"/>
          <w:szCs w:val="28"/>
          <w:rtl w:val="true"/>
          <w:lang w:bidi="ar-SA"/>
        </w:rPr>
        <w:t>السؤال يستلزمُ القبول، وإلا لزم لغوية الأمر بالسؤال</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4247244_2870459653"/>
      <w:bookmarkStart w:id="137" w:name="_Toc46"/>
      <w:bookmarkEnd w:id="136"/>
      <w:r>
        <w:rPr>
          <w:rtl w:val="true"/>
        </w:rPr>
        <w:t xml:space="preserve">[ </w:t>
      </w:r>
      <w:r>
        <w:rPr>
          <w:rtl w:val="true"/>
        </w:rPr>
        <w:t xml:space="preserve">الاستدل بالعقل على حجية الخبر </w:t>
      </w:r>
      <w:r>
        <w:rPr>
          <w:rtl w:val="true"/>
        </w:rPr>
        <w:t>]</w:t>
      </w:r>
      <w:bookmarkEnd w:id="137"/>
    </w:p>
    <w:p>
      <w:pPr>
        <w:pStyle w:val="BookText"/>
        <w:rPr/>
      </w:pPr>
      <w:r>
        <w:rPr>
          <w:rFonts w:ascii="Amiri" w:hAnsi="Amiri" w:eastAsia="Amiri" w:cs="Amiri"/>
          <w:color w:val="111111"/>
          <w:sz w:val="28"/>
          <w:sz w:val="28"/>
          <w:szCs w:val="28"/>
          <w:rtl w:val="true"/>
          <w:lang w:bidi="ar-SA"/>
        </w:rPr>
        <w:t>واستدل بالعقل على حجية الخبر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مستقل بلزوم العمل بمقتضى الأخبار؛ للعلم الإجمالي بصدور جلٌ الأخبار التي بأيدينا إلا ما ندر، فكل مظنون الصدور يجبُ العمل به عقلاً عند عدم العلم؛ لاستقلال العقل بلزوم الأخذ بمظنون الصدور عند عدم العلم بالصدور، بل يلزم العمل بكل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بالصدور، ومع التعارض يؤخذُ بمظنون الصدور، أو بمظنون المطابقة للواقع وينبذ المعارض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لا موضوعية له، إنما هو معتبر من حيث كشفه عن الواقع، والعلم الإجمالي بالأحكام غير منحصر بالأخبار حتى نلتزم، بل العلم واليقين بأمارات أُخر غیر الخبر أيضاً متحقق، فنظن أن الأحكام فيها صادرة أيضاً، فلو علمنا من الأخبار مقدار المعلوم يبقى المعلوم إجمالاً في الأمارات الأُخر، فيلزم احتياطاً الأخذ بما يظن فيه الحكم خبراً كان أو غيره، والذي لا يظن في مضمونه الحكم لا أثر له ، والدليل المذكور إنما يقتضي الأخذ بالمثبت للتكليف لا غيره كالنافي، بل لا يقتضي حجية الخبر على وجه يقيد به إطلاق الكتاب أو يخصص به العام منه، ولا يقتضي ترجيح الخبر على غيره من عموم أو إطلاق أو مفهوم؛ لأنّ ما كان اعتباره من باب الاحتياط لا يصرفُ ظهور ما له ظهورٌ عن ظهوره كما هو ظاهر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احتج به الفاضل التوني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نقطع ببقاء التکلیف إلی یوم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بالأصول الضرورية كالصلاة والزكاة والصوم والحج </w:t>
      </w:r>
    </w:p>
    <w:p>
      <w:pPr>
        <w:pStyle w:val="BookText"/>
        <w:rPr/>
      </w:pPr>
      <w:r>
        <w:rPr>
          <w:rFonts w:ascii="Amiri" w:hAnsi="Amiri" w:eastAsia="Amiri" w:cs="Amiri"/>
          <w:color w:val="111111"/>
          <w:sz w:val="28"/>
          <w:sz w:val="28"/>
          <w:szCs w:val="28"/>
          <w:rtl w:val="true"/>
          <w:lang w:bidi="ar-SA"/>
        </w:rPr>
        <w:t>والمتاجر والأنكحة ونحوها، مع أنَّ جلَّ أجزائها وشرائطها وموانعها وما يتعلّق بها إنما تثبت بالخبر غير القطعي، بحيث نقطع بخروج حقائق هذه الأمور عن كونها هذه الأمور عند ترك العمل بخبر الواحد، ومن أنكر ذلك فإنما ينكر باللسان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بالذي ذكرت ليس بمنحصر بما ذكرت من الأخبار، بل في جميع الروايات، فاللازم على هذا الاحتياط أو العمل بكل ما دل على جزئية شيء أو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العلم بوجود الصادر بقدر الكفاية بين تلك الأخبار الموجب لانحلال العلم الإجمالي المذكور وصيرورة غيره خارجة عن طرف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جداً؛ ضرورة عدم الكفاية في ما علم بصدوره أو اعتباره، على أنّ أقصى هذا الوجه العمل بالروايات المثبتة للجزئية أو الشرطية دون الروايات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أقصاه الاحتياط بالعمل بالأخبار المثبتة للجزئية والشرطية فيما إذا لم تقم حجة معتبرة على نفي الجزئية أو الشرطية من عموم دليل أو إطلاقه، لا الحجية بحيث يخصص أو يقيد بالمثبت للجزئية أو الشرطية منها أو يعمل بالنافي في قبال حجة على الثبوت ولو كان ذلك أصلاً من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الشيخ محمد 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نعلم ضرورة بالتكليف بالأخذ بما في الكتاب والسنة إلى يوم القيامة، فمع التمكن من الرجوع إليها على وجه يحصل لنا العلم بالحكم أو ما بحكمه فهو، وإلا فلا بدَّ من الرجوع على نحو يحصل الظن بالحكم في الخروج عن عهدة ما علمناه من التكليف، فمع عدم التمكن من المقطوع بصدوره أو اعتباره لا بدَّ من الأخذ بالظن بالصدور أو الظن بالاعتبار </w:t>
      </w:r>
      <w:r>
        <w:rPr>
          <w:rStyle w:val="FootnoteAnchor"/>
          <w:rtl w:val="true"/>
        </w:rPr>
        <w:footnoteReference w:id="402"/>
      </w:r>
      <w:r>
        <w:rPr>
          <w:rFonts w:ascii="IRNazanin" w:hAnsi="IRNazanin" w:eastAsia="IRNazanin"/>
          <w:color w:val="111111"/>
          <w:sz w:val="28"/>
          <w:sz w:val="28"/>
          <w:szCs w:val="28"/>
          <w:rtl w:val="true"/>
          <w:lang w:bidi="fa-IR"/>
        </w:rPr>
        <w:t>، انتهى ملخصاً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برجوعه إلى دليل الانسداد إن أراد بالعلم العلمَ الإجمالي بتكاليف واقعية، </w:t>
      </w:r>
    </w:p>
    <w:p>
      <w:pPr>
        <w:pStyle w:val="BookText"/>
        <w:rPr/>
      </w:pPr>
      <w:r>
        <w:rPr>
          <w:rFonts w:ascii="Amiri" w:hAnsi="Amiri" w:eastAsia="Amiri" w:cs="Amiri"/>
          <w:color w:val="111111"/>
          <w:sz w:val="28"/>
          <w:sz w:val="28"/>
          <w:szCs w:val="28"/>
          <w:rtl w:val="true"/>
          <w:lang w:bidi="ar-SA"/>
        </w:rPr>
        <w:t xml:space="preserve">وإن أراد العلمَ بصدور أخبار كثيرة بين ما بأيدينا من الأخبار فيرجع إلى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دعواه العلم بالتكليف بالرجوع إلى الروايات في الجملة إلى يوم القيامة، وهذا لا يرجع إلى شيء مما ذكر ، 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الاقتصار في الرجوع إلى ما هو المتيقن الاعتبار من الروايات، فإن وفى وإلا فالمتيقن بالإضافة، وإلَّا فالاحتياط لا لرجوح إلى ما ظن اعتباره، هذا لو سلّم ثبوت ،التكليف الفعلي بالرجوع إلى الأخبار الحاكية للسنة، وإنا نمنع ثبوت التكليف بالرجوع إلى السنة بذلك المعنى فيما لم نعلم بالصدور ولا بالاعتبار،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حجية الظن المطلق فقد ذكروا له وجوهاً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ترك المجتهد الظن بالحكم مظنة الضرر، ودفع الضرر المظنون عقلاً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بوجوب الشيء أو حرمته يلازم الظن  بالعقوبة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الكبرى فلاستقلال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بدفع الضرر المظنون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الصغرى؛ لأنَّه إن قصد من الضرر العقاب فلا ظن به؛ لعدم الملازمة بين الظن بالتكليف والظن بالعقاب على مخالفته بالضرورة؛ لعدم الملازمة بين التكليف والعقوبة </w:t>
      </w:r>
      <w:r>
        <w:rPr>
          <w:rStyle w:val="FootnoteAnchor"/>
          <w:rtl w:val="true"/>
        </w:rPr>
        <w:footnoteReference w:id="405"/>
      </w:r>
      <w:r>
        <w:rPr>
          <w:rFonts w:ascii="Amiri" w:hAnsi="Amiri" w:eastAsia="Amiri" w:cs="Amiri"/>
          <w:color w:val="111111"/>
          <w:sz w:val="28"/>
          <w:sz w:val="28"/>
          <w:szCs w:val="28"/>
          <w:rtl w:val="true"/>
          <w:lang w:bidi="ar-SA"/>
        </w:rPr>
        <w:t>فإنَّ الجاهل بالحرمة والوجوب لا يستوجب العقاب عقلاً إنما الملازمة بين خصوص معصية التكليف واستحقاق العقاب على المعصية لا بين مطلق المخالفة والعقوبة بنفسها، فمجرد الظن بالحكم من غير دليل يدلُ على اعتبار الظن لا يتنجز به الحكم عند العقل حتى يحكم بأنَّ مخالفته عصيانه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استقلال العقل بالتنجيز، لكنه لا يستقل أيضاً بعدم </w:t>
      </w:r>
    </w:p>
    <w:p>
      <w:pPr>
        <w:pStyle w:val="BookText"/>
        <w:rPr/>
      </w:pPr>
      <w:r>
        <w:rPr>
          <w:rFonts w:ascii="Amiri" w:hAnsi="Amiri" w:eastAsia="Amiri" w:cs="Amiri"/>
          <w:color w:val="111111"/>
          <w:sz w:val="28"/>
          <w:sz w:val="28"/>
          <w:szCs w:val="28"/>
          <w:rtl w:val="true"/>
          <w:lang w:bidi="ar-SA"/>
        </w:rPr>
        <w:t>الاستحقاق ،فيحتمل العقاب على المخالفة، فيبقى دعوى استقلال العقل بدفع الضرر المشكوك كالمظنون خصوصاً إذا كان الضرر هو العقوبة الأخروية لا الدنيوية،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ادعي الإجماع </w:t>
      </w:r>
      <w:r>
        <w:rPr>
          <w:rStyle w:val="FootnoteAnchor"/>
          <w:rtl w:val="true"/>
        </w:rPr>
        <w:footnoteReference w:id="406"/>
      </w:r>
      <w:r>
        <w:rPr>
          <w:rFonts w:ascii="Amiri" w:hAnsi="Amiri" w:eastAsia="Amiri" w:cs="Amiri"/>
          <w:color w:val="111111"/>
          <w:sz w:val="28"/>
          <w:sz w:val="28"/>
          <w:szCs w:val="28"/>
          <w:rtl w:val="true"/>
          <w:lang w:bidi="ar-SA"/>
        </w:rPr>
        <w:t>على عدم وجوب دفع العقاب المحتمل والمشكوك، هذا إذا أُريد من مظنة الضرر في الصغرى العقاب، أما لو قصد منه الوقوع في مفسدة الترك فالمنع أيضاً واردٌ عليها، وإن كان الظن بالتكليف يوجب الظن بالوقوع في المفسدة لو خالفه، لكن ليست بضرر على كل حال؛ لعدم الملازمة بين كل ما يوجب قبح الفعل من المفاسد وبين كونه ضرراً على فاعله؛ لإمكان أن يوجب حزازة ومنقصة في الفعل يذمُ عليه فاعله بلا ضرر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أُريد تفويت المصلحة </w:t>
      </w:r>
      <w:r>
        <w:rPr>
          <w:rStyle w:val="FootnoteAnchor"/>
          <w:rtl w:val="true"/>
        </w:rPr>
        <w:footnoteReference w:id="407"/>
      </w:r>
      <w:r>
        <w:rPr>
          <w:rFonts w:ascii="Amiri" w:hAnsi="Amiri" w:eastAsia="Amiri" w:cs="Amiri"/>
          <w:color w:val="111111"/>
          <w:sz w:val="28"/>
          <w:sz w:val="28"/>
          <w:szCs w:val="28"/>
          <w:rtl w:val="true"/>
          <w:lang w:bidi="ar-SA"/>
        </w:rPr>
        <w:t>فلا مضرة فيه، بل ربما يكون في استيفائها المضرة كما في الإحسان بالمال، فلا مجرى لقاعدة دفع الضرر المظنون في المقام، ولا يستقل العقل بقبح الفعل المحتمل فيه المفسدة أو ترك ما فيه احتمال المصلحة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رجحان ما يظن به، فيلزم الأخذ بموجبه للزوم الأخذ بالراجح وقبح ترجيح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الأخذ بالمرجوح لا قبح فيه إذا كان أخذه احتياطاً، والأولى في الجواب لعدم لزوم ذلك، نعم لو كان الأخذ بالظن أو بطرفه واجباً مع عدم إمكان الجمع بينهما عقلاً أو عدم وجوبه شرعاً وحينئذٍ يدور الأمر بين ترجيحه وترجيح طرفه، ولا يدور الأمر بينهما إلَّا بمقدمات دليل الانسداد وإلَّا كان اللازم هو الرجوع إلى العلم، أو العلمي، أو الاحتياط، أو البراءة، أو غيرها، على حسب اختلاف الأشخاص أو الأحوال في اختلال </w:t>
      </w:r>
      <w:r>
        <w:rPr>
          <w:rStyle w:val="FootnoteAnchor"/>
          <w:rtl w:val="true"/>
        </w:rPr>
        <w:footnoteReference w:id="408"/>
      </w:r>
      <w:r>
        <w:rPr>
          <w:rFonts w:ascii="IRNazanin" w:hAnsi="IRNazanin" w:eastAsia="IRNazanin"/>
          <w:color w:val="111111"/>
          <w:sz w:val="28"/>
          <w:sz w:val="28"/>
          <w:szCs w:val="28"/>
          <w:rtl w:val="true"/>
          <w:lang w:bidi="fa-IR"/>
        </w:rPr>
        <w:t>المقدمات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وجود واجبات ومحرمات بين المشتبهات، فاللازم وجوب الاحتياط بفعل ما يحتمل الوجوب ولو موهوماً، وترك ما يحتمل الحرمة ولو موهوماً، لكن </w:t>
      </w:r>
    </w:p>
    <w:p>
      <w:pPr>
        <w:pStyle w:val="BookText"/>
        <w:rPr/>
      </w:pPr>
      <w:r>
        <w:rPr>
          <w:rFonts w:ascii="Amiri" w:hAnsi="Amiri" w:eastAsia="Amiri" w:cs="Amiri"/>
          <w:color w:val="111111"/>
          <w:sz w:val="28"/>
          <w:sz w:val="28"/>
          <w:szCs w:val="28"/>
          <w:rtl w:val="true"/>
          <w:lang w:bidi="ar-SA"/>
        </w:rPr>
        <w:t xml:space="preserve">قاعدة نفي الحرج تنفي هذا الوجوب؛ لكون العسر شديداً والجمع بين قاعدتي الاحتياط وقاعدة نفي الحرج </w:t>
      </w:r>
      <w:r>
        <w:rPr>
          <w:rStyle w:val="FootnoteAnchor"/>
          <w:rtl w:val="true"/>
        </w:rPr>
        <w:footnoteReference w:id="409"/>
      </w:r>
      <w:r>
        <w:rPr>
          <w:rFonts w:ascii="Amiri" w:hAnsi="Amiri" w:eastAsia="Amiri" w:cs="Amiri"/>
          <w:color w:val="111111"/>
          <w:sz w:val="28"/>
          <w:sz w:val="28"/>
          <w:szCs w:val="28"/>
          <w:rtl w:val="true"/>
          <w:lang w:bidi="ar-SA"/>
        </w:rPr>
        <w:t xml:space="preserve">يقتضي العمل بالاحتياط في المظنونات دون المشكوكات والموهونات </w:t>
      </w:r>
      <w:r>
        <w:rPr>
          <w:rStyle w:val="FootnoteAnchor"/>
          <w:rtl w:val="true"/>
        </w:rPr>
        <w:footnoteReference w:id="410"/>
      </w:r>
      <w:r>
        <w:rPr>
          <w:rFonts w:ascii="Amiri" w:hAnsi="Amiri" w:eastAsia="Amiri" w:cs="Amiri"/>
          <w:color w:val="111111"/>
          <w:sz w:val="28"/>
          <w:sz w:val="28"/>
          <w:szCs w:val="28"/>
          <w:rtl w:val="true"/>
          <w:lang w:bidi="ar-SA"/>
        </w:rPr>
        <w:t>والجمع بغير هذا كإخراج بعض المظنونات وإدخال بعض المشكوكات والموهونات مخالف للإجماع، فيتعين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ليس إلّا بعض مقدمات دليل الانسداد، ولا ينتج ما لم يضم إليه باقي المقدمات ومع الضم فهو دليل الانسداد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دليل الانسداد المؤلّف من مقدمات خمس يستقل معها العقل بكفاية الإطاعة الظنية إما على وجه الحكومة أو على وجه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إجمالاً بتكاليف شرعية فعلية علينا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انسدَّ باب العلم والعلمي عنها بأكثرها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إهمالها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علينا في أطراف ما علمناه إجمالاً، بل قد لا يجوز الاحتياط كما لا يجوز الرجوع إلى الأصول الأربعة في المسائل، ولا إلى فتوى الفقيه بحكمها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ترجيح المرجوح على الراجح قبيحاً استقل العقل بلزوم الإطاعة الظنية في تلك المعلومات بالإجمال، وإلا لزم بعد انسداد باب العلم والعلمي بها إما إهمالها، أو الاحتياط في أطرافها، أو الرجوع إلى الأصل في كل مسألة منها، أو التقليد فيها، أو الاكتفاء بالإطاعة الشكية أو الوهمية مع التمكن من الظنية، والمفروض بطلان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الأمر في هذه المقدمات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 المقدمة الأولى غير تامة؛ إذ لا موجب للاحتياط بعد ما عرفت احلال العلم </w:t>
      </w:r>
    </w:p>
    <w:p>
      <w:pPr>
        <w:pStyle w:val="BookText"/>
        <w:rPr/>
      </w:pPr>
      <w:r>
        <w:rPr>
          <w:rFonts w:ascii="Amiri" w:hAnsi="Amiri" w:eastAsia="Amiri" w:cs="Amiri"/>
          <w:color w:val="111111"/>
          <w:sz w:val="28"/>
          <w:sz w:val="28"/>
          <w:szCs w:val="28"/>
          <w:rtl w:val="true"/>
          <w:lang w:bidi="ar-SA"/>
        </w:rPr>
        <w:t>الإجمالي المذكور بما بأيدينا من الروايات المودعة في الكتب الأربعة وغيرها من المعتبرات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الاحتياط في خصوص ما في الروايات، وهو لا يستلزم العسر فضلاً عن استلزام الاختلال، ولا إجماع على عدم وجوبه، ولو سُلّم ففي غير مورد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لا علم بأكثر الأحكام، لكن لم ينسد العلمي؛ للعلم القطعي بحجية خبر الثقة المأمون، وهو بحمد الله وافٍ بأكثر أبواب الأحكام مع انضمامه إلى ما علم منها تفصيلاً كما يعرف ذلك أهل العلم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في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بها منجزاً لها؛ ضرورة لزوم الاقتحام في بعض الأطراف، فلا عقاب حينئذٍ على المخالفة في سائر الأطراف على تقدير المصادفة؛ لأنّه لو كان لكان من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من طريقة الشرع الاهتمام بلزوم مراعاة التكاليف،ومقتضاه في المقام إيجاب الاحتياط الموجب لمراعاة التكليف ولو بالالتزام ببعض المحتملات، مع الإجماع على عدم صحة الإهمال في هذا الحال، فلا تكون المؤاخذة بلا بيان حينئذ،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لدعوى استقلال العقل بعدم وجوب الاحتياط في بعض الأطراف بعد رفع اليد عن الاحتياط في تمامها، بل لا بدَّ من دعوى وجوبه شرعاً؛ لاهتمام الشارع بمراعاة تكاليفه، بحيث ينافيه عدم إيجابه الاحتياط الموجب للزوم المراعاة ولو كان بالالتزام ببعض المحتملات، بناءً على ما هو التحقيق في معنى نفي العسر، أعني نفي الحكم الناشئ من قبله العسر، فتكون قاعدة نفي العسر حاكمة على قاعدة الاحتياط؛ لأنَّ العسر الناشئ من التكاليف المجهولة منفي بنفي العسر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ذكر من الرجوع إلى الأصول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الرجوع إلّآ المثبة للتکلیف منها کالاحتياط، واستصحاب التكليف، فلا مانع من الأخذ بها عقلاً مع أَنَّهُ  بمقتضى حكم العقل وعموم النقل، بل العلم الإجمالي بالتكاليف، ربما ينحل بالأصول المثبتة، فلا موجب للاحتياط عقلاً ولا شرعاً</w:t>
      </w:r>
      <w:r>
        <w:rPr>
          <w:rFonts w:eastAsia="IRNazanin" w:cs="IRNazanin"/>
          <w:color w:val="111111"/>
          <w:sz w:val="28"/>
          <w:szCs w:val="28"/>
          <w:rtl w:val="true"/>
          <w:lang w:bidi="fa-IR"/>
        </w:rPr>
        <w:t xml:space="preserve">. </w:t>
      </w:r>
      <w:bookmarkStart w:id="138" w:name="pg9229_140343"/>
    </w:p>
    <w:p>
      <w:pPr>
        <w:pStyle w:val="BookText"/>
        <w:rPr/>
      </w:pPr>
      <w:bookmarkEnd w:id="138"/>
      <w:r>
        <w:rPr>
          <w:rFonts w:ascii="Amiri" w:hAnsi="Amiri" w:eastAsia="Amiri" w:cs="Amiri"/>
          <w:color w:val="111111"/>
          <w:sz w:val="28"/>
          <w:sz w:val="28"/>
          <w:szCs w:val="28"/>
          <w:rtl w:val="true"/>
          <w:lang w:bidi="ar-SA"/>
        </w:rPr>
        <w:t>وأمّا الرجوع فيها إلى فتوى الفقيه فلا يصح للفقيه الُمخطِئ لمن يدعي انفتاح باب العلم أو العلمي؛ لأنّه من رجوع العالم إلى الجاهل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استقلال العقل بها، إلّا أن التحقيق عدم وصول النوبة إلى الإطاعة الاحتمالية مع دوران الأمر بين الظنية والشكية أو الوهمية؛ لما عرفتَ من انحلال العلم الإجمالي بما في الكتب الأربعة وأمثالها من المجاميع المعتبرة، ومقتضى ذلك الاحتياط بالالتزام عملاً بما فيها من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عسر في ذلك قطعاً</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4247246_2870459653"/>
      <w:bookmarkStart w:id="140" w:name="_Toc47"/>
      <w:bookmarkEnd w:id="139"/>
      <w:r>
        <w:rPr>
          <w:rtl w:val="true"/>
        </w:rPr>
        <w:t xml:space="preserve">[ </w:t>
      </w:r>
      <w:r>
        <w:rPr>
          <w:rtl w:val="true"/>
        </w:rPr>
        <w:t>اختلاف القائلين بالظن الانسدادي</w:t>
      </w:r>
      <w:r>
        <w:rPr>
          <w:rtl w:val="true"/>
        </w:rPr>
        <w:t>]</w:t>
      </w:r>
      <w:bookmarkEnd w:id="140"/>
    </w:p>
    <w:p>
      <w:pPr>
        <w:pStyle w:val="BookText"/>
        <w:rPr/>
      </w:pPr>
      <w:r>
        <w:rPr>
          <w:rFonts w:ascii="Amiri" w:hAnsi="Amiri" w:eastAsia="Amiri" w:cs="Amiri"/>
          <w:color w:val="111111"/>
          <w:sz w:val="28"/>
          <w:sz w:val="28"/>
          <w:szCs w:val="28"/>
          <w:rtl w:val="true"/>
          <w:lang w:bidi="ar-SA"/>
        </w:rPr>
        <w:t>ثمَّ اختلف القائلون بالظن من باب الانسداد هل الحجة هو الظن بالحكم، أو بالطريق، أو بهما ؟</w:t>
      </w:r>
    </w:p>
    <w:p>
      <w:pPr>
        <w:pStyle w:val="BookText"/>
        <w:rPr/>
      </w:pPr>
      <w:r>
        <w:rPr>
          <w:rFonts w:ascii="Amiri" w:hAnsi="Amiri" w:eastAsia="Amiri" w:cs="Amiri"/>
          <w:color w:val="111111"/>
          <w:sz w:val="28"/>
          <w:sz w:val="28"/>
          <w:szCs w:val="28"/>
          <w:rtl w:val="true"/>
          <w:lang w:bidi="ar-SA"/>
        </w:rPr>
        <w:t>أقوالٌ، أقواها الأخير ؛ لعدم التفاوت في نظر العقل في تحصيل الأمن من عقوبة التكليف بين الظن بالواقع والظن بالطريق؛ لأنَّ كل ما كان القطع به مؤمناً في حال انفتاح باب العلم كان الظن به مؤمناً في حال الانسداد، ومعلوم أن القطع بإتيان المكلف به الواقعي بما هو واقعي لا بما هو معلوم ومؤدى الطريق، ومتعلّق العلم مؤمن ومبرئ، فالظن عند العقل كذلك بعد حكمه بالتنزل إليه ؛ لعدم التفاوت عنده في ذلك بين الظنين</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4247248_2870459653"/>
      <w:bookmarkStart w:id="142" w:name="_Toc48"/>
      <w:bookmarkEnd w:id="141"/>
      <w:r>
        <w:rPr>
          <w:rtl w:val="true"/>
        </w:rPr>
        <w:t xml:space="preserve">[ </w:t>
      </w:r>
      <w:r>
        <w:rPr>
          <w:rtl w:val="true"/>
        </w:rPr>
        <w:t>حجة القائل بحجية الظن في خصوص الطريق</w:t>
      </w:r>
      <w:r>
        <w:rPr>
          <w:rtl w:val="true"/>
        </w:rPr>
        <w:t>]</w:t>
      </w:r>
      <w:bookmarkEnd w:id="142"/>
    </w:p>
    <w:p>
      <w:pPr>
        <w:pStyle w:val="BookText"/>
        <w:rPr/>
      </w:pPr>
      <w:r>
        <w:rPr>
          <w:rFonts w:ascii="IRNazanin" w:hAnsi="IRNazanin" w:eastAsia="IRNazanin"/>
          <w:color w:val="111111"/>
          <w:sz w:val="28"/>
          <w:sz w:val="28"/>
          <w:szCs w:val="28"/>
          <w:rtl w:val="true"/>
          <w:lang w:bidi="fa-IR"/>
        </w:rPr>
        <w:t xml:space="preserve">احتج القائل </w:t>
      </w:r>
      <w:r>
        <w:rPr>
          <w:rStyle w:val="FootnoteAnchor"/>
          <w:rtl w:val="true"/>
        </w:rPr>
        <w:footnoteReference w:id="411"/>
      </w:r>
      <w:r>
        <w:rPr>
          <w:rFonts w:ascii="Amiri" w:hAnsi="Amiri" w:eastAsia="Amiri" w:cs="Amiri"/>
          <w:color w:val="111111"/>
          <w:sz w:val="28"/>
          <w:sz w:val="28"/>
          <w:szCs w:val="28"/>
          <w:rtl w:val="true"/>
          <w:lang w:bidi="ar-SA"/>
        </w:rPr>
        <w:t>بحجية الظن في خصوص الطريق دون الحكم بوجهين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كما 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مكلّفون في زمننا هذا تكليفاً فعلياً بأحكام فرعية كثيرة لا سبيل لنا بحكم العيان وشهادة الوجدان إلى تحصيل كثير منها بالقطع، ولا بطريق معين يقطع من السمع بحكم الشارع بقيامه أو قيام طريقه مقام القطع ولو عند تعذره، كذلك نقطع بأنَّ الشارع قد جعل لنا إلى تلك الأحكام طريقاً مخصوصاً، وكلفنا تكليفاً فعلياً بالعمل بمؤدى </w:t>
      </w:r>
    </w:p>
    <w:p>
      <w:pPr>
        <w:pStyle w:val="BookText"/>
        <w:rPr/>
      </w:pPr>
      <w:r>
        <w:rPr>
          <w:rFonts w:ascii="Amiri" w:hAnsi="Amiri" w:eastAsia="Amiri" w:cs="Amiri"/>
          <w:color w:val="111111"/>
          <w:sz w:val="28"/>
          <w:sz w:val="28"/>
          <w:szCs w:val="28"/>
          <w:rtl w:val="true"/>
          <w:lang w:bidi="ar-SA"/>
        </w:rPr>
        <w:t xml:space="preserve">طرق مخصوصة، وحيث إنَّه لا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تعيينها بالقطع ، ولا بطريق يقطع من السمع بقيامه بالخصوص، أو قيام طريقه كذلك، مقام القطع ولو بعد تعذره، فلا ريب أن الوظيفة في مثل ذلك بحكم العقل إنما هو الرجوع في تعيين ذلك الطريق إلى الظن الفعلي الذي لا دليل على حجيته؛ لأنّه أقرب إلى العلم وإلى إصابة الواقع 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نصب الشارع لما ذكر، ولو كان لوصل إلينا؛ لشدة الحاجة إليه، فلعله أحال في امتثال ما أمر به إلى طريقة العرف في ذلك من الرجوع إلى العلم أو الظن الاطمئناني الذي تطمئن به النفس ويسكن إليه القلب، وعند فقده فإلى الظن، فإنه طريق يسلكه العقلاء عند فقد الأولين كالأصل عند عدم الدليل، مع أنَّه لو سلّم أن الشارع نصب طرقاً خاصة للأحكام الواقعية فلا نعلم ببقاء تلك المنصوبات حتى نلتزم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أنا علمنا بنصب طرق خاصة باقية في ما بأيدينا من الطرق غير العلمية، فاللازم الأخذ بالمتيقن منها، فإن وفى بغالب الأحكام اقتصر عليه، وإلا فالمتيقن من الباقي، أي بالتدريج يقدم بعضها على بعض، وإذا لم يكن فيها معلوم يفي وعدم وجود المتيقن بينها بالكلية فاللازم الاحتياط في أطراف تلك الطرق التي ادعي العلم الإجمالي بوجودها لا تعيينها بالظن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الاحتياط </w:t>
      </w:r>
      <w:r>
        <w:rPr>
          <w:rStyle w:val="FootnoteAnchor"/>
          <w:rtl w:val="true"/>
        </w:rPr>
        <w:footnoteReference w:id="412"/>
      </w:r>
      <w:r>
        <w:rPr>
          <w:rFonts w:ascii="Amiri" w:hAnsi="Amiri" w:eastAsia="Amiri" w:cs="Amiri"/>
          <w:color w:val="111111"/>
          <w:sz w:val="28"/>
          <w:sz w:val="28"/>
          <w:szCs w:val="28"/>
          <w:rtl w:val="true"/>
          <w:lang w:bidi="ar-SA"/>
        </w:rPr>
        <w:t xml:space="preserve">كالاحتياط المنفي، فإنَّ ذلك الاحتياط التام في أطراف الأحكام الموجب للعسر المخل بالنظام، وهذا احتياط في خصوص ما بأيدينا من الطرق الخاصة المعلومة بالإجمال بزعم الخصم التي يريد تعيينها بالظن، ومن خواص هذا الاحتياط جواز رفع اليد عنه في غير موارد تلك الطرق والرجوع إلى الأصل فيها، سواء كان الأصل نافياً أو مثبتاً للتكليف، وكذا إذا كان الأصل مثبتاً لحكم وتلك الطرق كلها نافية له، أو كان التعارض بين فردين من بعض أطراف تلك الطرق فيه نفياً أو إثباتاً مع ثبوت المرجح المنافي، فالمرجع حينئذٍ الأصل، بل ومع عدم رجحان المثبت في خصوص الخبر منها، ومطلقاً في </w:t>
      </w:r>
    </w:p>
    <w:p>
      <w:pPr>
        <w:pStyle w:val="BookText"/>
        <w:rPr/>
      </w:pPr>
      <w:r>
        <w:rPr>
          <w:rFonts w:ascii="Amiri" w:hAnsi="Amiri" w:eastAsia="Amiri" w:cs="Amiri"/>
          <w:color w:val="111111"/>
          <w:sz w:val="28"/>
          <w:sz w:val="28"/>
          <w:szCs w:val="28"/>
          <w:rtl w:val="true"/>
          <w:lang w:bidi="ar-SA"/>
        </w:rPr>
        <w:t>غير الخبر بناءً على عدم ثبوت الترجيح على تقدير الاعتبار في غير الأخبار، وكذا لو تعارض فردان منها في الوجوب والحرمة فإنَّ المرجع في ذلك أيضاً الأصل الجاري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الأصل هو المرجع في جميع موارد تعارض بعض الأطراف ولو كان ذلك الأصل نافياً؛ لعدم وجود طريق معتبر إلى الحكم، ولا ما هو من أطراف العلم الإجمالي بالطريق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عدم لزوم الاحتياط في أطراف الطرق ولزوم التنزل إلى الظن فلا وجه للالتزام بخصوص الظن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الظن بالطريق أقرب إلى العلم وإلى إصابة الواقع من الظن بكونه مؤدى طريق معتبر من دون الظن بحجية الطريق أصلاً ومن 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كما هو</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الأقربية من الظن بالواقع من جهة توهم صرف التكليف عن الواقع إلى العمل بمؤدى الطرق ولو بنحو التقييد أعني تقييد الواقع بمؤديات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فاسدةٌ قطعاً؛ إذ الصرف لو لم يكن تصويباً محالاً فلا أقل من كونه مجمعاً </w:t>
      </w:r>
      <w:r>
        <w:rPr>
          <w:rStyle w:val="FootnoteAnchor"/>
          <w:rtl w:val="true"/>
        </w:rPr>
        <w:footnoteReference w:id="413"/>
      </w:r>
      <w:r>
        <w:rPr>
          <w:rFonts w:ascii="Amiri" w:hAnsi="Amiri" w:eastAsia="Amiri" w:cs="Amiri"/>
          <w:color w:val="111111"/>
          <w:sz w:val="28"/>
          <w:sz w:val="28"/>
          <w:szCs w:val="28"/>
          <w:rtl w:val="true"/>
          <w:lang w:bidi="ar-SA"/>
        </w:rPr>
        <w:t>على بطلانه؛ لما عرفتَ من أن القطع بالواقع إنما يجدي في الإجزاء وبراءة الذمة بما هو واقع لا بما هو مؤدى طريق القطع ، والظن عند العقل مثل العلم بناءً على الانسداد، فلا فرق بين الظنين، فالصرف والتقييد مخالف لما يقتضيه نصب الطرق، على أن التقييد لا يجدي الخصم؛ لأنّ الظن بالواقع لا ينفك عن الظن بكونه مؤدى 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والظنُ بالطريق ما لم يظن بإصابة الواقع لا ثمرة فيه بناءً على التقييد؛ لعدم استلزامه الظن بالواقع المقيد به بدونه، فليس الظن في الطريق أقرب من الظن بالواقع على حال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بنصب طرقٍ وافيةٍ يوجبُ انحلال العلم بالتكاليف </w:t>
      </w:r>
    </w:p>
    <w:p>
      <w:pPr>
        <w:pStyle w:val="BookText"/>
        <w:rPr/>
      </w:pPr>
      <w:r>
        <w:rPr>
          <w:rFonts w:ascii="Amiri" w:hAnsi="Amiri" w:eastAsia="Amiri" w:cs="Amiri"/>
          <w:color w:val="111111"/>
          <w:sz w:val="28"/>
          <w:sz w:val="28"/>
          <w:szCs w:val="28"/>
          <w:rtl w:val="true"/>
          <w:lang w:bidi="ar-SA"/>
        </w:rPr>
        <w:t>الواقعية إلى العلم بما هو مضامين الطرق المنصوبة من التكاليف الفعلية، والانحلالُ يوجبُ عدم تنجز ما لم يؤدِ إليه الطريق من التكاليف الواقعية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تجدي؛ لأنَّه إذا كان رعاية العلم بالنصب لازماً، والفرض عدم اللزوم، بل عدم الجواز، وعليه يكون التكاليف الواقعية كما إذا لم يكن هناك علم بالنصب في كفاية الظن بها حال انسداد باب العلم ولا بدَّ حينئذٍ من عناية أخرى في لزوم رعاية الواقعيات بنحو من الإطاعة وعدم إهمالها رأساً، ولا شبهة في أنَّ الظن بالواقع لو لم يكن أولى حينئذٍ؛ ـ لكونه أقرب في التوصل به إلى ما به الاهتمام من فعل الواجب وترك الحرام من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كونه مساوياً في ما يهم العقل من تحصيل الأمن من العقوبة في كل حال،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للشيخ محمد تقي في الهداية المعروفة بالحاشية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كوننا مكلفين بالأحكام ولم يسقط عنا التكليف بها، وأن الواجب علينا أولاً تحصيل العلم بتفريغ الذمة في حكم المكلف بأن يقطع معه بحكمه بتفريغ ذمتنا عما كلفنا به وسقوط تكليفنا عنا،سواء حصل العلم معه بأداء الواقع أولا، حسبما مرَّ تفصيله، 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لنا تحصيل العلم بتفريغ الذمة في حكم الشارع فلا إشكال في وجوبه وحصول البراءة به، وإنْ انسدَّ علينا سبيل العلم كان الواجب علينا تحصيل الظن بالبراءة في حكمه؛ إذ هو الأقرب إلى العلم به، فيتعين الأخذ به عند التنزل من العلم في حكم العقل بعد انسداد سبيل العلم، والقطع ببقاء التكليف دون ما يحصل معه الظن بأداء الواقع كما يدعيه القائل بأصالة حجية الظن، وأنت خبير بأن الحكم بتفريغ الذمة من وظائف العقل لا غير، وليس للشارع في باب تفريغ الذمة بالإطاعة والامتثال حكم شرعي يتبعه حكم عقلي؛ لأنَّ الحاكم بلزوم الإطاعة بالاستقلال العقلُ لا غير ، ولو فرض من الشارع حكم في هذا الباب كان إرشادياً صرفاً لا مولوية فيه أصلاً، وظاهر أن الذي له الحكم ـ وهو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بأن الواقع بما هو مفرغٌ للذمة، وأن القطع به حقيقةً أو تعبداً مؤمنٌ جزماً، وأن المؤمن في حال الانسداد هو الظن بما </w:t>
      </w:r>
    </w:p>
    <w:p>
      <w:pPr>
        <w:pStyle w:val="BookText"/>
        <w:rPr/>
      </w:pPr>
      <w:r>
        <w:rPr>
          <w:rFonts w:ascii="Amiri" w:hAnsi="Amiri" w:eastAsia="Amiri" w:cs="Amiri"/>
          <w:color w:val="111111"/>
          <w:sz w:val="28"/>
          <w:sz w:val="28"/>
          <w:szCs w:val="28"/>
          <w:rtl w:val="true"/>
          <w:lang w:bidi="ar-SA"/>
        </w:rPr>
        <w:t>كان القطع به مؤمناً حال الانفتاح، فالظن بالواقع يكون أيضاً مؤمناً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المستدل لزوم القطع بالفراغ شرعاً أو الظن به، والظن بالطريق إنما يراد به الذي يكتفي به الشارع؛ لأنَّه الذي يستلزم الظن بالبراءة لدى الشارع، وإنما يكون الظن الفعلي بالطريق مبرئاً لا مطلقاً، فإنَّ الظن النوعي يجتمعُ مع الشك بالبراءة فلا يكون متبعاً</w:t>
      </w:r>
    </w:p>
    <w:p>
      <w:pPr>
        <w:pStyle w:val="BookText"/>
        <w:rPr/>
      </w:pPr>
      <w:r>
        <w:rPr>
          <w:rFonts w:ascii="Amiri" w:hAnsi="Amiri" w:eastAsia="Amiri" w:cs="Amiri"/>
          <w:color w:val="111111"/>
          <w:sz w:val="28"/>
          <w:sz w:val="28"/>
          <w:szCs w:val="28"/>
          <w:rtl w:val="true"/>
          <w:lang w:bidi="ar-SA"/>
        </w:rPr>
        <w:t xml:space="preserve">حينئذٍ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يرد عليه ـ بناءً على ما ذكر من لزوم الظن بما يكتفي به الشارع في حقه ولا يعاقبه عليه؛ لحكم العقل بلزوم تحصيل الأمن من عقاب المولى علماً مع الإمكان، وظناً مع تعذر العلم من أي طريق حصل شرعاً أو عقلاً من سائر الطرق المسلوكة المفيدة للظن بالبراءة ـ أنه يلزم عليه التسلسل بالظن، فالقول به غیر معقول،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إلغاء الظن بالحكم؛ لأنَّه غير مفرغ للذمة، ولا نكتفي بمطلق الفراغ، بل لا بدَّ أن يكون الشارع هو الحاكم بالفراغ، ولا ظن بالفراغ شرعاً بأن لم نكن </w:t>
      </w:r>
      <w:r>
        <w:rPr>
          <w:rStyle w:val="FootnoteAnchor"/>
          <w:rtl w:val="true"/>
        </w:rPr>
        <w:footnoteReference w:id="416"/>
      </w:r>
      <w:r>
        <w:rPr>
          <w:rFonts w:ascii="Amiri" w:hAnsi="Amiri" w:eastAsia="Amiri" w:cs="Amiri"/>
          <w:color w:val="111111"/>
          <w:sz w:val="28"/>
          <w:sz w:val="28"/>
          <w:szCs w:val="28"/>
          <w:rtl w:val="true"/>
          <w:lang w:bidi="ar-SA"/>
        </w:rPr>
        <w:t>نظن بطريق الحكم؛ إذ ربما كان الظن بالحكم ولا نظن بالفراغ؛ لحرمة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يلزم بحصول الحكم بالفراغ، بل يوجبُ حصول الأمن من العقاب، والعلمُ بالطريق أو بالواقع مؤمنٌ قطعاً، ومع عدم إمكان العلم بهما فالظن فيهما حجة؛ لأنَّ الظن مؤمن عند عدم العلم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الحاكم بالفراغ هو الشارع فحكمه بتفريغ الذمة عند إتيان المكلف بمؤدى الطريق المنصوب ليس إلّا بدعوى أن النصب يستلزمه، مع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بالواقع يستلزم حكمه بالتفريغ فيما إذا أتى المكلف بالواقع، أولى؛ فيكون الظن به ظناً بالحكم بالتفريغ أيضاً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أن الظن بالواقع لا يستلزم الظن بالحكم بالتفريغ، لكن أقصاه أن يتنزل إلى </w:t>
      </w:r>
      <w:bookmarkStart w:id="143" w:name="pg9229_140354"/>
    </w:p>
    <w:p>
      <w:pPr>
        <w:pStyle w:val="BookText"/>
        <w:rPr/>
      </w:pPr>
      <w:bookmarkEnd w:id="143"/>
      <w:r>
        <w:rPr>
          <w:rFonts w:ascii="Amiri" w:hAnsi="Amiri" w:eastAsia="Amiri" w:cs="Amiri"/>
          <w:color w:val="111111"/>
          <w:sz w:val="28"/>
          <w:sz w:val="28"/>
          <w:szCs w:val="28"/>
          <w:rtl w:val="true"/>
          <w:lang w:bidi="ar-SA"/>
        </w:rPr>
        <w:t>الظن بأنه مؤدى طريق معتبر لا خصوص الظن بالطريق، والظنُ بالواقع لا ينفك عن الظن بأنه مؤدى الطريق غالباً</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4247250_2870459653"/>
      <w:bookmarkStart w:id="145" w:name="_Toc49"/>
      <w:bookmarkEnd w:id="144"/>
      <w:r>
        <w:rPr>
          <w:rtl w:val="true"/>
        </w:rPr>
        <w:t xml:space="preserve">[ </w:t>
      </w:r>
      <w:r>
        <w:rPr>
          <w:rtl w:val="true"/>
        </w:rPr>
        <w:t>تقرير دليل الانسداد بناءً على الحكومة</w:t>
      </w:r>
      <w:r>
        <w:rPr>
          <w:rtl w:val="true"/>
        </w:rPr>
        <w:t>]</w:t>
      </w:r>
      <w:bookmarkEnd w:id="145"/>
    </w:p>
    <w:p>
      <w:pPr>
        <w:pStyle w:val="BookText"/>
        <w:rPr/>
      </w:pPr>
      <w:r>
        <w:rPr>
          <w:rFonts w:ascii="Amiri" w:hAnsi="Amiri" w:eastAsia="Amiri" w:cs="Amiri"/>
          <w:color w:val="111111"/>
          <w:sz w:val="28"/>
          <w:sz w:val="28"/>
          <w:szCs w:val="28"/>
          <w:rtl w:val="true"/>
          <w:lang w:bidi="ar-SA"/>
        </w:rPr>
        <w:t>والأصوب تقرير الدليل بطريق الحكومة لا الكشف؛ لعدم مساعدة مقدمات الانسداد على كشف العقل عن كون الظن طريقاً مجعولاً إلى الواقع عند الشارع؛ إذ يجوّز العقل أنْ لا يجعل الشارع طريقاً للامتثال بعد تعذر العلم أصلاً، والإجزاء بما استقلَّ به العقل حال الانسداد من الإطاعة الظنية، وإنما هي بمعنى عدم جواز مؤاخذة الشارع بأزيد من الإطاعة الظنية، وعدم جواز اقتصار المكلف بدونها، ومؤاخذة الشارع غيرُ قابلة لحكمه كي يتوهم استكشاف نصب الشارع من حكم العقل بقاعدة الملازمة؛ لأنَّها لا تكون إلّا في المورد القابل للحكم الشرعي، ومؤاخذته غيرُ قابلة لحكمه ، ولا يمكن أن يكون الأمر بالإطاعة مولوياً، فلو أمر من حيث كونه شارعاً كان حكماً بلا ملاك يوجبه ؛ فلا صحة لتقرير المقدمات إلَّا على نحو الحكومة دون الكشف الذي لو سُلّم لم يكن نافعاً؛ لأنَّه لا ينتج إلَّا أمراً مجملاً، بخلاف نحو الحكومة الذي لا إهمال في نتيجتها لا من حيث السبب، ولا من حيث المورد، ولا من حيث المرتبة؛ لعدم تصور الإجمال في حكم العقل فيُقتفى الظنُ من كل سبب؛ لعدم تفاوت الأسباب في نظر العقل في حكمه بكفاية الإطاعة الظنية، إلَّا أنْ يكون منهياً عنه  كالظن الحاصل من القياس؛ لأنَّ حكم العقل بذلك معلقٌ،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أخذه من جهة المرتبة من القوة والضعف، فالذي تسكن به النفس ويطمئن به القلب منه لعدم استقلال العقل بكفاية غير هذه المرتبة منه، اللهم إلَّا أن لا يكون من هذه المرتبة ما به الكفاية في دفع محذور العسر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حيث الموارد فلا يستقل بكفاية الإطاعة الظنية في ما لا عسر ولا حرج في الاحتياط فيه، وهو مما للشارع فيه مزيد اهتمام كما في الفروج والدماء وحقوق الناس، أما مع امتناع الاحتياط فلا شبهة في اتباع الظن حينئذٍ، ومع عدم الظن في المورد فلا ريب في </w:t>
      </w:r>
      <w:bookmarkStart w:id="146" w:name="pg9229_140356"/>
    </w:p>
    <w:p>
      <w:pPr>
        <w:pStyle w:val="BookText"/>
        <w:rPr/>
      </w:pPr>
      <w:bookmarkEnd w:id="146"/>
      <w:r>
        <w:rPr>
          <w:rFonts w:ascii="Amiri" w:hAnsi="Amiri" w:eastAsia="Amiri" w:cs="Amiri"/>
          <w:color w:val="111111"/>
          <w:sz w:val="28"/>
          <w:sz w:val="28"/>
          <w:szCs w:val="28"/>
          <w:rtl w:val="true"/>
          <w:lang w:bidi="ar-SA"/>
        </w:rPr>
        <w:t>لزوم التخيير في ذلك المورد ولا مجرى للأصل عند الشك في المورد مع انتفاء العسر، بل يلزم الاحتياط؛ للعلم الإجمالي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بجريانه؛ للظن بإجرائه، فالظن فيه قوي، بل ينحصر العلم الإجمالي بالتكليف في سواه على إشكال في المشكوكات من حيث الرجوع فيها بعد العمل بالظن إلى الأصول العملية، وكذلك الإشكال والتوقف في الظواهر من حيث الرجوع فيها بعد العمل بالظن إلى الأصول اللفظية الجارية في ظواهر الكتاب والسنة المتواترة؛ لإجمال الظواهر وارتفاع ظهور بعضها بالعلم الإجمالي، ففي موارد الشك لا مجرى للأصول، لكن إذا انحصر العلم الإجمالي بغيرها يرتفعُ الإشكال في الذي له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الإشكال أيضاً لو كان الظن حال الانسداد حجةً كالعلم </w:t>
      </w:r>
      <w:r>
        <w:rPr>
          <w:rStyle w:val="FootnoteAnchor"/>
          <w:rtl w:val="true"/>
        </w:rPr>
        <w:footnoteReference w:id="417"/>
      </w:r>
      <w:r>
        <w:rPr>
          <w:rFonts w:ascii="IRNazanin" w:hAnsi="IRNazanin" w:eastAsia="IRNazanin"/>
          <w:color w:val="111111"/>
          <w:sz w:val="28"/>
          <w:sz w:val="28"/>
          <w:szCs w:val="28"/>
          <w:rtl w:val="true"/>
          <w:lang w:bidi="fa-IR"/>
        </w:rPr>
        <w:t>، وهو محل نظر، فتأمل</w:t>
      </w:r>
      <w:r>
        <w:rPr>
          <w:rFonts w:eastAsia="IRNazanin" w:cs="IRNazanin"/>
          <w:color w:val="111111"/>
          <w:sz w:val="28"/>
          <w:szCs w:val="28"/>
          <w:rtl w:val="true"/>
          <w:lang w:bidi="fa-IR"/>
        </w:rPr>
        <w:t>.</w:t>
      </w:r>
    </w:p>
    <w:p>
      <w:pPr>
        <w:pStyle w:val="Heading2"/>
        <w:numPr>
          <w:ilvl w:val="1"/>
          <w:numId w:val="1"/>
        </w:numPr>
        <w:rPr/>
      </w:pPr>
      <w:bookmarkStart w:id="147" w:name="__RefHeading___Toc4247252_2870459653"/>
      <w:bookmarkStart w:id="148" w:name="_Toc50"/>
      <w:bookmarkEnd w:id="147"/>
      <w:r>
        <w:rPr>
          <w:rtl w:val="true"/>
        </w:rPr>
        <w:t>[</w:t>
      </w:r>
      <w:r>
        <w:rPr>
          <w:rtl w:val="true"/>
        </w:rPr>
        <w:t xml:space="preserve">التعميم من حيث الأسباب والمرتبة بناءً على الكشف </w:t>
      </w:r>
      <w:r>
        <w:rPr>
          <w:rtl w:val="true"/>
        </w:rPr>
        <w:t>]</w:t>
      </w:r>
      <w:bookmarkEnd w:id="148"/>
    </w:p>
    <w:p>
      <w:pPr>
        <w:pStyle w:val="BookText"/>
        <w:rPr/>
      </w:pPr>
      <w:r>
        <w:rPr>
          <w:rFonts w:ascii="Amiri" w:hAnsi="Amiri" w:eastAsia="Amiri" w:cs="Amiri"/>
          <w:color w:val="111111"/>
          <w:sz w:val="28"/>
          <w:sz w:val="28"/>
          <w:szCs w:val="28"/>
          <w:rtl w:val="true"/>
          <w:lang w:bidi="ar-SA"/>
        </w:rPr>
        <w:t>وأما التعميم من حيث الأسباب والمرتبة على تقدير الكشف فقد عرفت أنَّ النتيجة على تقدير كون العقل كاشفاً عن حكم الشارع بحجية الظن إنما هي قضية مهملة لا تعميم فيها من حيث الأسباب والمرتبة، وربما ذكروا وجوهاً ثلاثة للتعميم من جهتها كلها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المرجح لبعض الظنون على بعض فيثبت التعميم؛ لبطلان الترجيح بلا مرجح،والإجماع على بطلان التخيير بين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أماالمرجح؛ فلأنَّ ما يصلح لأنْ يكون مرجحاً ومعيناً لما يفي في الفقه لا يخلو من أحد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الظنون متعيناً بالنسبة إلى الباقي، فيؤخذ بما هو واجبُ العمل قطعاً، ويطرح الباقي؛ للشك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الظنون أقوى من بعض فيتعين العمل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بعض الظنون مظنونُ الاعتبار، وعند الدوران يقدم مظنون الحجية على </w:t>
      </w:r>
    </w:p>
    <w:p>
      <w:pPr>
        <w:pStyle w:val="BookText"/>
        <w:rPr/>
      </w:pPr>
      <w:r>
        <w:rPr>
          <w:rFonts w:ascii="Amiri" w:hAnsi="Amiri" w:eastAsia="Amiri" w:cs="Amiri"/>
          <w:color w:val="111111"/>
          <w:sz w:val="28"/>
          <w:sz w:val="28"/>
          <w:szCs w:val="28"/>
          <w:rtl w:val="true"/>
          <w:lang w:bidi="ar-SA"/>
        </w:rPr>
        <w:t>غيره؛ لكونه أقرب إلى الحجية، أو لكونه أقرب إلى إحراز 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من هذه في الترجيح لا ينفع، والذي ينفع غير مسلّم كونه مرجحاً؛ فإنَّ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تيقن البعض بالنسبة إلى الباقي لا ينفع؛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المرجح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فضبطُ مرتبة خاصة للظن متعسرٌ ؛ لكون القوة والضعف إضافيان، ووجودُ الظن الاطمئناني منه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المرجح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الظن باعتبار بعض فيؤخذُ به؛ لكونه أقرب إلى الحجية من غيره، أو أقرب إلى إحراز مصلحة الواقع الذي لا يفيد لزوم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ميزان في ترجيح الظن المظنون الاعتبار حتى يؤخذ به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استقامة في تعيين القضية المهملة بمطلق الظن إلّا إذا ثبت جواز العمل بمطلق الظن عند الانسداد، نعم يترجح بمعلوم الاعتبار، وهو سواء كان حجة على إطلاقه أو بالإضافة إلى ما قام على اعتباره كذلك بالظن القائم على حجية ظن متحد لا تعدد فيه، وكذلك إن تعددت الظنون في مسألة تعيين الظن المتبع بعد الانسداد وتساوت الظنون القائمة كلها في مرتبة واحدة فيجب الأخذ بالكل، والقول الصحيح فيما يقع به الترجيح هو الترجيح بمعلوم الاعتبار أو مظنون الاعتبار بالظن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من المعمّمات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الظنون المظنونة الاعتبار المنحصرة في الخبر الصحيح بتزكية عدلين؛ فلا بدَّ من التسري إلى الظنون المشكوكة الاعتبار، وإذا وجبَ العمل بمشكوك الاعتبار ثبتَ وجوب العمل بغيرها مما لا يعارض ظواهر الأمارات المظنونة الاعتبار بالإجماع على عدم الفرق بين أفراد مشكوك الاعتبار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الدليل على اعتبار مطلق الظن بالاعتبار إلّا إذا ثبت جواز العمل بمطلق الظن عند 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كون مظنون الاعتبار منحصر في الخبر الصحيح بتزكية عدلين وليس كذلك بالضرورة؛ لما حققنا في نهاية الدراية من كفاية العدل الواحد وما أجمعنا عليه من حجية المظنون صدوره بالظن الاطمئناني </w:t>
      </w:r>
      <w:bookmarkStart w:id="149" w:name="pg9229_140361"/>
    </w:p>
    <w:p>
      <w:pPr>
        <w:pStyle w:val="BookText"/>
        <w:rPr/>
      </w:pPr>
      <w:bookmarkEnd w:id="149"/>
      <w:r>
        <w:rPr>
          <w:rFonts w:ascii="Amiri" w:hAnsi="Amiri" w:eastAsia="Amiri" w:cs="Amiri"/>
          <w:color w:val="111111"/>
          <w:sz w:val="28"/>
          <w:sz w:val="28"/>
          <w:szCs w:val="28"/>
          <w:rtl w:val="true"/>
          <w:lang w:bidi="ar-SA"/>
        </w:rPr>
        <w:t>والمنجبر بالشهرة في الرواية والموثق مع عدم المعارض، ومن المعلوم عند أهل العلم بالحديث والرجال كفايةُ ذلك، وفي العيان ما يغني عن الخبر، قد كتبنا كل أبواب الفقه من الطهارة إلى الديات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طرق تعميم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لأنَّ الثابت من دليل الانسداد هو وجوب العمل بالظن في الجملة، وليس بأيدينا قدر متيقن كاف في الفقه، فيجب العمل بكل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الاشتغال لا تنفع ولا تتم في الظنون المخالفة للاحتياط، ولا يثبت وجوب التسري إليها فضلاً عن التعميم فيها؛ لأنَّ التسري إليها للزوم العسر الذي يرتفع بالعمل ببعض الظنون، فافهم</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4247254_2870459653"/>
      <w:bookmarkStart w:id="151" w:name="_Toc51"/>
      <w:bookmarkEnd w:id="150"/>
      <w:r>
        <w:rPr>
          <w:rtl w:val="true"/>
        </w:rPr>
        <w:t>في الظن المانع والممنوع</w:t>
      </w:r>
      <w:bookmarkEnd w:id="151"/>
    </w:p>
    <w:p>
      <w:pPr>
        <w:pStyle w:val="BookText"/>
        <w:rPr/>
      </w:pPr>
      <w:r>
        <w:rPr>
          <w:rFonts w:ascii="Amiri" w:hAnsi="Amiri" w:eastAsia="Amiri" w:cs="Amiri"/>
          <w:color w:val="111111"/>
          <w:sz w:val="28"/>
          <w:sz w:val="28"/>
          <w:szCs w:val="28"/>
          <w:rtl w:val="true"/>
          <w:lang w:bidi="ar-SA"/>
        </w:rPr>
        <w:t xml:space="preserve">وذلك أن يقوم ظن من أفراد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دل عليه دليل الانسداد على حرمة العمل ببعضها بالخصوص، وفي وجوب العمل بالظن الممنوع، أو المانع، أو الأقوى منهما، أو التساقط وجوه، بل أقوال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أن الذي استقلَّ العقل بحجيته حال الانسداد إنما هو الظن المقطوع بعدم المنع عنه بالخصوص، وأمّا الممنوع أو المحتمل المنع عنه فلا استقلال للعقل باعتباره في هذا الحال؛ لما عرفتَ من أن حكمه معلقٌ سواء كانت نتيجة المقدمات حجية الظن في الأصول أو الفروع أو فيهما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لم يكفِ ذلك فيُضم إليه الظن الذي لم يظن المنع عنه وإن احتمل مع قطع النظر المقدمات الخمس، وإن انسد باب هذا الاحتمال معها؛ لأنّه لا احتمال مع الاستقلال كما هو المفروض، فافهم</w:t>
      </w:r>
      <w:r>
        <w:rPr>
          <w:rFonts w:eastAsia="Amiri" w:cs="Amiri" w:ascii="Amiri" w:hAnsi="Amiri"/>
          <w:color w:val="111111"/>
          <w:sz w:val="28"/>
          <w:szCs w:val="28"/>
          <w:rtl w:val="true"/>
          <w:lang w:bidi="ar-SA"/>
        </w:rPr>
        <w:t xml:space="preserve">: </w:t>
      </w:r>
      <w:bookmarkStart w:id="152" w:name="pg9229_140363"/>
    </w:p>
    <w:p>
      <w:pPr>
        <w:pStyle w:val="Heading2"/>
        <w:numPr>
          <w:ilvl w:val="1"/>
          <w:numId w:val="1"/>
        </w:numPr>
        <w:rPr/>
      </w:pPr>
      <w:bookmarkStart w:id="153" w:name="__RefHeading___Toc4247256_2870459653"/>
      <w:bookmarkStart w:id="154" w:name="_Toc52"/>
      <w:bookmarkEnd w:id="152"/>
      <w:bookmarkEnd w:id="153"/>
      <w:r>
        <w:rPr>
          <w:rtl w:val="true"/>
        </w:rPr>
        <w:t>لامعةٌ في الظنون المتعلّقة بتشخيص الظواهر أو المرادات</w:t>
      </w:r>
      <w:bookmarkEnd w:id="154"/>
    </w:p>
    <w:p>
      <w:pPr>
        <w:pStyle w:val="BookText"/>
        <w:rPr/>
      </w:pPr>
      <w:r>
        <w:rPr>
          <w:rFonts w:ascii="Amiri" w:hAnsi="Amiri" w:eastAsia="Amiri" w:cs="Amiri"/>
          <w:color w:val="111111"/>
          <w:sz w:val="28"/>
          <w:sz w:val="28"/>
          <w:szCs w:val="28"/>
          <w:rtl w:val="true"/>
          <w:lang w:bidi="ar-SA"/>
        </w:rPr>
        <w:t>الظاهر حجيتها ووجوب العمل بالظن الحاصل بالحكم الفرعي من تلك الأمارات المتعلّقة بمعاني الألفاظ عند انسداد باب العلم في الأحكام ، لكن لا يترتب عليه أثر آخر</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المراد في الوصية والأقارير وأمثالهما من الموضوعات الخارجية؛ لعدم ثبوت حجية مطلق الظن فيها، وكذا كل ما كان منشاً للظن بالحكم الفرعي الكلي الذي انسدَّ فيه باب العلم عمل به من هذه الجهة وإن كان ظناً بالموضوع الخارجي، ككون الراوي عادلاً أو مؤمناً حال الرواية، وكون زرارة هو ابن أعين لا ابن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يعمل بالظن من سائر الجهات المتعلّقة بعدالة ذلك الرجل أو بتشخيصه عند إطلاق اسمه المشترك، فالظنون الرجالية معتبرة مطلقاً عند أرباب القول بمطلق الظن في الأحكام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مقتضى دليل الانسداد شموله لكل ظن تولّدَ منه الظن بالحكم الفرعي الكلي، وأنه حجة من هذه الجهة مما يتعلّق بالألفاظ والرجال والأصول، أو كان الحكم الفرعي ظاهرياً كالظن بحجية الاستصحاب تعبداً، أو بحجية الأمارة الغير مفيدة للظن الفعلي بالحكم، كل ذلك؛ لعدم الفرق بين الظن المتعلّق بنفس الحكم أو بما يتولّد منه الظن بالحكم؛ لشمول الدليل، فلا يصغى للمنع لأجل حرمة العمل بالظن بعد شمول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عدم حجية الظن في الأمور الخارجية؛ لأنَّ أقصى ما أنتجت </w:t>
      </w:r>
      <w:r>
        <w:rPr>
          <w:rStyle w:val="FootnoteAnchor"/>
          <w:rtl w:val="true"/>
        </w:rPr>
        <w:footnoteReference w:id="420"/>
      </w:r>
      <w:r>
        <w:rPr>
          <w:rFonts w:ascii="Amiri" w:hAnsi="Amiri" w:eastAsia="Amiri" w:cs="Amiri"/>
          <w:color w:val="111111"/>
          <w:sz w:val="28"/>
          <w:sz w:val="28"/>
          <w:szCs w:val="28"/>
          <w:rtl w:val="true"/>
          <w:lang w:bidi="ar-SA"/>
        </w:rPr>
        <w:t>المقدمات كفايةَ الإطاعة الظنية في الأحكام الشرعية، فلا يكون الظن في غير الأحكام حجةً، بل أقصاه حجيته فيها، فالظن بالامتثال إنْ كان في مقام تعيين الحكم الشرعي الممتثل فهو الحجة، وأمّا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حجية الظن في أصول الدين </w:t>
      </w:r>
      <w:bookmarkStart w:id="155" w:name="pg9229_140365"/>
    </w:p>
    <w:p>
      <w:pPr>
        <w:pStyle w:val="BookText"/>
        <w:rPr/>
      </w:pPr>
      <w:bookmarkEnd w:id="155"/>
      <w:r>
        <w:rPr>
          <w:rFonts w:ascii="Amiri" w:hAnsi="Amiri" w:eastAsia="Amiri" w:cs="Amiri"/>
          <w:color w:val="111111"/>
          <w:sz w:val="28"/>
          <w:sz w:val="28"/>
          <w:szCs w:val="28"/>
          <w:rtl w:val="true"/>
          <w:lang w:bidi="ar-SA"/>
        </w:rPr>
        <w:t xml:space="preserve">لو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العمل الخارجي على ذلك فلا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الظن في وجوب صلاة الجمعة يومها ولا يتبع في إتيانها لو ظن إتيانها، بل لا بدَّ من العلم بإتيانها</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4247258_2870459653"/>
      <w:bookmarkStart w:id="157" w:name="_Toc53"/>
      <w:bookmarkEnd w:id="156"/>
      <w:r>
        <w:rPr>
          <w:rtl w:val="true"/>
        </w:rPr>
        <w:t>{</w:t>
      </w:r>
      <w:r>
        <w:rPr>
          <w:rtl w:val="true"/>
        </w:rPr>
        <w:t>عدم حجية الظن في أصول الدين</w:t>
      </w:r>
      <w:r>
        <w:rPr>
          <w:rtl w:val="true"/>
        </w:rPr>
        <w:t>}</w:t>
      </w:r>
      <w:bookmarkEnd w:id="157"/>
    </w:p>
    <w:p>
      <w:pPr>
        <w:pStyle w:val="BookText"/>
        <w:rPr/>
      </w:pPr>
      <w:r>
        <w:rPr>
          <w:rFonts w:ascii="IRNazanin" w:hAnsi="IRNazanin" w:eastAsia="IRNazanin"/>
          <w:color w:val="111111"/>
          <w:sz w:val="28"/>
          <w:sz w:val="28"/>
          <w:szCs w:val="28"/>
          <w:rtl w:val="true"/>
          <w:lang w:bidi="fa-IR"/>
        </w:rPr>
        <w:t xml:space="preserve">وأمّا الظن في أصول الدين عند انسداد باب العلم بها فلا اعتبار به؛ لأنفتاح باب الاعتقاد بالأصول إجمالاً بما هو الواقع والانقياد له على ما هو عليه في علم الله وفي شريعة رسول الله صلی الله علیه وآله، وليس كالعمل بالجوارح الذي لا يمكن العلم بمطابقته للواقع إلّا بالاحتياط المفروض في باب الانسداد عدم وجوبه، بل عدم جوازه عقلاً، فلزم حينئذٍ العمل بما هو الأقرب، ولا أقرب من الظن، فلا بدَّ من العمل به في الأحكام، لكن الأصول الاعتقادية يمكنُ الإذعان بها وعقد القلب عليها على ما هي في الواقع، في الواقع، فلا انسداد عن الاعتقاد إجمالاً بها وإن انسد باب القطع تفصيلاً </w:t>
      </w:r>
      <w:r>
        <w:rPr>
          <w:rStyle w:val="FootnoteAnchor"/>
          <w:rtl w:val="true"/>
        </w:rPr>
        <w:footnoteReference w:id="421"/>
      </w:r>
      <w:r>
        <w:rPr>
          <w:rFonts w:ascii="IRNazanin" w:hAnsi="IRNazanin" w:eastAsia="IRNazanin"/>
          <w:color w:val="111111"/>
          <w:sz w:val="28"/>
          <w:sz w:val="28"/>
          <w:szCs w:val="28"/>
          <w:rtl w:val="true"/>
          <w:lang w:bidi="fa-IR"/>
        </w:rPr>
        <w:t>بها،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هذا في الأصول التي يجب شرعاً الاعتقاد بها، أما التي مرجعها حكم العقل والحاكم بوجوب تحصيل العلم بها هو العقل كوجوب معرفة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ووجوب معرفة رسوله الله صلی اللهُ علیه و آله</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وإمام الزمان فبابُ العلم به مفتوح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ما يجب معرفته عقلاً أو شرعاً من المعارف لا يكفي فيه الظن؛ لأنه لا يغني عن الحق شيئاً </w:t>
      </w:r>
      <w:r>
        <w:rPr>
          <w:rStyle w:val="FootnoteAnchor"/>
          <w:rtl w:val="true"/>
        </w:rPr>
        <w:footnoteReference w:id="423"/>
      </w:r>
      <w:r>
        <w:rPr>
          <w:rFonts w:ascii="Amiri" w:hAnsi="Amiri" w:eastAsia="Amiri" w:cs="Amiri"/>
          <w:color w:val="111111"/>
          <w:sz w:val="28"/>
          <w:sz w:val="28"/>
          <w:szCs w:val="28"/>
          <w:rtl w:val="true"/>
          <w:lang w:bidi="ar-SA"/>
        </w:rPr>
        <w:t>ولا يوجب المعرفة المأمور بها شرعاً أو عقلاً، وقد عرفتَ إمكان الاعتقاد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الإجمالي، فلا موجب للتنزل إلى الظن إذا فرض انسداد العلم بها</w:t>
      </w:r>
      <w:r>
        <w:rPr>
          <w:rFonts w:eastAsia="Amiri" w:cs="Amiri" w:ascii="Amiri" w:hAnsi="Amiri"/>
          <w:color w:val="111111"/>
          <w:sz w:val="28"/>
          <w:szCs w:val="28"/>
          <w:rtl w:val="true"/>
          <w:lang w:bidi="ar-SA"/>
        </w:rPr>
        <w:t xml:space="preserve">. </w:t>
      </w:r>
      <w:bookmarkStart w:id="158" w:name="pg9229_140367"/>
    </w:p>
    <w:p>
      <w:pPr>
        <w:pStyle w:val="Heading2"/>
        <w:numPr>
          <w:ilvl w:val="1"/>
          <w:numId w:val="1"/>
        </w:numPr>
        <w:rPr/>
      </w:pPr>
      <w:bookmarkStart w:id="159" w:name="__RefHeading___Toc4247260_2870459653"/>
      <w:bookmarkStart w:id="160" w:name="_Toc54"/>
      <w:bookmarkEnd w:id="158"/>
      <w:bookmarkEnd w:id="159"/>
      <w:r>
        <w:rPr>
          <w:rtl w:val="true"/>
        </w:rPr>
        <w:t>في أنَّ الظن المطلق لا تترتب عليه الآثار</w:t>
      </w:r>
      <w:bookmarkEnd w:id="160"/>
    </w:p>
    <w:p>
      <w:pPr>
        <w:pStyle w:val="BookText"/>
        <w:rPr/>
      </w:pPr>
      <w:r>
        <w:rPr>
          <w:rFonts w:ascii="Amiri" w:hAnsi="Amiri" w:eastAsia="Amiri" w:cs="Amiri"/>
          <w:color w:val="111111"/>
          <w:sz w:val="28"/>
          <w:sz w:val="28"/>
          <w:szCs w:val="28"/>
          <w:rtl w:val="true"/>
          <w:lang w:bidi="ar-SA"/>
        </w:rPr>
        <w:t>فلا يجبر السند الضعيف، ولا الدلالة القاصرة، ولا يكون موهناً لما هو حجة، ولا مرجحاً لأحد المتعارضين على الآخر؛ لأنَّ مقدمات دليل الانسداد في الأحكام عند القائل بتماميتها إنما توجب حجية الظن بالحكم أو بالحجة لا الآثار الأُخر، والأصل عدم ترتب الآثار بالظن مطلقاً، كما أن الأصل عدمُ حجية الظن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يستفاد من أدلة خاصة ترتيب هذه الآثار كلاً أو بعضاً في الجملة أو كلية، فينبغي مراجعة أدلة الحجية، وقد تكلّم عليها شيخنا في الرسائل في مقامات ثلاثة </w:t>
      </w:r>
      <w:r>
        <w:rPr>
          <w:rStyle w:val="FootnoteAnchor"/>
          <w:rtl w:val="true"/>
        </w:rPr>
        <w:footnoteReference w:id="42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161" w:name="pg9229_140369"/>
    </w:p>
    <w:p>
      <w:pPr>
        <w:pStyle w:val="Heading2"/>
        <w:numPr>
          <w:ilvl w:val="1"/>
          <w:numId w:val="1"/>
        </w:numPr>
        <w:rPr/>
      </w:pPr>
      <w:bookmarkStart w:id="162" w:name="__RefHeading___Toc4247262_2870459653"/>
      <w:bookmarkStart w:id="163" w:name="_Toc55"/>
      <w:bookmarkEnd w:id="161"/>
      <w:bookmarkEnd w:id="162"/>
      <w:r>
        <w:rPr>
          <w:rtl w:val="true"/>
        </w:rPr>
        <w:t>لامعةٌ في الأدلة العقلية</w:t>
      </w:r>
      <w:bookmarkEnd w:id="163"/>
    </w:p>
    <w:p>
      <w:pPr>
        <w:pStyle w:val="BookText"/>
        <w:rPr/>
      </w:pPr>
      <w:r>
        <w:rPr>
          <w:rFonts w:ascii="IRNazanin" w:hAnsi="IRNazanin" w:eastAsia="IRNazanin"/>
          <w:color w:val="111111"/>
          <w:sz w:val="28"/>
          <w:sz w:val="28"/>
          <w:szCs w:val="28"/>
          <w:rtl w:val="true"/>
          <w:lang w:bidi="fa-IR"/>
        </w:rPr>
        <w:t>دلیل العقل ضربان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يستقل بحكمه العقلُ كقاعدة الحسن و القبح، وأصل البراءة، وأصل الإباحة،ولا ينافي ذلك ثبوت هذه الأصول بدليل شرعي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يستقل العقلُ بإثباته كأبواب الملازمات؛ فإن العقل يحكم فيها بواسطة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على الضرب الأول، فالذي يفيد القطع بالحكم هو قاعدة الحسن والقبح، وهي من مبادئ علم الكلام، ويبتني عليها مسألة خلق الأفعال وتعليل أفعاله تعالى بالأغراض وغير ذلك من مسائل الكلام، وإنما ذكرت في هذا الفن؛ لابتناء مسألة خطاب المعدوم، ومسألة الخطاب بما يراد خلاف ظاهره عليها فعُدت من 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 الأحكام الشرعية بالقاعدة، فإنما يتم بعد إثبات الملازمة بين حكم العقل وحكم الشرع، وهو استلزامُ الوجوب والحرمة العقليين للوجوب والحرمة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الملازمة بين الحكمين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خلاف فيه؛ فإنَّ العقلاء على اختلاف مذاهبهم وتباين طرائقهم حتى البراهمة </w:t>
      </w:r>
      <w:r>
        <w:rPr>
          <w:rStyle w:val="FootnoteAnchor"/>
          <w:rtl w:val="true"/>
        </w:rPr>
        <w:footnoteReference w:id="425"/>
      </w:r>
      <w:r>
        <w:rPr>
          <w:rFonts w:ascii="Amiri" w:hAnsi="Amiri" w:eastAsia="Amiri" w:cs="Amiri"/>
          <w:color w:val="111111"/>
          <w:sz w:val="28"/>
          <w:sz w:val="28"/>
          <w:szCs w:val="28"/>
          <w:rtl w:val="true"/>
          <w:lang w:bidi="ar-SA"/>
        </w:rPr>
        <w:t xml:space="preserve">والثنوية </w:t>
      </w:r>
      <w:r>
        <w:rPr>
          <w:rStyle w:val="FootnoteAnchor"/>
          <w:rtl w:val="true"/>
        </w:rPr>
        <w:footnoteReference w:id="426"/>
      </w:r>
      <w:r>
        <w:rPr>
          <w:rFonts w:ascii="Amiri" w:hAnsi="Amiri" w:eastAsia="Amiri" w:cs="Amiri"/>
          <w:color w:val="111111"/>
          <w:sz w:val="28"/>
          <w:sz w:val="28"/>
          <w:szCs w:val="28"/>
          <w:rtl w:val="true"/>
          <w:lang w:bidi="ar-SA"/>
        </w:rPr>
        <w:t xml:space="preserve">متفقون على أن العقل مما يحكم ويستقل في إثبات المطالب من غير حاجة إلى </w:t>
      </w:r>
    </w:p>
    <w:p>
      <w:pPr>
        <w:pStyle w:val="BookText"/>
        <w:rPr/>
      </w:pPr>
      <w:r>
        <w:rPr>
          <w:rFonts w:ascii="Amiri" w:hAnsi="Amiri" w:eastAsia="Amiri" w:cs="Amiri"/>
          <w:color w:val="111111"/>
          <w:sz w:val="28"/>
          <w:sz w:val="28"/>
          <w:szCs w:val="28"/>
          <w:rtl w:val="true"/>
          <w:lang w:bidi="ar-SA"/>
        </w:rPr>
        <w:t xml:space="preserve">مساعدة أمر آخر من شرع أو غيره، ولم يخالف أحد في ذلك إلَّا بعض السوفسطائية  </w:t>
      </w:r>
      <w:r>
        <w:rPr>
          <w:rStyle w:val="FootnoteAnchor"/>
          <w:rtl w:val="true"/>
        </w:rPr>
        <w:footnoteReference w:id="427"/>
      </w:r>
      <w:r>
        <w:rPr>
          <w:rFonts w:ascii="Amiri" w:hAnsi="Amiri" w:eastAsia="Amiri" w:cs="Amiri"/>
          <w:color w:val="111111"/>
          <w:sz w:val="28"/>
          <w:sz w:val="28"/>
          <w:szCs w:val="28"/>
          <w:rtl w:val="true"/>
          <w:lang w:bidi="ar-SA"/>
        </w:rPr>
        <w:t xml:space="preserve">المكذبين للحس والوجدان أيضاً، وتبعهم الشيخ أبو الحسن الأشعري فزعم أنَّ العقل لا يحسّن فعلاًولا يقبّح </w:t>
      </w:r>
      <w:r>
        <w:rPr>
          <w:rStyle w:val="FootnoteAnchor"/>
          <w:rtl w:val="true"/>
        </w:rPr>
        <w:footnoteReference w:id="428"/>
      </w:r>
      <w:r>
        <w:rPr>
          <w:rFonts w:ascii="Amiri" w:hAnsi="Amiri" w:eastAsia="Amiri" w:cs="Amiri"/>
          <w:color w:val="111111"/>
          <w:sz w:val="28"/>
          <w:sz w:val="28"/>
          <w:szCs w:val="28"/>
          <w:rtl w:val="true"/>
          <w:lang w:bidi="ar-SA"/>
        </w:rPr>
        <w:t xml:space="preserve">،وتبعه على ذلك غير واحد من متقدميهم </w:t>
      </w:r>
      <w:r>
        <w:rPr>
          <w:rStyle w:val="FootnoteAnchor"/>
          <w:rtl w:val="true"/>
        </w:rPr>
        <w:footnoteReference w:id="429"/>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وخالف أستاذه الجبّائي </w:t>
      </w:r>
      <w:r>
        <w:rPr>
          <w:rStyle w:val="FootnoteAnchor"/>
          <w:rtl w:val="true"/>
        </w:rPr>
        <w:footnoteReference w:id="430"/>
      </w:r>
      <w:r>
        <w:rPr>
          <w:rFonts w:ascii="Amiri" w:hAnsi="Amiri" w:eastAsia="Amiri" w:cs="Amiri"/>
          <w:color w:val="111111"/>
          <w:sz w:val="28"/>
          <w:sz w:val="28"/>
          <w:szCs w:val="28"/>
          <w:rtl w:val="true"/>
          <w:lang w:bidi="ar-SA"/>
        </w:rPr>
        <w:t xml:space="preserve">في مسألة الصفات، وأفعال العباد، وخلق القرآن، وصدور الكلام، وامتناع الرؤية، وتعليل الأفعال بالأغراض، وغير ذلك مما يبتني على قاعدة الحسن والقبح، ثم جاء المتأخرون </w:t>
      </w:r>
      <w:r>
        <w:rPr>
          <w:rStyle w:val="FootnoteAnchor"/>
          <w:rtl w:val="true"/>
        </w:rPr>
        <w:footnoteReference w:id="431"/>
      </w:r>
      <w:r>
        <w:rPr>
          <w:rFonts w:ascii="Amiri" w:hAnsi="Amiri" w:eastAsia="Amiri" w:cs="Amiri"/>
          <w:color w:val="111111"/>
          <w:sz w:val="28"/>
          <w:sz w:val="28"/>
          <w:szCs w:val="28"/>
          <w:rtl w:val="true"/>
          <w:lang w:bidi="ar-SA"/>
        </w:rPr>
        <w:t>منهم فرأوا شناعة ذلك وحكم البديهة بحسن العدل والإحسان وقبح الظلم والعدوان ، وأنَّ أهل العقول مطبقون على ذلك حتى من لا يعرف الدين،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والقبح يقال على معان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صفة كمال أو صفة نقص،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شيء حسن والجهل شيء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موافقاً للطبع ملائماً للنفس أو بالعكس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حسن ووجه حسن، ويقال لكل ما تنفره النفس من 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موافقاً للغرض أو مخالفاً له وهو المسمى بالمصلحة والمفسدة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خيراً شريراً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عضد الدين الايجي،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الشيخ الطوسي،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الحسن على ما ليس بمحظور فيقال للنوم والعقود والبيع والشراء وكل ما لا حرج فيه ولا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الفعل بحيث يستحق فاعله المدح والذم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الفعل حسن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فاعله المدح، وذلك قبيح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فاعله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غير الحكم بالاستحقاق، فزعموا أن الحسن والقبح شرعيان يَعنون أن العقل لا يدرك ذلك إنما يحسّن ويقبّح الشارعُ، بمعنى أنه يأمر وينهى، فإذا أمر بشيء فذلك تحسينه له، وحسن الشيء عندهم كونه مأموراً به، وليس له حسن في نفسه يدركه الشارع أو غيره ولا استحقاق، وإذا نهى عن شيء فذلك تقبيحه، وقبحه كونه منهياً عنه، وليس له في نفس الأمر قبحٌ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حكم العقل بحسن بعض الأشياء وقبحها بالمعنى المتنازع فيه من البديهيات الأوليات، والأفعال في حد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تكليف الشارع، بل في نفس الأمر والواقع، صفة يقتضي حسنها فاستحقاق فاعلها المدح والثواب، أو قبحها واستحقاق فاعلها الذم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ذاتية كالإحسان والعدوان، أو عرضية كضرب اليتيم للتأديب،وهو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والقبح ذاتيان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ولسنا نريد بالذاتي ما كان بالذات كما توهمه المعتزلة </w:t>
      </w:r>
      <w:r>
        <w:rPr>
          <w:rStyle w:val="FootnoteAnchor"/>
          <w:rtl w:val="true"/>
        </w:rPr>
        <w:footnoteReference w:id="432"/>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نسبةُ الاستحقاق والاستقباح بهذا المعنى إلى الفطرة كنسبة السماع إلى السمع والرؤية إلى البصر وإدراك سائر المشاعر إليها، وفي الكتاب العزيز من تنبيه العقول على ما فطرت عليه من استحسان الحسن والحكم به، ورفض القبح ونفيه عنه تعالى شيءٌ كثير ، حتى جعل تعالى من لم يتنبه لذلك بمنزلة من لا حسّ له،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w:t>
      </w:r>
    </w:p>
    <w:p>
      <w:pPr>
        <w:pStyle w:val="BookText"/>
        <w:rPr/>
      </w:pPr>
      <w:r>
        <w:rPr>
          <w:rFonts w:ascii="Amiri" w:hAnsi="Amiri" w:eastAsia="Amiri" w:cs="Amiri"/>
          <w:color w:val="111111"/>
          <w:sz w:val="28"/>
          <w:sz w:val="28"/>
          <w:szCs w:val="28"/>
          <w:rtl w:val="true"/>
          <w:lang w:bidi="ar-SA"/>
        </w:rPr>
        <w:t>فَهُمْ لاَ يَرْجِعُونَ</w:t>
      </w:r>
      <w:r>
        <w:rPr>
          <w:rStyle w:val="FootnoteAnchor"/>
          <w:rtl w:val="true"/>
        </w:rPr>
        <w:footnoteReference w:id="433"/>
      </w:r>
      <w:r>
        <w:rPr>
          <w:rFonts w:ascii="Amiri" w:hAnsi="Amiri" w:eastAsia="Amiri" w:cs="Amiri"/>
          <w:color w:val="111111"/>
          <w:sz w:val="28"/>
          <w:sz w:val="28"/>
          <w:szCs w:val="28"/>
          <w:rtl w:val="true"/>
          <w:lang w:bidi="ar-SA"/>
        </w:rPr>
        <w:t>، مع أنَّ الحسن و القبح لو لم يكونا عقليين وكانا مقصورين على السمع كما يزعمه هؤلاء لَما قُبحَ من الله تعالى شيءٌ حتى إظهار المعجز على يد الكاذب، ولجازَ أنْ يكون الأنبياء كلهم مفترينَ، أظهرَ المعاجزَ على أيديهم للإضلال، ولَما وجبت معرفة الله؛ لتوقف معرفة الإيجاب على معرفة الموجب ،المتوقفة على معرفة الإيجاب، فيدور، ولتوقف وجوب الواجبات على ورود الشرع، وفي ذلك إفحامُ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المقام الثاني</w:t>
      </w:r>
    </w:p>
    <w:p>
      <w:pPr>
        <w:pStyle w:val="BookText"/>
        <w:rPr/>
      </w:pPr>
      <w:r>
        <w:rPr>
          <w:rFonts w:ascii="Amiri" w:hAnsi="Amiri" w:eastAsia="Amiri" w:cs="Amiri"/>
          <w:color w:val="111111"/>
          <w:sz w:val="28"/>
          <w:sz w:val="28"/>
          <w:szCs w:val="28"/>
          <w:rtl w:val="true"/>
          <w:lang w:bidi="ar-SA"/>
        </w:rPr>
        <w:t>ففي إثبات الملازمة بين حكم العقل بالبديهة وحكم الشرع، ويتضح ذلك بثبوت مقدمات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بما يحسن ويقبح بالضرورة وقد عرفته بالمقام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حسنه العقل أو قبحه فهو عند الشارع حسن أو قبيح؛ لأنَّ تجويز مخالفته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بتجويز الخطأ عليه، أو على العقل، وكلاهما محال، أما الأول فظاهر، وأما الثاني</w:t>
      </w:r>
    </w:p>
    <w:p>
      <w:pPr>
        <w:pStyle w:val="BookText"/>
        <w:rPr/>
      </w:pPr>
      <w:r>
        <w:rPr>
          <w:rFonts w:ascii="Amiri" w:hAnsi="Amiri" w:eastAsia="Amiri" w:cs="Amiri"/>
          <w:color w:val="111111"/>
          <w:sz w:val="28"/>
          <w:sz w:val="28"/>
          <w:szCs w:val="28"/>
          <w:rtl w:val="true"/>
          <w:lang w:bidi="ar-SA"/>
        </w:rPr>
        <w:t>فإن اتهام العقل في الضروريات يوجبُ انقطاعه في النظريات كالعقائد الواجبة حتى إثبات الصانع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حسنه الشارع أو قبحه كان بحيث يأمر به أو نهى عنه، وإلّا لكان بحيث يجيز ترك الواجب اللازم كشكر المنعم ورد الوديعة، وفعل القبيح المحظور كقتل النفس ونهب الأموال، وذلك عليه تعالى محال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كان بهذه الحيثية فقد كلف به الشارع فأمر ونهى؛ لاقتضاء الحكمة في إبداع هذا الصنع العظيم الشأن الذي خلق لأجله السماوات والأرض وما فيها وصرفه في ما سواه من العوالم بسلطان العقل أن يكلفه، على أنه لا نزاع فيه المسلم، فإذا لم يكلفه بما تقطع العقول بوجوبه وخطره ويدور عليه استقامة النظام فماذا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فاعل للمأمور به مستحقٌ للثواب وكل تارك له أو فاعل للمنهي عنه مستحقٌ للعقاب، وهذه المقدمة إجماعية </w:t>
      </w:r>
      <w:r>
        <w:rPr>
          <w:rStyle w:val="FootnoteAnchor"/>
          <w:rtl w:val="true"/>
        </w:rPr>
        <w:footnoteReference w:id="435"/>
      </w:r>
      <w:r>
        <w:rPr>
          <w:rFonts w:ascii="Amiri" w:hAnsi="Amiri" w:eastAsia="Amiri" w:cs="Amiri"/>
          <w:color w:val="111111"/>
          <w:sz w:val="28"/>
          <w:sz w:val="28"/>
          <w:szCs w:val="28"/>
          <w:rtl w:val="true"/>
          <w:lang w:bidi="ar-SA"/>
        </w:rPr>
        <w:t>لا نزاع فيها بين مثبتي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بعد ثبوت هذه المقدمات أنَّ كل فاعل لِما حسنه العقلُ أو قبحه مستحقٌ للثواب أو العقاب بديهة؛ إذ هو نتيجة تسليمها ،وهو التلازم بين الحكمين؛ فإن حكم العقل باستحقاق المدح والذم وحكم الشرع باستحقاق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ثبوت الملازمة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فإنَّ العدل من كل شيء وسطه، ومستقيم الأفعال حسنها، والعموم مستفاد من السياق؛ فإنه في مقام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ما من شيء يقرّبكم من الجنة ويبعدكم عن النار إلّا وقد أمر الله به،ألا ما من شيء يقرّبكم إلى النار ويبعدكم عن الجنة إلّا وقد نهاكم عنه </w:t>
      </w:r>
      <w:r>
        <w:rPr>
          <w:rStyle w:val="FootnoteAnchor"/>
          <w:rtl w:val="true"/>
        </w:rPr>
        <w:footnoteReference w:id="437"/>
      </w:r>
      <w:r>
        <w:rPr>
          <w:rFonts w:ascii="Amiri" w:hAnsi="Amiri" w:eastAsia="Amiri" w:cs="Amiri"/>
          <w:color w:val="111111"/>
          <w:sz w:val="28"/>
          <w:sz w:val="28"/>
          <w:szCs w:val="28"/>
          <w:rtl w:val="true"/>
          <w:lang w:bidi="ar-SA"/>
        </w:rPr>
        <w:t xml:space="preserve">، إلى غير ذلك من الآيات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وكذلك الآيات الدالة على الأخذ بما يحكم به صريح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تعقلون، أفلا تذكرون، لعلكم تتفكرون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ينظر الحائري، الفصول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والروايات الكثيرة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بعض متأخري المتأخرين بثبوت الملازمة الظاهرية ومنع الملازمة الواقعية </w:t>
      </w:r>
      <w:r>
        <w:rPr>
          <w:rStyle w:val="FootnoteAnchor"/>
          <w:rtl w:val="true"/>
        </w:rPr>
        <w:footnoteReference w:id="439"/>
      </w:r>
      <w:r>
        <w:rPr>
          <w:rFonts w:ascii="IRNazanin" w:hAnsi="IRNazanin" w:eastAsia="IRNazanin"/>
          <w:color w:val="111111"/>
          <w:sz w:val="28"/>
          <w:sz w:val="28"/>
          <w:szCs w:val="28"/>
          <w:rtl w:val="true"/>
          <w:lang w:bidi="fa-IR"/>
        </w:rPr>
        <w:t xml:space="preserve">، </w:t>
      </w:r>
      <w:bookmarkStart w:id="164" w:name="pg9229_140379"/>
    </w:p>
    <w:p>
      <w:pPr>
        <w:pStyle w:val="BookText"/>
        <w:rPr/>
      </w:pPr>
      <w:bookmarkEnd w:id="164"/>
      <w:r>
        <w:rPr>
          <w:rFonts w:ascii="IRNazanin" w:hAnsi="IRNazanin" w:eastAsia="IRNazanin"/>
          <w:color w:val="111111"/>
          <w:sz w:val="28"/>
          <w:sz w:val="28"/>
          <w:szCs w:val="28"/>
          <w:rtl w:val="true"/>
          <w:lang w:bidi="fa-IR"/>
        </w:rPr>
        <w:t>لا محصل له بوجه</w:t>
      </w:r>
    </w:p>
    <w:p>
      <w:pPr>
        <w:pStyle w:val="BookText"/>
        <w:rPr/>
      </w:pPr>
      <w:r>
        <w:rPr>
          <w:rFonts w:ascii="Amiri" w:hAnsi="Amiri" w:eastAsia="Amiri" w:cs="Amiri"/>
          <w:color w:val="111111"/>
          <w:sz w:val="28"/>
          <w:sz w:val="28"/>
          <w:szCs w:val="28"/>
          <w:rtl w:val="true"/>
          <w:lang w:bidi="ar-SA"/>
        </w:rPr>
        <w:t xml:space="preserve">وما يتوهم من دلالة الظواهر على انتفاء الملازمة لا يقاوم ضرورة العقل، والظاهر يدفع بالقاطع، فلو سلّم ظهورها فلا بدَّ من تأويلها بما أشار إليه المحقق القمي في القوانين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4247264_2870459653"/>
      <w:bookmarkStart w:id="166" w:name="_Toc56"/>
      <w:bookmarkEnd w:id="165"/>
      <w:r>
        <w:rPr>
          <w:rtl w:val="true"/>
        </w:rPr>
        <w:t>{</w:t>
      </w:r>
      <w:r>
        <w:rPr>
          <w:rtl w:val="true"/>
        </w:rPr>
        <w:t>أصالة الإباحة أو الحظر</w:t>
      </w:r>
      <w:r>
        <w:rPr>
          <w:rtl w:val="true"/>
        </w:rPr>
        <w:t>}</w:t>
      </w:r>
      <w:bookmarkEnd w:id="166"/>
    </w:p>
    <w:p>
      <w:pPr>
        <w:pStyle w:val="BookText"/>
        <w:rPr/>
      </w:pPr>
      <w:r>
        <w:rPr>
          <w:rFonts w:ascii="Amiri" w:hAnsi="Amiri" w:eastAsia="Amiri" w:cs="Amiri"/>
          <w:color w:val="111111"/>
          <w:sz w:val="28"/>
          <w:sz w:val="28"/>
          <w:szCs w:val="28"/>
          <w:rtl w:val="true"/>
          <w:lang w:bidi="ar-SA"/>
        </w:rPr>
        <w:t>ومن جملة موارد حكم العقل قبل ملاحظة الشرع أصالة الإباحة أو الحظر في الأفعال الاختيارية التي لا ضرورة فيها عقلاً ، كأكل الفاكهة وشمَّ الورد، ولا نزاع في ما يتوقف عليه</w:t>
      </w:r>
    </w:p>
    <w:p>
      <w:pPr>
        <w:pStyle w:val="BookText"/>
        <w:rPr/>
      </w:pPr>
      <w:r>
        <w:rPr>
          <w:rFonts w:ascii="Amiri" w:hAnsi="Amiri" w:eastAsia="Amiri" w:cs="Amiri"/>
          <w:color w:val="111111"/>
          <w:sz w:val="28"/>
          <w:sz w:val="28"/>
          <w:szCs w:val="28"/>
          <w:rtl w:val="true"/>
          <w:lang w:bidi="ar-SA"/>
        </w:rPr>
        <w:t xml:space="preserve">البقاء كشمٌ الهواء ونحوه ، فإنّ العقل مستقلٌ فيه على الجواز، الإفضائه إلى إتلاف النفس كما في الكذب النافع، فذهب معتزلة بغداد وجماعة </w:t>
      </w:r>
      <w:r>
        <w:rPr>
          <w:rStyle w:val="FootnoteAnchor"/>
          <w:rtl w:val="true"/>
        </w:rPr>
        <w:footnoteReference w:id="441"/>
      </w:r>
      <w:r>
        <w:rPr>
          <w:rFonts w:ascii="Amiri" w:hAnsi="Amiri" w:eastAsia="Amiri" w:cs="Amiri"/>
          <w:color w:val="111111"/>
          <w:sz w:val="28"/>
          <w:sz w:val="28"/>
          <w:szCs w:val="28"/>
          <w:rtl w:val="true"/>
          <w:lang w:bidi="ar-SA"/>
        </w:rPr>
        <w:t xml:space="preserve">منا إلى القول بالحظر؛ لأنَّه تصرَفٌ في مال الغير بغير إذنه، وذهب الشيخان </w:t>
      </w:r>
      <w:r>
        <w:rPr>
          <w:rStyle w:val="FootnoteAnchor"/>
          <w:rtl w:val="true"/>
        </w:rPr>
        <w:footnoteReference w:id="442"/>
      </w:r>
      <w:r>
        <w:rPr>
          <w:rFonts w:ascii="Amiri" w:hAnsi="Amiri" w:eastAsia="Amiri" w:cs="Amiri"/>
          <w:color w:val="111111"/>
          <w:sz w:val="28"/>
          <w:sz w:val="28"/>
          <w:szCs w:val="28"/>
          <w:rtl w:val="true"/>
          <w:lang w:bidi="ar-SA"/>
        </w:rPr>
        <w:t>إلى التوقف؛ لأنَّه قد ثبت في العقول أنَّ الإقدام على ما لا يؤمن المكلف كونه قبيحاً مثلُ إقدامه على ما يعلم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على الإباحة بأنه إذا صح أن يخلق الأجسام خالية من الألوان والطعوم فخلقه لها لا بدَّ وان يكون لنفع الغير؛ لاستحالة عود النفع إليه قبح الاستبداء بالضرر، فكانت مباحة، وكان في العقل ما يدل على الإباحة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اللطف كما يكون بتناولها والانتفاع بها كذلك يكون بالامتناع منها، أوليسَ قد خلق جلَّ شأنه أشياءً كثيرة يصحُّ الانتفاع بها وقد حظرها بالسمع </w:t>
      </w:r>
      <w:r>
        <w:rPr>
          <w:rStyle w:val="FootnoteAnchor"/>
          <w:rtl w:val="true"/>
        </w:rPr>
        <w:footnoteReference w:id="444"/>
      </w:r>
      <w:r>
        <w:rPr>
          <w:rFonts w:ascii="Amiri" w:hAnsi="Amiri" w:eastAsia="Amiri" w:cs="Amiri"/>
          <w:color w:val="111111"/>
          <w:sz w:val="28"/>
          <w:sz w:val="28"/>
          <w:szCs w:val="28"/>
          <w:rtl w:val="true"/>
          <w:lang w:bidi="ar-SA"/>
        </w:rPr>
        <w:t>، فليكن ما لم يسمع</w:t>
      </w:r>
    </w:p>
    <w:p>
      <w:pPr>
        <w:pStyle w:val="BookText"/>
        <w:rPr/>
      </w:pP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من فروع مسألة الحسن و القبح التي عرفت أنَّها من المبادئ الأحكامية </w:t>
      </w:r>
    </w:p>
    <w:p>
      <w:pPr>
        <w:pStyle w:val="BookText"/>
        <w:rPr/>
      </w:pPr>
      <w:r>
        <w:rPr>
          <w:rFonts w:ascii="Amiri" w:hAnsi="Amiri" w:eastAsia="Amiri" w:cs="Amiri"/>
          <w:color w:val="111111"/>
          <w:sz w:val="28"/>
          <w:sz w:val="28"/>
          <w:szCs w:val="28"/>
          <w:rtl w:val="true"/>
          <w:lang w:bidi="ar-SA"/>
        </w:rPr>
        <w:t>لا من المسائل الأصولية كأصالة البراءة التي هي بيان لاحكام أفعال المكلفين عند الشك في التكليف على اختلاف أقسامه وموارده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الحظر هنا؛ لأنَّ حكم العقل بوجوب دفع الضرر ولو في صورة الشك مما لا يعارضه شيءٌ ، فأكلُ الفاكهة وشم الورد وإن اشتمل على أمارات المنفعة وخلا عن أمارات المفسدة، إلَّا أنه ليس عدم الضرر به في الدنيا مقطوعاً به، والعقل مستقل بوجوب الاجتناب، وحيث لا شرع ـ كما هو المأخوذ في العنوان ـ فلا تعارض بين حكم العقل والشرع، فافهم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فرغنا من الكلام على الأدلة الأربعة، فلا بدَّ من بيان ما يرجع إليه الفقيه ـ عند اليأس منها والشك في الحكم الفعلي واقعي أو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العملية؛ فإنها المرجع بعد الفحص وعدم العثور على الأدلة الاجتهادية، والمهم ذكره من الأصول العملية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والاحتياط، والتخيير، والاستصحاب ؛ لعموم نفعها في أبواب الفقه</w:t>
      </w:r>
      <w:r>
        <w:rPr>
          <w:rFonts w:eastAsia="Amiri" w:cs="Amiri" w:ascii="Amiri" w:hAnsi="Amiri"/>
          <w:color w:val="111111"/>
          <w:sz w:val="28"/>
          <w:szCs w:val="28"/>
          <w:rtl w:val="true"/>
          <w:lang w:bidi="ar-SA"/>
        </w:rPr>
        <w:t xml:space="preserve">. </w:t>
      </w:r>
      <w:bookmarkStart w:id="167" w:name="pg9229_140383"/>
    </w:p>
    <w:p>
      <w:pPr>
        <w:pStyle w:val="Heading2"/>
        <w:numPr>
          <w:ilvl w:val="1"/>
          <w:numId w:val="1"/>
        </w:numPr>
        <w:rPr/>
      </w:pPr>
      <w:bookmarkStart w:id="168" w:name="__RefHeading___Toc4247266_2870459653"/>
      <w:bookmarkStart w:id="169" w:name="_Toc57"/>
      <w:bookmarkEnd w:id="167"/>
      <w:bookmarkEnd w:id="168"/>
      <w:r>
        <w:rPr>
          <w:rtl w:val="true"/>
        </w:rPr>
        <w:t>لامعةٌ في أصالة البراءة</w:t>
      </w:r>
      <w:bookmarkEnd w:id="169"/>
    </w:p>
    <w:p>
      <w:pPr>
        <w:pStyle w:val="BookText"/>
        <w:rPr/>
      </w:pPr>
      <w:r>
        <w:rPr>
          <w:rFonts w:ascii="Amiri" w:hAnsi="Amiri" w:eastAsia="Amiri" w:cs="Amiri"/>
          <w:color w:val="111111"/>
          <w:sz w:val="28"/>
          <w:sz w:val="28"/>
          <w:szCs w:val="28"/>
          <w:rtl w:val="true"/>
          <w:lang w:bidi="ar-SA"/>
        </w:rPr>
        <w:t xml:space="preserve">وأول مسائلها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الحكمية التحريمية</w:t>
      </w:r>
    </w:p>
    <w:p>
      <w:pPr>
        <w:pStyle w:val="BookText"/>
        <w:rPr/>
      </w:pPr>
      <w:r>
        <w:rPr>
          <w:rFonts w:ascii="Amiri" w:hAnsi="Amiri" w:eastAsia="Amiri" w:cs="Amiri"/>
          <w:color w:val="111111"/>
          <w:sz w:val="28"/>
          <w:sz w:val="28"/>
          <w:szCs w:val="28"/>
          <w:rtl w:val="true"/>
          <w:lang w:bidi="ar-SA"/>
        </w:rPr>
        <w:t xml:space="preserve">والحقُّ اعتبار أصل البراءة عند الشك في وجوب شيء أو حرمته مع فقد النص أو إجماله واحتماله الكراهة أو الاستحباب، أو تعارضه وعدم ثبوت ترجيح في البين بناءً على القول بالتوقف عند تعارض النصين مع عدم المرجح لا الرجوع فيه إلى التخيير بينهما والأخذ بأحد النصين، فيجوز شرعاً وعقلاً ترك ما شك في وجوبه، وفعل ما شك في حرمته والأمن من عقوبة المخالفة الواقعية بالأدلة الأربعة؛ لحصر التكليف بالبيان في القرآن ونفي التعذيب حتى يبعث الرسول </w:t>
      </w:r>
      <w:r>
        <w:rPr>
          <w:rStyle w:val="FootnoteAnchor"/>
          <w:rtl w:val="true"/>
        </w:rPr>
        <w:footnoteReference w:id="445"/>
      </w:r>
      <w:r>
        <w:rPr>
          <w:rFonts w:ascii="Amiri" w:hAnsi="Amiri" w:eastAsia="Amiri" w:cs="Amiri"/>
          <w:color w:val="111111"/>
          <w:sz w:val="28"/>
          <w:sz w:val="28"/>
          <w:szCs w:val="28"/>
          <w:rtl w:val="true"/>
          <w:lang w:bidi="ar-SA"/>
        </w:rPr>
        <w:t>، ومن السنة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في عداد المرفوعات، فالتكليف المجهول مـ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مرفوع فعلاً عنهم وإن كان في الواقع ثابتاً فلا مؤاخذة عليه البتة، وهذا الرفع منه جلَّ شأنه مِنّةٌ، وإلّا لوضع الاحتياط طريقاً إلى التكليف المجهول ظاهراً وكانت المؤاخذة على تركه، وبهذا الاعتبار كانت المؤاخذة مما للشارع رفعها،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ما لا يُعلم من التكليف قابلٌ للرفع بنفسه فلا حاجة إلى تقدير المؤاخذة أو غيرها من 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بالموصول ما اشتبه حاله ولم يعلم عنوانه فلا بدَّ حينئذٍ من تقدير أحد الأمرين، أو الأثر الظاهر، أو تمام الآثار التي تقتضي المِنة رفعها، ويكون بلحاظ الإسناد إليها مجازاً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فحديث الرفع دالُّ على رفع كل الآثار التكليفية والوضعية التي في رفعها المِنّة على هذه الأمة، ولا يتوهم أنّ إيجاب الاحتياط في ما لا يعلمون، وإيجاب التحفظ في الخطأ والنسيان أثر بنفسها، فإنما يكون باقتضاء الرفع في موردها لا باقتضاء نفسها؛ حيث إنَّ </w:t>
      </w:r>
    </w:p>
    <w:p>
      <w:pPr>
        <w:pStyle w:val="BookText"/>
        <w:rPr/>
      </w:pPr>
      <w:r>
        <w:rPr>
          <w:rFonts w:ascii="Amiri" w:hAnsi="Amiri" w:eastAsia="Amiri" w:cs="Amiri"/>
          <w:color w:val="111111"/>
          <w:sz w:val="28"/>
          <w:sz w:val="28"/>
          <w:szCs w:val="28"/>
          <w:rtl w:val="true"/>
          <w:lang w:bidi="ar-SA"/>
        </w:rPr>
        <w:t>الاهتمام بموردها يقتضي إيجابها حتى لا يفوت على المكلف،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رواه الصدوق في كتاب التوحيد في باب التعريف والحجة والبيان بإسناده عن زكريا بن يحيى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 والمراد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لم يقم عليه تعريف وبيان وحجة، فهو موضوع عن المکلف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يقدر المكلف على تحصيل حكمه من الشرع فلا تكليف له به في الظاهر، وإلَّا فكل شيء في الواقع له حكم، لكن لا بدَّ من العلم به حتى يلزم المكلف العمل به، وما</w:t>
      </w:r>
    </w:p>
    <w:p>
      <w:pPr>
        <w:pStyle w:val="BookText"/>
        <w:rPr/>
      </w:pPr>
      <w:r>
        <w:rPr>
          <w:rFonts w:ascii="Amiri" w:hAnsi="Amiri" w:eastAsia="Amiri" w:cs="Amiri"/>
          <w:color w:val="111111"/>
          <w:sz w:val="28"/>
          <w:sz w:val="28"/>
          <w:szCs w:val="28"/>
          <w:rtl w:val="true"/>
          <w:lang w:bidi="ar-SA"/>
        </w:rPr>
        <w:t>لم يعلم به المكلف فليس عليه منه كلفة، فهو موضوع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أنه في ما استأثر الله به من الأمور الغامضة كأسرار القدر، ومعنى وضعها عن العباد عدم تكليفهم بالبحث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كتاب الفقيه مرسلاً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الغوالي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نص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الصدوق في أماليه بسنده عن أبي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الأشياء مطلقة ما لم يرد عليك أمر أو نهي </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 ودلالته على عدم صدق الورود إلَّا بعد العلم بالنهي ظاهرة خصوصاً الأخير، ومعنى إطلاق الشيء أنه مباحٌ بعنوان أنه مجهول الحرمة شرعاً لا بعنوان أنه لم يرد عن الشارع فيه النهي في الواقع،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فدلالته على نفي الاحتياط في غاية الظهور وقوة الدلالة عند أهل العلم باللسان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سعةٍ ما لم يعلموا</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فما داموا لم يعلموا حرمة الشيء أو </w:t>
      </w:r>
    </w:p>
    <w:p>
      <w:pPr>
        <w:pStyle w:val="BookText"/>
        <w:rPr/>
      </w:pPr>
      <w:r>
        <w:rPr>
          <w:rFonts w:ascii="Amiri" w:hAnsi="Amiri" w:eastAsia="Amiri" w:cs="Amiri"/>
          <w:color w:val="111111"/>
          <w:sz w:val="28"/>
          <w:sz w:val="28"/>
          <w:szCs w:val="28"/>
          <w:rtl w:val="true"/>
          <w:lang w:bidi="ar-SA"/>
        </w:rPr>
        <w:t>وجوبه فهم في سعة، ولو كان الحكم الاحتياط ما كانوا في سعة كما هو ظاهر، بل كان عليهم سلوكه لإدراك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الاشتباه في الموضوع دون الحكم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حرام وحلال فهو حلال لك أبداً حتى تعرف الحرام بعينه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الحرام فتدعه من قبل نفسك، وذلك مثل الثوب يكون عليك قد شريته وهو سرقة، أو المملوك يكون عندك ولعله قد باع نفسه أو خدع فبيع قهراً، أو امرأة تحتك وهي أختك أو رضيعتك، والأشياء كلها على هذا حتى يستبين لك غير ذلك أو تقوم لك بينة</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وتقريب الاستدلال بها مع أنّها في الاشتباه في الموضوع دون الحكم وفي غير الواجبات والمندوبات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أنها دلت على حلّية كل ما لم يعلم حرمته ولو من جهة عدم الدليل على حرمته، وبعد القول بالفصل بين إباحته وعدم وجوب الاحتياط فيه، وبين عدم وجوب الاحتياط في الشبهة الوجوبية، يتمُ الاستدلال على البراءة في الشبهة الحكمية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ما احتمل وجوبه من مصاديق ما لم يعرف حرمته فهو حلال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الروايتين في غير الواجبات والمندوبات ،بل هي ممحضة في الاشتباه في الموضوع دون الحكم، فلا ينبغي التعلّق بها في المقام، فتأمل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علم كفي ما لم يعلم</w:t>
      </w:r>
      <w:r>
        <w:rPr>
          <w:rFonts w:eastAsia="IRNazanin" w:cs="IRNazanin"/>
          <w:color w:val="111111"/>
          <w:sz w:val="28"/>
          <w:szCs w:val="28"/>
          <w:rtl w:val="true"/>
          <w:lang w:bidi="fa-IR"/>
        </w:rPr>
        <w:t xml:space="preserve">» </w:t>
      </w:r>
      <w:r>
        <w:rPr>
          <w:rStyle w:val="FootnoteAnchor"/>
          <w:rtl w:val="true"/>
        </w:rPr>
        <w:footnoteReference w:id="45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يطالب بما وراء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تفسير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يُبَيِّنَ هُمْ مَا يَتَّقُونَ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وفي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لها ما تأتي وما تترك</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الإجماع فمن أهل العلم بالفقه والحديث والجدوالاجتهاد، بل هي طريقة المسلمين، فإنا نقطع وكل ذي إدراك أن الناس مذ 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مذهب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عليهم الاستئذان من أرباب الشريعة وقوّامها في جميع حركاتهم وسكناتهم وأنحاء الأكل والشرب والقيام والقعود والنوم والمشي والركوب والمحاورات والصناعات وسائر الأعمال، بل هم في ذلك كله على ما يشاؤون، أما علمتم أنهم على ما يشاؤون كما كانوا من قبل إلى أن يرد عليهم نهي من قبله ذا ولا ذا، بل تركهم على ما هم عليه ، ثم إذا أوحي إليهم في شيء أعلمهم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بالضرورة والأخيران تقرير لأصل الإباحة إما بالنص أو بالتقرير، والحق الأخير، قاله في المحصول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تحصيل الإجماع من أوضح الواضحات في مثل المقام الذي كاد أن يكون ضرورياً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العقل فقد حكم مستقلاً بقبح المؤاخذة على من بذل جهده في الفحص عن الحكم المجهول حتى يأس فاستباحه؛ لأنَّه لو عوقب على مخالفته كان عقاباً عليه بلا بيان، وقبحه عند العقل غنيٌ عن البيان، ومع استقلاله بذلك لا يحتمل فيه ضرر العقوبة في مخالفته، فلا مجرى عنده لقاعدة وجوب دفع الضرر المحتمل حيث استقل وجزم، فلا تكون القاعدة له بياناً، ولو كان للاحتمال عنده مجالٌ لم يكن للقاعدة احتياج،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لا يحتمل ضرر العقوبة لكن يحتمل الوقوع في المفسدة، والعقلُ مستقلٌ بقبح الإقدام على ما لا يؤمن من مفسدته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ما لا يفوه به أحدٌ، كلا لا يحكم العقل، ولا يحسن ذلك؛ فإنا نقطع وكل ذي إدراك أن الناس مذ هبط آدم علیه السلام لا يتحرزون من ذلك، وفي العيان ما يغني عن الخبر، فراجع ما ذكرناه من الإجماع على البراءة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 كانوا يتحرزون مما لا يؤمن مفسدته كيف أباحه الكتاب والسنة وإجماع العقلاء من أهل الملل والأديان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المخالفة في المسألة إلَّا من بعض متأخر المتأخرين من الأخبارية محتجين لوجوب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تقم عليه حجة ـ بالكتاب والسنة ودليل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فالآيات الناهية عن الإلقاء في التهلكة، وعن القول بغير علم، والآمرة بالتقوى </w:t>
      </w:r>
      <w:r>
        <w:rPr>
          <w:rStyle w:val="FootnoteAnchor"/>
          <w:rtl w:val="true"/>
        </w:rPr>
        <w:footnoteReference w:id="460"/>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بأنه إذا كان الحكم بالإباحة شرعاً بالنص وحكمَ العقل بالأمن من مؤاخذة العقاب لم يكن في البين شيء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الهلكة، ولا القول بغير علم، ولا المخالفة للتقوى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ظهر الجواب عن أخبار أن الوقوف عند الشبهة خير من الاقتحام في الهلكة </w:t>
      </w:r>
      <w:r>
        <w:rPr>
          <w:rStyle w:val="FootnoteAnchor"/>
          <w:rtl w:val="true"/>
        </w:rPr>
        <w:footnoteReference w:id="461"/>
      </w:r>
      <w:r>
        <w:rPr>
          <w:rFonts w:ascii="IRNazanin" w:hAnsi="IRNazanin" w:eastAsia="IRNazanin"/>
          <w:color w:val="111111"/>
          <w:sz w:val="28"/>
          <w:sz w:val="28"/>
          <w:szCs w:val="28"/>
          <w:rtl w:val="true"/>
          <w:lang w:bidi="fa-IR"/>
        </w:rPr>
        <w:t xml:space="preserve">، </w:t>
      </w:r>
      <w:bookmarkStart w:id="170" w:name="pg9229_140393"/>
    </w:p>
    <w:p>
      <w:pPr>
        <w:pStyle w:val="BookText"/>
        <w:rPr/>
      </w:pPr>
      <w:bookmarkEnd w:id="170"/>
      <w:r>
        <w:rPr>
          <w:rFonts w:ascii="Amiri" w:hAnsi="Amiri" w:eastAsia="Amiri" w:cs="Amiri"/>
          <w:color w:val="111111"/>
          <w:sz w:val="28"/>
          <w:sz w:val="28"/>
          <w:szCs w:val="28"/>
          <w:rtl w:val="true"/>
          <w:lang w:bidi="ar-SA"/>
        </w:rPr>
        <w:t xml:space="preserve">وأخبار التثليث </w:t>
      </w:r>
      <w:r>
        <w:rPr>
          <w:rStyle w:val="FootnoteAnchor"/>
          <w:rtl w:val="true"/>
        </w:rPr>
        <w:footnoteReference w:id="462"/>
      </w:r>
      <w:r>
        <w:rPr>
          <w:rFonts w:ascii="Amiri" w:hAnsi="Amiri" w:eastAsia="Amiri" w:cs="Amiri"/>
          <w:color w:val="111111"/>
          <w:sz w:val="28"/>
          <w:sz w:val="28"/>
          <w:szCs w:val="28"/>
          <w:rtl w:val="true"/>
          <w:lang w:bidi="ar-SA"/>
        </w:rPr>
        <w:t xml:space="preserve">، والاحتياط </w:t>
      </w:r>
      <w:r>
        <w:rPr>
          <w:rStyle w:val="FootnoteAnchor"/>
          <w:rtl w:val="true"/>
        </w:rPr>
        <w:footnoteReference w:id="463"/>
      </w:r>
      <w:r>
        <w:rPr>
          <w:rFonts w:ascii="Amiri" w:hAnsi="Amiri" w:eastAsia="Amiri" w:cs="Amiri"/>
          <w:color w:val="111111"/>
          <w:sz w:val="28"/>
          <w:sz w:val="28"/>
          <w:szCs w:val="28"/>
          <w:rtl w:val="true"/>
          <w:lang w:bidi="ar-SA"/>
        </w:rPr>
        <w:t>ضرورة عدم الهلكة في الشبهة البدوية بعد حكم النص وحكم العقل بالبراءة، وأخبارُ الاحتياط إرشاد محضٌ لا تعبّدَ فيها لمن تأمّلها؛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عند الشبهة، فإنَّ الوقوف عند الشبهة خيرٌ من الاقتحام في الهلكة، والمهلكةُ ظاهرة في العقوبة، ولا عقوبة في الشبهة البدوية بضرورة الشرع والعقل قبل إيجاب الاحتياط، فلا يمكن تعليل إيجاب الاحتياط بأنه خيرٌ من الاقتحام في الهلكة، والمفروض أنه لا علم بوجوبه حتى تصح العقوبة على مخالفته، فليس إلّا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أخبار البراءة أخصُّ وأظهرُ ، بل هو نصُّ في حلّيّة المشتبه، فتُقدم على أخبار الاحتياط التي أقصاها الظهور في وجوب الاحتياط مع لزوم تخصيصها ببعض الشبهات؛ للإجماع على عدم لزوم الاحتياط في الشبهة الوجوبية حتى من الأخبارية، ولا ريب في عدم قبول مساقها للتخصيص كما هو ظاهر، فليس إلّا ما ذكرنا من كونها للإرشاد</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4247268_2870459653"/>
      <w:bookmarkStart w:id="172" w:name="_Toc58"/>
      <w:bookmarkEnd w:id="171"/>
      <w:r>
        <w:rPr>
          <w:rtl w:val="true"/>
        </w:rPr>
        <w:t xml:space="preserve">[ </w:t>
      </w:r>
      <w:r>
        <w:rPr>
          <w:rtl w:val="true"/>
        </w:rPr>
        <w:t>الاستدلال بالعقل على وجوب الاحتياط</w:t>
      </w:r>
      <w:r>
        <w:rPr>
          <w:rtl w:val="true"/>
        </w:rPr>
        <w:t>]</w:t>
      </w:r>
      <w:bookmarkEnd w:id="172"/>
    </w:p>
    <w:p>
      <w:pPr>
        <w:pStyle w:val="BookText"/>
        <w:rPr/>
      </w:pPr>
      <w:r>
        <w:rPr>
          <w:rFonts w:ascii="Amiri" w:hAnsi="Amiri" w:eastAsia="Amiri" w:cs="Amiri"/>
          <w:color w:val="111111"/>
          <w:sz w:val="28"/>
          <w:sz w:val="28"/>
          <w:szCs w:val="28"/>
          <w:rtl w:val="true"/>
          <w:lang w:bidi="ar-SA"/>
        </w:rPr>
        <w:t>وأمّا استدلالهم بالعقل على وجوب الاحتياط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العلم إجمالاً بوجود واجبات ومحرمات في المشتبهات الوجوب والحرمة يحكمُ العقل بلزوم فعل محتمل الوجوب وترك محتمل الحرمة في ما لم يكن على حكمه نصُّ؛ تحصيلاً لبراءة الذمة بعد اشتغالها، ولا كلام في لزوم الاحتياط في أطراف المعلوم إجمالاً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منحلٌ إلى تفصيلي وشك بدوي؛ للعلم إجمالاً أيضاً بثبوت طرق وأصول معتبرة قد أثبتت تكاليفَ فعلية منطبقة على ما عُلمَ أولاً تُساوي التكاليفَ </w:t>
      </w:r>
    </w:p>
    <w:p>
      <w:pPr>
        <w:pStyle w:val="BookText"/>
        <w:rPr/>
      </w:pPr>
      <w:r>
        <w:rPr>
          <w:rFonts w:ascii="Amiri" w:hAnsi="Amiri" w:eastAsia="Amiri" w:cs="Amiri"/>
          <w:color w:val="111111"/>
          <w:sz w:val="28"/>
          <w:sz w:val="28"/>
          <w:szCs w:val="28"/>
          <w:rtl w:val="true"/>
          <w:lang w:bidi="ar-SA"/>
        </w:rPr>
        <w:t>المعلومة إجمالاً ، بل تزيد عليها ، فلا عِلمَ بتكاليف أُخر في موارد الطرق والأصول العملية القائمة على ما ينطبق عليه المعلوم بالإجمال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في المسألة السابقة الحصر بدعوى استقلال العقل بالحظر في الأفعال غير الضرورية قبل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ثبتت الإباحة شرعاً بالنصِّ </w:t>
      </w:r>
      <w:r>
        <w:rPr>
          <w:rStyle w:val="FootnoteAnchor"/>
          <w:rtl w:val="true"/>
        </w:rPr>
        <w:footnoteReference w:id="464"/>
      </w:r>
      <w:r>
        <w:rPr>
          <w:rFonts w:ascii="Amiri" w:hAnsi="Amiri" w:eastAsia="Amiri" w:cs="Amiri"/>
          <w:color w:val="111111"/>
          <w:sz w:val="28"/>
          <w:sz w:val="28"/>
          <w:szCs w:val="28"/>
          <w:rtl w:val="true"/>
          <w:lang w:bidi="ar-SA"/>
        </w:rPr>
        <w:t>الذي هو أخص وأظهر من أخبار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التنبيه على أمور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تجري أصالة البراءة فيما لم يكن في موردها أصل موضوعي حاكمٌ عليها وافقها أو خالفها، كما لو شك بعد التذكية في حلّيّة حيوان معلوم القبول للتذكية؛ فإنَّ أصالة الإباحة فيه محكمةٌ، ولا أصل فيه إلّا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شك في أنَّ الجلل فيه هل يوجب ارتفاع قابليته للتذكية أم لا؟</w:t>
      </w:r>
    </w:p>
    <w:p>
      <w:pPr>
        <w:pStyle w:val="BookText"/>
        <w:rPr/>
      </w:pPr>
      <w:r>
        <w:rPr>
          <w:rFonts w:ascii="Amiri" w:hAnsi="Amiri" w:eastAsia="Amiri" w:cs="Amiri"/>
          <w:color w:val="111111"/>
          <w:sz w:val="28"/>
          <w:sz w:val="28"/>
          <w:szCs w:val="28"/>
          <w:rtl w:val="true"/>
          <w:lang w:bidi="ar-SA"/>
        </w:rPr>
        <w:t xml:space="preserve">فالأصل المثبت لقبوله التذكية أصالة قبوله لها؛ لأنَّه قبل الجلل كان يطهر ويحل بالتذكية فالأصل أنه كذلك بعده ، ولا مجال لأصالة الإباحة ولا لأصالة عدم التذكية، وكذا لا مجرى لأصالة الإباحة لو شك في حلّيّة حيوان مع الشك في قبوله التذكية إذا ذُبح على شرائط التذكية؛ لأنَّ الأصل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ينضمُه فيما لم يذكَ، ولا مجرى لأصالة الإباحة؛ لمكان الأصل الحاكم كما هو ظاهر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حسن الاحتياط في العبادات؛ فإنه نحو من الانقياد والطاعة، بل يستحق الثواب لو احتاط بداعي احتمال الأمر أو النهي حتى لو دار الأمر بين الوجوب وغير الاستحباب؛ لأنّه جاء به باحتمال الأمر واحتمال كونه محبوباً للمولى فيقع على تقدير الأمر به في الواقع امتثالاً لأمره، وعلى تقدير عدم الأمر فهو انقياد، فيستحق الثواب على كل </w:t>
      </w:r>
    </w:p>
    <w:p>
      <w:pPr>
        <w:pStyle w:val="BookText"/>
        <w:rPr/>
      </w:pP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الطاعة إنْ كان أمر به في الواقع، أو على الانقياد إن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Style w:val="FootnoteAnchor"/>
          <w:rtl w:val="true"/>
        </w:rPr>
        <w:footnoteReference w:id="465"/>
      </w:r>
      <w:r>
        <w:rPr>
          <w:rFonts w:ascii="Amiri" w:hAnsi="Amiri" w:eastAsia="Amiri" w:cs="Amiri"/>
          <w:color w:val="111111"/>
          <w:sz w:val="28"/>
          <w:sz w:val="28"/>
          <w:szCs w:val="28"/>
          <w:rtl w:val="true"/>
          <w:lang w:bidi="ar-SA"/>
        </w:rPr>
        <w:t>أنَّ نية التقرب موقوفةٌ على اعتقاد الطلب فلا يكفي حسن الاحتياط فاسدٌ؛ فإنَّ الحاكم باعتبار قصد القربة إنما هو العقل تحصيلاً للامتثال، فالقربة ليست شرطاً شرعياً، ولا جزءاً في العبادة، ولا تعلّق للأمر بها حتى يتوهم عدم إمكان الإتيان بجميع ما اعتبر في العبادة إلّا بعد العلم بالأمر بها، كلا إنما اعتبر القربة العقلُ فلا توقف، فاحتمالُ الأمر كافٍ</w:t>
      </w:r>
    </w:p>
    <w:p>
      <w:pPr>
        <w:pStyle w:val="BookText"/>
        <w:rPr/>
      </w:pPr>
      <w:r>
        <w:rPr>
          <w:rFonts w:ascii="Amiri" w:hAnsi="Amiri" w:eastAsia="Amiri" w:cs="Amiri"/>
          <w:color w:val="111111"/>
          <w:sz w:val="28"/>
          <w:sz w:val="28"/>
          <w:szCs w:val="28"/>
          <w:rtl w:val="true"/>
          <w:lang w:bidi="ar-SA"/>
        </w:rPr>
        <w:t>عند العقل في حسن الاحتياط، بل لا حاجة في جريان الاحتياط في العبادات إلى الأمر، بل لو تعلّق بها الأمر لم يكن من الاحتياط، بل مما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قلنا في مسألة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أَنَّ الأمر فيها إرشادٌ لحكم العقل، فاحتمال الأمر واحتمال محبوبيته كافٍ عند العقل في حسن الاحتياط بالإتيان والثواب ؛ لمحض التفضل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البلوغ اقتضى محبةَ الفعل بعنوانه الثانوي وهو البلوغ كان وجهٌ، فلو قيل بدلالة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العمل الذي بلغ عليه الثواب ولو بخبر ضعيف كان مستحباً كسائر ما دلَّ الدليل على استحبابه، ولا يجري فيه حينئذ الاحتياط</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البراءة في الفرد المشتبه التحريم الإباحة، إلَّا إذا كان النهي عن فعل الشيء في زمان أو مكان بحيث كان المطلوب تركه فيهما وعدم وجوده فيهما ولو مرة، فلو وجد كان عصياناً للنهي وعدم امتثال له أصلاً ، فلا بد من إحراز تركه بالمرة ولو بالأصل، فلا يجوز اقتحام المشكوك والإتيان بشيء يشك معه في تركه؛ للزوم إحراز الترك اللازم وجوب التحرز عنه، ولا يتحقق إلا بترك المشتبه</w:t>
      </w:r>
      <w:r>
        <w:rPr>
          <w:rFonts w:eastAsia="Amiri" w:cs="Amiri" w:ascii="Amiri" w:hAnsi="Amiri"/>
          <w:color w:val="111111"/>
          <w:sz w:val="28"/>
          <w:szCs w:val="28"/>
          <w:rtl w:val="true"/>
          <w:lang w:bidi="ar-SA"/>
        </w:rPr>
        <w:t xml:space="preserve">. </w:t>
      </w:r>
      <w:bookmarkStart w:id="173" w:name="pg9229_140399"/>
    </w:p>
    <w:p>
      <w:pPr>
        <w:pStyle w:val="BookText"/>
        <w:rPr/>
      </w:pPr>
      <w:bookmarkEnd w:id="173"/>
      <w:r>
        <w:rPr>
          <w:rFonts w:ascii="Amiri" w:hAnsi="Amiri" w:eastAsia="Amiri" w:cs="Amiri"/>
          <w:color w:val="111111"/>
          <w:sz w:val="28"/>
          <w:sz w:val="28"/>
          <w:szCs w:val="28"/>
          <w:rtl w:val="true"/>
          <w:lang w:bidi="ar-SA"/>
        </w:rPr>
        <w:t>نعم، لو كان النهي عن كل فرد بمعنى طلب ترك كل فرد منه على حِدة كانت الأفراد المشتبهة مجرى أصالة البراءة؛ ضرورة أن مجرد العلم بتحريم الشيء لا يوجبُ الامتناع عن أفراده المشتبهة، بل لا يجب حينئذٍ إلا ترك ما علم أنه فرد،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حكم الشارع والعقل بحسن الاحتياط خصوصاً في الدماء والفروج وغيرها من الأمور المهمة مقيداً بما لم يخل بالنظام فعلاً، ولا ينحصر في المشتبه، بل مما جاء الدليل على وجوبه أو حرمته، أو قامت الأمارات على عدم مصداقيته للواجب أو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كان احتمال التكليف فيه قوياً أو ضعيفاً قامت الحجة على خلافه أو لم تقم كلّ ذلك الاحتياط فيه حسن، ولو لزم منه اختلال النظام لم يحسن، اللهم إلّا أن يلتفت العامل فيرجح بعض الاحتياطات على بعض عند المعارضة، فافهم</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4247270_2870459653"/>
      <w:bookmarkStart w:id="175" w:name="_Toc59"/>
      <w:bookmarkEnd w:id="174"/>
      <w:r>
        <w:rPr>
          <w:rtl w:val="true"/>
        </w:rPr>
        <w:t>{</w:t>
      </w:r>
      <w:r>
        <w:rPr>
          <w:rtl w:val="true"/>
        </w:rPr>
        <w:t>دوران الأمر بين الوجوب والحرمة؛ لعدم الدليل على تعيين أحدهما تفصيلاً</w:t>
      </w:r>
      <w:r>
        <w:rPr>
          <w:rtl w:val="true"/>
        </w:rPr>
        <w:t>}</w:t>
      </w:r>
      <w:bookmarkEnd w:id="175"/>
    </w:p>
    <w:p>
      <w:pPr>
        <w:pStyle w:val="BookText"/>
        <w:rPr/>
      </w:pPr>
      <w:r>
        <w:rPr>
          <w:rFonts w:ascii="Amiri" w:hAnsi="Amiri" w:eastAsia="Amiri" w:cs="Amiri"/>
          <w:color w:val="111111"/>
          <w:sz w:val="28"/>
          <w:sz w:val="28"/>
          <w:szCs w:val="28"/>
          <w:rtl w:val="true"/>
          <w:lang w:bidi="ar-SA"/>
        </w:rPr>
        <w:t>ومن مسائل البراءة، إذا دار الأمر بين وجوب الشيء وحرمته؛ لعدم الدليل على تعيين أحدهما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فيه البراءة والإباحة؛ لشمول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الترجيح بين الفعل والترك، ولا مانع من البراءة عقلاً ولا نقلاً إذا كان كل من الحكمين توصلياً، ولا يلزم من طرحهما والرجوع إلى الإباحة بالعمل عصيان قطعاً، وليس فيه طرح لحكم الشارع، بل حكمه الواقعي باقٍ على ما هو عليه في الواقع، ولا يجب الالتزام إلّا بما علم من الحكم الواقعي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وكونُه كالخبرين المتعارضين الدال أحدهما على الحرمة والآخر على الوجوب غلطٌ ؛ لظهور الفرق بين المقامين وعدم حصول مناط الأخذ حتى يلتزم أعني احتمال الإصابة، بل هنا ليس المطلوب إلّا الأخذ بخصوص ما صدر واقعاً، وليس الأخذ بخصوص أحدهما أخذاً بخصوص ما صدر واقعاً بالضرورة؛ لاحتمال أن يكون الصادر الآخر، فلا تنجز هنا في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التكليف؛ لعدم التمكن من الموافقة القطعية، والموافقةُ الاحتمالية حاصلةُّ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لم يكن واحداً من الوجوب والحرمة، على التعيين تعبدياً؛ للزوم المخالفة العملية حينئذٍ من طرحهما والرجوع إلى الإباحة، فالحكم بالبراءة عقلاً ونقلاً؛ لعموم النقل وحكم العقل بقبح المؤاخذة على خصوص الوجوب أو الحرمة للجهل به فيما إذا كان كل من الوجوب والحرمة توصلياً لا مطلقاً، فتأمل</w:t>
      </w:r>
      <w:r>
        <w:rPr>
          <w:rFonts w:eastAsia="Amiri" w:cs="Amiri" w:ascii="Amiri" w:hAnsi="Amiri"/>
          <w:color w:val="111111"/>
          <w:sz w:val="28"/>
          <w:szCs w:val="28"/>
          <w:rtl w:val="true"/>
          <w:lang w:bidi="ar-SA"/>
        </w:rPr>
        <w:t xml:space="preserve">. </w:t>
      </w:r>
      <w:bookmarkStart w:id="176" w:name="pg9229_140404"/>
    </w:p>
    <w:p>
      <w:pPr>
        <w:pStyle w:val="Heading2"/>
        <w:numPr>
          <w:ilvl w:val="1"/>
          <w:numId w:val="1"/>
        </w:numPr>
        <w:rPr/>
      </w:pPr>
      <w:bookmarkStart w:id="177" w:name="__RefHeading___Toc4247272_2870459653"/>
      <w:bookmarkStart w:id="178" w:name="_Toc60"/>
      <w:bookmarkEnd w:id="176"/>
      <w:bookmarkEnd w:id="177"/>
      <w:r>
        <w:rPr>
          <w:rtl w:val="true"/>
        </w:rPr>
        <w:t xml:space="preserve">لامعةٌ </w:t>
      </w:r>
      <w:r>
        <w:rPr>
          <w:rtl w:val="true"/>
        </w:rPr>
        <w:t xml:space="preserve">[ </w:t>
      </w:r>
      <w:r>
        <w:rPr>
          <w:rtl w:val="true"/>
        </w:rPr>
        <w:t xml:space="preserve">في الشك في المكلَّف به </w:t>
      </w:r>
      <w:r>
        <w:rPr>
          <w:rtl w:val="true"/>
        </w:rPr>
        <w:t>]</w:t>
      </w:r>
      <w:bookmarkEnd w:id="178"/>
    </w:p>
    <w:p>
      <w:pPr>
        <w:pStyle w:val="BookText"/>
        <w:rPr/>
      </w:pPr>
      <w:r>
        <w:rPr>
          <w:rFonts w:ascii="Amiri" w:hAnsi="Amiri" w:eastAsia="Amiri" w:cs="Amiri"/>
          <w:color w:val="111111"/>
          <w:sz w:val="28"/>
          <w:sz w:val="28"/>
          <w:szCs w:val="28"/>
          <w:rtl w:val="true"/>
          <w:lang w:bidi="ar-SA"/>
        </w:rPr>
        <w:t>في الشك في المكلَّف به بعد العلم بأصل الوجوب أو الحرمة، ثمَّ ربما كان الشك والتردد بين المتباينين، وربما كان بين الأقل والأكثر الارتباطي</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4247274_2870459653"/>
      <w:bookmarkStart w:id="180" w:name="_Toc61"/>
      <w:bookmarkEnd w:id="179"/>
      <w:r>
        <w:rPr>
          <w:rtl w:val="true"/>
        </w:rPr>
        <w:t>{</w:t>
      </w:r>
      <w:r>
        <w:rPr>
          <w:rtl w:val="true"/>
        </w:rPr>
        <w:t>في دوران الأمر بين المتباينين</w:t>
      </w:r>
      <w:r>
        <w:rPr>
          <w:rtl w:val="true"/>
        </w:rPr>
        <w:t>}</w:t>
      </w:r>
      <w:bookmarkEnd w:id="180"/>
    </w:p>
    <w:p>
      <w:pPr>
        <w:pStyle w:val="BookText"/>
        <w:rPr/>
      </w:pPr>
      <w:r>
        <w:rPr>
          <w:rFonts w:ascii="Amiri" w:hAnsi="Amiri" w:eastAsia="Amiri" w:cs="Amiri"/>
          <w:color w:val="111111"/>
          <w:sz w:val="28"/>
          <w:sz w:val="28"/>
          <w:szCs w:val="28"/>
          <w:rtl w:val="true"/>
          <w:lang w:bidi="ar-SA"/>
        </w:rPr>
        <w:t xml:space="preserve">أما لو دار الواجب بين متباينين وكان التكليف المعلوم إجمالاً فعلياً من جميع الجهات وجبت الموافقة القطعية وحرمت مخالفتها؛ لوجوب موافقة التكليف الفعلي بالقطع، وإلا لم تحرم مخالفته القطعية، ولا فرق في وجوب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بالفعلية ـ بين الأطراف التدريجية والحالية؛ لتنجز العلم ووجوب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التكليف المعلوم إجمالاً معلوم الفعلية، كما لو لم تكن بعض الأطراف محلاً للابتلاء، أو كان المكلف مضطراً إلى بعضها المعين أو المردد، أو كان التكليف متعلّقاً بموضوع مقطوع بتحققه إجمالاً في هذا الشهر كأيام حيض المستحاضة لم تجب الموافقة القطعية حينئذٍ، بل جازَ مخالفة التكليف المعلوم إجمالاً، ومع عدم فعلية التكليف المعلوم إجمالاً من جميع الجهات لا مانع عقلاً ولا شرعاً من إجراء البراءة في الأطراف وشمول أدلتها لها؛ لأنَّها إنما خُصصت عقلاً في صورة فعلية التكليف؛ لأجل مناقضتها معه،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الاضطرار مطلقاً موجباً لجواز ارتكاب أحد الأطراف أو تركه تعييناً أو تخييراً، سابقاً كان على العلم أو لاحقاً؟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مانعاً عن العلم بفعلية التكليف؛ لتقييد التكليف بعدم الاضطرار إلى من أول الأمر؛ فإنَّ الاضطرار إلى الترك من قيود التكليف، ولا يتعلّق التكليف بالذمة من أول الأمر إلَّا مقيداً بعدم عروض الاضطرار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ظهر الفرق بين الاضطرار إلى بعض الأطراف، وبين فقدِ بعضها بلزوم الاحتياط في الباقي مع الفقد دون الاضطرار؛ لأنَّ فقدَ المكلَف به ليس من قيود التكليف به، بخلاف الاضطرار إلى تركه، فيجبُ رعاية الاحتياط بعد الفقد، لاشتغال الذمة به مطلقاً فلا </w:t>
      </w:r>
      <w:bookmarkStart w:id="181" w:name="pg9229_140406"/>
    </w:p>
    <w:p>
      <w:pPr>
        <w:pStyle w:val="BookText"/>
        <w:rPr/>
      </w:pPr>
      <w:bookmarkEnd w:id="181"/>
      <w:r>
        <w:rPr>
          <w:rFonts w:ascii="Amiri" w:hAnsi="Amiri" w:eastAsia="Amiri" w:cs="Amiri"/>
          <w:color w:val="111111"/>
          <w:sz w:val="28"/>
          <w:sz w:val="28"/>
          <w:szCs w:val="28"/>
          <w:rtl w:val="true"/>
          <w:lang w:bidi="ar-SA"/>
        </w:rPr>
        <w:t>بدَّ من الفراغ عنه، ولا يجب رعايته بعد الاضطرار ؛ لعدم العلم بالاشتغال به إلى هذا الحد،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الاحتياط فيه من باب الاحتياط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الابتلاء بجميع الأطراف مما لا بد منه في تأثير العلم بفعلية التكليف؟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العلم بالتكليف الفعلي على ذلك؛ لاحتمال تعلّق التكليف بما لا ابتلاء به، كما أنَّ ما لا ابتلاء به عادةً لا موقع للنهي عنه؛ لكونه متروكاً بعدم الداعي إليه، والنهي عنه من قبيل تحصيل الحاصل، فالمدار على ما كان داعياً إليه فينهاه المولى عنه، وفي مثله يحصل العلم بالتكليف الفعلي، وبدونه لا علم بتكليف فعلي ولو شك في ذلك، فالأصل البراءة؛ لعدم العلم بالاشتغال ولا ينفع الإطلاق في مثله،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يوجبُ رفع فعلية التكليف المعلوم بالإجمال أيضاً كثرةُ الأطراف غير المحصورة؛ لعسر الموافقة القطعية باجتناب كلها، أو ارتكابها جميعاً، أو لزوم الضرر في ذلك، أو غير ذلك مما لا يكون معه التكليف فعلياً، ولو شك في عروض العسر أو الضرر فالمرجع إطلاق الدليل المثبت للتكليف لو كان، وإلا فالبراءة محكمة للشك في التكليف الفعلي، ولا ميزان في تعيين المحصور وغير المحصور يمكن التعويل عليه غير ما ذكرنا</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4247276_2870459653"/>
      <w:bookmarkStart w:id="183" w:name="_Toc62"/>
      <w:bookmarkEnd w:id="182"/>
      <w:r>
        <w:rPr>
          <w:rtl w:val="true"/>
        </w:rPr>
        <w:t>تتميمٌ</w:t>
      </w:r>
      <w:bookmarkEnd w:id="183"/>
    </w:p>
    <w:p>
      <w:pPr>
        <w:pStyle w:val="BookText"/>
        <w:rPr/>
      </w:pPr>
      <w:r>
        <w:rPr>
          <w:rFonts w:ascii="Amiri" w:hAnsi="Amiri" w:eastAsia="Amiri" w:cs="Amiri"/>
          <w:color w:val="111111"/>
          <w:sz w:val="28"/>
          <w:sz w:val="28"/>
          <w:szCs w:val="28"/>
          <w:rtl w:val="true"/>
          <w:lang w:bidi="ar-SA"/>
        </w:rPr>
        <w:t xml:space="preserve">في حكم ملاقاة شيء مع أحد الأطراف المعلوم وجود النجس فيها إجمالاً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المدار في الاحتياط في خصوص الأطراف عند العقل على ما يتوقف حصول العلم بإتيان الواجب أو ترك الحرام المعلوم وجوده في بين الأطراف لا مطلقاً، فلا يجب الاجتناب عن ملاقي أحد الأطراف إذا كانت الملاقاة بعد العلم إجمالاً بالنجس مع الاجتناب عن جميع الأطراف؛ للقطع بالاجتناب عن النجس الذي كان في البين، فإن الملاقي لأحد الأطراف بعد العلم بالنجاسة خارج عن الأطراف، ولو كان نجساً في الواقع لنجاسة الملاقي كان فرداً آخر من النجس وقد شك في وجوده كشيء آخر شك في نجاسته بسبب آخر، فهو بالنسبة إلى العلم بالنجس كفرد آخر لم يعلم حدوثه، بل احتمل، فلا مجال لتوهم </w:t>
      </w:r>
      <w:bookmarkStart w:id="184" w:name="pg9229_140408"/>
    </w:p>
    <w:p>
      <w:pPr>
        <w:pStyle w:val="BookText"/>
        <w:rPr/>
      </w:pPr>
      <w:bookmarkEnd w:id="184"/>
      <w:r>
        <w:rPr>
          <w:rFonts w:ascii="Amiri" w:hAnsi="Amiri" w:eastAsia="Amiri" w:cs="Amiri"/>
          <w:color w:val="111111"/>
          <w:sz w:val="28"/>
          <w:sz w:val="28"/>
          <w:szCs w:val="28"/>
          <w:rtl w:val="true"/>
          <w:lang w:bidi="ar-SA"/>
        </w:rPr>
        <w:t>لزوم الاجتناب عنه من جهة تنجز الاجتناب عن المعلوم؛ لكونه خارجاً عن أطراف المعلوم بالإجمال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الاجتناب عن الملاقي والملاقي لو حدث العلم الإجمالي بعد العلم بالملاقاة؛ لأنَّا نعلمُ إمّا نجاستهما أو نجاسةالإناء الآخر فيجب الاجتناب عن النجس في البين</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4247278_2870459653"/>
      <w:bookmarkStart w:id="186" w:name="_Toc63"/>
      <w:bookmarkEnd w:id="185"/>
      <w:r>
        <w:rPr>
          <w:rtl w:val="true"/>
        </w:rPr>
        <w:t>{</w:t>
      </w:r>
      <w:r>
        <w:rPr>
          <w:rtl w:val="true"/>
        </w:rPr>
        <w:t>فى دوران الأمر بين الأقل والأكثر الارتباطيين</w:t>
      </w:r>
      <w:r>
        <w:rPr>
          <w:rtl w:val="true"/>
        </w:rPr>
        <w:t>}</w:t>
      </w:r>
      <w:bookmarkEnd w:id="186"/>
    </w:p>
    <w:p>
      <w:pPr>
        <w:pStyle w:val="BookText"/>
        <w:rPr/>
      </w:pPr>
      <w:r>
        <w:rPr>
          <w:rFonts w:ascii="Amiri" w:hAnsi="Amiri" w:eastAsia="Amiri" w:cs="Amiri"/>
          <w:color w:val="111111"/>
          <w:sz w:val="28"/>
          <w:sz w:val="28"/>
          <w:szCs w:val="28"/>
          <w:rtl w:val="true"/>
          <w:lang w:bidi="ar-SA"/>
        </w:rPr>
        <w:t>وأما دوران الأمر بين الأقل والأكثر الارتباطيين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الذي لا ينبغي أن يحيف الأخذُ بالأقل عند الشك في الزائد في مثل الصلاة المعروفة في الجملة، وإنما يقع الشك حيث يقع في وجوب ما اتفقوا على جزئيته كالسورة، أو استحبابه كالقنوت، أو جزئية ما يتناوله المتفق عليه كالذكر، وربما وقع في جزئية ما اتفقوا على لزومه كالهوي إلى السجود، أو جوازه كجلسة الاستراحة، فكان الشك إنما هو في دخول ذلك الشيء المحتمل في تمام معنى المجمل، فالعلماء وإن تنازعوا في بعض الأجزاء، لكنهم مجمعون على أن النزاع إنما هو في دخول المتنازع فيه في الصلاة وفي خروجه، وليس نزاعهم فی أنَّ مفهوم الصلاة ماذا، هذا المجموع أو ذاك وإن رجع إليه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أنَّ النزاع إنما هو في الجزء المحتمل لا في المجموع حتى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العلم الإجمالي بثبوت التكليف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يوجبُ الاحتياط عقلاً بإتيان الأكثر؛ لتنجزه به حيث تعلّق بثبوته فعلاً</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وكيف يعلم تنجزه بالجزء المشكوك دخوله في المكلف به کلا بل المعلوم تنجزه به هو المجموع المعلوم الذي لا خلاف فيه، والمشكوكُ مشكوكٌ بدواً؛ ضرورة لزوم الإتيان بالمجموع المعلوم وجوبه على القولين، والجزء المشكوك دخوله مشكوكُ الوجوبِ على القولين، فكيف يكون العلم منجزاً به وهو محتملٌ صِرف بلا ما يوجب تنجزه لو كان واجباً في الواقع؛ لانحلال العلم وصيرورته مشكوكاً بدوياً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فساد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الانحلال المحال بزعم بداهة توقف لزوم الأقل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لنفسه أو لغيره على تنجز التكليف مطلقاً ولو كان متعلّقاً بالأكثر ، فلو كان لزومه كذلك مستلزماً لعدم تنجزه إلَّا إذا كان متعلقاً بالأقل كان خلفاً، مع أنَّه يلزم من وجوده عدمه؛ لاستلزامه عدم تنجز التكليف على كل حال المستلزمُ لعدم لزوم الأقل مطلقاً المستلزِمُ لعدم الانحلال، وما يلزم من وجوده عدمه محالٌ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 هذا المجموع المركب من هذه الأجزاء المعلومة هو المعنى الحقيقي للمجمل عند المتشرعة، ومعروضيته للأمر معلومٌ؛ لأنَّ التكليف إنما هو بالمعنى العرفي، ومعلومٌ أن الجزء المحتمل الذي لم يقم دليل عليه مشكوکٌ بدواً لا معلومٌ إجمالاً، إنما المعلوم المجموع المركب من الأجزاء المعلومة، فلا يتوقف تنجز وجوب المجموع ِفعلاًالمتيقن على تنجيز التكليف بالجزء المحتمل الصرف؛ لِما عرفت من أن النزاع إنما هو في دخول المتنازع فيه في الصلاة وفي خروجه، فالصلاة المعروفة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هذا المجموع المركب من أجزاء المعلومة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الوجوب فعلاً، لا أنَّ نزاع العلماء في مفهوم الصلاة ماذا هل هذا المجموع أو ذاك المجموع ؟ كي يتوهم عدم الانحلال أو استلزامه المحال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إن إنكار كون الأقل متيقن الوجوب </w:t>
      </w:r>
      <w:r>
        <w:rPr>
          <w:rStyle w:val="FootnoteAnchor"/>
          <w:rtl w:val="true"/>
        </w:rPr>
        <w:footnoteReference w:id="469"/>
      </w:r>
      <w:r>
        <w:rPr>
          <w:rFonts w:ascii="Amiri" w:hAnsi="Amiri" w:eastAsia="Amiri" w:cs="Amiri"/>
          <w:color w:val="111111"/>
          <w:sz w:val="28"/>
          <w:sz w:val="28"/>
          <w:szCs w:val="28"/>
          <w:rtl w:val="true"/>
          <w:lang w:bidi="ar-SA"/>
        </w:rPr>
        <w:t xml:space="preserve">الملزوم عند العقل مكابرةٌ مع الوجدان ومضادة مع العيان، اليس هذا المجموع المركب من الأجزاء المعلومة معلومٌ ولا </w:t>
      </w:r>
    </w:p>
    <w:p>
      <w:pPr>
        <w:pStyle w:val="BookText"/>
        <w:rPr/>
      </w:pPr>
      <w:r>
        <w:rPr>
          <w:rFonts w:ascii="Amiri" w:hAnsi="Amiri" w:eastAsia="Amiri" w:cs="Amiri"/>
          <w:color w:val="111111"/>
          <w:sz w:val="28"/>
          <w:sz w:val="28"/>
          <w:szCs w:val="28"/>
          <w:rtl w:val="true"/>
          <w:lang w:bidi="ar-SA"/>
        </w:rPr>
        <w:t>شك إلَّا في جلسة الاستراحة هل هي داخلة في الصلاة أم لا؟ هذا واقع الأمر وحقيقته، فكيف لا يكون الأقل متيقناً محكوماً بلزومه ولا يكون العلم الإجمالي منحلاً بعد هذا المتيقن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جلسة الاستراحة على تقدير وجوبها في الواقع داخلةً في هذا المركب المعلوم وجوب جميع أجزائه على كل تقدير سواء كانت الجلسة واجبة أو لم تكن واجبة، ولا يكون الأمر بهذا المجموع على تقدير دخول الجزء المشكوك في حقيقة الصلاة غير الأمر بها على تقدير عدم وجوب ذلك المشكوك ، بل هو ليس إلا الأمر بالصلاة المخترعة ذات الحقيقة الشرعية المعروفة عند المتشرعة في الجملة والمقطوع عندهم بالقطع الضروري هذا المجموع المعروف وإن احتملوا دخول جلسة الاستراحة فيها؟</w:t>
      </w:r>
    </w:p>
    <w:p>
      <w:pPr>
        <w:pStyle w:val="BookText"/>
        <w:rPr/>
      </w:pPr>
      <w:r>
        <w:rPr>
          <w:rFonts w:ascii="Amiri" w:hAnsi="Amiri" w:eastAsia="Amiri" w:cs="Amiri"/>
          <w:color w:val="111111"/>
          <w:sz w:val="28"/>
          <w:sz w:val="28"/>
          <w:szCs w:val="28"/>
          <w:rtl w:val="true"/>
          <w:lang w:bidi="ar-SA"/>
        </w:rPr>
        <w:t xml:space="preserve">لكن لّما لم يقم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الجد والاجتهاد والفحص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 استراحوا إلى قبح العقاب بلا بيان في الأمن من العقاب على ترك جلسة الاستراحة لو كانت في علم الله تعالى داخلة في الصلاة، وقالوا الأصلُ عدمُ دخولها، والبراءة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العلم الإجمالي في المكلف به ينجز التكليف بالجزء المشكوك صرف الذي لم يقم دليل على دخوله في المأمور به، وليس فيه إلا صِرف الاحتمال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مكابرةٌ مع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ينحل إذا كان الأقل ذا مصلحة ملزمة، فإنَّ وجوبه حينئذٍ يكون معلوماً له، وإنما كان الترديد لاحتمال أن يكون الأكثر ذا مصلحتين أو مصلحة أقوى من مصلحة الأقل، فالعقل في مثله وإن استقلَّ بالبراءة بلا كلام إلَّا أنه خارجٌ عما هو محلُّ النقض والإبرام </w:t>
      </w:r>
      <w:r>
        <w:rPr>
          <w:rStyle w:val="FootnoteAnchor"/>
          <w:rtl w:val="true"/>
        </w:rPr>
        <w:footnoteReference w:id="4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خارجاً عن محل النزاع، أليس النزاع في الجزء المشكوك الذي لم يقم دليل على لزومه ودخوله في حقيقة الصلاة المتلقاة من الشارع التي يقيمها المتشرعة في اليوم والليلة خمس مرات، هل يحتمل عاقل أنها على تقدير دخول الجزء المحتمل المشكوك فيها كالرقص بدونه لا مصلحة فيها، أقصاه أن المصلحة على تقدير دخول جلسة </w:t>
      </w:r>
    </w:p>
    <w:p>
      <w:pPr>
        <w:pStyle w:val="BookText"/>
        <w:rPr/>
      </w:pPr>
      <w:r>
        <w:rPr>
          <w:rFonts w:ascii="Amiri" w:hAnsi="Amiri" w:eastAsia="Amiri" w:cs="Amiri"/>
          <w:color w:val="111111"/>
          <w:sz w:val="28"/>
          <w:sz w:val="28"/>
          <w:szCs w:val="28"/>
          <w:rtl w:val="true"/>
          <w:lang w:bidi="ar-SA"/>
        </w:rPr>
        <w:t>الاستراحة فيها أقوى، أما احتمال أن لا يكون فيها مصلحة ملزمة وأنَّ الجزء المشكوك العلة التامة في ثبوت المصلحة فيها وبدونه هي كالرقص واللعب لا يحتمله أحد، وحينئذٍ كيف لا بدَّ أن ينحل العلم كما اعترف به، وكيف يعترف بهذا ويدعي أنَّ الانحلال مستلزمٌ للمحال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الكلام إلّا في الأقل والأكثر الارتباطي كالصلاة ، ونحوها، وليس الأقل إلّا هذا المركب المعروف عند المتشرعة بالصلاة، والأكثر ليس إلّا هو مع الجزء المحتمل الجزئية الذي لا يمكن إثبات جزئيته إلَّا بالاحتمال، وإثباتُ الجزئية بالاحتمال تشريعٌ يجب الخروج منه، والملزم به إنما يقوده إليه الاحتياط ولا يقول بجزئيته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هذا لا تكون الصلاة التي عليها المتشرعة ذات مصلحة ملزمة؟ ويدعي أنَّ المصلحة المقتضية للأمر لا تكاد تحرز إلَّا بالأكثر الراجع إلى ما عرفت من الإتيان بالمحتمل المشكوك الذي لا دليل على دخوله في حقيقة الصلاة بوجه من الوجوه، حتى نفى جزئيته عامةُ المتشرعة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الصلاة إلَّا ما عرفه المتشرعة عن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المحتمل لا دليل على دخوله فيها فالأصل عدمه، وهذا المعترض يزعم أنه لا يمكن إحراز المصلحة إلّا بهذا المشكوك، وبدونه لا تصح مصلحة الأمر، ولا يحتمل أن تكون المصلحة تامة بدونه أو تكون معه أقوى، ولا غرو فكثيراً ما تشتبه هذه المقامات على غير المتروي، وطريقةُ الأصحاب مستقيمةٌ على البراءة، ولم يُفتِ أحد منهم بلزوم الاحتياط قبل المحقق السبزواري صاحب الذخيرة </w:t>
      </w:r>
      <w:r>
        <w:rPr>
          <w:rStyle w:val="FootnoteAnchor"/>
          <w:rtl w:val="true"/>
        </w:rPr>
        <w:footnoteReference w:id="471"/>
      </w:r>
      <w:r>
        <w:rPr>
          <w:rFonts w:ascii="Amiri" w:hAnsi="Amiri" w:eastAsia="Amiri" w:cs="Amiri"/>
          <w:color w:val="111111"/>
          <w:sz w:val="28"/>
          <w:sz w:val="28"/>
          <w:szCs w:val="28"/>
          <w:rtl w:val="true"/>
          <w:lang w:bidi="ar-SA"/>
        </w:rPr>
        <w:t>؛ لأنَّهم يرون أنَّ التكليف إنما كان بما جاء في البيان لا بالمحتمل، وإنما تعلّق بحقيقة معروفة وهو المعنى الشرعي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أنه وإن تعلّق بالمجمل، لكن جاء البيان الحقيقة الصلاة قولاً وفعلاً، وهو ما أصابه الراسخون من مجموع الأدلة واستقامت عليه المتشرعة وعرفته وعرّفته بالصلاة، وهذا المشكوك لا دليل على دخوله فيه، وأنى يخفى ما تعم به البلوى وتتوفر الدواعي على </w:t>
      </w:r>
    </w:p>
    <w:p>
      <w:pPr>
        <w:pStyle w:val="BookText"/>
        <w:rPr/>
      </w:pPr>
      <w:r>
        <w:rPr>
          <w:rFonts w:ascii="Amiri" w:hAnsi="Amiri" w:eastAsia="Amiri" w:cs="Amiri"/>
          <w:color w:val="111111"/>
          <w:sz w:val="28"/>
          <w:sz w:val="28"/>
          <w:szCs w:val="28"/>
          <w:rtl w:val="true"/>
          <w:lang w:bidi="ar-SA"/>
        </w:rPr>
        <w:t xml:space="preserve">نقله مع طول البحث وشدة التنقيب </w:t>
      </w:r>
      <w:r>
        <w:rPr>
          <w:rStyle w:val="FootnoteAnchor"/>
          <w:rtl w:val="true"/>
        </w:rPr>
        <w:footnoteReference w:id="472"/>
      </w:r>
      <w:r>
        <w:rPr>
          <w:rFonts w:ascii="Amiri" w:hAnsi="Amiri" w:eastAsia="Amiri" w:cs="Amiri"/>
          <w:color w:val="111111"/>
          <w:sz w:val="28"/>
          <w:sz w:val="28"/>
          <w:szCs w:val="28"/>
          <w:rtl w:val="true"/>
          <w:lang w:bidi="ar-SA"/>
        </w:rPr>
        <w:t>، فالعقل حاكم بعد الوقوف على ما ذكرنا بالأمن من ترك هذا المشكوك مع القطع بحصول الغرض من إطاعة الأمر بالصلاة، أقصاه أنه يحتمل أن تكون المصلحة أقوى من الإتيان بالجزء المحتمل ، ولا داعي إلى دعوى كفاية ما علم تعلّق الأمر به، فإنه واجب عقلاً وإنْ لم يكن في المأمور به مصلحة ولطف رأساً؛ لتنجزه بالعلم به إجمالاً، وأمّا الزائد عليه لو كان فلا تبعة على مخالفته من جهته؛ فإنَّ العقوبة عليه بلا بيان؛ لما عرفتَ من القطع بحصول الغرض بإتيان الصلاة التي اتفق الكل عليها اليوم ولا يعرفون شيئاً خارجاً عنها ، بل لا يحتملون بقاء الاشتغال بترك المحتمل الذي لم يقم دليل على جزئيته أصلاً؛ لاستقلال العقل بالحكم بقبح 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بحديث الحجب والرفع على عدم وجوب الإتيان بالجزء المشكوك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احتج بما تقدم من الأخبار في الشك في التكليف كحديث الحجب وحديث الرفع بأنَّ وجوب الجزء المشكوك محجوب علمه عن العباد فهو موضوع عنهم، ومما لم يعلم فهو مرفوع عن المكلفين؛ وحيث إنَّ هذه الأخبار تدل على نفي العقاب على ترك الجزء المشكوك لو كان واجباً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حاكمة على حكم العقل فلا يقتضي وجوب الأكثر من باب الاحتياط الراجع إلى وجوب دفع العقاب المحتمل بزعم الخصم؛ ضرورة أنَّ الشارع أخبر بنفي العقاب على ترك الأكثر لو كان واجباً في الواقع، واستصحاب الاشتغال مثبت لا نقول بحجيته، فالعلم بالجزء المشكوك بعد محجوب، فلا ينفع في لزوم الاحتياط</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الأخبار حاكمة على استصحاب الاشتغال على تقدير القول بالأصل المثبت؛ لأنَّ الشارع أخبر بعدم المؤاخذة على ترك الأكثر الذي حجب العلم بوجوبه، كان المستصحب وهو الاشتغال المعلوم سابقاً غير متيقن إلا بالنسبة إلى الأقل وقد ارتفع بإتيانه، واحتمال بقاء الاشتغال حينئذ من جهة الأكثر منفي بحكم هذه الأخبار ، وكذلك هي تنفي العقاب والضرر المحتمل عقلاً كما عرفت، فافهم</w:t>
      </w:r>
      <w:r>
        <w:rPr>
          <w:rFonts w:eastAsia="Amiri" w:cs="Amiri" w:ascii="Amiri" w:hAnsi="Amiri"/>
          <w:color w:val="111111"/>
          <w:sz w:val="28"/>
          <w:szCs w:val="28"/>
          <w:rtl w:val="true"/>
          <w:lang w:bidi="ar-SA"/>
        </w:rPr>
        <w:t xml:space="preserve">. </w:t>
      </w:r>
      <w:bookmarkStart w:id="187" w:name="pg9229_140419"/>
    </w:p>
    <w:p>
      <w:pPr>
        <w:pStyle w:val="Heading2"/>
        <w:numPr>
          <w:ilvl w:val="1"/>
          <w:numId w:val="1"/>
        </w:numPr>
        <w:rPr/>
      </w:pPr>
      <w:bookmarkStart w:id="188" w:name="__RefHeading___Toc4247280_2870459653"/>
      <w:bookmarkStart w:id="189" w:name="_Toc64"/>
      <w:bookmarkEnd w:id="187"/>
      <w:bookmarkEnd w:id="188"/>
      <w:r>
        <w:rPr>
          <w:rtl w:val="true"/>
        </w:rPr>
        <w:t>تتمیمات مهمات</w:t>
      </w:r>
      <w:bookmarkEnd w:id="189"/>
    </w:p>
    <w:p>
      <w:pPr>
        <w:pStyle w:val="BookText"/>
        <w:rPr/>
      </w:pPr>
      <w:r>
        <w:rPr>
          <w:rFonts w:ascii="Amiri" w:hAnsi="Amiri" w:eastAsia="Amiri" w:cs="Amiri"/>
          <w:color w:val="111111"/>
          <w:sz w:val="28"/>
          <w:sz w:val="28"/>
          <w:szCs w:val="28"/>
          <w:rtl w:val="true"/>
          <w:lang w:bidi="ar-SA"/>
        </w:rPr>
        <w:t xml:space="preserve">وما ذكرنا من العقل والنقل جار فيما إذا كان الشك في الجزئية من جهة إجمال الدليل أيضاً؛ فإن التكليف متعلّق بمصداق المراد والمدلول؛ لأنه الموضوع له اللفظ والمستعمل فيه فلا يتوهم تنجز التكليف بمراد الشارع من اللفظ إذا كان متعلّق الخطاب مجملاً؛ لما ذكرنا من أنَّ التكليف ليس متعلقاً بمفهوم المراد من اللفظ ومدلوله حتى يكون من قبيل التكليف بالمفهوم المبين المشتبه مصداقه بين أمرين حتى يجب الاحتياط فيه، وإنما تعلّق التكليف بمصداق المراد والمدلول؛ لأنَّ المصداق هو الموضوع له اللفظ والمستعمل فيه واتصافه بمفهوم المراد والمدلول بعد الوضع والاستعمال ، فنفس 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الأقل والأكثر لا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مصداق متعلّق التكليف وهو المسمى بمصداق المصداق، ونظير هذا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توهم أنَّ متعلّق التكليف هو المفهوم لا المصداق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اللفظ في العبادات موضوعاً للصحيح، والصحيحُ مردد مصداقه بين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فيه الاحتياط، وهو خلط بين الوضع للمفهوم والمصداق، فافهم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فرق بين وضع الاسم للصحيح أو الأعم، والمرجع الإطلاقُ عند تعارض النصين في الجزء، وحيث لا إطلاق ، فالمرجع التخييرُ ، وإذا تعلق الحكم بمفهوم مبين وتردد المصداق وجب الاحتياط، فيجب الاحتياط في الشبهة الموضوعية عند الشك في الجزئية؛ لأنَّ المفروض تنجز التكليف بمفهوم مبين معلوم تفصيلاً وإنما الشك في تحققه بالأقل، فمقتضى تحققه وبقاء الاشتغال عدم الاكتفاء به ولزوم الإتيان بالأكثر، والعقل أيضاً أصالة عدم مستقل بوجوب الاحتياط مع الشك في التحقق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الشك في الجزء الذهني هو القيد ودار الأمر بين المطلق وبين المقيد، والقيدُ إمّا من الأمور المنتزعة من أمر خارجي مغاير للمأمور به في الوجود الخارجي كالوضوء الذي يصير منشاً للطهارة المقيد بها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من خصوصيات المأمور به المتحدة معه في الوجود كما لو دار الأمر بين مطلق الرقبة ورقبة خاصة كمؤمنة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في كون القسم الثاني من قبيل المتباينين لا الأقل والأكثر، فالآتي بالرقبة الكافرة لم يأتِ في الخارج بما هو معلوم له تفصيلاً كي يكون معذوراً في الزائد المجهول، بل هو تارك للمأمور به رأساً؛ لأنَّ الإيمان المتحد مع الرقبة ليس مما يتعلق به وجوب مغاير لوجوب أصل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يندرج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علمه عن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اندراج القسم الأول فيما حجب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حديث الرفع؛ لدلالته على عدم شرطية ما شك في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التخيير والتعيين حيث لا لفظ في المقام، كما لو دار الواجب في كفارة رمضان بين خصوص العتق للقادر عليه وبين إحدى الخصال الثلاث، فالحق التعيين؛ للاحتياط؛ لرجوعه إلى المتباينين لا الأقل والأكثر؛ لعدم كون المعين أمراً خارجاً عن المكلف به مأخوذاً فيه على وجه الشرطية أو الشطرية، بل هو على تقديره عين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الجزء المتروك سهواً فسادُ الصلاة؛ لكونه جزءاً واقعياً لازم الإتيان بنفس الأمر، لا جزءاً في حال الذكر ولا فرق بين الدليل اللفظي واللبي كالإجماع ونحوه، وانتفاء الأمر الغيري في حق الغافل عن الجزء إنما هو من حيث انتفاء الأمر بالكل في حال الغفلة فلا تنتفي الجزئية بذلك، فلا بد له بعد الالتفات من الإعادة أو القضاء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الجزئية مرتفعة حال النسيان بحديث الرفع بناءً على رفع جميع الآثار، وأنَّ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للشارع التصرف بمنشأ انتزاعها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الآثار الشرعية، فهي مرفوعة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ممنوعةُ المبنى والابتناء كدعوى الإجزاء في المقام، ولا أمر بغير الأمر الجامع لجميع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الجزء الزائد عمداً من دون قصد الجزئية عدم الفساد؛ للشك في المانع، والأصل براءة الذمة من شرطية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يدلَّ خبر على الفساد كما جاء في سجدة العزيمة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زيادة في المكتوبة</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زاد بقصد كون الزيادة جزءاً مستقلاً فلا ريب في الفساد؛ لأنَّ ما جاء به مشتمل على زيادة وهو غير مأمور به، وما أمر به لم يقصد الامتثال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الزائد سهواً كالزائد عمداً من غير فرق، فما يقدحُ عمده يقدح سهوه مع عدم الدليل، وقد جاء في الأخبار عموم قدح كل زيادة،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نفى الإعادة في السهو إلا عن خمسة، وهو مخصص لذلك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الأصلُ إطلاق الجزء حتى حال التعذر فينتفي الكل بانتفائه، أو اختصاصه في حال التمكن فيبقى ما سواه من الأجزاء؟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جزئية الشيء أو شرطيته وشك في إطلاقها لحال العجز عنها، ودار الأمر بين أن يكون الشيء جزءاً أو شرطاً مطلقاً، وبين أن يكون جزءاً أو شرطاً حال التمكن منه ولو ثبت الإطلاق وعجز عنه سقط الأمر به؛ لعدم القدرة فيبقى الأمر متعلّقاً بالباقي، ومع عدم المعين للإطلاق أو التقييد بحال التمكن كإطلاق دليل الجزئية أو الشرطية، أو إطلاق دليل المأمور به وإجمال دليل اعتبار الجزء أو الشرط، فالمرجع حينئذ البراءة عن الباقي؛ لاستقلال العقل بالحكم بها؛ لأنَّ العقاب على تركه يكون عقاباً بلا بيان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رفع الجزئية أو الشرطية بحديث الرفع؛ لأنه جاء بالامتنان بنفي ما يوجب </w:t>
      </w:r>
    </w:p>
    <w:p>
      <w:pPr>
        <w:pStyle w:val="BookText"/>
        <w:rPr/>
      </w:pPr>
      <w:r>
        <w:rPr>
          <w:rFonts w:ascii="Amiri" w:hAnsi="Amiri" w:eastAsia="Amiri" w:cs="Amiri"/>
          <w:color w:val="111111"/>
          <w:sz w:val="28"/>
          <w:sz w:val="28"/>
          <w:szCs w:val="28"/>
          <w:rtl w:val="true"/>
          <w:lang w:bidi="ar-SA"/>
        </w:rPr>
        <w:t>التكليف لا بما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وجوب الباقي في حال التعذر أيضاً؛ لأنَّ العرف لا يدققون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بقاء الموضوع فهو من القسم الثالث من استصحاب الكلي الذي يُشك في مقدار استعداد الكلي فيه، وربما استدل بالخبر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وبالمستفيض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وفي شمولها للشرط تأمل، بل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عموم فيها، وهما كسائر أمثالهما لا تخلو من الإشكال في السند أو الدلالة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تعذر الإتيان بتمام المأمور به فهل يقدم البدل على ما بقي أم لا؟ الأظهرُ تقدمُ البدل وإنْ أومأ خبر الميسور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كون الشيء شرطاً أو مانعاً، أو بين كونه جزء جزء وكونه مبطلاً كالجهر بالقراءة في ظهر الجمعة، فقد قيل بوجوبه </w:t>
      </w:r>
      <w:r>
        <w:rPr>
          <w:rStyle w:val="FootnoteAnchor"/>
          <w:rtl w:val="true"/>
        </w:rPr>
        <w:footnoteReference w:id="477"/>
      </w:r>
      <w:r>
        <w:rPr>
          <w:rFonts w:ascii="Amiri" w:hAnsi="Amiri" w:eastAsia="Amiri" w:cs="Amiri"/>
          <w:color w:val="111111"/>
          <w:sz w:val="28"/>
          <w:sz w:val="28"/>
          <w:szCs w:val="28"/>
          <w:rtl w:val="true"/>
          <w:lang w:bidi="ar-SA"/>
        </w:rPr>
        <w:t xml:space="preserve">، وقيل بوجوب الإخفات وإبطال الجهر </w:t>
      </w:r>
      <w:r>
        <w:rPr>
          <w:rStyle w:val="FootnoteAnchor"/>
          <w:rtl w:val="true"/>
        </w:rPr>
        <w:footnoteReference w:id="478"/>
      </w:r>
      <w:r>
        <w:rPr>
          <w:rFonts w:ascii="Amiri" w:hAnsi="Amiri" w:eastAsia="Amiri" w:cs="Amiri"/>
          <w:color w:val="111111"/>
          <w:sz w:val="28"/>
          <w:sz w:val="28"/>
          <w:szCs w:val="28"/>
          <w:rtl w:val="true"/>
          <w:lang w:bidi="ar-SA"/>
        </w:rPr>
        <w:t xml:space="preserve">، فهل الحكم التخيير؛ لدوران الأمر في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الوجوب والحرمة، أو هو الاحتياط بتكرر الصلاة مرةً بالجهر ومرةً بالاخفات؟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عرفت من عدم وجوب الاحتياط في مطلق الشك في الشرطية والجزئية وعدم حرمة المخالفة القطعية للواقع إذا لم تكن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هنا، وصرفُ إمكان الاحتياط لا يوجب حكم المتباينين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الحكم في الشك في الشرطية والجزئية الاحتياط تعين هنا الجمع بتكرار الصلاة، فافهم</w:t>
      </w:r>
      <w:r>
        <w:rPr>
          <w:rFonts w:eastAsia="Amiri" w:cs="Amiri" w:ascii="Amiri" w:hAnsi="Amiri"/>
          <w:color w:val="111111"/>
          <w:sz w:val="28"/>
          <w:szCs w:val="28"/>
          <w:rtl w:val="true"/>
          <w:lang w:bidi="ar-SA"/>
        </w:rPr>
        <w:t xml:space="preserve">. </w:t>
      </w:r>
      <w:bookmarkStart w:id="190" w:name="pg9229_140427"/>
    </w:p>
    <w:p>
      <w:pPr>
        <w:pStyle w:val="Heading2"/>
        <w:numPr>
          <w:ilvl w:val="1"/>
          <w:numId w:val="1"/>
        </w:numPr>
        <w:rPr/>
      </w:pPr>
      <w:bookmarkStart w:id="191" w:name="__RefHeading___Toc4247282_2870459653"/>
      <w:bookmarkStart w:id="192" w:name="_Toc65"/>
      <w:bookmarkEnd w:id="190"/>
      <w:bookmarkEnd w:id="191"/>
      <w:r>
        <w:rPr>
          <w:rtl w:val="true"/>
        </w:rPr>
        <w:t>خاتمة</w:t>
      </w:r>
      <w:bookmarkEnd w:id="192"/>
    </w:p>
    <w:p>
      <w:pPr>
        <w:pStyle w:val="BookText"/>
        <w:rPr/>
      </w:pPr>
      <w:r>
        <w:rPr>
          <w:rFonts w:ascii="Amiri" w:hAnsi="Amiri" w:eastAsia="Amiri" w:cs="Amiri"/>
          <w:color w:val="111111"/>
          <w:sz w:val="28"/>
          <w:sz w:val="28"/>
          <w:szCs w:val="28"/>
          <w:rtl w:val="true"/>
          <w:lang w:bidi="ar-SA"/>
        </w:rPr>
        <w:t xml:space="preserve">في شرائط الأصول الثلاثة الاحتياط، والبراءة، والتخيير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كونه بحيث يمكن إحراز الواقع المشكوك فيه به على وجه لا يلزم منه اختلالُ النظام كالمنجر إلى الوسواس والجنون والعياذ بالله سواء كان في العبادات أو المعاملات، واشتراط عدم لزوم التكرار في العبادة لا يرجع إلى محصل؛ فإنَّ المفروض الإتيان به بداعي أمر المولى، وهو كافٍ في حصول الامتثال على كل حال، ولا يختص حسن الاحتياط في ما لم يقم دليل على نفي التكليف، بل حتى لو قام على البراءة عن التكليف فإنَّ فيه ادراكاً للمصلحة أو تركاً للمفسدة على تقدير مخالفة دليل البراءة عن التكليف للواقع، فافهم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فيه أن لا يكون على خلافه دليل اجتهادي، ولا بدَّ من الفحص عن الدليل قبل العمل بالبراءة في غير الشبهة الموضوعية؛ لأنَّ الجاهل بالحكم يجب عليه التعلم والبحث عن الحكم، فإذا كان مقصراً لم يكن معذوراً عقلاً ونقلاً، والمفروض العلم الإجمالي بثبوت التكليف بين موارد الشبهات بحيث لو فحص عنه ظفر به فهو متمكن من التعلم والعلم بالتكليف، فلو ترك الفحص كان مقصراً ألبتة، ومع الفحص التام وعدم الظفر بالمزيل عن البراءة يصحُ العمل بها وإنْ لم يرتفع العلم الإجمالي؛ فإنه لا أثر له حينئذ؛ فإِنَّ البراءة فيما لم يكن هناك علم موجب للتنجز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لانحلال العلم الإجمالي بالظفر بالقدر المعلوم إجمالاً ، أو لعدم الابتلاء إلا بما لا يكون بينها علم بالتكليف من موارد الشبهات ولو لعدم الالتفات إليها،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أن لا يكون أصل البراءة موجباً للضرر فراجع إلى ما ذكرنا من اشتراط أن لا يكون على خلافه دليل 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أن لا يكون موجباً لثبوت حكم شرعي من جهة أخرى فليس هذا بالاشتراط عند التأمل، فافهم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مبحثُ صحة عمل الجاهل في العبادات والمعاملات وعدمها فقد ذكرناه في طي مسائل التقليد في أول كتاب التحصيل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وأفردنا في قاعدة الضرر رسالةً مفردةً</w:t>
      </w:r>
      <w:r>
        <w:rPr>
          <w:rFonts w:eastAsia="Amiri" w:cs="Amiri" w:ascii="Amiri" w:hAnsi="Amiri"/>
          <w:color w:val="111111"/>
          <w:sz w:val="28"/>
          <w:szCs w:val="28"/>
          <w:rtl w:val="true"/>
          <w:lang w:bidi="ar-SA"/>
        </w:rPr>
        <w:t xml:space="preserve">. </w:t>
      </w:r>
      <w:bookmarkStart w:id="193" w:name="pg9229_140429"/>
    </w:p>
    <w:p>
      <w:pPr>
        <w:pStyle w:val="Heading2"/>
        <w:numPr>
          <w:ilvl w:val="1"/>
          <w:numId w:val="1"/>
        </w:numPr>
        <w:rPr/>
      </w:pPr>
      <w:bookmarkStart w:id="194" w:name="__RefHeading___Toc4247284_2870459653"/>
      <w:bookmarkStart w:id="195" w:name="_Toc66"/>
      <w:bookmarkEnd w:id="193"/>
      <w:bookmarkEnd w:id="194"/>
      <w:r>
        <w:rPr>
          <w:rtl w:val="true"/>
        </w:rPr>
        <w:t>لامعةٌ في الاستصحاب</w:t>
      </w:r>
      <w:bookmarkEnd w:id="195"/>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ببقاء ما شك في بقائه، باعتبار أنه كانَ، فلا بدَّ من اتحاد القضية المشكوكة والمتيقنة بحسب الموضوع والمحمول في نظر العرف، وقد حكموا ببقاء الموضوع في استصحاب الحكم فلا إشكال </w:t>
      </w:r>
      <w:r>
        <w:rPr>
          <w:rStyle w:val="FootnoteAnchor"/>
          <w:rtl w:val="true"/>
        </w:rPr>
        <w:footnoteReference w:id="479"/>
      </w:r>
      <w:r>
        <w:rPr>
          <w:rFonts w:ascii="Amiri" w:hAnsi="Amiri" w:eastAsia="Amiri" w:cs="Amiri"/>
          <w:color w:val="111111"/>
          <w:sz w:val="28"/>
          <w:sz w:val="28"/>
          <w:szCs w:val="28"/>
          <w:rtl w:val="true"/>
          <w:lang w:bidi="ar-SA"/>
        </w:rPr>
        <w:t xml:space="preserve">، وقد وقع خلاف في نفي الاستصحاب وإثباته مطلقاً أو في الجملة على أقوال أنهاها شيخنا في رسالته إلى أحد عشر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حجيته مطلقاً والبناءً على الحالة السابقة بحسب العمل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وجه ثبوته من أنه من جهة بناء العقلاء على ذلك في أحكامهم العرفية مطلقاً، أو في الجملة تعبداً، أو للظن به الناشئ عن ملاحظة ثبوته سابقاً، وإمّا من جهة دلالة النصوص، أو دعوى الإجماع عليه كذلك،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في وجه ثبوته الأخبارُ من باب التعبد الشرعى كما ستعرف، لا لأنَّ ما ثبت سابقاً وشُك فيه لاحقاً فهو مظنون البقاء، ولا لبناء العقلاء على الحكم بالبقاء؛ لعدم حجية الظن المطلق وكونه ملحقاً بالأعم الأغلب مع تفاوت الأشياء لا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العقلاء ممنوعٌ في غير صورة الظن بالبقاء أو العلم به، وقد عرفت أنَّه لا بدَّ من العلم بحجية الظن، والمراد من الشك خلافُ اليقين، فالاستصحابُ يجري مع الظن بالخلاف والظن بالوفاق بناءً على المختار من حجيته من باب الأخبار، فالمهمُ بيانُ ما عوّلنا عليه من الروايات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الثلاث لزرارة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وهي عن أبي جعفر الباقر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ينام وهو على وضوء، أيوجب الخفقة والخفقتان عليه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قد تنام العين ولا ينام القلب والأذن، فإذا نامت العين والأذن فقد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حرك في جنبه شيء وهو لا يعلم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يستيقن أنه قد نام حتى يجيء من ذلك أمر بيّن، فإنه على يقين </w:t>
      </w:r>
    </w:p>
    <w:p>
      <w:pPr>
        <w:pStyle w:val="BookText"/>
        <w:rPr/>
      </w:pPr>
      <w:r>
        <w:rPr>
          <w:rFonts w:ascii="Amiri" w:hAnsi="Amiri" w:eastAsia="Amiri" w:cs="Amiri"/>
          <w:color w:val="111111"/>
          <w:sz w:val="28"/>
          <w:sz w:val="28"/>
          <w:szCs w:val="28"/>
          <w:rtl w:val="true"/>
          <w:lang w:bidi="ar-SA"/>
        </w:rPr>
        <w:t xml:space="preserve">من وضوئه، ولا ينقض اليقين أبداً بالشك، ولكن ينقضه بيقين آخر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السؤال الأول أنه يعلم أن الخفقة والخفقتين من أقسام النوم المطلق، ويعلم أنهما ليسا ناقضاً مستقلاً غيرَ النوم، وإنما سأل عن اندراجهما تحت النوم الناقض شرعاً</w:t>
      </w:r>
    </w:p>
    <w:p>
      <w:pPr>
        <w:pStyle w:val="BookText"/>
        <w:rPr/>
      </w:pPr>
      <w:r>
        <w:rPr>
          <w:rFonts w:ascii="IRNazanin" w:hAnsi="IRNazanin" w:eastAsia="IRNazanin"/>
          <w:color w:val="111111"/>
          <w:sz w:val="28"/>
          <w:sz w:val="28"/>
          <w:szCs w:val="28"/>
          <w:rtl w:val="true"/>
          <w:lang w:bidi="fa-IR"/>
        </w:rPr>
        <w:t>من جهة الشبهة في المفهوم لا المصداق كما يشهد له تفصيلُ الإمام علیه السلام المراتب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السؤال الثاني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أنه تردد في اندراج بعض مراتب الخفقة والخفقتين تحت المفهوم المبين بعد الفراغ عن خروج بعض مراتبهما</w:t>
      </w:r>
    </w:p>
    <w:p>
      <w:pPr>
        <w:pStyle w:val="BookText"/>
        <w:rPr/>
      </w:pPr>
      <w:r>
        <w:rPr>
          <w:rFonts w:ascii="Amiri" w:hAnsi="Amiri" w:eastAsia="Amiri" w:cs="Amiri"/>
          <w:color w:val="111111"/>
          <w:sz w:val="28"/>
          <w:sz w:val="28"/>
          <w:szCs w:val="28"/>
          <w:rtl w:val="true"/>
          <w:lang w:bidi="ar-SA"/>
        </w:rPr>
        <w:t>بالبيان المتقدم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الالتفات إلى عدم تحريك شيء إلى جنبه إن كان من الأسباب المورثة للظن بالنوم كانت الروايةُ صريحةً في حجية الاستصحاب مع الظن بالخلاف، وإلا فالتمسك بحجيتها يكونُ من باب إطلاقها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فإنه على 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النهي عن نقض اليقين بالشك؛ لكونه علیه السلام  في مقام بيان جواب الشرط المحذوف 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تستيقن أنك نمتَ فلا يجبُ عليك الوضوء؛ لأنَّك على يقين من وضوئك السابق حال الشك، فيكون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لجواب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عليه الوضوء، فأقامه مقامه، وهذا مطردٌ في العرف، ولا ريب في ظهور القضية في عموم اليقين والشك؛ لأنَّ الإمام علیه السلام في مقام بيان ضرب قاعدة لتقريب عدم نقض الوضوء بالشك في النوم، وهذا لا يتم بدون إرادة العموم من اليقين؛ إذ لو لم يكن عمومٌ يكون الكلام بمنزلة قضية جزئية وهي غير منتجة؛ لعدم العلم بكونه داخلاً فيه فلا بدَّ من حمله على العموم، والجزئيةُ لا تصح وجهاً للتعليل فلا بد أن يكون للعموم، وأيضاً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كان لعموم الأزمان إلّا أنه قد يستعمل في عموم الأفراد إذا كانت الأفراد أفراداً طولية مندرجةً بحسب الزمان غير متحققة في زمان واحد كما يظهر من </w:t>
      </w:r>
    </w:p>
    <w:p>
      <w:pPr>
        <w:pStyle w:val="BookText"/>
        <w:rPr/>
      </w:pPr>
      <w:r>
        <w:rPr>
          <w:rFonts w:ascii="Amiri" w:hAnsi="Amiri" w:eastAsia="Amiri" w:cs="Amiri"/>
          <w:color w:val="111111"/>
          <w:sz w:val="28"/>
          <w:sz w:val="28"/>
          <w:szCs w:val="28"/>
          <w:rtl w:val="true"/>
          <w:lang w:bidi="ar-SA"/>
        </w:rPr>
        <w:t>مراجعة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استفادة العموم من العلة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مدخلية لوصف الوضوئية في الصغرى حتى يقال بأنه ليس من المنصوص العلة؛ لذكر الوضوء من باب المثال؛ لافتقار اليقين إلى متعلّق،ولا خصوصية للوضوء مع احتمال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الجزاء، بمعنى أنه أمرَ بالمضي على اليقين والبناء عليه و ترتب آثاره عليه فتكون قضية إنشائية، ويستقيم الارتباط واللزوم بين الجزاء والشرط، لكن الظاهر من الجملة الاسمية الإخبار لا الإنشاء، كما أنَّ ظاهر ما بعدها التأسيس لا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القولُ بأن الجزاء مستفادٌ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 للجزاء،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يستيقن النوم فهو مستيقن الوضوء السابق ويثبت على مقتضى يقينه السابق ولا ينقضه، ولكن يخرج حينئذٍ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بمنزلة 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حيث كانت الجملة الاسمية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على 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في أنَّ زمان النسبة هو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يقين من وضوئه السابق حال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فلا بدَّ أنْ يكون حال النسبة هو حال الشك متلبساً بكونه على يقين من وضوئه السابق، وهذا لا يناسب غير الاستصحاب، فلا يصغى إلى بعض التمحّلات في تنزيل الجملة الاسمية على الشك الساري، بل نفس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على حجية الاستصحاب من دون ملاحظة صدرها وذيلها؛ لأنَّ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على 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على يقين من وضوئه السابق حال الشك كما هو قضية الجملة الاسمية التي شأنها أنْ تدلَّ على أنَّ زمان النسبة هو الحال، وحينئذٍ فلا بدَّ أنْ يكون حال النسبة هو حال الشك متلبساً بكونه على يقين من وضوئه السابق، وهذا لا يناسب غير الاستصحاب كما لا يخفى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الرواية الشبهة في الموضوع من الشك في الرافع، فإن خصصت بها كان ذلك تخصيصاً لعموم اليقين، وإن عمّت لها وللشبهة الحكمية كان موجباً لتخصيص حجيته بما بعد الفحص، وأحدُ التخصيصين ليس أولى من الآخر، فتكون مجملةً فيسقط الاستدلال </w:t>
      </w:r>
    </w:p>
    <w:p>
      <w:pPr>
        <w:pStyle w:val="BookText"/>
        <w:rPr/>
      </w:pPr>
      <w:r>
        <w:rPr>
          <w:rFonts w:ascii="IRNazanin" w:hAnsi="IRNazanin" w:eastAsia="IRNazanin"/>
          <w:color w:val="111111"/>
          <w:sz w:val="28"/>
          <w:sz w:val="28"/>
          <w:szCs w:val="28"/>
          <w:rtl w:val="true"/>
          <w:lang w:bidi="fa-IR"/>
        </w:rPr>
        <w:t>بها؛ إذ حملها على الأول حملٌ على ما هو خارج عن محل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نختار التعميم،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خروجها قبل الفحص ليس من باب التخصيص، بل هو من باب التخصص كما لا يخفى على الخبير من أنها قضية كلية ارتكازية قد أُتي بها في غير مورد؛ لأجل الاستدلال بها على حكم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إمكان اجتماع اليقين والشك لا بدَّ من حمل النهي عن النقض على وجه صحيح بالتصرّف فیهما،بأن یُحمل الیقین الظن و الشک علی الوهم ،كما فعله الشهيد في الذكرى </w:t>
      </w:r>
      <w:r>
        <w:rPr>
          <w:rStyle w:val="FootnoteAnchor"/>
          <w:rtl w:val="true"/>
        </w:rPr>
        <w:footnoteReference w:id="482"/>
      </w:r>
      <w:r>
        <w:rPr>
          <w:rFonts w:ascii="Amiri" w:hAnsi="Amiri" w:eastAsia="Amiri" w:cs="Amiri"/>
          <w:color w:val="111111"/>
          <w:sz w:val="28"/>
          <w:sz w:val="28"/>
          <w:szCs w:val="28"/>
          <w:rtl w:val="true"/>
          <w:lang w:bidi="ar-SA"/>
        </w:rPr>
        <w:t xml:space="preserve">، أو بإرادة المتيقن من  اليقين كما حمله في المدارك </w:t>
      </w:r>
      <w:r>
        <w:rPr>
          <w:rStyle w:val="FootnoteAnchor"/>
          <w:rtl w:val="true"/>
        </w:rPr>
        <w:footnoteReference w:id="483"/>
      </w:r>
      <w:r>
        <w:rPr>
          <w:rFonts w:ascii="Amiri" w:hAnsi="Amiri" w:eastAsia="Amiri" w:cs="Amiri"/>
          <w:color w:val="111111"/>
          <w:sz w:val="28"/>
          <w:sz w:val="28"/>
          <w:szCs w:val="28"/>
          <w:rtl w:val="true"/>
          <w:lang w:bidi="ar-SA"/>
        </w:rPr>
        <w:t xml:space="preserve">، أو بإضمار الحكم كما فعله البهائي </w:t>
      </w:r>
      <w:r>
        <w:rPr>
          <w:rStyle w:val="FootnoteAnchor"/>
          <w:rtl w:val="true"/>
        </w:rPr>
        <w:footnoteReference w:id="484"/>
      </w:r>
      <w:r>
        <w:rPr>
          <w:rFonts w:ascii="Amiri" w:hAnsi="Amiri" w:eastAsia="Amiri" w:cs="Amiri"/>
          <w:color w:val="111111"/>
          <w:sz w:val="28"/>
          <w:sz w:val="28"/>
          <w:szCs w:val="28"/>
          <w:rtl w:val="true"/>
          <w:lang w:bidi="ar-SA"/>
        </w:rPr>
        <w:t>، وحيث إنَّ الإظهار أولى من الإضمار سقطَ احتمال البهائي، فيبقى الأولان ولا مرجح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المتيقن أولى؛ لأنَّ استعمال اليقين في الظن مجازٌ مستنكرٌ ، بل لم يرد إطلاقه عليه، إلّا في تعريف العلم، وقد رماه القوم بسهم واحد، وإذا انتفى الأول تعيّن الثاني، وعليه يتم الاستدلال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ما أفاده سيدنا الأستاذ العلّامة قدس سرهُ له من أنَّ استعمال لفظ اليقين في الحديث لا يحصل إلَّا بملاحظة نفسه لا بملاحظة المتيقن ؛ لأنَّ العلاقة المجوّزة هو كون الشيء محكماً ومبرماً، وحينئذٍ فالمراد من النهي عن النقض في أخبار الباب لا بدَّ أنْ يكون المراد به عدم البناء على النقض،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تبني على النقض بل ابنِ على البقاء وعامل يقينك السابق معاملة الباقي تعبداً كما هو قضية سائر القواعد المقررة للشك؛ لأنَّ مرجعها هو البناء على ترتيب الآثار والالتزام به تعبداً من الشارع، وما يمكن أن يكون مانعاً من إرادة نفس اليقين من لفظه أحد الشيئين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شيخنا العلّامة الأنصاري رحمة الله علیه من أن اليقين لا يصير متعلّقاً للنقض؛ لعدم كونه اختيارياً للمكلف، وفيه 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يتصرّف فيه يلزم البناء والعمل بآثار اليقين مع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يلزم لو كان ملحوظاً بنفسه لا إذا كان ملحوظاً على نحو المرآتية والطريقية كما هو ظاهر الأخبار ، وليس قضية ذلك إلّا الالتزام بالمتيقن تعبداً إن كان من الأحكام، وآثاره الشرعية إنْ كان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الصيغة على النهي عن النقض بناءً ومعاملةً لا حقيقةً؛ لأنَّ النقض الحقيقي ليس اختيارياً للمكلف لا بالنسبة إلى نفس اليقين ـ كما هو ظاهر القضية ـ ولا بالنسبة إلى المُتيقن ولا إلى آثاره بناءً على إرادتها منه ؛ لعدم التمكن من إبقاء الأحكام الشرعية ورفعها، بل هي على ما كانت عليها في الواقع ولا من موضوعاتها الخارجية؛ بداهةَ أنَّ أمر رفعها وبقائها منوطٌ بأسمائها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الكلام في مشكوك الارتفاع والبقاء واقعاً، والواقع لا يتغير عما هو عليه من البقاء والارتفاع وإن كان أمرهما بيد المكلف واختيار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يظهر أن حمل إرادة المتيقن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يوجبُ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النهي عن النقض حقيقةً؛ لِما عرفت من عدم التمكن، وأنه لا وجه لحمل اليقين على المتيقن كما هو ظاهر كلام شيخنا المرتضى رحمة الله علیه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إرادة المتيقن من اليقين مما لا بدَّ منه على كل حال </w:t>
      </w:r>
      <w:r>
        <w:rPr>
          <w:rFonts w:eastAsia="IRNazanin" w:cs="IRNazanin"/>
          <w:color w:val="111111"/>
          <w:sz w:val="28"/>
          <w:szCs w:val="28"/>
          <w:rtl w:val="true"/>
          <w:lang w:bidi="fa-IR"/>
        </w:rPr>
        <w:t xml:space="preserve">) </w:t>
      </w:r>
      <w:r>
        <w:rPr>
          <w:rStyle w:val="FootnoteAnchor"/>
          <w:rtl w:val="true"/>
        </w:rPr>
        <w:footnoteReference w:id="485"/>
      </w:r>
      <w:r>
        <w:rPr>
          <w:rFonts w:ascii="Amiri" w:hAnsi="Amiri" w:eastAsia="Amiri" w:cs="Amiri"/>
          <w:color w:val="111111"/>
          <w:sz w:val="28"/>
          <w:sz w:val="28"/>
          <w:szCs w:val="28"/>
          <w:rtl w:val="true"/>
          <w:lang w:bidi="ar-SA"/>
        </w:rPr>
        <w:t>، وعلّله بأن النقض الاختياري لا يتعلّق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النهي لا بدَّ أن يحمل على النهي البنائي، وإرادةُ المتيقن من اليقين لا يصحح النهي عن النقض الحقيقي، بل هو كرّ على ما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النهي لا بدَّ أن يحمل على</w:t>
      </w:r>
    </w:p>
    <w:p>
      <w:pPr>
        <w:pStyle w:val="BookText"/>
        <w:rPr/>
      </w:pPr>
      <w:r>
        <w:rPr>
          <w:rFonts w:ascii="Amiri" w:hAnsi="Amiri" w:eastAsia="Amiri" w:cs="Amiri"/>
          <w:color w:val="111111"/>
          <w:sz w:val="28"/>
          <w:sz w:val="28"/>
          <w:szCs w:val="28"/>
          <w:rtl w:val="true"/>
          <w:lang w:bidi="ar-SA"/>
        </w:rPr>
        <w:t>البناء والمعاملة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 في نفس معناه،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اختصاص </w:t>
      </w:r>
    </w:p>
    <w:p>
      <w:pPr>
        <w:pStyle w:val="BookText"/>
        <w:rPr/>
      </w:pPr>
      <w:r>
        <w:rPr>
          <w:rFonts w:ascii="Amiri" w:hAnsi="Amiri" w:eastAsia="Amiri" w:cs="Amiri"/>
          <w:color w:val="111111"/>
          <w:sz w:val="28"/>
          <w:sz w:val="28"/>
          <w:szCs w:val="28"/>
          <w:rtl w:val="true"/>
          <w:lang w:bidi="ar-SA"/>
        </w:rPr>
        <w:t xml:space="preserve">له في حجية الاستصحاب في خصوص الشك في الرافع، بل يعمّه والمقتضي </w:t>
      </w:r>
      <w:r>
        <w:rPr>
          <w:rStyle w:val="FootnoteAnchor"/>
          <w:rtl w:val="true"/>
        </w:rPr>
        <w:footnoteReference w:id="486"/>
      </w:r>
      <w:r>
        <w:rPr>
          <w:rFonts w:ascii="Amiri" w:hAnsi="Amiri" w:eastAsia="Amiri" w:cs="Amiri"/>
          <w:color w:val="111111"/>
          <w:sz w:val="28"/>
          <w:sz w:val="28"/>
          <w:szCs w:val="28"/>
          <w:rtl w:val="true"/>
          <w:lang w:bidi="ar-SA"/>
        </w:rPr>
        <w:t xml:space="preserve">لأنَّ المستفاد من كلام أهل اللغة </w:t>
      </w:r>
      <w:r>
        <w:rPr>
          <w:rStyle w:val="FootnoteAnchor"/>
          <w:rtl w:val="true"/>
        </w:rPr>
        <w:footnoteReference w:id="487"/>
      </w:r>
      <w:r>
        <w:rPr>
          <w:rFonts w:ascii="Amiri" w:hAnsi="Amiri" w:eastAsia="Amiri" w:cs="Amiri"/>
          <w:color w:val="111111"/>
          <w:sz w:val="28"/>
          <w:sz w:val="28"/>
          <w:szCs w:val="28"/>
          <w:rtl w:val="true"/>
          <w:lang w:bidi="ar-SA"/>
        </w:rPr>
        <w:t>في معنى النقض ليس إلَّا ما هو ضد الإبرام، وليس فيه قطع اتصال أو رفع هيئة متصلة، بل هو خلاف الأحكام، وتفريق الأجزاء الملتئمة المحكمة بعضها عن بعض،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نقضت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أجزاءه التي كانت ملتئمة محكمة، وهو المراد بعض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نقضت غزلها من بعد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ملتئماً محكماً، ويُعبّر عنه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بواريختن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 مفهومه قطعُ ما هو مستمر كما زعمه الشيخ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النقض حينئذٍ هو عدم البناء على النقض، وهو البناء على البقاء تعبداً، فلا معنى لجعل مطلق رفع الأمر الثابت أو رفع اليد عن الشيء مطلق مجازاً لهذا المعنى؛ لعدم العلاقة، ألا ترى أنه يستهجن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نقضتُ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رفعه مع أنّ مقتضى الاستمرار فيه موجودٌ، وإضافة النقض إلى العهد والبيعة واليقين إنما هو باعتبار كون كل واحد منها متضمناً لعقد قلبي، وفي كل منها نحو إبرام معنوي، وينتقض بعدم الالتزام بأثر عقدها وبالترديد في ذلك العقد، وبهذه الملاحظة يضاف النقض إليها، فإضافةُ النقض إلى نفس اليقين باعتبار أحكامه، فيكون مجازاً في النسبة، باعتبار أن الأحكام هي أحكامٌ لليقين فأضيف إليه باعتبار أحكامه، 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في الواقع لا تنقض أحكام اليقين،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أنها باقيةٌ، والأحكامُ أعم من أحكام نفس الحكم أو الموضوع مطلقاً، فيعم الشك في الرافع والمقتضي، وما أكثر استعمال المجاز في النسبة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ويقرَّبه كون اليقين بمعنى وكون النقض أيضاً بمعنى، وقد مرَّ لنا في حديث الرفع نحو هذا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نفس النسيان باعتبار رفع آثاره، ولا يرد عليه ما أورد على حمل إرادة اليقين بمعنى المتيقن وغير ذلك؛ لأنَّ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نفسه لا بملاحظة </w:t>
      </w:r>
    </w:p>
    <w:p>
      <w:pPr>
        <w:pStyle w:val="BookText"/>
        <w:rPr/>
      </w:pPr>
      <w:r>
        <w:rPr>
          <w:rFonts w:ascii="Amiri" w:hAnsi="Amiri" w:eastAsia="Amiri" w:cs="Amiri"/>
          <w:color w:val="111111"/>
          <w:sz w:val="28"/>
          <w:sz w:val="28"/>
          <w:szCs w:val="28"/>
          <w:rtl w:val="true"/>
          <w:lang w:bidi="ar-SA"/>
        </w:rPr>
        <w:t xml:space="preserve">المتيقن، وقد تقدم في التحقيق مزيد بيان لهذا ، وظاهر أنَّ وجه إسناد الانتقاض إلى اليقين في باب الاستصحاب هو لحاظ اتحاد متعلق اليقين والشك ذاتاً، وعدم ملاحظة تعددهما زماناً، وهو كافٍ عرفاً في صحة إسناد النقض إلى اليقين واستعارته له بلا تفاوت في ذلك عند أهل العرف بين ما كان هناك اقتضاء البقاء، وبين ما لم يكن، مثلاً إذا تيقن بعدالة زيد يوم الجمعة وشك في بقائها يوم السبت مثلاً ، فأهل العرف يحكمون بالعدالة التي كانت متيقنة وصارت مشكوكة، ويعدون متعلّق اليقين والشك شيئاً واحداً، وهو نفس العدالة، وإنْ كان ذلك بحسب الدقة راجعاً إلى تعدد المتعلّق؛ لأنَّ العدالة الموجودة في يوم الجمعة متيقنة، والعدالة الموجودة في يوم السبت مشكوكةٌ وهما متعددان، إلَّا أنَّ العرف لا يدققون النظر ويتسامحون في فعل متعلّق اليقين والشك شيئاً واحداً، إلا أن الظاهر في بادئ النظر عندهم ليس إلا كون العدالة متيقنة وصارت مشكوكة، فمتعلق اليقين والشك شيء واحد شخصي مسامحةً وعرفاً، كما أن متعلّقهما في قاعدة اليقين شيء واحد شخصي حقيقة، وكما أن وحدة المتعلّق فيها صارت سبباً لصحة الاستعمال وصدق نقض اليقين حقيقةً، فوحدة المتعلّق في الاستصحاب مسامحة ومجازاً يصير سبباً لصدق نقض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وإن لم يكن نقضاً في الواقع؛ لعدم كون البقاء مقتضياً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فرق بين كون الشك في الرافع أو في المقتضي، كما أنه لا فرق بين ذلك في القاعدة، غاية الأمر في الفرق بينهما أنَّ وحدة المتعلّق في القاعدة حقيقية وفي الاستصحاب عرفية مسامحية، والعلاقة الملحوظة في الاستعمال لا بدَّ أن تكون من قبيل الوحدة العرفية المسامحية؛ لظهورها وكونها مركوزة في أذهان أهل العرف بخلاف الوحدة الحقيقية فإنها بعيدة عن فهمهم فلا تنزل الأخبار إلَّا على الاستصحاب؛ لأنَّ ملاك التجوّز فيه قريب من أذهان أهل العرف، فلا وجه لتخصيص الأخبار بالشك في الرافع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وكونه مع المقتضي أقرب وأشبه بالانتقاض لا يقتضي تعيينه؛ فإن مدار الأقربية ما كان </w:t>
      </w:r>
    </w:p>
    <w:p>
      <w:pPr>
        <w:pStyle w:val="BookText"/>
        <w:rPr/>
      </w:pPr>
      <w:r>
        <w:rPr>
          <w:rFonts w:ascii="Amiri" w:hAnsi="Amiri" w:eastAsia="Amiri" w:cs="Amiri"/>
          <w:color w:val="111111"/>
          <w:sz w:val="28"/>
          <w:sz w:val="28"/>
          <w:szCs w:val="28"/>
          <w:rtl w:val="true"/>
          <w:lang w:bidi="ar-SA"/>
        </w:rPr>
        <w:t>أقرب عند أهل العرف لا مجرد الاعتبار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أهل العرف لا يفرّقون بين ما كان فيه اقتضاء البقاء وما لم يكن فيه ذلك،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الصحيحة الثانية المروية في العلل رواها بإسناده عن حريز عن حماد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ثوبي دم رعاف أو غيره أو شيء من مني فعلمتُ أثره إلى أنْ أُصيبَ له الماءَ، فحضرت الصلاة ونسيتُ أنَّ بثوبي شيئاً وصليتُ ، ثم إني ذكرتُ بعد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تعيد الصلاة وتغسله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أكن رأيتُ موضعه وعلمتُ أنه أصابه فطلبته ولم أقدر عليه، فلما صليت وجدتُه ؟ قال تغسله وتُعيد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أصابه ولم أتيقن ذلك، فنظرتُ ولم أرَ شيئاً، فصلّيتُ فيه فرأيتُ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ولا تُعيد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كنتَ على يقين من طهارتك فشككتَ ، وليس ينبغي لك أن تنقض اليقين بالشك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عليَّ إِنْ شككتُ أنه أصابه شيءٍ أنْ أنظر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ولكنك إنما تريد أن تذهب بالشك الذي وقع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رأيتُه في ثوبي وأنا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وتعيد إذا شككت في موضع منه ثم رأيته، وإن لم يشك ثم رأيته رطباً قطعت الصلاة وغسلته ثم بنيت على الصلاة؛ لأنَّك لا تدري لعله شيء أوقع عليك، فليس ينبغي لك أن تنقض اليقين بالشك</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ومورد الاستدلال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ينبغي أن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موضعين، وتقريبه كما في الصحيحة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يجعل اللام في كل من الفقرتين للجنس؛ ليصير بمنزلة كبرى كلية وإرادة الجنس هنا أظهر لصراحة القضية في العلية؛ ولكونه في جواب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ذلك؛ فإنه تصريح في كون الإمام لها في مقام الاستدلال، وإرادة الجنس في مقام التعليل أقوى من العهد، مضافاً إلى عدم ما يدل على الشرطية في القضية حتى يحتمل حملها على الجزاء، هذا في الفقرة الأولى، وأما الثانية؛ فلعدم سبق ذكر اليقين قبلها لتحمل اللام على العهد ، وتوهمه ظاهر الفساد كتوهم كون المراد اليقين بالطهارة حال الصلاة والشك فيها </w:t>
      </w:r>
    </w:p>
    <w:p>
      <w:pPr>
        <w:pStyle w:val="BookText"/>
        <w:rPr/>
      </w:pPr>
      <w:r>
        <w:rPr>
          <w:rFonts w:ascii="Amiri" w:hAnsi="Amiri" w:eastAsia="Amiri" w:cs="Amiri"/>
          <w:color w:val="111111"/>
          <w:sz w:val="28"/>
          <w:sz w:val="28"/>
          <w:szCs w:val="28"/>
          <w:rtl w:val="true"/>
          <w:lang w:bidi="ar-SA"/>
        </w:rPr>
        <w:t>بعد الصلاة؛ لخروجه عن ميزان فهم الكلام في المحاورات، وإنما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لأنك كنت على يقين من طهارتك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بالطهارة قبل ظن الإصابة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اعتبار الاستصحاب إنما يستفاد من كلية الكبرى المسوق لبيانها الكلام، سواء كان المراد بيان جواز الدخول أو عدم الإعادة، فإن الاستدلال غير مبني على بيان فقه الرواية، مع أنَّ تعليل عدم الإعادة بأنها نقضُ اليقين بالشك إنما هو بلحاظ حال الصلاة؛ لأنه كان حال الصلاة على يقين من الطهارة فشك فيها فعلل الإمام علیه السلام لعدم لزوم الإعادة؛ بأن لزومها نقض لليقين بذلك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الذي كان في حال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والطهارة الواقعية شرط اقتضائي يحسن التعليل به،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من اقتناع زرارة بما ذكر الإمام علیه السلام في وجه عدم لزوم الإعادة من لزوم الا النقض من الإعادة اقتضاء الاستصحاب ونحوه من الأمر الظاهري للإجزاء كان مفروغاً عنه عندهم وزرارة ممن مُلئ علماً وفقهاً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الصحيحة الثالثة لزرارة رواها في الكافي والتهذيب في الصحيح عن زرارة عن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أربع هو أم في اثنين وقد أحرز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يركع ركعتين وأربع سجدات وهو قائم يقرأ فاتحة الكتاب ويتشهد ولا شيء عليه، وإذا لم يدر في ثلاث هو أو في أربع وقد أحرز الثلاث قام فأضاف إليها أخرى ولا شيء عليه، ولا ينتقض اليقين بالشك، ولا يدخل الشك في اليقين، ولا يخلط أحدهما بالآخر، ولكنه ينتقض الشك باليقين، ويتم على اليقين فيبني عليه ولا يعتد بالشك في حال من الحالات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كبرى لصغرى مطوية،كأنه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الإضافة والقيام بها؛ لأنك كنت على يقين ولا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والبناء على الأقل ـ الذي هو 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بإطلاقه مخالف للمذهب وموافق </w:t>
      </w:r>
    </w:p>
    <w:p>
      <w:pPr>
        <w:pStyle w:val="BookText"/>
        <w:rPr/>
      </w:pPr>
      <w:r>
        <w:rPr>
          <w:rFonts w:ascii="Amiri" w:hAnsi="Amiri" w:eastAsia="Amiri" w:cs="Amiri"/>
          <w:color w:val="111111"/>
          <w:sz w:val="28"/>
          <w:sz w:val="28"/>
          <w:szCs w:val="28"/>
          <w:rtl w:val="true"/>
          <w:lang w:bidi="ar-SA"/>
        </w:rPr>
        <w:t xml:space="preserve">للعامة </w:t>
      </w:r>
      <w:r>
        <w:rPr>
          <w:rStyle w:val="FootnoteAnchor"/>
          <w:rtl w:val="true"/>
        </w:rPr>
        <w:footnoteReference w:id="492"/>
      </w:r>
      <w:r>
        <w:rPr>
          <w:rFonts w:ascii="Amiri" w:hAnsi="Amiri" w:eastAsia="Amiri" w:cs="Amiri"/>
          <w:color w:val="111111"/>
          <w:sz w:val="28"/>
          <w:sz w:val="28"/>
          <w:szCs w:val="28"/>
          <w:rtl w:val="true"/>
          <w:lang w:bidi="ar-SA"/>
        </w:rPr>
        <w:t>لأنَّ مقتضى إطلاقه ترتيب جميع الآثار على المستصحب التي من جملتها عدم إتيان الركعة، ومن جملتها أيضاً إتيانها قبل التسليم، لكن الشارع تصرف في كيفيته فأوجبَ البناء على طبق الحالة السابقة بكيفية خاصة مراعياً فيها جهة الاحتياط، وقيد ذلك بلزوم ترتب بعض الآثار، وهو مجرد عدم الإتيان دون بعض، وهو إتيانها قبل التسليم، غاية الأمر إتيانها مفصولة، وكونه منافياً لإطلاق النقض لا يضر بعد ما جاء التقييد بلزوم إتيان الركعة 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كان سيدنا الأستاذ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هذه الصحيحة دلالة على حجية الاستصحاب ؛ وذلك لأن جميع فقراتها لا تعم غير موردها، فإن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فاقام</w:t>
      </w:r>
      <w:r>
        <w:rPr>
          <w:rStyle w:val="FootnoteAnchor"/>
          <w:rtl w:val="true"/>
        </w:rPr>
        <w:footnoteReference w:id="493"/>
      </w:r>
      <w:r>
        <w:rPr>
          <w:rFonts w:ascii="IRNazanin" w:hAnsi="IRNazanin" w:eastAsia="IRNazanin"/>
          <w:color w:val="111111"/>
          <w:sz w:val="28"/>
          <w:sz w:val="28"/>
          <w:szCs w:val="28"/>
          <w:rtl w:val="true"/>
          <w:lang w:bidi="fa-IR"/>
        </w:rPr>
        <w:t>فأضاف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وحملها على العموم حتى تكون بمنزلة العلة للحكم يأباه بعضُ الفقرات التي بعده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 على اليقين فيبنى عليه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يعتنى بالشك فلا ظهور له في مطلق الشك، وأنَّ المراد من الحالات معه حالات المكلف؛ لقوة احتمال أن يكون المراد منه خصوص الشك في مفروض السؤال، فيكون المراد اختلاف الحكم باختلافها فيكون مؤكدا للفقرات السابقة، مع احتمال أن يكون المراد منه مطلق الشك في عدد الركعات فتكون قاعدة كلية في هذا الباب، فالأولى عد الرواية في عداد الأخبار الواردة في موارد خاصة الدالة على الاستصحاب في خصوص بعض الموارد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وأُجيب عن ذلك بأنَّ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مناط حرمة النقض إنما يكون؛ لأجل ما في اليقين والشك لا لما في المورد من الخصوصية، وأنَّ مثل اليقين لا ينقض بمثل الشك،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ما في الخصال، وهو حديث الأربعمئة المشهور ، رواه الصدوق بإسناده آبائه،عن محمد بن مسلم عن أبي عبد الله الصادق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أنَّ أمير المؤمنين الا لما علم أصحابه في مجلس واحد أربعمئة باب مما يصلح للمسلم في دينه ودنياه،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الحجامة تصحح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رزقكم الله عزّ وجلَّ؛ الله فإنَّ المنفق بمنزلة المجاهد في سبيل الله فمن أيقن بالخلف جاد، وسخت نفسه بالنفقة، من كان على يقين فشك فليمض على يقينه ؛ فإن الشك لا ينقض اليقين</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كان على يقين بالخلف فشك به فليمض على يقينه به ولينفق مما رزقه الله، وليتيقن الخلف، ولا يمتنع من الانفاق لو شك في الخلف؛ فإنَّ الشك لا ينقض اليقين، وحينئذٍ فلا ينبغي الاستدلال بالفقرة الأولى على الاستصحاب، إلا أن قوله عالان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لا ينقض اليقين كاف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شيخنا العلّامة المرتضى الله ظهور الرواية في قاعدة اليقين وفي اتحاد المتعلّق؛ لكون الغالب وحدته، وأيده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من القاعدة والاستصحاب بمعنى ترتب الآثار، وفي القاعدة يترتب على اليقين آثاره السابقة على زمان الشك، وفي الاستصحاب لا بد من ترتب الآثار بعد زمان الشك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عدم ترتيبه لا يكون نقضاً لآثار اليقين السابق؛ لأنَّه لم ينتقض آثار اليقين في زمان اليقين، بل ذلك نقض لآثار البقاء لا لآثار اليقين بخلاف القاعدة فإنَّ عدم الترتيب فيها نقضُ لآثار اليقين في زمان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ولكن التحقيق عدم الفرق؛ فإن النقض في الاستصحاب أيضاً مستعمل في معناه الحقيقي؛ لما عرفت من أن التجوّز ليس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التجوّز في إضافته إلى اليقين كإضافته إلى العهد والعقد،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العهد أو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الاستعارة، فلا فرق من هذه الجهة بين الاستصحاب والقاعدة، والفرقُ الذي بينهما واقعاً لا ينا في شيئاً، وأيضاً يمكن حمل الرواية على الاستصحاب بالتزام التجريد وتوضيحه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حذف متعلّق اليقين ظاهر في عدم تقييده بالزمان الأول وفي تجريد متعلّق اليقين عن التقييد بالزمان السابق، وإنما المقصود هو مجرد اليقين بالشيء، وأما كون المتيقن مقيداً بالزمان السابق فلا، وحينئذ يصير ظاهراً في أنَّ زمان المتيقن زمان اليقين، وإذا جرد متعلّق اليقين عن التقييد بالزمان يتعلّق به الشك، وإذا تعلّق به الشك بملاحظة عدم تقييده يصير ظاهراً في أنَّ زمان المشكوك زمان الشك، وهذا هو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توهم إشكال كون الرواية صريحةً في اختلاف زمان الوصفين وكون زمان اليقين سابقاً على زمان الشك، فمدفوع بأن ذلك من جهة بيان غالب الأفراد؛ لأنَّ غالب أفراد الاستصحاب يكون زمان اليقين مقدماً على زمان الشك، وحينئذ ينطبق على الاستصحاب ويرتفع الإشكال، مع أنَّه لا يعتبر في الاستصحاب اختلاف زمان الوصفين فضلاً عن كون زمان اليقين مقدماً ، بل يمكن أن يتحد زمان الوصفين ويمكن أن يختلف، سواء كان زمان اليقين مقدماً أو زمان الشك مقدماً، وربما يؤيد ما ذكرنا من حمل الرواية على الاستصحاب بالتزام التجريد بأن تعليل الإمام علیه السلام وجوب البناء على اليقين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ينقض اليقين بالشك يدل على أن ذلك مركوز في الأذهان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يناسب الاستصحاب لا القاعدة؛ لأنها لا تكون مركوزة في الأذهان، مضافاً إلى أن وحدة لسان المتكلّم واتحاد التعبير في هذه الروايات – أعني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أن المراد في الجميع بيان شيء واحد وهو ضرب قاعدة كلية هي الأخذ باليقين السابق وعدم نقضه بالشك اللاحق، وهذه الاستفادة إنما حصلت من تراكم الظنون الحاصلة من أخبار الباب على وجه يحصل تمام الوثوق والاطمئنان بحجية الاستصحاب، بل </w:t>
      </w:r>
    </w:p>
    <w:p>
      <w:pPr>
        <w:pStyle w:val="BookText"/>
        <w:rPr/>
      </w:pPr>
      <w:r>
        <w:rPr>
          <w:rFonts w:ascii="IRNazanin" w:hAnsi="IRNazanin" w:eastAsia="IRNazanin"/>
          <w:color w:val="111111"/>
          <w:sz w:val="28"/>
          <w:sz w:val="28"/>
          <w:szCs w:val="28"/>
          <w:rtl w:val="true"/>
          <w:lang w:bidi="fa-IR"/>
        </w:rPr>
        <w:t>تكاد تفيد القطع بذلك، بل هو القطع كما لا يخفى على الفقيه بلسان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علي بن محمد القاساني الذي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فقيهاً مكثراً في منه مذاهب منكرة، الحديث فاضلاً، غمز عليه أحمد بن محمد بن عيسى، وذكر أنه وليس في كتبه ما يدل على ذلك</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عبرة بغمز القميين؛ فإنهم يرمون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الفقيه بنفيه السهو عن المعصوم، وأهل العلم بالرجال يعرفون ذلك، خصوصاً أحمد المذكور، فإن حاله في إنكار بعض الآثار الصحيحة والقدح في رواتها الثقات معروفٌ، وفي كلام النجاشي كفاية عند أهل العلم بالرجال، وهذه الرواية أخرجها الشيوخ واعتمدها الفقهاء وأفتوا بمضمونها فلا ينبغي التأمل فيها من جهة القاساني،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وأنا بالمدينة عن اليوم الذي يشك فيه من رمضان هل يصام أم لا؟ فكتب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لا يدخل فيه الشك، صم للرؤية وافطر للرؤية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الاستصحاب ظاهرة، بل صريحة؛ حيث فرع لا حد الصوم والإفطار على رؤية هلال شهر الصيام وشهر الإفطار، وهذا نصّ في النهي عن جعل اليقين السابق مدخولاً بالشك ومزاحماً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العلّامة المرتضى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هذه الرواية أظهر روايات هذا الباب إلَّا أن سندها غير سليم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سلامته وأنه لا شبهة فيه على التحقيق،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عممنا حجية الاستصحاب إلى الأحكام الوضعية لزمنا التعرّض لحالها مفهوماً وحكماً، فاعلم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بدَّ من تقديم أمور يتوقف تحقيق المقام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استقلال كل من الوضع والتكليف بحسب المفهوم وتباينها مفهوماً؛ ضرورة مباينة مفهوم الوجوب والحرمة ونحوهما لمفهوم السببية والشرطية ونحوهما، وحمل كل منهما على غير ما يحمل عليه الآخر،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الدلوك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يتراءى من بعض العبائر </w:t>
      </w:r>
      <w:r>
        <w:rPr>
          <w:rStyle w:val="FootnoteAnchor"/>
          <w:rtl w:val="true"/>
        </w:rPr>
        <w:footnoteReference w:id="499"/>
      </w:r>
      <w:r>
        <w:rPr>
          <w:rFonts w:ascii="Amiri" w:hAnsi="Amiri" w:eastAsia="Amiri" w:cs="Amiri"/>
          <w:color w:val="111111"/>
          <w:sz w:val="28"/>
          <w:sz w:val="28"/>
          <w:szCs w:val="28"/>
          <w:rtl w:val="true"/>
          <w:lang w:bidi="ar-SA"/>
        </w:rPr>
        <w:t>من اتحادهما فإنما هو من الإنشاء لا من حيث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أيضاً في أنَّ لكل من الأحكام الوضعية والتكليفية ألفاظاً تخصها في مقام الإخبار عنهما، ويعبر عن كل منهما بما يخصه من اللفظ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فيعبر بذلك عن وجوب الصلاة،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الدلوك سبب فيعبر عن سببية الدلوك بذلك في مقام الإرادة عن النسبة الخارجية، ولم ينكر أحد تصور الحكم الوضعي في مقام الجعل ووجوده بين موضوعه وبين المأمور به، إنما النزاع في أنَّ هذا المفهوم المتصور المباين للتكليف هل يمكن أن يلحقه الجعل مستقلاً أم لا؟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إنشاء الحكم التكليفي يمكن إنشاء السببية ويقصد حصولها بذكر الدلوك سبباً؛ لأنَّ الإنشاء ليس إلا قصد حصول المعنى الذي لا يكون له خارج باللفظ، ولا يحتاج إلى مؤونة زائدة سواء ترتب عليه الأثر أم لا ضرورة عدم توقف الوجود الإنشائي على الوجود الخارجي، فإنه يمكن إنشاء الضدين مع أنَّ تحققهما في الخارج محالٌ، فلا ربط للوجود الإنشائي بالوجود الخارجي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بعضُهم الحكم الوضعي في السببية والشرطية والجزئية </w:t>
      </w:r>
      <w:r>
        <w:rPr>
          <w:rStyle w:val="FootnoteAnchor"/>
          <w:rtl w:val="true"/>
        </w:rPr>
        <w:footnoteReference w:id="500"/>
      </w:r>
      <w:r>
        <w:rPr>
          <w:rFonts w:ascii="IRNazanin" w:hAnsi="IRNazanin" w:eastAsia="IRNazanin"/>
          <w:color w:val="111111"/>
          <w:sz w:val="28"/>
          <w:sz w:val="28"/>
          <w:szCs w:val="28"/>
          <w:rtl w:val="true"/>
          <w:lang w:bidi="fa-IR"/>
        </w:rPr>
        <w:t xml:space="preserve">، وأضاف </w:t>
      </w:r>
    </w:p>
    <w:p>
      <w:pPr>
        <w:pStyle w:val="BookText"/>
        <w:rPr/>
      </w:pPr>
      <w:r>
        <w:rPr>
          <w:rFonts w:ascii="Amiri" w:hAnsi="Amiri" w:eastAsia="Amiri" w:cs="Amiri"/>
          <w:color w:val="111111"/>
          <w:sz w:val="28"/>
          <w:sz w:val="28"/>
          <w:szCs w:val="28"/>
          <w:rtl w:val="true"/>
          <w:lang w:bidi="ar-SA"/>
        </w:rPr>
        <w:t xml:space="preserve">بعضُهم الصحة والفساد </w:t>
      </w:r>
      <w:r>
        <w:rPr>
          <w:rStyle w:val="FootnoteAnchor"/>
          <w:rtl w:val="true"/>
        </w:rPr>
        <w:footnoteReference w:id="501"/>
      </w:r>
      <w:r>
        <w:rPr>
          <w:rFonts w:ascii="Amiri" w:hAnsi="Amiri" w:eastAsia="Amiri" w:cs="Amiri"/>
          <w:color w:val="111111"/>
          <w:sz w:val="28"/>
          <w:sz w:val="28"/>
          <w:szCs w:val="28"/>
          <w:rtl w:val="true"/>
          <w:lang w:bidi="ar-SA"/>
        </w:rPr>
        <w:t xml:space="preserve">، وزاد آخر المانعية والقاطعية والرافعية </w:t>
      </w:r>
      <w:r>
        <w:rPr>
          <w:rStyle w:val="FootnoteAnchor"/>
          <w:rtl w:val="true"/>
        </w:rPr>
        <w:footnoteReference w:id="502"/>
      </w:r>
      <w:r>
        <w:rPr>
          <w:rFonts w:ascii="Amiri" w:hAnsi="Amiri" w:eastAsia="Amiri" w:cs="Amiri"/>
          <w:color w:val="111111"/>
          <w:sz w:val="28"/>
          <w:sz w:val="28"/>
          <w:szCs w:val="28"/>
          <w:rtl w:val="true"/>
          <w:lang w:bidi="ar-SA"/>
        </w:rPr>
        <w:t xml:space="preserve">، وأنهاه بعضهم إلى أربعة عشر، 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والقضاوة، والولاية، والنيابة، والحرية، والرقية، والزوجية، ،والملكية والطهارة والنجاسة والضمان </w:t>
      </w:r>
      <w:r>
        <w:rPr>
          <w:rStyle w:val="FootnoteAnchor"/>
          <w:rtl w:val="true"/>
        </w:rPr>
        <w:footnoteReference w:id="503"/>
      </w:r>
      <w:r>
        <w:rPr>
          <w:rFonts w:ascii="Amiri" w:hAnsi="Amiri" w:eastAsia="Amiri" w:cs="Amiri"/>
          <w:color w:val="111111"/>
          <w:sz w:val="28"/>
          <w:sz w:val="28"/>
          <w:szCs w:val="28"/>
          <w:rtl w:val="true"/>
          <w:lang w:bidi="ar-SA"/>
        </w:rPr>
        <w:t xml:space="preserve">، وأمثال ذلك </w:t>
      </w:r>
      <w:r>
        <w:rPr>
          <w:rStyle w:val="FootnoteAnchor"/>
          <w:rtl w:val="true"/>
        </w:rPr>
        <w:footnoteReference w:id="504"/>
      </w:r>
      <w:r>
        <w:rPr>
          <w:rFonts w:ascii="IRNazanin" w:hAnsi="IRNazanin" w:eastAsia="IRNazanin"/>
          <w:color w:val="111111"/>
          <w:sz w:val="28"/>
          <w:sz w:val="28"/>
          <w:szCs w:val="28"/>
          <w:rtl w:val="true"/>
          <w:lang w:bidi="fa-IR"/>
        </w:rPr>
        <w:t xml:space="preserve">، واستظهر شيخنا العلّامة المرتضى علیه السلام من كلام الأصحاب أنه لا بدَّ أن يكون فعل المكلف لا غير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إمكان أن يتجوّز عن كل من خطاب الوضع والتكليف بالآخر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الدلوك سبب لوجوب الصلاة ولا يراد إنشاء الوجوب مجازاً وتجوّزاً؛ لسعة دائرة التجوّز، وكذلك لو قصد من الكلام إنشاء نفس السببية، وينتقل إلى لازمه وهو إنشاء التكليف؛ لكون السببية ملزومة للتكليف كان على المتعارف ولا غرابة فيه، ولا يلزم من ذلك تأثير الإنشاء في نفس السببية، كما أنه لا يلزم في الإخبار بأن زيداً طويل النجاد حصول طول النجاد في الخارج، بل ولا يلزم أن يكون له نجاد، وليس المراد إلَّا الانتقال إلى ما يلزمه من طول القامة، فكذلك إنشاء الوجوب بإنشاء السببية كي ينتقل الذهن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يجوز إنشاء الوضع بالكناية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بين العلة والمعلول والشرط والمشروط والمانع والممنوع ربط خاص وخصوصية مستدعية لذلك تكويناً، وإلا لزم أن يكون كل شيء مؤثراً في كل شيء وسبباً له، وكل شيء شرطاً لكل شيء، وكذلك المانع والجزء، وهو باطل؛ بالبداهة، فكل ما يكون لوجوده مدخل في وجود شيء آخر، أو لعدمه دخل في عدم شيء آخر، أو لعدمه دخل في وجود شيء آخر، لا بد أن يكون من جهة ربط تكويني بينه وبين ذلك الشيء الآخر، </w:t>
      </w:r>
    </w:p>
    <w:p>
      <w:pPr>
        <w:pStyle w:val="BookText"/>
        <w:rPr/>
      </w:pPr>
      <w:r>
        <w:rPr>
          <w:rFonts w:ascii="Amiri" w:hAnsi="Amiri" w:eastAsia="Amiri" w:cs="Amiri"/>
          <w:color w:val="111111"/>
          <w:sz w:val="28"/>
          <w:sz w:val="28"/>
          <w:szCs w:val="28"/>
          <w:rtl w:val="true"/>
          <w:lang w:bidi="ar-SA"/>
        </w:rPr>
        <w:t xml:space="preserve">ويكون هو المناط والملاك باتصاف ذلك بالشرطية والمانعية مثلاً وهذا الربط من الأمور التكوينية لا ربط له بالأحكام الوضعية كما أن الأمر بالمركب سواء كان خارجياً أو ذهنياً يستلزم تصور أجزائه الذهنية أو الخارجية، وكذا الأمر بذي السبب يستلزم تصور سببه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فتصور نفس الأجزاء والشرائط والأسباب وغيرها من موارد الأحكام الوضعية لا دخل لها في الأحكام الوضعية، ولا بد من تصورها، ولا ينكر ذلك أحد وليس محلاً للكلام،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أنَّ الأثر القهري العقلي للإنشاء ليس محلاً للكلام كخوف سائر الازواج المترتب على إنشاء طلاق إحدى أزواجه أو خوف سائر عبيده من تكليف أحد عباده؛ ضرورة أنَّ الأمور الجعلية ما يكون إثباتها وعدمها بجعل الجاعل وبيده لو قصد حصولها بالإنشاء، وهي موجودة قبل الجعل ولكن المنشئ قصد حصولها باللفظ، والمفروض أن الأثر القهري عقلي يحصل قهراً ، قصد إنشاؤه باللفظ أو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غافلاً عنه بالمرة، وظاهر أن ذلك لا يكون من المجعول في شيء، بل هو أثر الإنشاء بما هو ولمجرّده لا أثر مجعول بالإنشاء، فافهم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غير المتأصلة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يكون اتصاف ذواتها بها على نحو المحمول بالضميمة كالسواد فإنه ضم إلى الذات وصفاً زائداً عن ذاته وله وجود في الخارج مع قطع النظر عن الذات المتصفة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ما يكون الاتصاف بها بنحو خارج المحمول كالفوقية المنتزعة من الفوق ولا يكون الفوق وصفاً زائداً عن ذات الفوق، والأحكام الوضعية 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خارج المحمول والمحمول بالضميمة والأمور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من الوجودات الخارجية المتأصلة لا يمكن أن يلحقها الجعلُ؛ لأنَّ الحكم من الأمور الخارجية ومن فعل الحاكم، وهذه لا خارج إلا لمنشأ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الحكم الذي هو محل النزاع لا بدَّ أنْ يكون قسماً من الإنشاء قائماً </w:t>
      </w:r>
    </w:p>
    <w:p>
      <w:pPr>
        <w:pStyle w:val="BookText"/>
        <w:rPr/>
      </w:pPr>
      <w:r>
        <w:rPr>
          <w:rFonts w:ascii="Amiri" w:hAnsi="Amiri" w:eastAsia="Amiri" w:cs="Amiri"/>
          <w:color w:val="111111"/>
          <w:sz w:val="28"/>
          <w:sz w:val="28"/>
          <w:szCs w:val="28"/>
          <w:rtl w:val="true"/>
          <w:lang w:bidi="ar-SA"/>
        </w:rPr>
        <w:t>بالحاكم، لا أنه من الصفات القائمة بالأفعال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الحكم إلى الحكم التكليفي الشرعي والوضعي لا يستقيمُ إلَّا بعد تحقق الجامع بينهما، فلا بدَّ أنْ يكون في معاني الحكم معنى إنشائياً مدلولاً للخطاب صالحاً لأن يكون جامعاً لهما فيتنازع حينئذ في كونه مجعولاً للشارع في الوضعيات أم لا؟</w:t>
      </w:r>
    </w:p>
    <w:p>
      <w:pPr>
        <w:pStyle w:val="BookText"/>
        <w:rPr/>
      </w:pPr>
      <w:r>
        <w:rPr>
          <w:rFonts w:ascii="Amiri" w:hAnsi="Amiri" w:eastAsia="Amiri" w:cs="Amiri"/>
          <w:color w:val="111111"/>
          <w:sz w:val="28"/>
          <w:sz w:val="28"/>
          <w:szCs w:val="28"/>
          <w:rtl w:val="true"/>
          <w:lang w:bidi="ar-SA"/>
        </w:rPr>
        <w:t xml:space="preserve">والتحقيقُ أنه لا وجود للجامع الإنشائي بين الوضع والتكليف حتى يتنازع فيه، فإن الأشاعرة فسروه بنفس الخطاب </w:t>
      </w:r>
      <w:r>
        <w:rPr>
          <w:rStyle w:val="FootnoteAnchor"/>
          <w:rtl w:val="true"/>
        </w:rPr>
        <w:footnoteReference w:id="507"/>
      </w:r>
      <w:r>
        <w:rPr>
          <w:rFonts w:ascii="Amiri" w:hAnsi="Amiri" w:eastAsia="Amiri" w:cs="Amiri"/>
          <w:color w:val="111111"/>
          <w:sz w:val="28"/>
          <w:sz w:val="28"/>
          <w:szCs w:val="28"/>
          <w:rtl w:val="true"/>
          <w:lang w:bidi="ar-SA"/>
        </w:rPr>
        <w:t xml:space="preserve">، والمعتزلة بالمصالح والمفاسد الكامنة في الأشياء </w:t>
      </w:r>
      <w:r>
        <w:rPr>
          <w:rStyle w:val="FootnoteAnchor"/>
          <w:rtl w:val="true"/>
        </w:rPr>
        <w:footnoteReference w:id="508"/>
      </w:r>
      <w:r>
        <w:rPr>
          <w:rFonts w:ascii="Amiri" w:hAnsi="Amiri" w:eastAsia="Amiri" w:cs="Amiri"/>
          <w:color w:val="111111"/>
          <w:sz w:val="28"/>
          <w:sz w:val="28"/>
          <w:szCs w:val="28"/>
          <w:rtl w:val="true"/>
          <w:lang w:bidi="ar-SA"/>
        </w:rPr>
        <w:t xml:space="preserve">، والإمامية بأنه إنشاء الشارع الطلب والتحريم والتخيير </w:t>
      </w:r>
      <w:r>
        <w:rPr>
          <w:rStyle w:val="FootnoteAnchor"/>
          <w:rtl w:val="true"/>
        </w:rPr>
        <w:footnoteReference w:id="509"/>
      </w:r>
      <w:r>
        <w:rPr>
          <w:rFonts w:ascii="Amiri" w:hAnsi="Amiri" w:eastAsia="Amiri" w:cs="Amiri"/>
          <w:color w:val="111111"/>
          <w:sz w:val="28"/>
          <w:sz w:val="28"/>
          <w:szCs w:val="28"/>
          <w:rtl w:val="true"/>
          <w:lang w:bidi="ar-SA"/>
        </w:rPr>
        <w:t>، والفعلُ عندهم خال عن الحكم وإنما يتصفُ بالحكم بعد حكم الشارع، وشيءٌ من هذه التفاسير لا يلزم منه معنى جامع 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ظهر لك أنه لا معنى لكون السبية حكماً شرعياً جعلياً في عداد الأحكام؛ لأنَّا لا نعقل من وجوب الصلاة عند دلوك الشمس إلا وجود الصلاة بعده، وأمّا تأثير الدلوك في وجوبها فلا ندركه؛ لأنَّه من مقتضيات الذات ولوازم الماهية فلا يكون مؤثراً في وجوبها الذي بمعنى السببية؛ إذ ليس هذا المعنى من لوازم ماهية الدلوك كزوجية الأربعة بحيث يوجب تصورُ الماهية تصور ،سببيتها ، ولو كان كذلك لأمكن جعلها كما هو ظاهر، ولا يدرك عقلنا كونه صفةً مجعولةً من الشارع لا من حيث إنَّه شارع، بل من حيث إِنَّه خالقُ وموجد فيه، أي في السبب، باعتبار جنسه أو فصله أو عوارضه المشخصة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تصور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بأجزائها وقيودها لا يقتضي اتصاف شيء منها  بجزئية المأمور به أو شرطيته قبل الأمر بالماهية، فالجزئية للمأمور به أو الشرطية له تنتزع من جزئه أو شرطه بملاحظة الأمر به، فلا حاجة إلى جعلها له وبدون الأمر به لا اتصاف بها </w:t>
      </w:r>
      <w:bookmarkStart w:id="196" w:name="pg9229_140464"/>
    </w:p>
    <w:p>
      <w:pPr>
        <w:pStyle w:val="BookText"/>
        <w:rPr/>
      </w:pPr>
      <w:bookmarkEnd w:id="196"/>
      <w:r>
        <w:rPr>
          <w:rFonts w:ascii="IRNazanin" w:hAnsi="IRNazanin" w:eastAsia="IRNazanin"/>
          <w:color w:val="111111"/>
          <w:sz w:val="28"/>
          <w:sz w:val="28"/>
          <w:szCs w:val="28"/>
          <w:rtl w:val="true"/>
          <w:lang w:bidi="fa-IR"/>
        </w:rPr>
        <w:t>أصلاً، فافهم</w:t>
      </w:r>
      <w:r>
        <w:rPr>
          <w:rFonts w:eastAsia="IRNazanin" w:cs="IRNazanin"/>
          <w:color w:val="111111"/>
          <w:sz w:val="28"/>
          <w:szCs w:val="28"/>
          <w:rtl w:val="true"/>
          <w:lang w:bidi="fa-IR"/>
        </w:rPr>
        <w:t>.</w:t>
      </w:r>
    </w:p>
    <w:p>
      <w:pPr>
        <w:pStyle w:val="Heading2"/>
        <w:numPr>
          <w:ilvl w:val="1"/>
          <w:numId w:val="1"/>
        </w:numPr>
        <w:rPr/>
      </w:pPr>
      <w:bookmarkStart w:id="197" w:name="__RefHeading___Toc4247286_2870459653"/>
      <w:bookmarkStart w:id="198" w:name="_Toc67"/>
      <w:bookmarkEnd w:id="197"/>
      <w:r>
        <w:rPr>
          <w:rtl w:val="true"/>
        </w:rPr>
        <w:t>[</w:t>
      </w:r>
      <w:r>
        <w:rPr>
          <w:rtl w:val="true"/>
        </w:rPr>
        <w:t>أدلة القائل بالجعل</w:t>
      </w:r>
      <w:r>
        <w:rPr>
          <w:rtl w:val="true"/>
        </w:rPr>
        <w:t>]</w:t>
      </w:r>
      <w:bookmarkEnd w:id="198"/>
    </w:p>
    <w:p>
      <w:pPr>
        <w:pStyle w:val="BookText"/>
        <w:rPr/>
      </w:pPr>
      <w:r>
        <w:rPr>
          <w:rFonts w:ascii="Amiri" w:hAnsi="Amiri" w:eastAsia="Amiri" w:cs="Amiri"/>
          <w:color w:val="111111"/>
          <w:sz w:val="28"/>
          <w:sz w:val="28"/>
          <w:szCs w:val="28"/>
          <w:rtl w:val="true"/>
          <w:lang w:bidi="ar-SA"/>
        </w:rPr>
        <w:t>وعمدة ما تمسك به القائل بالجعل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يتحقق الوضع بدون التكليف كتحقق الضمان على الصبي لو أتلف مال شخص مثلاً مع عدم كونه مكلفاً، كيف ولا يتصور وجود الأمر الانتزاعي مع انتفاء ما ينتزع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الولي هو المكلف المكلف بوجوب ردّ القيمة على صاحب المال، وإن لم يكن له وليٌ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مكلفاً بوجوب الردّ عند البلوغ، فالضمان بالنسبة إلى الصبي انتزع من وجوب الرّد في زمان بلوغه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الوضعية ـ من السببية والشرطية وغيرها ـ كالدلالة الوضعية، فكما أن مجرد وضع الواضع اللفظ بإزاء المعنى تحصلُ الدلالة ـ مع أنَّه لم تكن حاصلة قبل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الأحكام الوضعية تحصل بمجرد إنشاء الشارع لها وجعله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لا تكون مسبَبَةً عن الجعل بحيث تكون مؤثرة فيه بمجرده، بل مستندة إلى أمور لو لم تتحقق لم تحصل الدلالة، ولو حصلت لما انفكتْ عنها، بل يستحيلُ انفكاكها عنها عقلاً</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4247288_2870459653"/>
      <w:bookmarkStart w:id="200" w:name="_Toc68"/>
      <w:bookmarkEnd w:id="199"/>
      <w:r>
        <w:rPr>
          <w:rtl w:val="true"/>
        </w:rPr>
        <w:t>تتميم</w:t>
      </w:r>
      <w:bookmarkEnd w:id="200"/>
    </w:p>
    <w:p>
      <w:pPr>
        <w:pStyle w:val="BookText"/>
        <w:rPr/>
      </w:pPr>
      <w:r>
        <w:rPr>
          <w:rFonts w:ascii="Amiri" w:hAnsi="Amiri" w:eastAsia="Amiri" w:cs="Amiri"/>
          <w:color w:val="111111"/>
          <w:sz w:val="28"/>
          <w:sz w:val="28"/>
          <w:szCs w:val="28"/>
          <w:rtl w:val="true"/>
          <w:lang w:bidi="ar-SA"/>
        </w:rPr>
        <w:t>قد جعلوا الثمرة في الخلاف إجراء الأصول وشمول أدلة الاستصحاب وحديثَ الرفع بناءً على الجعل ؛ لأنها من الآثار الشرعية، وشأن الاستصحاب إثبات ذلك، كما أن شأن حديث الرفع ما يكون كذلك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صحة استصحابها ورفعها بحديث الرفع بناءً على كونها منتزعةً أيضاً؛ لأنَّ المراد من الأثر الشرعي ما يكون قابلاً لتصرّف الشارع ولو بالتبع، والأحكام الوضعية مما تنالها يد التصرف إثباتاً ورفعاً من الشارع بتبع إثبات ورفع منشأ انتزاعها، وهو نفس </w:t>
      </w:r>
      <w:bookmarkStart w:id="201" w:name="pg9229_140466"/>
    </w:p>
    <w:p>
      <w:pPr>
        <w:pStyle w:val="BookText"/>
        <w:rPr/>
      </w:pPr>
      <w:bookmarkEnd w:id="201"/>
      <w:r>
        <w:rPr>
          <w:rFonts w:ascii="Amiri" w:hAnsi="Amiri" w:eastAsia="Amiri" w:cs="Amiri"/>
          <w:color w:val="111111"/>
          <w:sz w:val="28"/>
          <w:sz w:val="28"/>
          <w:szCs w:val="28"/>
          <w:rtl w:val="true"/>
          <w:lang w:bidi="ar-SA"/>
        </w:rPr>
        <w:t>التكليف، ولا يتوهم أن استصحاب التكليف مغن عن استصحابها؛ فإنَّ الفائدة تحصل رفعاً فيما لو كان استصحاب التكليف معارضاً، أو محكوماً، أو مثبتاً، أو غير ذلك مما يمنع من جريان الاستصحاب، فيستصحب الأحكام الوضعية المنتزعة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الأحكام الوضعية إلى منتزعة من التكليف وتابعة له، وإلى مجعولة بنفس التكليف لا بتبعه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تعيين الأحكام الوضعية المنتزعة غير القابلة للجعل، والتي لا يمكن انتزاعها عن مجرد التكليف في موردها ويمكن انشاؤها نفسها، فاعلم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الجزئية والشرطية والمانعية والقاطعية من القسم الأول، ولا يتصف الشيء بكونه جزءاً أو شرطاً للمأمور به إلَّا بتبع الأمر بما يشتمل عليه مقيداً بأمر آخر، فتنتزع الشرطية والجزئية بملاحظة الأمر، وبدون الأمر لا يتصف الشيء بالجزئية أو الشرطية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المجعولة بنفسها ويصحُ انتزاعها بمجرد إنشائها كالتكليف، وليست مجعولةً بتبع التكليف ولا منتزعة عنها فكالزوجية والملكية والحرية والرقية والولاية والنيابة والطلاق والعتاق المنتزعة من العقد والإيقاع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عدم صحة انتزاعها عن مجرد التكليف في موردها، فلا تنتزع الملكية عن إباحة التصرّف، ولا الزوجية عن جواز الوطء، فافهم</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4247290_2870459653"/>
      <w:bookmarkStart w:id="203" w:name="_Toc69"/>
      <w:bookmarkEnd w:id="202"/>
      <w:r>
        <w:rPr>
          <w:rtl w:val="true"/>
        </w:rPr>
        <w:t xml:space="preserve">[ </w:t>
      </w:r>
      <w:r>
        <w:rPr>
          <w:rtl w:val="true"/>
        </w:rPr>
        <w:t xml:space="preserve">تنبيهات </w:t>
      </w:r>
      <w:r>
        <w:rPr>
          <w:rtl w:val="true"/>
        </w:rPr>
        <w:t>]</w:t>
      </w:r>
      <w:bookmarkEnd w:id="203"/>
    </w:p>
    <w:p>
      <w:pPr>
        <w:pStyle w:val="BookText"/>
        <w:rPr/>
      </w:pPr>
      <w:r>
        <w:rPr>
          <w:rFonts w:ascii="Amiri" w:hAnsi="Amiri" w:eastAsia="Amiri" w:cs="Amiri"/>
          <w:color w:val="111111"/>
          <w:sz w:val="28"/>
          <w:sz w:val="28"/>
          <w:szCs w:val="28"/>
          <w:rtl w:val="true"/>
          <w:lang w:bidi="ar-SA"/>
        </w:rPr>
        <w:t xml:space="preserve">وفي المقام تنبيهات على أمور لا بد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اعتبار فعلية اليقين والشكِ، اللذين هما ركنا الاستصحاب، فلا يكفي وجودهما الشأني، فلا يتحقق موضوع الاستصحاب مع الغفلة وإن كان بحيث لو التفت لكان متيقناً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شاكاً في بقائه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العقل على وجود المستصحب في السابق، فالحق إمكان استصحاب حكم العقل؛ ضرورة إمكان حكم العقل واستقلاله بحسن عنوان أو قبحه في </w:t>
      </w:r>
    </w:p>
    <w:p>
      <w:pPr>
        <w:pStyle w:val="BookText"/>
        <w:rPr/>
      </w:pPr>
      <w:r>
        <w:rPr>
          <w:rFonts w:ascii="Amiri" w:hAnsi="Amiri" w:eastAsia="Amiri" w:cs="Amiri"/>
          <w:color w:val="111111"/>
          <w:sz w:val="28"/>
          <w:sz w:val="28"/>
          <w:szCs w:val="28"/>
          <w:rtl w:val="true"/>
          <w:lang w:bidi="ar-SA"/>
        </w:rPr>
        <w:t>مورد مركب أو مقيد على سبيل الإهمال والإجمال، بمعنى أنه يحكم بحسن يحكم بحسن هذا المركب أو المقيد مع عدم العلم بمدخلية ما له المدخلية بخصوصه، أو يرى أنَّ المطلق موجب للحسن أو القبح مع احتماله قيام الحسن في خصوصية خاصة مع احتمال أن يكون الملاك في المطلق، أو بأنه قائمٌ بمجموع المركب أو المقيد مع احتمال وجود ملاك آخر في فاقد الجزء أو القيد، فلو تغيّر موضوعه بزوال القيد أو الجزء يشك في ثبوت الملاك في الباقي في الزمان الثاني بعد تبدل الخصوصيات، فلا مانع من إجراء استصحاب الحكم الشرعي المستتبع للحكم العقلي بعد البناء على المسامحة العرفية في إحراز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استصحاب نفس حكم العقل؛ لعدم تصور الشك في بقائه، وكذا لا يجري استصحاب ملاك حكم العقل وإن تصور الشك فيه غير أنه ليس موضوعاً لأثر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المستصحبُ إمّا جزئي أو كلي والشك في بقاء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الشك في بقاء الفرد المتحقق به الكلي، أو من جهة تعيينه وتردده بين ما هو باق وما هو مرتفع، أو من جهة الشك في وجود فرد آخر مع الفرد الأول المتيقن ،أو مقارناً لارتفاعه مع احتمال عدم ارتفاع الكلي؛ فالأقسام ثلاثة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جريان الاستصحاب في القسم الأول، ولا يستغنى باستصحاب الفرد عن استصحاب الكلي، لو كان ذا أثر ، بل يجري في كل منهما مستقلاً، كما لا يستغنى باستصحاب الكلي عن استصحاب الفرد بناءً على حجية الاستصحاب من باب التعبد الشرعي؛ فإن الشارع اعتبر الكلي موضوعاً لحكم والفرد موضوعاً لحكم آخر، فهنا حكمان شرعيان على 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والفرد، فإذا أمرَ بالتعبد بإبقاء ما كان من الآثار على الفرد لا يلازم ذلك شرعاً التعبدَ بابقاء آثار الكلي؛ إذ لا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بينهما كما هو المفروض، فلا وقع لإشكال أنَّ الفرد مقدمةٌ لحصول الكلى أو عينه، فاستصحاب الفرد يغني عن استصحاب </w:t>
      </w:r>
    </w:p>
    <w:p>
      <w:pPr>
        <w:pStyle w:val="BookText"/>
        <w:rPr/>
      </w:pPr>
      <w:r>
        <w:rPr>
          <w:rFonts w:ascii="Amiri" w:hAnsi="Amiri" w:eastAsia="Amiri" w:cs="Amiri"/>
          <w:color w:val="111111"/>
          <w:sz w:val="28"/>
          <w:sz w:val="28"/>
          <w:szCs w:val="28"/>
          <w:rtl w:val="true"/>
          <w:lang w:bidi="ar-SA"/>
        </w:rPr>
        <w:t xml:space="preserve">الكلي </w:t>
      </w:r>
      <w:r>
        <w:rPr>
          <w:rStyle w:val="FootnoteAnchor"/>
          <w:rtl w:val="true"/>
        </w:rPr>
        <w:footnoteReference w:id="511"/>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لو كان الشك في تعيين الفرد، فالحقُّ جريان الاستصحاب فيه سواء كان الشك في المقتضي كما لو كان الموجود أولاً حيواناً مردداً بين البق والزنبور، وشك بعد ثلاثة أيام التي لا يعيش البقُ أكثر منها، أو كان الشك في الرافع كما لو كان الخارج بللاً مردداً بين البول والمني، فلو توضأ وشك في بقاء حدثه أو ارتفاعه بواسطة الوضوء فيستصحب كلي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الشك في بقاء الكلي مسببٌ عن الشك في وجود الفرد الطويل، والأصلُ عدمه، فلا يبقى شك في بقاء الكلي؛ لأنَّ الترتب بين السبب والمسبب هنا ليس شرعياً حتى يتقدم الأصلُ الجاري في السبب على المسبب؛ فإن ترتب عدم الكلي على عدم الفرد هنا من جهة العلم بانحصار المورد في فرد واحد، وأنه على تقدير عدم وجود الفرد الطويل وجدَ القصير وارتفع، على أن أصالة عدم وجود الفرد الطويل معارضٌ بأصالة عدم وجود القصير فيما لو كانا متباينين في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 عدم جريان الأصل في طرف القصير لعدم الأثر الشرعي؛ للأصل في طرف االتقصیر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ممنوعةٌ على إطلاقها؛ لوجود الأثر فيما لو كانا متباينين في الأثر لا أقل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الكلي لا يثبتُ الفرد وإن كان ملازماً له؛ ضرورة عدم كون هذه الأدلة شرعية، فلو فرض أثر للفرد يخصه يُنفى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للفرد الآخر أيضاً أثر خاص به فيتعارضان، أو يعلم أن الحكم ببقاء الكلي في الأثر والحكم بعدم الفرد لا يجتمعان حتى في مرحلة الظاهر أيضاً، فافهم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كان الشك من جهة وجود فرد آخر مع المتيقن، أو كان حدوثه مقارناً لارتفاعه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الجامع بين الفردين المحتمل بقاؤه بقيام الفرد الآخر </w:t>
      </w:r>
    </w:p>
    <w:p>
      <w:pPr>
        <w:pStyle w:val="BookText"/>
        <w:rPr/>
      </w:pPr>
      <w:r>
        <w:rPr>
          <w:rFonts w:ascii="Amiri" w:hAnsi="Amiri" w:eastAsia="Amiri" w:cs="Amiri"/>
          <w:color w:val="111111"/>
          <w:sz w:val="28"/>
          <w:sz w:val="28"/>
          <w:szCs w:val="28"/>
          <w:rtl w:val="true"/>
          <w:lang w:bidi="ar-SA"/>
        </w:rPr>
        <w:t>مقام الفرد المتيقن؛ لكون الموضوع للحكم صرفَ الطبيعة من غير ملاحظة الخصوصيات الشخصية، وصرفُ الطبيعة لا ينعدم إلَّا بانعدام تمام الوجودات الخاصة في زمن من الأزمنة اللاحقة؛ لأنَّها في مقابل العدم المطلق، ولا يصدق العدم المطلق إلّا بعد انعدام تمام الأفراد، فلو شك في وجود فرد آخر مع ذلك الفرد المتيقن واحتمل بقاؤه بعد ارتفاع الفرد المتيقن فموردُ الاستصحاب هو صرف الوجود الجامع المتحقق بتيقن صرفِ الطبيعة، وقد شك في بقاء هذا المتيقن فيستصحبه، فإنه على تقدير تحققه في نفس الأمر بقاءً لا حدوثاً؛ لأنَّ هذا المعنى من الوجود في مقابل العدم المطلق، فحدوثه فيما إذا كان مسبوقاً بالعدم المطلق، والمفروض أنه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استصحاب الوجود الخاص كان المتيقن سابقاً مقطوعَ الارتفاع، والمشكوك لاحقاً غير متيقن سابقاً، فيختلّ أحد ركني الاستصحاب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المدار في الاستصحاب على صدق نقض اليقين بالشك حسبها يظهر من أخبار الباب، فلا فرق حينئذٍ بين التدريجيات كالزمان والزمانيات ـ كالتكلّم والحركة وأمثالهما ـ وغيرهما مما شك في تحققه لاحقاً مع العلم بتحققه سابقاً، فالشكُ في تحقق الحركة أو نفس الزمان بعد العلم بتحققه سابقاً شكٌ في تحقق عين ما كان محققاً سابقاً من غير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محل الاستصحاب عنوانُ الشك في بقاء والزمان والزمانيات لا بقاء فيهاإلّا بالمسامحة العرفية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يساعدُ عليها أخبارُ الباب، ولا ظهور لها في هذا العنوان، بل ظاهرُاعتبار صدق نقض اليقين بالشك الصادق في التدريجيات وغيرها من غير تفاوت بينهما وحال الاستصحاب المستقر الذي أخذ الزمان قيداً له حال استصحاب نفس الزمان، فمَنْ وجب عليه الجلوس في النهار في مكان وشك في انقضاء النهار أو بقائه صدقَ أنه كان جلوسه سابقاً جلوساً في النهار، والآن كما كان فيترتب عليه الوجوب، فإن الجلوس المتحقق في النهار موضوعٌ واحد للوجوب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أريد استصحاب الموضوع المقيد بالزمان، أو استصحاب حكمه بعد انقضاء الزمان المأخوذ ، قيداً فلا مجرى لاستصحابه؛ لأنَّ الجلوس المقيد بالنهار أو حكمه لا يبقى</w:t>
      </w:r>
    </w:p>
    <w:p>
      <w:pPr>
        <w:pStyle w:val="BookText"/>
        <w:rPr/>
      </w:pPr>
      <w:r>
        <w:rPr>
          <w:rFonts w:ascii="IRNazanin" w:hAnsi="IRNazanin" w:eastAsia="IRNazanin"/>
          <w:color w:val="111111"/>
          <w:sz w:val="28"/>
          <w:sz w:val="28"/>
          <w:szCs w:val="28"/>
          <w:rtl w:val="true"/>
          <w:lang w:bidi="fa-IR"/>
        </w:rPr>
        <w:t>بعد انقضائه</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شمول أدلة الاستصحاب بين ما كان الحكم المتيقن سابقاً مطلقاً أو مشروطاً، وقد تقدم في الأوامر توضيح الواجب المشروط بما لا مزيد عليه، فإذا شك في بقاء الحرمة المعلّقة في الآن الثاني فقد جعل الشارع حرمةً ظاهرية معلّقة على ذلك المشروط بأدلة الاستصحاب ؛ لشمولها لذلك، فلا إشكال في استصحاب النجاسة المعلّقة على تقدير الغليان للعصير العنبي التي كانت ثابتةً حال كونه عنباً، فهي باقية بعد صيرورته زبيباً بالاستصحاب بعد الفراغ عن كون الجفاف لا يصيره موضوعاً آخر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استصحاب الحرمة على تقدير الغليان معارض باستصحاب الإباحة الفعلية الثابتة للزبيب قبل الغليان، وربما يقال بحكومة استصحاب الحكم التعليقي على استصحاب الإباحة؛ لأنَّ الشك في بقاء الإباحة الفعلية مسببٌ عن الشك في جعل الحرمة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يخلو من تأمل؛ فإن ترتب عدم الإباحة من جهة حكم العقل بثبوت الحرمة الفعلية عند تحقق الشرط نظيرُ الحكم بلزوم الامتثال، وهو يضاد الإباحة، وكون هذا الحكم الفعلي من لوازم الحكم التعليقي لا يضرُ في صحة الأخذ به، وليس من الأصل المثبت، فلا حكومة من جهة أن عدم الإباحة حينئذٍ من جهة عدم إمكان الجمع بينهما، فكما يترتب على استصحاب التعليقي عدمُ الإباحة بحكم العقل كذلك يترتب على استصحاب الإباحة عدمُ الحكم التعليقي بحكم العقل؛ ضرورة عدم اجتماع الإباحة ولو ظاهراً مع ما يكون علةً لضدها، فلا تصحح الحكومة بكون اللازم من اللوازم العقلية للأعم من الواقعي والظاهري كما توهم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عرفت أنَّ التحقيق في تقدم الأصل السببي على المسببي تقدمُ الشك في السبب على الشك في المسبب طبعاً وإن لم يكن من آثار الأصل المسببي رفعُ الشك عن المسبب شرعاً، فتصح الحكومةُ هنا حينئذٍ</w:t>
      </w:r>
      <w:r>
        <w:rPr>
          <w:rFonts w:eastAsia="Amiri" w:cs="Amiri" w:ascii="Amiri" w:hAnsi="Amiri"/>
          <w:color w:val="111111"/>
          <w:sz w:val="28"/>
          <w:szCs w:val="28"/>
          <w:rtl w:val="true"/>
          <w:lang w:bidi="ar-SA"/>
        </w:rPr>
        <w:t xml:space="preserve">. </w:t>
      </w:r>
      <w:bookmarkStart w:id="204" w:name="pg9229_140476"/>
    </w:p>
    <w:p>
      <w:pPr>
        <w:pStyle w:val="BookText"/>
        <w:rPr/>
      </w:pPr>
      <w:bookmarkEnd w:id="204"/>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صحة استصحاب الحكم الثابت في الشرائع السابقة لو شك فيه في هذه الشريعة؛ لعموم الأدلة السالمة عن المعارض، ولا تبدل في الموضوع؛ فإنه نظير</w:t>
      </w:r>
    </w:p>
    <w:p>
      <w:pPr>
        <w:pStyle w:val="BookText"/>
        <w:rPr/>
      </w:pPr>
      <w:r>
        <w:rPr>
          <w:rFonts w:ascii="IRNazanin" w:hAnsi="IRNazanin" w:eastAsia="IRNazanin"/>
          <w:color w:val="111111"/>
          <w:sz w:val="28"/>
          <w:sz w:val="28"/>
          <w:szCs w:val="28"/>
          <w:rtl w:val="true"/>
          <w:lang w:bidi="fa-IR"/>
        </w:rPr>
        <w:t>الموضوع في الوقف على العناوين، وكالشخص المدرك لشريعتين وشُك في بقاء الحكم في اللاحقة، والمعدوم الموجود في زمان المدركُ للشريعتين متيقنٌ لحكم ذلك المدرك في الشريعة الأولى وشاکٌ في حكمه في الشريعة، فأدلةُ الاستصحاب تثبتُ بقاء ذلك للمدرك للشريعتين، ثم يحكم بثبوت الحكم لذلك المعدوم الذي يوجد في زمن المدرك للملازمة الثابتة شرعاً، فيكون الحكم الثابت للمدرك للشريعتين موضوعاً بحكمه،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والعلمُ بنسخ بعض الأحكام السابقة لا يضرُ ؛ لجواز إجراء الأصل في أطراف المعلوم بالإجمال إذا كان سليماً عن المعارض، فالأصلُ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حجية الاستصحاب في الشك في المقتضي، فافهم</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4247292_2870459653"/>
      <w:bookmarkStart w:id="206" w:name="_Toc70"/>
      <w:bookmarkEnd w:id="205"/>
      <w:r>
        <w:rPr>
          <w:rtl w:val="true"/>
        </w:rPr>
        <w:t>استطرادٌ</w:t>
      </w:r>
      <w:bookmarkEnd w:id="206"/>
    </w:p>
    <w:p>
      <w:pPr>
        <w:pStyle w:val="BookText"/>
        <w:rPr/>
      </w:pPr>
      <w:r>
        <w:rPr>
          <w:rFonts w:ascii="IRNazanin" w:hAnsi="IRNazanin" w:eastAsia="IRNazanin"/>
          <w:color w:val="111111"/>
          <w:sz w:val="28"/>
          <w:sz w:val="28"/>
          <w:szCs w:val="28"/>
          <w:rtl w:val="true"/>
          <w:lang w:bidi="fa-IR"/>
        </w:rPr>
        <w:t>لا يصح للیهودی المخاصم لبعض السادة الأجلّة اثبات دینه باستصحاب نبوة موسی علیه السلام لأنَّا نعلمُ  بنسخه ولا شكَ لنا في شيءٍ منها، فلا مجرى لاستصحابها، ومع قطع النظر عن إخبار نبينا لا نعلمُ بوجود موسى علیه السلام فضلاً عن نبوته، فكيف صحَّ لليهودي إلزامنا بالاستصحاب في أمر لا شكَ لنا في انقطاعه، أو لا علمَ لنا بسابقه على تقدير</w:t>
      </w:r>
    </w:p>
    <w:p>
      <w:pPr>
        <w:pStyle w:val="BookText"/>
        <w:rPr/>
      </w:pPr>
      <w:r>
        <w:rPr>
          <w:rFonts w:ascii="IRNazanin" w:hAnsi="IRNazanin" w:eastAsia="IRNazanin"/>
          <w:color w:val="111111"/>
          <w:sz w:val="28"/>
          <w:sz w:val="28"/>
          <w:szCs w:val="28"/>
          <w:rtl w:val="true"/>
          <w:lang w:bidi="fa-IR"/>
        </w:rPr>
        <w:t>عبد أولا آخر؟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عدم حجية الأصول المثبتة؛ لعدم شمول أخبار الاستصحاب له؛ لأنَّها دلت على الإبقاء العملي للحكم أو الموضوع الذي له أثر يصح للشارع أن يحكم به، فما لم يكن حكماً شرعياً ولا موضوعاً لحكم شرعي بلا واسطة فلا تشمله أدلة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ناسٌ </w:t>
      </w:r>
      <w:r>
        <w:rPr>
          <w:rStyle w:val="FootnoteAnchor"/>
          <w:rtl w:val="true"/>
        </w:rPr>
        <w:footnoteReference w:id="512"/>
      </w:r>
      <w:r>
        <w:rPr>
          <w:rFonts w:ascii="Amiri" w:hAnsi="Amiri" w:eastAsia="Amiri" w:cs="Amiri"/>
          <w:color w:val="111111"/>
          <w:sz w:val="28"/>
          <w:sz w:val="28"/>
          <w:szCs w:val="28"/>
          <w:rtl w:val="true"/>
          <w:lang w:bidi="ar-SA"/>
        </w:rPr>
        <w:t xml:space="preserve">شمولها لما ينتهي إلى أثر شرعي بنحو من الأنحاء، مثل ما ينتهي بواسطة </w:t>
      </w:r>
    </w:p>
    <w:p>
      <w:pPr>
        <w:pStyle w:val="BookText"/>
        <w:rPr/>
      </w:pPr>
      <w:r>
        <w:rPr>
          <w:rFonts w:ascii="Amiri" w:hAnsi="Amiri" w:eastAsia="Amiri" w:cs="Amiri"/>
          <w:color w:val="111111"/>
          <w:sz w:val="28"/>
          <w:sz w:val="28"/>
          <w:szCs w:val="28"/>
          <w:rtl w:val="true"/>
          <w:lang w:bidi="ar-SA"/>
        </w:rPr>
        <w:t xml:space="preserve">اللوازم العادية أو العقلية إلى أثر شرعي، ومثل ما ينتهي بواسطة الملازمة بينه وبين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عقلاً أو عادة، أو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أثر شرعي، أو يكون ملزومه أثراً شرعياً، أو موضوعاً لأثر شرعي، أو يكون ملزمه أثراً شرعياً، ولكن ليس ترتبه على ذلك الموضوع بشرعي، كمن أحرز مقتضى الوجوب وشك في المانع، فأصالة عدم عنوان المانع وإن كان يترتب عليه الوجوبُ وهو حكمٌ شرعي، لكنَّ ترتبَ هذا الحكم على وجود المقتضي وعدم المانع ترتبٌ عقلي لا شرعي، أو يكون المستصحب وأثره من الانتزاعيات التي منشأ انتزاعها بيد الشارع مثل استصحاب الشرطية أو عدمها والمانعية أو عدمها بناءً على عدم جعل الانتزاعيات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كل ما كان نقضاً عملياً لنفس المتيقن ابتداءً بلا واسطة فهو مجرى الاستصحاب، فاليقينُ بما ليس له أثر شرعي، بل ينتهي بالواسطة إلى الأثر الشرعي ليس من النقض العملي في شيء، وإذا كانت الواسطة خفية لم يكن ترتبُ الحكم على تلك الواسطة عرفاً، بل يرونه مرتباً على نفس المستصحب، فهو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العرفية، ومثله ما لو كانت الملازمة بين الشيئين جليّة على وجه يستلزمُ التنزيل في أحدهما التنزيلَ في الآخر كالأبوة والبنوة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الاستصحابُ من باب الظن كانَ الأصلُ المثبت حجةً؛ لعدم انفكاك الظن بالملزوم عن الظنَّ باللازم، والظنَّ بأحد المتلازمين عن الظن بالآخر ،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اعتبار الظن بالبقاء من الكون السابق، لا الظن بحدوث أمر يلازمُ بقاء ذلك الشيء،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الأخذ بما يلازم مفاد الأمارات في الوجود سواء كانت الملازمة عادية، أو عقلية، أو اتفاقية، أنه كشٌف حاصلٌ من الخبر، وكلُّ من اللازم والملزوم حجةٌ؛ لأنَّ الخبر كاشف عن كل منهما، والالتزامي وإن كان تبعاً للكشف عن المعنى المطابقي في الوجود، لكن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نعم،هنا شيء، وهو أن بعض الموضوعات الخارجية المتوسطة بين المستصحب وبين الحكم الشرعي من الوسائط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الحائري، الفصول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تبعاً له في الاعتبار والحجية، بل كل منهما كشف حاصل من الأمارات التي هي طريق إلى الواقع،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المستصحب مشكوك الارتفاع في جزء من الزمان اللاحق مع العلم بارتفاعه بعد ذلك الجزء، فهو استصحاب تأخر الحادث الذي علم وجوده في زمان وشُكَ في مبدأ وجوده، فالأصلُ عدم حدوثه في زمان الشك، فيترتب عليه أثر عدمه في ذلك الزمان ولا يترتب عليه أثر حدوثه بعد ذلك؛ لأنَّ حدوثه بعد ذلك لازم عقلي للعدم في ذلك الزمان، ومطلقُ وجوده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بخفاء الواسطة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بحدوث حادثين وشك في تقدم أحدهما على الآخر، فإن كانا مجهولي التاريخ فالأصلُ عدم كل منهما في الزمان المشكوك، فلا يجوز العمل بهما، إلَّا إذا لم يلزم من ذلك مخالفة عملية كما في الاناءين المشتبهين اللذين تكون الحالة السابقة فيهما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علم تاريخ أحدهما وجهلَ الآخر فاستصحاب مجهول التاريخ لا مانع منه، فيحكم بعدمه حتى في زمن وجود معلوم التاريخ ، ولا يجري </w:t>
      </w:r>
      <w:r>
        <w:rPr>
          <w:rStyle w:val="FootnoteAnchor"/>
          <w:rtl w:val="true"/>
        </w:rPr>
        <w:footnoteReference w:id="513"/>
      </w:r>
      <w:r>
        <w:rPr>
          <w:rFonts w:ascii="Amiri" w:hAnsi="Amiri" w:eastAsia="Amiri" w:cs="Amiri"/>
          <w:color w:val="111111"/>
          <w:sz w:val="28"/>
          <w:sz w:val="28"/>
          <w:szCs w:val="28"/>
          <w:rtl w:val="true"/>
          <w:lang w:bidi="ar-SA"/>
        </w:rPr>
        <w:t>في معلوم التاريخ؛ للعلم، بعدمه قبل ذلك الزمان المعيّن الذي علم بوجوده وعلم انقطاع ذلك العدم في ذلك الزمان فلا زمان يشك في بقائه وعدم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وجوده المقارن مشكوك فيه يمكن استصحاب عدمه؛ لأنه كان مسبوقاً بالعدم الأزلي، وإنْ فرض أنَّ الأثر لعدمه في صورة الوجود المفروض للآخر فلا يجري الاستصحاب؛ إذ ليس له حالة سابقة؛ لأنَّ أصل وجوده معلوم في زمان معلوم، وكون هذا الوجود في زمن وجودِ الآخر فليس بمعلوم نفياً وإثباتاً، فافهم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حكم المخصص كما لو دل العام على ثبوت حكم لأفراده ثم جاء المخصص المخرج لفرد من أفراد العام في زمان خاص، فبعد ذلك الزمان يرجع إلى استصحاب الحكم المخصص،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لو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دليل لبي كالإجماع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إكرام زيد العالم يوم الجمعة، فبعد يوم الجمعة يُشكُ في وجوب إكرام زيد، فيستصحب وجوب إكرامه ، إلّا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كل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 فرد في زمان، فلا حاجة حينئذ إلى الاستصحاب في دخول زيدٍ في الزمان الثاني؛ لأنَّه لاحظ الأزمنة ـ أفراداً وقطعات ـ إما قيداً للإكرام المأمور به، أو ظرفاً للنسبة الحكمية، ويصير الإكرام ـ على تقدير اعتبار القيدية بالنسبة إلى كل فرد من أفراد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متعدداً بالنسبة إلى الأزمنة، فإكرام زيد المخصص في يوم الجمعة فرد من أفراد العام، وفي يوم السبت فرد آخر ، وهكذا على تقدير الظرفية للنسبة الحكمية تكون نفس القضية متعددةً بتعدد أفراد الزمان، وعلى كل حال خروج زيد في يوم الجمعة لا يُخرج العام عن الحجية في شمول الحكم لزيد يوم السبت، فلا مجرى للاستصحاب فيه بعد وجود الدليل الاجتهادي على إشكال؛ لأنَّ أصالة العموم بالنسبة إلى الأفراد أقصاه دخول الفرد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استمرار الحكم فلا بد فيه من إحراز إطلاق الزمان، والمفروض أنه معنى واحد، أو هو مستمر من أول وجود الفرد إلى آخره، فلا فرق في ارتفاع هذا المعنى بين أن يخرج الفرد في الأثناء أو من الوجود؛ فإنَّ في كلا الحالين الحكم في العام استمر بالنسبة إلى هذا الفرد من أول وجوده إلى آخره، وتقييد الفرد بغير الزمان المعلوم خروجه موقوف على ظهور الدليل في كل واحد من الأزمنة حتى يقتصر في الخارج على القدر المتيقن، وليس منه أثر، فتأمل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بقاء الموضوع في كل استصحاب على نحو ما كان في القضية المتيقنة؛ ضرورة اشتراط الوحدة في الموضوع في القضية المتيقنة والمشكوكة؛ لأنَّ الملاك في شمول أدلة الاستصحاب الشك في بقاء ما كان متحققاً سابقاً بشرط أن يكون المشكوك على تقدير بقائه حكماً شرعياً أو موضوعاً لحكم شرعي ، فلو فرض الشك في قيام زيد وكان المتيقن قيام عمرو فليس هذا الشكُ شكاً في البقاء، ولو كان المشكوك قيام زيد وكان الشك مستنداً إلى الشك في وجود زيد فالموضوع للحكم الشرعي هو تحقق قيام زيد، وهذا المفهوم يصدق أنه شك في بقاء ما هو موضوع لحكم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كان الموضوع في هذه الصورة ثبوت القيام لزيد بعد تحققه، فهذا المعنى ليس مشكوكاً فيه؛ للعلم بقيام زيد بعد تحققه والمعنى المشكوك فيه ـ أعني قيام زيد ـ ليس موضوعاً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الحاكم باتحاد الموضوع في الاستصحاب هو العرف لا الدليل ولا العقل؛ لأنَّ الأحكام المتعلّقة بالعناوين تتعلّق بها بلحاظ مصاديقها العرفية؛ لأنَّ الشارع لا يتكلّم إلَّا بلسان العرف، وهو من هذه الحيثية أحدهم ، فقد يرد الحكم في الدليل على عنوان، والعرفُ يحكم بأن الموضوع أعم مما يصدق عليه ذلك العنوان، على وجه لو زال العنوان عنه و ه وأُطلق عليه عنوان آخر يحكمُ العرف أنَّ الباقي في كلا الحالين هو الموضوع للحكم بحيث لا يحتاج في حكمه ببقاء الحكم إلى دليل آخر كالاستصحاب، بل يحكم ببقاء الحكم بنفس الدليل الأول، وربما احتاج إلى دليل آخر مع أنَّه أحرز أن الموضوع هو الموجود في الحالين؛ لاحتماله أن يكون الحكم دائراً مدار وجود اسم العنوان بحيث يكون هو الواسطة في ثبوت حكمها لموضوعها حدوثاً وبقاءً، فلا ينافي بقاء الموضوع عدم الحكم، وقد يحكم بأن زوال العنوان موجب لزوال الموضوع الأول وحدوث موضوع آخر، فالحاكم هو لا غير،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الساري، ومثاله من الأحكام التكليفية ما لو تيقن وجوب الاستعاذة في أول الصلاة ـ مثلاً ـ ثم شك في صحة يقينه؛ لأجل تعارض الأدلة، أو رجوعه عن اعتبار الدليل الذي 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تيقن طهارة ثوب </w:t>
      </w:r>
      <w:r>
        <w:rPr>
          <w:rStyle w:val="FootnoteAnchor"/>
          <w:rtl w:val="true"/>
        </w:rPr>
        <w:footnoteReference w:id="514"/>
      </w:r>
      <w:r>
        <w:rPr>
          <w:rFonts w:ascii="Amiri" w:hAnsi="Amiri" w:eastAsia="Amiri" w:cs="Amiri"/>
          <w:color w:val="111111"/>
          <w:sz w:val="28"/>
          <w:sz w:val="28"/>
          <w:szCs w:val="28"/>
          <w:rtl w:val="true"/>
          <w:lang w:bidi="ar-SA"/>
        </w:rPr>
        <w:t>أولاً، ثم شك في صحة ذلك اليقين بسبب من ب من الأسباب كإخبار عدل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الموضوعات ما لو تيقن عدالة زيد يوم الجمعة وشك في ذلك؛ لاحتمال انتفائها في ذلك الزمان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 اندراج قاعدة الشك الساري في أخبار الاستصحاب على أقوال ثلاثة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الاندراج مطلقاً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الاندراج مطلقاً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تذكر مستند القطع السابق والتفطن لفساده من عدم قابليته للقطع وغيره بالاندراج على الأول وعدمه على الثاني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والأقوى عدم الشمول مطلقاً، وأقصى ما يقال في تقريب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جعل الزمان السابق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على يقين فشك ظرفاً لليقين، والزمانَ اللاحق ظرفاً للشك، ولوحظ المتيقن والشك مجرداً عن اعتبار الزمان لا على نحو الظرفية ولا على نحو القيدية وحينئذٍ المراد باليقين بالشيء اليقين بذات الشيء على وجه الإهمال عن اعتبار الزمان، والمراد بالشك كذلك، وظاهر أن الشك بذات الشيء يصدقُ على الشك في أصل وجوده وعلى الشك في بقائه؛ لأنَّ بقاء الشيء ليس أمراً آخر وراء ذلك الشيء، فإذا اشتمل كلا الشكين بوجوب المضي على اليقين يوجب إلغاء الشكين كلاهما، وإلغاء كل شك بحسبه، فالشك في أصل الوجود إلغاؤه بأن يحكم بأصل الوجود، والشكُ في البقاء إلغاؤه بأن يحكم بالبقاء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بأنَّ شمول الروايات للاستصحاب يتوقفُ على ملاحظة الزمان السابق ظرفاً للمتيقن، والزمان اللاحق ظرفاً للمشكوك، وهذه الملاحظة لا تجتمع مع ملاحظة الزمان الأول قيداً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تيقنت بشيء ثم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عدم ملاحظة الزمان أصلاً بأن أهمل الملاحظة رأساً حتى تشمل القاعدة أيضاً، وحيث لا تجتمع الملاحظتان فلا تشمل الروايات للاستصحاب والقاعدة، والمفروض الاتفاق على شمولها للاستصحاب، فلا بد أن تكون القاعدة خارجةً عن هذه الروايات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شيخنا العلّامة المرتضى </w:t>
      </w:r>
      <w:r>
        <w:rPr>
          <w:rStyle w:val="FootnoteAnchor"/>
          <w:rtl w:val="true"/>
        </w:rPr>
        <w:footnoteReference w:id="518"/>
      </w:r>
      <w:r>
        <w:rPr>
          <w:rFonts w:ascii="Amiri" w:hAnsi="Amiri" w:eastAsia="Amiri" w:cs="Amiri"/>
          <w:color w:val="111111"/>
          <w:sz w:val="28"/>
          <w:sz w:val="28"/>
          <w:szCs w:val="28"/>
          <w:rtl w:val="true"/>
          <w:lang w:bidi="ar-SA"/>
        </w:rPr>
        <w:t>له خمسة إيرادات على مدعي الشمول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الجامع، وأنهما سنخان من المضي لا 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التضاد بين اليقينين والشكين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اللحاظ في شيء واحد شخصي لا يوجبُ تكثره في الخارج الموجب؛ لكثرته الخارجية، وإنما يوجب تكثره بحسب اللحاظ، ومن المعلوم أن إرادة المتكلّم ليست تابعة للموهومات التي لا واقعية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 يجدي في بعض الموارد لا جميعها؛ فإن جميع موارد الاستصحابات لا يشترط فيها سبقُ اليقين على الشك كما هو المعتبر في القاعدة؛ لأنَّ المعتبر في الاستصحاب مجرد وجود السابق في الشك في بقائه بعد الزمان الذي وجد فيه، الذي يجامع بعض أخبار حصول الشك واليقين في زمان واحد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قاعدة الشك الساري من حيث هي هي خلافُ الإجماع؛ فإن أحداً لا يقول بأن الشك بعد اليقين ملغى، ولم يعمل بمقتضى اليقين أصلاً ولو حصل الشك بعد اليقين فوراً، ولا دليل على القاعدة المذكورة بعد التحقيق في ما بأيدينا من الأخبار، فإذا اعتقد المكلف بشيء في زمان ثم زال اعتقاده فعليه الرجوع إلى الأصول بالنسبة إلى نفس معتقده وإلى الآثار المترتبة على اعتقاده سابقاً أو لاحقاً موضوعاً أو حكماً، اجتهادياً كان الاعتقاد أو عن تقليد</w:t>
      </w:r>
      <w:r>
        <w:rPr>
          <w:rFonts w:eastAsia="Amiri" w:cs="Amiri" w:ascii="Amiri" w:hAnsi="Amiri"/>
          <w:color w:val="111111"/>
          <w:sz w:val="28"/>
          <w:szCs w:val="28"/>
          <w:rtl w:val="true"/>
          <w:lang w:bidi="ar-SA"/>
        </w:rPr>
        <w:t xml:space="preserve">. </w:t>
      </w:r>
      <w:bookmarkStart w:id="207" w:name="pg9229_140492"/>
    </w:p>
    <w:p>
      <w:pPr>
        <w:pStyle w:val="Heading2"/>
        <w:numPr>
          <w:ilvl w:val="1"/>
          <w:numId w:val="1"/>
        </w:numPr>
        <w:rPr/>
      </w:pPr>
      <w:bookmarkStart w:id="208" w:name="__RefHeading___Toc4247294_2870459653"/>
      <w:bookmarkStart w:id="209" w:name="_Toc71"/>
      <w:bookmarkEnd w:id="207"/>
      <w:bookmarkEnd w:id="208"/>
      <w:r>
        <w:rPr>
          <w:rtl w:val="true"/>
        </w:rPr>
        <w:t>خاتمةٌ</w:t>
      </w:r>
      <w:bookmarkEnd w:id="209"/>
    </w:p>
    <w:p>
      <w:pPr>
        <w:pStyle w:val="BookText"/>
        <w:rPr/>
      </w:pPr>
      <w:r>
        <w:rPr>
          <w:rFonts w:ascii="Amiri" w:hAnsi="Amiri" w:eastAsia="Amiri" w:cs="Amiri"/>
          <w:color w:val="111111"/>
          <w:sz w:val="28"/>
          <w:sz w:val="28"/>
          <w:szCs w:val="28"/>
          <w:rtl w:val="true"/>
          <w:lang w:bidi="ar-SA"/>
        </w:rPr>
        <w:t>في حال الاستصحاب عند تعارضه مع نفسه ومع غيره من الأصول العملية والقواعد المرجوع إليها حال الشك</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4247296_2870459653"/>
      <w:bookmarkStart w:id="211" w:name="_Toc72"/>
      <w:bookmarkEnd w:id="210"/>
      <w:r>
        <w:rPr>
          <w:rtl w:val="true"/>
        </w:rPr>
        <w:t>[</w:t>
      </w:r>
      <w:r>
        <w:rPr>
          <w:rtl w:val="true"/>
        </w:rPr>
        <w:t>تعارض الاستصحاب مع الأصول العملية والقواعد المرجوع إليها حال الشك</w:t>
      </w:r>
      <w:r>
        <w:rPr>
          <w:rtl w:val="true"/>
        </w:rPr>
        <w:t>]</w:t>
      </w:r>
      <w:bookmarkEnd w:id="211"/>
    </w:p>
    <w:p>
      <w:pPr>
        <w:pStyle w:val="BookText"/>
        <w:rPr/>
      </w:pPr>
      <w:r>
        <w:rPr>
          <w:rFonts w:ascii="IRNazanin" w:hAnsi="IRNazanin" w:eastAsia="IRNazanin"/>
          <w:color w:val="111111"/>
          <w:sz w:val="28"/>
          <w:sz w:val="28"/>
          <w:szCs w:val="28"/>
          <w:rtl w:val="true"/>
          <w:lang w:bidi="fa-IR"/>
        </w:rPr>
        <w:t xml:space="preserve">لا إشكال في تقدم قاعدة التجاوز عليه؛ لكونها أمارة وطريق بمقتضى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حين يتوضأ أذكرُ منه حين يشك</w:t>
      </w:r>
      <w:r>
        <w:rPr>
          <w:rFonts w:eastAsia="IRNazanin" w:cs="IRNazanin"/>
          <w:color w:val="111111"/>
          <w:sz w:val="28"/>
          <w:szCs w:val="28"/>
          <w:rtl w:val="true"/>
          <w:lang w:bidi="fa-IR"/>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أصالة الصحة في فعل الغير فحاكمة على الاستصحاب إذا كان الشك في الصحة من جهة الشك في تحقق ما هو قيد للعقد كالعربية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مجرى الاستصحاب فيه هو المجموع الملتئم مما اعتبر فيه؛ لكونه مسبوقا بالعدم، الحكومة أن الشك في بقاء ذلك على العدم مستند إلى الشك في أن الموجود هل هو مصداق لما له الأثر شرعاً أم لا؟ ومقتضى أصالة الصحة كونه مصداقاً له،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الشك في الصحة من جهة الشك في إخلال شرط أو جزء، وكان الشك في الصحة مجرى الاستصحاب كاعتبار البلوغ، أو الرؤية في المبيع أو الكيل أو الوزن، فإن قلنا بكون أصالة الصحة أمارة فتقدمها على الاستصحاب ظاهر، وإذا كانت من الأصول العملية الصرفة فلا حكومة لها على الاستصحاب، ويشكل الأمر في تقدمها عليه، بل التحقيقُ حكومة الاستصحاب عليها، لكنَّ ورود أصالة الصحة في مورد الاستصحاب غالباً يعطي موضوعيتها وإلغاء الاستصحاب، وإلا لزم إلغاؤها رأساً، ولا يلتزم به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حاله القرعة فالاستصحاب مقدم عليها مطلقاً؛ لأنها لكل أمر مشكل، وارتفاع الإشكال بالاستصحاب، وربما جاء أنها في الأمر المجهول والمشتبه، ومع ذلك يتقدم عليها؛ لأعمية دليلها على الاستصحاب فلا بدَّ من تخصيص دليلها بدليله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حاله مع اليد فحيث استظهرنا اعتبارها من باب الطريقية لا التعبد، فتقدمها عليه ظاهرُ الوجه</w:t>
      </w:r>
      <w:r>
        <w:rPr>
          <w:rFonts w:eastAsia="Amiri" w:cs="Amiri" w:ascii="Amiri" w:hAnsi="Amiri"/>
          <w:color w:val="111111"/>
          <w:sz w:val="28"/>
          <w:szCs w:val="28"/>
          <w:rtl w:val="true"/>
          <w:lang w:bidi="ar-SA"/>
        </w:rPr>
        <w:t xml:space="preserve">. </w:t>
      </w:r>
      <w:bookmarkStart w:id="212" w:name="pg9229_140494"/>
    </w:p>
    <w:p>
      <w:pPr>
        <w:pStyle w:val="BookText"/>
        <w:rPr/>
      </w:pPr>
      <w:bookmarkEnd w:id="212"/>
      <w:r>
        <w:rPr>
          <w:rFonts w:ascii="Amiri" w:hAnsi="Amiri" w:eastAsia="Amiri" w:cs="Amiri"/>
          <w:color w:val="111111"/>
          <w:sz w:val="28"/>
          <w:sz w:val="28"/>
          <w:szCs w:val="28"/>
          <w:rtl w:val="true"/>
          <w:lang w:bidi="ar-SA"/>
        </w:rPr>
        <w:t xml:space="preserve">وربما قيل </w:t>
      </w:r>
      <w:r>
        <w:rPr>
          <w:rStyle w:val="FootnoteAnchor"/>
          <w:rtl w:val="true"/>
        </w:rPr>
        <w:footnoteReference w:id="520"/>
      </w:r>
      <w:r>
        <w:rPr>
          <w:rFonts w:ascii="Amiri" w:hAnsi="Amiri" w:eastAsia="Amiri" w:cs="Amiri"/>
          <w:color w:val="111111"/>
          <w:sz w:val="28"/>
          <w:sz w:val="28"/>
          <w:szCs w:val="28"/>
          <w:rtl w:val="true"/>
          <w:lang w:bidi="ar-SA"/>
        </w:rPr>
        <w:t xml:space="preserve">بتقدمها عليه حتى بناءً على كون اليد من باب التعبد لورودها غالباً مورد ؛ الاستصحاب الموضوعية </w:t>
      </w:r>
      <w:r>
        <w:rPr>
          <w:rStyle w:val="FootnoteAnchor"/>
          <w:rtl w:val="true"/>
        </w:rPr>
        <w:footnoteReference w:id="521"/>
      </w:r>
      <w:r>
        <w:rPr>
          <w:rFonts w:ascii="Amiri" w:hAnsi="Amiri" w:eastAsia="Amiri" w:cs="Amiri"/>
          <w:color w:val="111111"/>
          <w:sz w:val="28"/>
          <w:sz w:val="28"/>
          <w:szCs w:val="28"/>
          <w:rtl w:val="true"/>
          <w:lang w:bidi="ar-SA"/>
        </w:rPr>
        <w:t>، ولو لم نقل بذلك صارت اليد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حاله مع الأمارات في الموضوعات ومع الأدلة الاجتهادية في الأحكام، فهو حكومة الأمارات والأدلة الاجتهادية أو ورودها على الاستصحاب، وارتفاع موضوع الحكم بالبقاء المعلّق على عدم الطريق</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4247298_2870459653"/>
      <w:bookmarkStart w:id="214" w:name="_Toc73"/>
      <w:bookmarkEnd w:id="213"/>
      <w:r>
        <w:rPr>
          <w:rtl w:val="true"/>
        </w:rPr>
        <w:t>[</w:t>
      </w:r>
      <w:r>
        <w:rPr>
          <w:rtl w:val="true"/>
        </w:rPr>
        <w:t xml:space="preserve">تعارض الاستصحابين </w:t>
      </w:r>
      <w:r>
        <w:rPr>
          <w:rtl w:val="true"/>
        </w:rPr>
        <w:t>]</w:t>
      </w:r>
      <w:bookmarkEnd w:id="214"/>
    </w:p>
    <w:p>
      <w:pPr>
        <w:pStyle w:val="BookText"/>
        <w:rPr/>
      </w:pPr>
      <w:r>
        <w:rPr>
          <w:rFonts w:ascii="Amiri" w:hAnsi="Amiri" w:eastAsia="Amiri" w:cs="Amiri"/>
          <w:color w:val="111111"/>
          <w:sz w:val="28"/>
          <w:sz w:val="28"/>
          <w:szCs w:val="28"/>
          <w:rtl w:val="true"/>
          <w:lang w:bidi="ar-SA"/>
        </w:rPr>
        <w:t>وأمّا تعارض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الشك في أحدهما مسبباً أحدهما مسبباً عن الشك في الآخر فيقدم السببي على المسببي؛ لتقدم الشك السببي طبعاً؛ لأنَّ المسببي معلول للسببي، فالسببي ليس له معارض في مرتبة وجوده فيجري الحكم بلا معارض فلا يبقى موضوع للمسببي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وهو ما ذكرنا في تقدم الأمارات والطرق من أن الشك المأخوذ في موضوع الأصول العملية بمعنى عدم الطريق، ومع وجود الطريق يرتفع موضوع الأصل، وأدلة الاستصحاب باعتبار شمولها للشك السببي لم يبق للاستصحاب المسببي موضوع، فافهم واغتنم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الشك في الاستصحابين مسبباً عن ثالث، فالتحقيقُ عدم شمول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التعارض المذكور؛ لأنَّ المنساق من الدليل جعل سببية </w:t>
      </w:r>
      <w:r>
        <w:rPr>
          <w:rStyle w:val="FootnoteAnchor"/>
          <w:rtl w:val="true"/>
        </w:rPr>
        <w:footnoteReference w:id="522"/>
      </w:r>
      <w:r>
        <w:rPr>
          <w:rFonts w:ascii="Amiri" w:hAnsi="Amiri" w:eastAsia="Amiri" w:cs="Amiri"/>
          <w:color w:val="111111"/>
          <w:sz w:val="28"/>
          <w:sz w:val="28"/>
          <w:szCs w:val="28"/>
          <w:rtl w:val="true"/>
          <w:lang w:bidi="ar-SA"/>
        </w:rPr>
        <w:t xml:space="preserve">اليقين السابق والشك اللاحق للعمل بالاستصحاب، وهو في مقام جعل السببية لا غير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523"/>
      </w:r>
      <w:r>
        <w:rPr>
          <w:rFonts w:ascii="Amiri" w:hAnsi="Amiri" w:eastAsia="Amiri" w:cs="Amiri"/>
          <w:color w:val="111111"/>
          <w:sz w:val="28"/>
          <w:sz w:val="28"/>
          <w:szCs w:val="28"/>
          <w:rtl w:val="true"/>
          <w:lang w:bidi="ar-SA"/>
        </w:rPr>
        <w:t>الوارد في بيان سببية العقد لترتب الأثر، وليس المنساقُ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تنقض </w:t>
      </w:r>
    </w:p>
    <w:p>
      <w:pPr>
        <w:pStyle w:val="BookText"/>
        <w:rPr/>
      </w:pPr>
      <w:r>
        <w:rPr>
          <w:rFonts w:ascii="Amiri" w:hAnsi="Amiri" w:eastAsia="Amiri" w:cs="Amiri"/>
          <w:color w:val="111111"/>
          <w:sz w:val="28"/>
          <w:sz w:val="28"/>
          <w:szCs w:val="28"/>
          <w:rtl w:val="true"/>
          <w:lang w:bidi="ar-SA"/>
        </w:rPr>
        <w:t xml:space="preserve">اليقين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هذا فلا تشمل بإطلاقها صورَ تزاحم السببين وعدم إمكان العمل بالاستصحابين بسبب وجود العلم الإجمالي، وهذه الجهة مرتبتها مؤخرة عن الأولى، وهي محتاجة إلى لحاظ آخر غير لحاظ جعل أصل السببية، واللحاظ الأول لا يغني عن الثاني كي تستفاد الرخصة من هذه الأدلة في العمل بأحدها، فلا وجه للقول بالتخيير ؛ لعدم شمولها في دليل الاستصحاب، فلا حاجة لما ذكره شيخنا العلّامة الأنصاري رحمة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أحدهما المعين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بلا مرجح</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ظاهره القول بثبوت المقتضي في كل منهما إلا أن الأخذ المعين دون الآخر ترجيحٌ بلا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عدم ثبوته فيهما ولا في أحدهما ، لا المعين ولا المخيّر، بل غير داخلين أصلاً، كما لا حاجة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أحدهما المخيّر فليس من أفراد العام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 والقائل بالتخيير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أفراده بهذا العنوان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السببية والرخصة شاملة لها؛ لإطلاق الأدلة، ويقتصر على قدر المانع عند العقل، وهو ارتكابهما لزوم المخالفة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أحدهما فلا مانع منه؛ لأنَّ حكم العقل معلّق على عدم الرخصة من الشارع، فإجراء الاستصحاب في أحدهما تمسك بالعموم بضميمة حكم العقل التعليقي، وقد عرفت فساده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 أيضاً ببيان آخر حاصله عدم إمكان التمسك بعموم أخبار الاستصحاب بالنسبة إليهما معاً؛ للزوم المخالفة، ولا لأحدهما وتخصيص العموم بالعلم الإجمالي؛ لأنَّ أحدهما بهذا العنوان لم يكن من أفراد العام حتى يخرج منه، والعلم الإجمالي على تقديره من المخصصات اللبية فهو لا يعين الفرد، فإذا لم يكن دخول الفردين كليهما ولا أحدهما من أفراد العام كي يخرج، ولا مخصص لفظياً حتى يصير الفرد ذا عنوان ويخرجه، فهما غيرُ داخلين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جميع التقادير ، ولا معنى للعموم هنا؛ لخروجهما موضوعاً عن الأصل، لا أن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مهملة في مقام جعل السببية غير ناظرة إلى جهة تزاحم السببين ، ولو كانت متأخرة لجاز التمسك بالإطلاق كما هو مبنى 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سواء السبيل</w:t>
      </w:r>
      <w:r>
        <w:rPr>
          <w:rFonts w:eastAsia="Amiri" w:cs="Amiri" w:ascii="Amiri" w:hAnsi="Amiri"/>
          <w:color w:val="111111"/>
          <w:sz w:val="28"/>
          <w:szCs w:val="28"/>
          <w:rtl w:val="true"/>
          <w:lang w:bidi="ar-SA"/>
        </w:rPr>
        <w:t xml:space="preserve">. </w:t>
      </w:r>
      <w:bookmarkStart w:id="215" w:name="pg9229_140500"/>
    </w:p>
    <w:p>
      <w:pPr>
        <w:pStyle w:val="Heading2"/>
        <w:numPr>
          <w:ilvl w:val="1"/>
          <w:numId w:val="1"/>
        </w:numPr>
        <w:rPr/>
      </w:pPr>
      <w:bookmarkStart w:id="216" w:name="__RefHeading___Toc4247300_2870459653"/>
      <w:bookmarkStart w:id="217" w:name="_Toc74"/>
      <w:bookmarkEnd w:id="215"/>
      <w:bookmarkEnd w:id="216"/>
      <w:r>
        <w:rPr>
          <w:rtl w:val="true"/>
        </w:rPr>
        <w:t>لامعة في التعارض والتعادل والترجيح</w:t>
      </w:r>
      <w:bookmarkEnd w:id="217"/>
    </w:p>
    <w:p>
      <w:pPr>
        <w:pStyle w:val="BookText"/>
        <w:rPr/>
      </w:pPr>
      <w:r>
        <w:rPr>
          <w:rFonts w:ascii="Amiri" w:hAnsi="Amiri" w:eastAsia="Amiri" w:cs="Amiri"/>
          <w:color w:val="111111"/>
          <w:sz w:val="28"/>
          <w:sz w:val="28"/>
          <w:szCs w:val="28"/>
          <w:rtl w:val="true"/>
          <w:lang w:bidi="ar-SA"/>
        </w:rPr>
        <w:t xml:space="preserve">اعلم أن التعارض عبارة عن تنافي الدليلين وتمانعهما باعتبار مدلولها </w:t>
      </w:r>
      <w:r>
        <w:rPr>
          <w:rStyle w:val="FootnoteAnchor"/>
          <w:rtl w:val="true"/>
        </w:rPr>
        <w:footnoteReference w:id="526"/>
      </w:r>
      <w:r>
        <w:rPr>
          <w:rFonts w:ascii="Amiri" w:hAnsi="Amiri" w:eastAsia="Amiri" w:cs="Amiri"/>
          <w:color w:val="111111"/>
          <w:sz w:val="28"/>
          <w:sz w:val="28"/>
          <w:szCs w:val="28"/>
          <w:rtl w:val="true"/>
          <w:lang w:bidi="ar-SA"/>
        </w:rPr>
        <w:t>إذ من الواضح أن التعارض عندهم وصف للدليلين لا لمدلولها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منشأ تعارضها وتنافيهما ليس إلا أن مدلوليهما على وجه يمتنع الجمعُ بينهما فلزمَ تنافي الدليلين الدالين عليهما </w:t>
      </w:r>
      <w:r>
        <w:rPr>
          <w:rStyle w:val="FootnoteAnchor"/>
          <w:rtl w:val="true"/>
        </w:rPr>
        <w:footnoteReference w:id="527"/>
      </w:r>
      <w:r>
        <w:rPr>
          <w:rFonts w:ascii="Amiri" w:hAnsi="Amiri" w:eastAsia="Amiri" w:cs="Amiri"/>
          <w:color w:val="111111"/>
          <w:sz w:val="28"/>
          <w:sz w:val="28"/>
          <w:szCs w:val="28"/>
          <w:rtl w:val="true"/>
          <w:lang w:bidi="ar-SA"/>
        </w:rPr>
        <w:t>وتدافعهما، فالتدافع وصف قائم بالدليلين ناش من وصف امتناع الاجتماع الحاصل في مدلوليهما على وجه التناقض أو التضاد، وحيث عرفت في ما تقدم أن الجهل بالأحكام الواقعية ـ التي هي مؤديات الأدلة ـ مأخوذ في موضع الأصول تعرفُ عدم المنافاة بين الأحكام الظاهرية والواقعية، وعدم التعارض بين الأدلة الاجتهادية الكاشفة عن الأحكام الواقعية، وبين الأصول العملية المقتضية لخلاف مؤداها؛ لارتفاع موضوع الأصول إذا كانت الأدلة علمية؛ لورودها عليها أو حكومتها إن كانت غير علمية</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4247302_2870459653"/>
      <w:bookmarkStart w:id="219" w:name="_Toc75"/>
      <w:bookmarkEnd w:id="218"/>
      <w:r>
        <w:rPr>
          <w:rtl w:val="true"/>
        </w:rPr>
        <w:t>[</w:t>
      </w:r>
      <w:r>
        <w:rPr>
          <w:rtl w:val="true"/>
        </w:rPr>
        <w:t>في ميزان الحكومة والورود</w:t>
      </w:r>
      <w:r>
        <w:rPr>
          <w:rtl w:val="true"/>
        </w:rPr>
        <w:t>]</w:t>
      </w:r>
      <w:bookmarkEnd w:id="219"/>
    </w:p>
    <w:p>
      <w:pPr>
        <w:pStyle w:val="BookText"/>
        <w:rPr/>
      </w:pPr>
      <w:r>
        <w:rPr>
          <w:rFonts w:ascii="IRNazanin" w:hAnsi="IRNazanin" w:eastAsia="IRNazanin"/>
          <w:color w:val="111111"/>
          <w:sz w:val="28"/>
          <w:sz w:val="28"/>
          <w:szCs w:val="28"/>
          <w:rtl w:val="true"/>
          <w:lang w:bidi="fa-IR"/>
        </w:rPr>
        <w:t>و میزان الورود أن يكون الدليل الوارد بحيث يرفع موضوع المورود عليه، وتخرج موارده حقيقةً عن كونه مصداقاً لموضوع المورود عليه، وذلك بأن يكون بنفسه رافعاً للشك 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ميزان الحكومة أن يكون الحاكم أولاً وبالذات وبنفسه مفسراً للمراد من المحكوم عليه ومبيناً لكمية مدلوله ، والمراد من كونه مفسراً له أولاً أن يكون بحيث لا يفهم التنافي بينه وبين المحكوم عليه من أول النظر ، بل يكون كالقرائن المتصلة من حيث كونه موجباً لظهور المحكوم عليه في اختصاص الذي تضمنه بغير مورد الحاكم ابتداءً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الفرق بين الحاكم والمخصص </w:t>
      </w:r>
      <w:r>
        <w:rPr>
          <w:rStyle w:val="FootnoteAnchor"/>
          <w:rtl w:val="true"/>
        </w:rPr>
        <w:footnoteReference w:id="528"/>
      </w:r>
      <w:r>
        <w:rPr>
          <w:rFonts w:ascii="Amiri" w:hAnsi="Amiri" w:eastAsia="Amiri" w:cs="Amiri"/>
          <w:color w:val="111111"/>
          <w:sz w:val="28"/>
          <w:sz w:val="28"/>
          <w:szCs w:val="28"/>
          <w:rtl w:val="true"/>
          <w:lang w:bidi="ar-SA"/>
        </w:rPr>
        <w:t xml:space="preserve">المنفصل ؛ فإن المخصص ليس بحيث يوجب </w:t>
      </w:r>
    </w:p>
    <w:p>
      <w:pPr>
        <w:pStyle w:val="BookText"/>
        <w:rPr/>
      </w:pPr>
      <w:r>
        <w:rPr>
          <w:rFonts w:ascii="Amiri" w:hAnsi="Amiri" w:eastAsia="Amiri" w:cs="Amiri"/>
          <w:color w:val="111111"/>
          <w:sz w:val="28"/>
          <w:sz w:val="28"/>
          <w:szCs w:val="28"/>
          <w:rtl w:val="true"/>
          <w:lang w:bidi="ar-SA"/>
        </w:rPr>
        <w:t>ظهور العام في اختصاص الحكم المعلّق عليه بغير مورد المخصص، بل العام معه أيضاً ظاهر في تعميم الحكم بالنسبة إلى ذلك المورد، وإنما يقدم الخاص؛ لترجيح ظهوره على ظهور العام وهما متعارضان والترجيح للخاص؛ لترجيح ظهوره بخلاف الحاكم والمحكوم، فإن المحكوم لا ظهور له في عموم الحكم بالنسبة إلى مورد الحاكم حتى 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الحكومة والورود بين الأدلة الظنية وأدلة الأصول العملية يختلفُ باختلاف الوجوه الأربعة المتصورة في كيفية اعتبار الطرق والأمارات الظنية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على وجه السببية ،واقعاً، وعليّة قيامها لوجوب البناء </w:t>
      </w:r>
      <w:r>
        <w:rPr>
          <w:rStyle w:val="FootnoteAnchor"/>
          <w:rtl w:val="true"/>
        </w:rPr>
        <w:footnoteReference w:id="529"/>
      </w:r>
      <w:r>
        <w:rPr>
          <w:rFonts w:ascii="IRNazanin" w:hAnsi="IRNazanin" w:eastAsia="IRNazanin"/>
          <w:color w:val="111111"/>
          <w:sz w:val="28"/>
          <w:sz w:val="28"/>
          <w:szCs w:val="28"/>
          <w:rtl w:val="true"/>
          <w:lang w:bidi="fa-IR"/>
        </w:rPr>
        <w:t>على مقتضاها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على وجه السببية ظاهراً، وعليتها في مرحلة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على وجه الطريقية بالنسبة إلى نفي الاحتمال المخالف لها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على وجه الطريقية في تمام مؤداها وكونها منزلةً منزلة العلم بأن يراد من تلك الأدلة جعل مؤديها بمنزلة المتيقن، وجعل الاحتمال المخالف لها بمنزلة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والوجوه الأربعة المتصورة في كيفية اعتبار الأصول بالنظر إلى الشك المأخوذ في موضوعها وإلى العلم الذي جعل غاية لارتفاعها في أدلة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أدلة الأصول عبارةً عن الجهل القابل للعلم، ويراد بالعلم كونه صفة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من العلم مطلق الطريق لا خصوص القطع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الشك التحيّر في مقام العمل ومن القطع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عبارة عن عدم الحجة، ويراد من العلم مطلق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اعتبار الطرق والأمارات على وجه السببية واقعاً فهي واردة على الأصول بجميع وجوهها الأربعة؛ لأنَّ قيام الأمارة يوجب حدوث تكليف آخر واقعي معلوم ايقاع العمل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اعتبارها على وجه السببية ظاهراً كان التعارض بينها وبين الأصول بجميع الوجوه فيها؛ لأنَّ كلاً منها يقتضي حكماً ظاهرياً مأخوذاً فيه الجهل بحكم الواقعة، فلا بدَّ حينئذ من ملاحظة الترجيح بين أدلة اعتبارها ومع عدمه يُرجع إلى أحكام التعارض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اعتبار الأمارات على أحد وجهي الطريقية، وكانت الأصول على الوجه الثاني، أعني أن الشك فيها بمعنى الجهل المقابل للعلم الذي هو مطلق الطريق والحجة الأعم من القطع والظن المعتبر، كانت الأدلة والأمارات حاكمةً على الأصول، لا واردةً ولا معارضةً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اعتبار الأصول على الوجه الثالث والرابع كانت الأدلة والأمارات واردةً عليها؛ لارتفاع موضوع الأصول حينئذ؛ لأنَّه التحيّر في العمل؛ لعدم الحجة فيرتفع التحيّر بقيام الحجة، ولا يبقى تحيّر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اعتبار الأمارات على وجه السببية واقعاً، واعتبار الأصول على الوجه الثالث والرابع كانت الأمارات والأدلة حاكمة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تقديم الطرق والأمارات على الأصول في الموضع الذي تقدم ليس لأجل ورودها أو حكومتها على الأصول، بل لأجل ورود أدلة اعتبارها أو حكومتها على أدلة اعتبار الأصول، وتقديم أدلة اعتبارها إنما هو بتقديم ما قامت هي على اعتبارها، وهي الطرق والأمارات، وتقديمها عبارةٌ عن العمل على طبقها والأخذ بمؤداها، وطرح مؤدى أدلة اعتبار الأصول والعمل على طبقها عنوان منطبق على العمل بالأدلة أو الأمارات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220" w:name="pg9229_140506"/>
    </w:p>
    <w:p>
      <w:pPr>
        <w:pStyle w:val="BookText"/>
        <w:rPr/>
      </w:pPr>
      <w:bookmarkEnd w:id="220"/>
      <w:r>
        <w:rPr>
          <w:rFonts w:ascii="Amiri" w:hAnsi="Amiri" w:eastAsia="Amiri" w:cs="Amiri"/>
          <w:color w:val="111111"/>
          <w:sz w:val="28"/>
          <w:sz w:val="28"/>
          <w:szCs w:val="28"/>
          <w:rtl w:val="true"/>
          <w:lang w:bidi="ar-SA"/>
        </w:rPr>
        <w:t xml:space="preserve">نعم، قد يوجد في الأدلة والأمارات ما يكون هو بنفسه وارداً على الأصل كما لو كان مفيداً للقطع، وليس كلامنا هنا فيه، إنما الكلام في غير العلمية منها المعتبرة شرعاً، وقد يوجد ما يكون منها حاكماً كأدلة الشك في الصلاة الرباعية الدالة على البناء على الأكثر في الركعات </w:t>
      </w:r>
      <w:r>
        <w:rPr>
          <w:rStyle w:val="FootnoteAnchor"/>
          <w:rtl w:val="true"/>
        </w:rPr>
        <w:footnoteReference w:id="532"/>
      </w:r>
      <w:r>
        <w:rPr>
          <w:rFonts w:ascii="Amiri" w:hAnsi="Amiri" w:eastAsia="Amiri" w:cs="Amiri"/>
          <w:color w:val="111111"/>
          <w:sz w:val="28"/>
          <w:sz w:val="28"/>
          <w:szCs w:val="28"/>
          <w:rtl w:val="true"/>
          <w:lang w:bidi="ar-SA"/>
        </w:rPr>
        <w:t>في مقابل الاستصحاب المقتضي للبناء على الأقل، فإن الروايات في ذلك ظنية السند والدلالة فهي حاكمةٌ لا واردة على الاستصحاب، وكذلك الأدلة النافية لحكم الشك مع كثرته، أو مع حفظ الإمام أو المأموم؛ فإنها حاكمة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فافهم الفرق بين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وأن التعارض والورود والحكومة إنما هو بين أدلة اعتبار الطرق والأمارات كلية ، والمفسر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أدلة اعتبار الطرق والأمارات لا نفسها كما زعمه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المرتضى</w:t>
      </w:r>
    </w:p>
    <w:p>
      <w:pPr>
        <w:pStyle w:val="BookText"/>
        <w:rPr/>
      </w:pPr>
      <w:r>
        <w:rPr>
          <w:rFonts w:ascii="Amiri" w:hAnsi="Amiri" w:eastAsia="Amiri" w:cs="Amiri"/>
          <w:color w:val="111111"/>
          <w:sz w:val="28"/>
          <w:sz w:val="28"/>
          <w:szCs w:val="28"/>
          <w:rtl w:val="true"/>
          <w:lang w:bidi="ar-SA"/>
        </w:rPr>
        <w:t xml:space="preserve">رحمة الله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 w:name="__RefHeading___Toc4247304_2870459653"/>
      <w:bookmarkStart w:id="222" w:name="_Toc76"/>
      <w:bookmarkEnd w:id="221"/>
      <w:r>
        <w:rPr>
          <w:rtl w:val="true"/>
        </w:rPr>
        <w:t>[</w:t>
      </w:r>
      <w:r>
        <w:rPr>
          <w:rtl w:val="true"/>
        </w:rPr>
        <w:t xml:space="preserve">في مؤدى الأصول اللفظية </w:t>
      </w:r>
      <w:r>
        <w:rPr>
          <w:rtl w:val="true"/>
        </w:rPr>
        <w:t>]</w:t>
      </w:r>
      <w:bookmarkEnd w:id="22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الأصول اللفظية أدلة اجتهادية في مؤداها لا أحكام ظاهرية غير أن اعتبارها عند عدم القرينة الصارفة </w:t>
      </w:r>
      <w:r>
        <w:rPr>
          <w:rStyle w:val="FootnoteAnchor"/>
          <w:rtl w:val="true"/>
        </w:rPr>
        <w:footnoteReference w:id="536"/>
      </w:r>
      <w:r>
        <w:rPr>
          <w:rFonts w:ascii="Amiri" w:hAnsi="Amiri" w:eastAsia="Amiri" w:cs="Amiri"/>
          <w:color w:val="111111"/>
          <w:sz w:val="28"/>
          <w:sz w:val="28"/>
          <w:szCs w:val="28"/>
          <w:rtl w:val="true"/>
          <w:lang w:bidi="ar-SA"/>
        </w:rPr>
        <w:t xml:space="preserve">عنها ، وحينئذ إنْ كانت القرينة قطعيةً فهي بنفسها رافعة لموضوعها فتكون واردةً عليها، وإن كانت ظنيةً من حيث الصدور نصوصية </w:t>
      </w:r>
      <w:r>
        <w:rPr>
          <w:rStyle w:val="FootnoteAnchor"/>
          <w:rtl w:val="true"/>
        </w:rPr>
        <w:footnoteReference w:id="537"/>
      </w:r>
      <w:r>
        <w:rPr>
          <w:rFonts w:ascii="Amiri" w:hAnsi="Amiri" w:eastAsia="Amiri" w:cs="Amiri"/>
          <w:color w:val="111111"/>
          <w:sz w:val="28"/>
          <w:sz w:val="28"/>
          <w:szCs w:val="28"/>
          <w:rtl w:val="true"/>
          <w:lang w:bidi="ar-SA"/>
        </w:rPr>
        <w:t xml:space="preserve">أو ظهورية فتكون حاكمة عليها؛ إذ بمقتضى أدلة اعتبار سندها تكون كمقطوع الصدور من حيث إيجابها لرفع حكم تلك الأصول واعتبارها عن موردها، وإن لم يرفع موضوعها ـ وهو عدم العلم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دليل اعتبار الصدور حاكماً على دليل اعتبار الأصول اللفظية، </w:t>
      </w:r>
    </w:p>
    <w:p>
      <w:pPr>
        <w:pStyle w:val="BookText"/>
        <w:rPr/>
      </w:pPr>
      <w:r>
        <w:rPr>
          <w:rFonts w:ascii="Amiri" w:hAnsi="Amiri" w:eastAsia="Amiri" w:cs="Amiri"/>
          <w:color w:val="111111"/>
          <w:sz w:val="28"/>
          <w:sz w:val="28"/>
          <w:szCs w:val="28"/>
          <w:rtl w:val="true"/>
          <w:lang w:bidi="ar-SA"/>
        </w:rPr>
        <w:t>وجَعْلُ الحكومة هنا بين نفس الأصول ونفس القرائن الظنية لا يتجه،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قاعدة الجمع أيضاً تُخرِجُ الخبرين الظاهرين من حيث الصدور عن التعارض كالحكومة و الورود؛ حيث إنَّها على تقدير اعتبارها ولزومِ الأخذ بها يرتفعُ التعارض المتحقق بين الخبرين الظاهرين فتُخرِجُهما عن مورد مسألة التعادل </w:t>
      </w:r>
      <w:r>
        <w:rPr>
          <w:rStyle w:val="FootnoteAnchor"/>
          <w:rtl w:val="true"/>
        </w:rPr>
        <w:footnoteReference w:id="538"/>
      </w:r>
      <w:r>
        <w:rPr>
          <w:rFonts w:ascii="Amiri" w:hAnsi="Amiri" w:eastAsia="Amiri" w:cs="Amiri"/>
          <w:color w:val="111111"/>
          <w:sz w:val="28"/>
          <w:sz w:val="28"/>
          <w:szCs w:val="28"/>
          <w:rtl w:val="true"/>
          <w:lang w:bidi="ar-SA"/>
        </w:rPr>
        <w:t>والترجيح؛ لأنَّ المراد بالأولوية</w:t>
      </w:r>
    </w:p>
    <w:p>
      <w:pPr>
        <w:pStyle w:val="BookText"/>
        <w:rPr/>
      </w:pP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الجمع مهما أمكن أولى من الطرح</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التعيينُ لا الرجحان والجمع بين الخبرين بالنظر إلى صدورهما، ومعنى الجمع البناء على صدور كليهما وفرضها كمعلومي الصدور والتصرّف في متنهما، ومعنى الطرح البناء على عدم صدق أحدهما والأخذ بسند الآخر ودلالته؛ لمرجح أو القاعدة  </w:t>
      </w:r>
      <w:r>
        <w:rPr>
          <w:rStyle w:val="FootnoteAnchor"/>
          <w:rtl w:val="true"/>
        </w:rPr>
        <w:footnoteReference w:id="540"/>
      </w:r>
      <w:r>
        <w:rPr>
          <w:rFonts w:ascii="Amiri" w:hAnsi="Amiri" w:eastAsia="Amiri" w:cs="Amiri"/>
          <w:color w:val="111111"/>
          <w:sz w:val="28"/>
          <w:sz w:val="28"/>
          <w:szCs w:val="28"/>
          <w:rtl w:val="true"/>
          <w:lang w:bidi="ar-SA"/>
        </w:rPr>
        <w:t>خصوص الخبرين الظاهرين من حيث الدلالة، لا ما إذا كان أحدهما نصاً أو أظهر ، أو كانا ،نصين، فإنّ المتعين في الأولين حمل الظاهر على النص أو على الأظهر ، فإنّ ذلك قرينة على التصرّف في الآخر، كالعام والخاص و المطلق والمقيد ،وفي النصين الطرح أو بالمرجح ، إن كان وقلنا به، وإلا فيأخذ بأحدهما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الأظهر عدم تقديم الجمع وإن فرض كونه مقتضى القاعدة الأولية؛ للزوم الهرج والمرج على تقدير إهمال المرجحات في المتعارضين ؛ لقيام الإجماع </w:t>
      </w:r>
      <w:r>
        <w:rPr>
          <w:rStyle w:val="FootnoteAnchor"/>
          <w:rtl w:val="true"/>
        </w:rPr>
        <w:footnoteReference w:id="541"/>
      </w:r>
      <w:r>
        <w:rPr>
          <w:rFonts w:ascii="Amiri" w:hAnsi="Amiri" w:eastAsia="Amiri" w:cs="Amiri"/>
          <w:color w:val="111111"/>
          <w:sz w:val="28"/>
          <w:sz w:val="28"/>
          <w:szCs w:val="28"/>
          <w:rtl w:val="true"/>
          <w:lang w:bidi="ar-SA"/>
        </w:rPr>
        <w:t>على إعمالها فيهما؛ ولعدم الفرق بينهما وبين الظنين النصين، كيف وجلَّ أصحاب الأئمة متحيّرون في الخبرين المتعارضين من حيث كيفية العمل حتى</w:t>
      </w:r>
    </w:p>
    <w:p>
      <w:pPr>
        <w:pStyle w:val="BookText"/>
        <w:rPr/>
      </w:pPr>
      <w:r>
        <w:rPr>
          <w:rFonts w:ascii="IRNazanin" w:hAnsi="IRNazanin" w:eastAsia="IRNazanin"/>
          <w:color w:val="111111"/>
          <w:sz w:val="28"/>
          <w:sz w:val="28"/>
          <w:szCs w:val="28"/>
          <w:rtl w:val="true"/>
          <w:lang w:bidi="fa-IR"/>
        </w:rPr>
        <w:t>كثر منهم السوال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القاعدة الأولیّه الجمعَ لم يكن للتحيّر مجالٌ، واحتمالُ تحيّرهم في المتعارضين النصين لا غير يلحقُ محتمل صاحبه بأهل السوداء </w:t>
      </w:r>
      <w:r>
        <w:rPr>
          <w:rStyle w:val="FootnoteAnchor"/>
          <w:rtl w:val="true"/>
        </w:rPr>
        <w:footnoteReference w:id="542"/>
      </w:r>
      <w:r>
        <w:rPr>
          <w:rFonts w:ascii="Amiri" w:hAnsi="Amiri" w:eastAsia="Amiri" w:cs="Amiri"/>
          <w:color w:val="111111"/>
          <w:sz w:val="28"/>
          <w:sz w:val="28"/>
          <w:szCs w:val="28"/>
          <w:rtl w:val="true"/>
          <w:lang w:bidi="ar-SA"/>
        </w:rPr>
        <w:t>عند أهل العلم بالحديث</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استمرت طريقتهم وكل أهل العرف واللسان على تقدم النص الأظهر وإن كان </w:t>
      </w:r>
    </w:p>
    <w:p>
      <w:pPr>
        <w:pStyle w:val="BookText"/>
        <w:rPr/>
      </w:pPr>
      <w:r>
        <w:rPr>
          <w:rFonts w:ascii="Amiri" w:hAnsi="Amiri" w:eastAsia="Amiri" w:cs="Amiri"/>
          <w:color w:val="111111"/>
          <w:sz w:val="28"/>
          <w:sz w:val="28"/>
          <w:szCs w:val="28"/>
          <w:rtl w:val="true"/>
          <w:lang w:bidi="ar-SA"/>
        </w:rPr>
        <w:t xml:space="preserve">بحسب السند ظنياً أو قطعياً، أو كان السند فيهما قطعياً أو ظنياً أو مختلفاً، ولا يرون في هذه الموارد تعارضاً ولا تحيّراً ولا تنافياً في الدلالة بخلاف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واحد من الدليل قطعياً دلالةً وجهةً، أو ظنياً فيهما ؛ للعلم بكذب أحدهما أو لغوية التعبد بصدورهما مع إجمالها، فلا بدَّ من التعارض في أدلة اعتبار السند حينئذٍ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إذا كان العام مقطوع الصدور والخاص كذلك مقطوع الصدور والجهـة والدلالة لا يرى العرف بينهما تعارضاً، بل يقدم الخاص على العام؛ ضرورة العلم بعدم إرادة ظاهر العام بعد ورود هذا الخاص، وكذلك لو كان العام معلوم الصدور والخاص ظني الصدور على الأصح؛ لورود دليل اعتبار السند وجعله الظهورَ في الخاص كالمعلوم الخلاف بالنسبة إلى ظهور العام، وكذلك الوجه في تقديم الخاص النص غير المقطوع الصدور؛ لعين ما ذكرنا في وجه تقديم الخاص الظني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مجموع ما قدمنا أن أحكام التعارض للدليلين المتباينين بحسب الدلالة سواء كانا نصين أو ظاهرين في تمام مدلوليهما، لا فيما لو كان كل منهما نصاً في مقدار من مدلولهما وظاهراً في الآخر، فإنه يؤخذ بالنص في كليهما ويلغى الظاهر فيها؛ لِما تقدم من تحكم العرف النص على الظاهر من غير فرق بين كونهما مقطوعي السند، أو مظنوني السند بالظن المعتبر، أو كان أحدهما معلومَ السند والآخر مظنوناً بالظن المعتبر؛ فإن النصَّ قدرٌ متيقن في الإرادة لا تحيّرَ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اتضح الموضوع لأحكام التعارض فالكلام يقع في مقامين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المتباينين في تمام مدلولها ولا مرجح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لأحدهما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 المقام الأول، فتارةً الكلام فيه بمقتضى القاعدة الأولية وأخرى بمقتضى الأخبار الواردة في المقام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حسب القاعدة، فاعلم أنا حيث حققنا أن حجية الخبر من باب الطريقية دون السببية فالقاعدة تقتضي التوقفَ في الخبرين المتعارضين في مدلوليهما الخاص بمعنى </w:t>
      </w:r>
    </w:p>
    <w:p>
      <w:pPr>
        <w:pStyle w:val="BookText"/>
        <w:rPr/>
      </w:pPr>
      <w:r>
        <w:rPr>
          <w:rFonts w:ascii="Amiri" w:hAnsi="Amiri" w:eastAsia="Amiri" w:cs="Amiri"/>
          <w:color w:val="111111"/>
          <w:sz w:val="28"/>
          <w:sz w:val="28"/>
          <w:szCs w:val="28"/>
          <w:rtl w:val="true"/>
          <w:lang w:bidi="ar-SA"/>
        </w:rPr>
        <w:t>التوقف في مدلول كل منهما بالخصوص، والحكم بثبوت أحدهما واقعاً لا فيما يشتركان فيه من نفي الثالث؛ فإن ذلك كشف حاصل من خبر الثقة وليس تابعاً للأثر المختص بكل واحد منهما في الحجية وإن كان تابعاً في الوجود، وحجيةُ الانكشاف في اللازم ليس تابعاً لحجية الانكشاف في الملزوم في المقام، بل أدلة حجية كشف الخبر العادل تعمُّ كل أفراد الانكشاف الحاصل من خبر العادل إذا كان قابلاً للجعل في عرض واحد ، سواء كان من مداليل الخبر بالمطابقة أو باللازم،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والتوقفُ في المدلول المختص بكل منهما عليه بناءُ العرف والعقلاء، وضروة سقوط أثرهما المختص بالتعارض؛ لأنَّ أدلة حجية الخبر إنما هي من حيث هو لا نظر فيها لحال التعارض لا إطلاقاً ولا تقييداً، ولسنا ممن يقول بإطلاقها حتى نقول في التخيير في المقام؛ لكونه خلاف الظاهر من الأدلة وعدم قابلية ما هو معلوم المخالفة للحجية؛ لأنَّ المفروض أن أحدهما واقع والآخر لا واقع له، والعقلُ إنما يحكم على تقدير إحراز المصلحة في كل منهما، والمفروض أنها في واحد منهما لا غير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الخبر من باب السببية، فإن فرض أن للأمارة القائمة على الواقعة تأثيرٌ في الفعل الذي تضمنت الأمارة حكمه، وكانت تحدث فيه مصلحةً غالبةً على مصلحة الواقع بحيث لا يكون الحكم الواقعي فعلياً إلّا في حق غير الظان بخلافه وبالنسبة إلى الظان بخلافه شأنيٌ صرف، والحكم الفعلي تابعٌ للأمارة، كانَ الحكمُ في تعارض الخبرين المثبتين للتكليف المعلوم مطابقة أحدهما للواقع التوقفَ؛ لأنَّ الواجب حينئذٍ الأخذ بمؤدى أحد الأمارتين في الواقع، وهي الأمارة المخالفة للواقع دون المطابقة للظن على خلافها، وحيث لم يتميز المخالف للواقع من الموافق له لزمَ التوقف والرجوع إلى مقتضى الأصل، فإن كان الخبران مثبتين للتكليف فالأصلُ حينئذٍ الاحتياطُ؛ لأنَّ المفروض أن مضمون أحدهما مجعولٌ في حقه بمقتضى سبية الخبر المخالف للواقع، وإن لم يمكن الاحتياط فالرجوعُ إلى </w:t>
      </w:r>
      <w:bookmarkStart w:id="223" w:name="pg9229_140515"/>
    </w:p>
    <w:p>
      <w:pPr>
        <w:pStyle w:val="BookText"/>
        <w:rPr/>
      </w:pPr>
      <w:bookmarkEnd w:id="223"/>
      <w:r>
        <w:rPr>
          <w:rFonts w:ascii="Amiri" w:hAnsi="Amiri" w:eastAsia="Amiri" w:cs="Amiri"/>
          <w:color w:val="111111"/>
          <w:sz w:val="28"/>
          <w:sz w:val="28"/>
          <w:szCs w:val="28"/>
          <w:rtl w:val="true"/>
          <w:lang w:bidi="ar-SA"/>
        </w:rPr>
        <w:t xml:space="preserve">أصل التخيير، وإنْ كان أحدُهما مثبتاً للتكليف والآخر نافياً فالأصلُ البراءةُ؛ لاحتمال كون الخبر النافي مخالفاً للواقع، وإن فرض أن السببية لا تحدث شيئاً، بل ليس إلَّا أن العمل </w:t>
      </w:r>
      <w:r>
        <w:rPr>
          <w:rStyle w:val="FootnoteAnchor"/>
          <w:rtl w:val="true"/>
        </w:rPr>
        <w:footnoteReference w:id="544"/>
      </w:r>
      <w:r>
        <w:rPr>
          <w:rFonts w:ascii="Amiri" w:hAnsi="Amiri" w:eastAsia="Amiri" w:cs="Amiri"/>
          <w:color w:val="111111"/>
          <w:sz w:val="28"/>
          <w:sz w:val="28"/>
          <w:szCs w:val="28"/>
          <w:rtl w:val="true"/>
          <w:lang w:bidi="ar-SA"/>
        </w:rPr>
        <w:t xml:space="preserve">على طبق الأمارة في مقام العمل على أنه الواقع تشتملُ على مصلحة؛ ولذا أوجبه الشارع، ومعنى إيجاب العمل على الأمارة ليس إلّا وجوب تطبيق العمل عليها، لا وجوب إيجاد العمل على طبقها، كانَ الحكمُ بمقتضى الأصل في المسألةِ التخييرَ؛ لأنَّ الأمارة لا أثر لها في الفعل ولا تحدث فيه مصلحةً، فالواقعُ لا يتغير عما هو عليه، إنما المصلحةُ في الالتزام والتدين بمؤدى الأمارة، ولمّا كانت الأمارتان متعارضتين ـ ولا يمكن الالتزامُ بمؤداهما معاً ـ وجبَ الالتزامُ في أحدهما على سبيل التخيير؛ إذ المفروض عدم المرجح </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4247306_2870459653"/>
      <w:bookmarkStart w:id="225" w:name="_Toc77"/>
      <w:bookmarkEnd w:id="224"/>
      <w:r>
        <w:rPr>
          <w:rtl w:val="true"/>
        </w:rPr>
        <w:t>{</w:t>
      </w:r>
      <w:r>
        <w:rPr>
          <w:rtl w:val="true"/>
        </w:rPr>
        <w:t>الكلام بمقتضى الأخبار العلاجية</w:t>
      </w:r>
      <w:r>
        <w:rPr>
          <w:rtl w:val="true"/>
        </w:rPr>
        <w:t>}</w:t>
      </w:r>
      <w:bookmarkEnd w:id="22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بمقتضى الأخبار العلاجية، فاعلم أن طائفة منها صرّحت بالتخيير</w:t>
      </w:r>
      <w:r>
        <w:rPr>
          <w:rStyle w:val="FootnoteAnchor"/>
          <w:rtl w:val="true"/>
        </w:rPr>
        <w:footnoteReference w:id="545"/>
      </w:r>
      <w:r>
        <w:rPr>
          <w:rFonts w:ascii="Amiri" w:hAnsi="Amiri" w:eastAsia="Amiri" w:cs="Amiri"/>
          <w:color w:val="111111"/>
          <w:sz w:val="28"/>
          <w:sz w:val="28"/>
          <w:szCs w:val="28"/>
          <w:rtl w:val="true"/>
          <w:lang w:bidi="ar-SA"/>
        </w:rPr>
        <w:t xml:space="preserve">، وطائفة صرّحت بالتوقف </w:t>
      </w:r>
      <w:r>
        <w:rPr>
          <w:rStyle w:val="FootnoteAnchor"/>
          <w:rtl w:val="true"/>
        </w:rPr>
        <w:footnoteReference w:id="546"/>
      </w:r>
      <w:r>
        <w:rPr>
          <w:rFonts w:ascii="Amiri" w:hAnsi="Amiri" w:eastAsia="Amiri" w:cs="Amiri"/>
          <w:color w:val="111111"/>
          <w:sz w:val="28"/>
          <w:sz w:val="28"/>
          <w:szCs w:val="28"/>
          <w:rtl w:val="true"/>
          <w:lang w:bidi="ar-SA"/>
        </w:rPr>
        <w:t xml:space="preserve">، وطائفة صرّحت بالمرجحات </w:t>
      </w:r>
      <w:r>
        <w:rPr>
          <w:rStyle w:val="FootnoteAnchor"/>
          <w:rtl w:val="true"/>
        </w:rPr>
        <w:footnoteReference w:id="547"/>
      </w:r>
      <w:r>
        <w:rPr>
          <w:rFonts w:ascii="Amiri" w:hAnsi="Amiri" w:eastAsia="Amiri" w:cs="Amiri"/>
          <w:color w:val="111111"/>
          <w:sz w:val="28"/>
          <w:sz w:val="28"/>
          <w:szCs w:val="28"/>
          <w:rtl w:val="true"/>
          <w:lang w:bidi="ar-SA"/>
        </w:rPr>
        <w:t xml:space="preserve">، والأصحابُ بين قائل بالتوقف مطلقاً </w:t>
      </w:r>
      <w:r>
        <w:rPr>
          <w:rStyle w:val="FootnoteAnchor"/>
          <w:rtl w:val="true"/>
        </w:rPr>
        <w:footnoteReference w:id="548"/>
      </w:r>
      <w:r>
        <w:rPr>
          <w:rFonts w:ascii="Amiri" w:hAnsi="Amiri" w:eastAsia="Amiri" w:cs="Amiri"/>
          <w:color w:val="111111"/>
          <w:sz w:val="28"/>
          <w:sz w:val="28"/>
          <w:szCs w:val="28"/>
          <w:rtl w:val="true"/>
          <w:lang w:bidi="ar-SA"/>
        </w:rPr>
        <w:t xml:space="preserve">، وقائل بالتخيير مطلقاً </w:t>
      </w:r>
      <w:r>
        <w:rPr>
          <w:rStyle w:val="FootnoteAnchor"/>
          <w:rtl w:val="true"/>
        </w:rPr>
        <w:footnoteReference w:id="549"/>
      </w:r>
      <w:r>
        <w:rPr>
          <w:rFonts w:ascii="Amiri" w:hAnsi="Amiri" w:eastAsia="Amiri" w:cs="Amiri"/>
          <w:color w:val="111111"/>
          <w:sz w:val="28"/>
          <w:sz w:val="28"/>
          <w:szCs w:val="28"/>
          <w:rtl w:val="true"/>
          <w:lang w:bidi="ar-SA"/>
        </w:rPr>
        <w:t xml:space="preserve">، ومفصّل بين ما لا بدَّ فيه من العمل فالتخييرُ، </w:t>
      </w:r>
    </w:p>
    <w:p>
      <w:pPr>
        <w:pStyle w:val="BookText"/>
        <w:rPr/>
      </w:pPr>
      <w:r>
        <w:rPr>
          <w:rFonts w:ascii="Amiri" w:hAnsi="Amiri" w:eastAsia="Amiri" w:cs="Amiri"/>
          <w:color w:val="111111"/>
          <w:sz w:val="28"/>
          <w:sz w:val="28"/>
          <w:szCs w:val="28"/>
          <w:rtl w:val="true"/>
          <w:lang w:bidi="ar-SA"/>
        </w:rPr>
        <w:t xml:space="preserve">وبين غيره فالتوقفُ بما يوافق الاحتياطُ </w:t>
      </w:r>
      <w:r>
        <w:rPr>
          <w:rStyle w:val="FootnoteAnchor"/>
          <w:rtl w:val="true"/>
        </w:rPr>
        <w:footnoteReference w:id="550"/>
      </w:r>
      <w:r>
        <w:rPr>
          <w:rFonts w:ascii="Amiri" w:hAnsi="Amiri" w:eastAsia="Amiri" w:cs="Amiri"/>
          <w:color w:val="111111"/>
          <w:sz w:val="28"/>
          <w:sz w:val="28"/>
          <w:szCs w:val="28"/>
          <w:rtl w:val="true"/>
          <w:lang w:bidi="ar-SA"/>
        </w:rPr>
        <w:t xml:space="preserve">، ومنهم من فصّل بين حقوق الله فالتخييرُ، وحق الناس فالتوقفُ </w:t>
      </w:r>
      <w:r>
        <w:rPr>
          <w:rStyle w:val="FootnoteAnchor"/>
          <w:rtl w:val="true"/>
        </w:rPr>
        <w:footnoteReference w:id="551"/>
      </w:r>
      <w:r>
        <w:rPr>
          <w:rFonts w:ascii="Amiri" w:hAnsi="Amiri" w:eastAsia="Amiri" w:cs="Amiri"/>
          <w:color w:val="111111"/>
          <w:sz w:val="28"/>
          <w:sz w:val="28"/>
          <w:szCs w:val="28"/>
          <w:rtl w:val="true"/>
          <w:lang w:bidi="ar-SA"/>
        </w:rPr>
        <w:t xml:space="preserve">، وآخرُ فصّل بين دوران الأمر بين محذورين فالتخييرُ، وغيره فالتوقفُ </w:t>
      </w:r>
      <w:r>
        <w:rPr>
          <w:rStyle w:val="FootnoteAnchor"/>
          <w:rtl w:val="true"/>
        </w:rPr>
        <w:footnoteReference w:id="552"/>
      </w:r>
      <w:r>
        <w:rPr>
          <w:rFonts w:ascii="Amiri" w:hAnsi="Amiri" w:eastAsia="Amiri" w:cs="Amiri"/>
          <w:color w:val="111111"/>
          <w:sz w:val="28"/>
          <w:sz w:val="28"/>
          <w:szCs w:val="28"/>
          <w:rtl w:val="true"/>
          <w:lang w:bidi="ar-SA"/>
        </w:rPr>
        <w:t xml:space="preserve">، والمشهورُ التخييرُ مطلقاً </w:t>
      </w:r>
      <w:r>
        <w:rPr>
          <w:rStyle w:val="FootnoteAnchor"/>
          <w:rtl w:val="true"/>
        </w:rPr>
        <w:footnoteReference w:id="553"/>
      </w:r>
      <w:r>
        <w:rPr>
          <w:rFonts w:ascii="Amiri" w:hAnsi="Amiri" w:eastAsia="Amiri" w:cs="Amiri"/>
          <w:color w:val="111111"/>
          <w:sz w:val="28"/>
          <w:sz w:val="28"/>
          <w:szCs w:val="28"/>
          <w:rtl w:val="true"/>
          <w:lang w:bidi="ar-SA"/>
        </w:rPr>
        <w:t xml:space="preserve">وحملُ أخبار التوقف على صورة التمكن من لقاء </w:t>
      </w:r>
      <w:r>
        <w:rPr>
          <w:rStyle w:val="FootnoteAnchor"/>
          <w:rtl w:val="true"/>
        </w:rPr>
        <w:footnoteReference w:id="554"/>
      </w:r>
      <w:r>
        <w:rPr>
          <w:rFonts w:ascii="IRNazanin" w:hAnsi="IRNazanin" w:eastAsia="IRNazanin"/>
          <w:color w:val="111111"/>
          <w:sz w:val="28"/>
          <w:sz w:val="28"/>
          <w:szCs w:val="28"/>
          <w:rtl w:val="true"/>
          <w:lang w:bidi="fa-IR"/>
        </w:rPr>
        <w:t xml:space="preserve">الإمام علیه السلام كما هو ظاهر بعضها، ويشكلُ أن ذلك لا يوجبُ تقييدَ أخبار التوقف المطلقة؛ لعدم المنافاة بين وجوب التوقف مطلقاً تمكن من وصول الإمام </w:t>
      </w:r>
      <w:r>
        <w:rPr>
          <w:rStyle w:val="FootnoteAnchor"/>
          <w:rtl w:val="true"/>
        </w:rPr>
        <w:footnoteReference w:id="555"/>
      </w:r>
      <w:r>
        <w:rPr>
          <w:rFonts w:ascii="IRNazanin" w:hAnsi="IRNazanin" w:eastAsia="IRNazanin"/>
          <w:color w:val="111111"/>
          <w:sz w:val="28"/>
          <w:sz w:val="28"/>
          <w:szCs w:val="28"/>
          <w:rtl w:val="true"/>
          <w:lang w:bidi="fa-IR"/>
        </w:rPr>
        <w:t>علیه السلام أم لا، وبين كون غاية التوقف هو الوصول إلى الإمام، على أن في الأخبار الدالة على التخيير أيضاً فيها ما يدلُّ على ذلك، مثل خبر الحارث بن مغيرة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 الحديث وكلهم ثقة فموسعٌ عليك حتى ترى القائم</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التدبر في أخبار التوقف يدلُّ على أنها في مقام نفي تعيين أحد الخبرين بالاستحسان والمناسبات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القولُ فيهما بغير علم ولا نظرَ فيها إلى نفي التخيير في مقام العمل فلا معارضةَ بين الطائفتين حينئذٍ</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دعوى إرادة الاحتياط من التوقف في أخبار التوقف </w:t>
      </w:r>
      <w:r>
        <w:rPr>
          <w:rStyle w:val="FootnoteAnchor"/>
          <w:rtl w:val="true"/>
        </w:rPr>
        <w:footnoteReference w:id="557"/>
      </w:r>
      <w:r>
        <w:rPr>
          <w:rFonts w:ascii="Amiri" w:hAnsi="Amiri" w:eastAsia="Amiri" w:cs="Amiri"/>
          <w:color w:val="111111"/>
          <w:sz w:val="28"/>
          <w:sz w:val="28"/>
          <w:szCs w:val="28"/>
          <w:rtl w:val="true"/>
          <w:lang w:bidi="ar-SA"/>
        </w:rPr>
        <w:t xml:space="preserve">، مع أنَّ الاحتياط لا ينطبق على التوقف إلَّا في الشبهة التحريمية خاصةً لا غير ، وقريب منه في الغرابة دعوى </w:t>
      </w:r>
    </w:p>
    <w:p>
      <w:pPr>
        <w:pStyle w:val="BookText"/>
        <w:rPr/>
      </w:pPr>
      <w:r>
        <w:rPr>
          <w:rFonts w:ascii="Amiri" w:hAnsi="Amiri" w:eastAsia="Amiri" w:cs="Amiri"/>
          <w:color w:val="111111"/>
          <w:sz w:val="28"/>
          <w:sz w:val="28"/>
          <w:szCs w:val="28"/>
          <w:rtl w:val="true"/>
          <w:lang w:bidi="ar-SA"/>
        </w:rPr>
        <w:t>دلالتها على الاحتياط في العمل بالاستلزام</w:t>
      </w:r>
      <w:r>
        <w:rPr>
          <w:rStyle w:val="FootnoteAnchor"/>
          <w:rtl w:val="true"/>
        </w:rPr>
        <w:footnoteReference w:id="558"/>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ذيل مرفوعة زرارة التي رواها في عوالي اللآلئ </w:t>
      </w:r>
      <w:r>
        <w:rPr>
          <w:rStyle w:val="FootnoteAnchor"/>
          <w:rtl w:val="true"/>
        </w:rPr>
        <w:footnoteReference w:id="559"/>
      </w:r>
      <w:r>
        <w:rPr>
          <w:rFonts w:ascii="Amiri" w:hAnsi="Amiri" w:eastAsia="Amiri" w:cs="Amiri"/>
          <w:color w:val="111111"/>
          <w:sz w:val="28"/>
          <w:sz w:val="28"/>
          <w:szCs w:val="28"/>
          <w:rtl w:val="true"/>
          <w:lang w:bidi="ar-SA"/>
        </w:rPr>
        <w:t>الأمرُ بأخذ الاحتياط بعد فرض فقد جميع المرجحات التي ذكرت فيها، وظاهرُ الكلام عدّه في عداد المرجحات لا أنه حكم المتعارضين، وحيث إنَّ الأظهر أن الأخذ بالمرجحات مطلقاً إرشاديٌ لا مولوي فالترجيح بالاحتياط منها، ولا قائل بوجوب الترجيح بما وافق الاحتياط،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التخيير حكمٌ ظاهري تعلّق بموضوعه يستوي فيه المجتهد والمقلد، نعم لا طريق للمقلد إليه إلَّا فهم المجتهد ؛ لأنَّه لا يقدر على تشخيص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استمراري يحكم على طبق أحد الأمارتين في واقعه، وعلى طبق الأخرى في واقعة أخرى، أم ابتدائي؟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الأظهرُ أنه على سبيل الاستمرار ؛ و </w:t>
      </w:r>
      <w:r>
        <w:rPr>
          <w:rStyle w:val="FootnoteAnchor"/>
          <w:rtl w:val="true"/>
        </w:rPr>
        <w:footnoteReference w:id="560"/>
      </w:r>
      <w:r>
        <w:rPr>
          <w:rFonts w:ascii="Amiri" w:hAnsi="Amiri" w:eastAsia="Amiri" w:cs="Amiri"/>
          <w:color w:val="111111"/>
          <w:sz w:val="28"/>
          <w:sz w:val="28"/>
          <w:szCs w:val="28"/>
          <w:rtl w:val="true"/>
          <w:lang w:bidi="ar-SA"/>
        </w:rPr>
        <w:t>لإطلاق أدلته وخصوص ما دل على أن الأخذ بأحدهما إنما هو من باب التسليم، ومعلومٌ عدم اختصاص مصلحة التسليم بحال الابتداء، مضافاً إلى الاستصحاب الموجب لاستمراره الحاكم على استصحاب حكم المختار، ولا تعدد في الموضوع عند العرف كما هو ظاهر</w:t>
      </w:r>
      <w:r>
        <w:rPr>
          <w:rFonts w:eastAsia="Amiri" w:cs="Amiri" w:ascii="Amiri" w:hAnsi="Amiri"/>
          <w:color w:val="111111"/>
          <w:sz w:val="28"/>
          <w:szCs w:val="28"/>
          <w:rtl w:val="true"/>
          <w:lang w:bidi="ar-SA"/>
        </w:rPr>
        <w:t xml:space="preserve">. </w:t>
      </w:r>
      <w:bookmarkStart w:id="226" w:name="pg9229_140522"/>
    </w:p>
    <w:p>
      <w:pPr>
        <w:pStyle w:val="Heading2"/>
        <w:numPr>
          <w:ilvl w:val="1"/>
          <w:numId w:val="1"/>
        </w:numPr>
        <w:rPr/>
      </w:pPr>
      <w:bookmarkStart w:id="227" w:name="__RefHeading___Toc4247308_2870459653"/>
      <w:bookmarkStart w:id="228" w:name="_Toc78"/>
      <w:bookmarkEnd w:id="226"/>
      <w:bookmarkEnd w:id="227"/>
      <w:r>
        <w:rPr>
          <w:rtl w:val="true"/>
        </w:rPr>
        <w:t>تنبيهٌ</w:t>
      </w:r>
      <w:bookmarkEnd w:id="228"/>
    </w:p>
    <w:p>
      <w:pPr>
        <w:pStyle w:val="BookText"/>
        <w:rPr/>
      </w:pPr>
      <w:r>
        <w:rPr>
          <w:rFonts w:ascii="Amiri" w:hAnsi="Amiri" w:eastAsia="Amiri" w:cs="Amiri"/>
          <w:color w:val="111111"/>
          <w:sz w:val="28"/>
          <w:sz w:val="28"/>
          <w:szCs w:val="28"/>
          <w:rtl w:val="true"/>
          <w:lang w:bidi="ar-SA"/>
        </w:rPr>
        <w:t>لا بدَّ من الاقتصار في الحكم التخييري على مورد الأخبار العلاجية، أعني صورة تعارض الخبرين؛ لأنَّ التخيير عندنا على خلاف القاعدة؛ حيث إنَّ الأخبار عندنا حجة من باب الطريقية، والقاعدة تقتضي فيها التوقفَ كما عرفت، والحكمُ في تعارض الأمارتين في غير الأحكام التوقفُ الذي هو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المقام الثاني</w:t>
      </w:r>
    </w:p>
    <w:p>
      <w:pPr>
        <w:pStyle w:val="BookText"/>
        <w:rPr/>
      </w:pPr>
      <w:r>
        <w:rPr>
          <w:rFonts w:ascii="Amiri" w:hAnsi="Amiri" w:eastAsia="Amiri" w:cs="Amiri"/>
          <w:color w:val="111111"/>
          <w:sz w:val="28"/>
          <w:sz w:val="28"/>
          <w:szCs w:val="28"/>
          <w:rtl w:val="true"/>
          <w:lang w:bidi="ar-SA"/>
        </w:rPr>
        <w:t>فأيضاً يقع تارةً بمقتضى الأصل والقاعدة في المسألة، وأخرى بمقتضى الأدلة التي قامت على الترجيح بمخالفة العامة، وموافقة الكتاب والسنة، والأعدلية والأصدقية، والأفقهية والأورعية، والأوثقية، والشهرة،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فهو عندنا تعيّن ذي المزية؛ حيث إنَّ الأخبار عندنا من باب الطريقية، والمقام من دوران الأمر بين الأخذ بذي المزية المعلوم المتيقن الحجية وما هو مشكوك الحجية، فيتعيّن الأخذ بمعلوم الحجية، كيف ولا يصح جعل المشكوك الحجية فعلاً طريقاً إلى الحكم الشرعي؛ لأنَّه تشريعٌ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شيخنا العلّامة المرتضى الله رحمة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الدليل الشرعي دلّ على وجوب العمل بأحد المتعارضين في الجملة، وحيث كان ذلك بحكم الشرع فالمتيقن من التخيير هو صورة تكافؤ الخبرين، أمّا مع مزية أحدهما على الآخر من بعض الجهات فالمتيقنُ هو جواز العمل بالراجح،وأمّا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العمل بالمرجوح فلم يثبت، فلا يجوز الالتزام، فصار الأصلُ وجوب العمل بالمرجح</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أدلة الترجيح بعد الإجماع </w:t>
      </w:r>
      <w:r>
        <w:rPr>
          <w:rStyle w:val="FootnoteAnchor"/>
          <w:rtl w:val="true"/>
        </w:rPr>
        <w:footnoteReference w:id="563"/>
      </w:r>
      <w:r>
        <w:rPr>
          <w:rFonts w:ascii="Amiri" w:hAnsi="Amiri" w:eastAsia="Amiri" w:cs="Amiri"/>
          <w:color w:val="111111"/>
          <w:sz w:val="28"/>
          <w:sz w:val="28"/>
          <w:szCs w:val="28"/>
          <w:rtl w:val="true"/>
          <w:lang w:bidi="ar-SA"/>
        </w:rPr>
        <w:t xml:space="preserve">المحصل والمنقول بالتواتر على ذلك قولاً </w:t>
      </w:r>
    </w:p>
    <w:p>
      <w:pPr>
        <w:pStyle w:val="BookText"/>
        <w:rPr/>
      </w:pPr>
      <w:r>
        <w:rPr>
          <w:rFonts w:ascii="Amiri" w:hAnsi="Amiri" w:eastAsia="Amiri" w:cs="Amiri"/>
          <w:color w:val="111111"/>
          <w:sz w:val="28"/>
          <w:sz w:val="28"/>
          <w:szCs w:val="28"/>
          <w:rtl w:val="true"/>
          <w:lang w:bidi="ar-SA"/>
        </w:rPr>
        <w:t>وعملاً وقول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نجد شيئاً أوسع ولا أحوط من التخيير</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في غير المتفاضلين فلا تتوهم، فعمدتها الروايات المعتبرة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عمر بن حنظلة </w:t>
      </w:r>
      <w:r>
        <w:rPr>
          <w:rStyle w:val="FootnoteAnchor"/>
          <w:rtl w:val="true"/>
        </w:rPr>
        <w:footnoteReference w:id="565"/>
      </w:r>
      <w:r>
        <w:rPr>
          <w:rFonts w:ascii="Amiri" w:hAnsi="Amiri" w:eastAsia="Amiri" w:cs="Amiri"/>
          <w:color w:val="111111"/>
          <w:sz w:val="28"/>
          <w:sz w:val="28"/>
          <w:szCs w:val="28"/>
          <w:rtl w:val="true"/>
          <w:lang w:bidi="ar-SA"/>
        </w:rPr>
        <w:t>المسندة في الكتب الأربعة الصريح ذيلها في وجوب الأخذ بالمرجحات المذكورة فيها، وإجمالُ صدرها على تقديره لا يقدحُ بالاحتجاج بذيلها الصريح مع أنَّ الإشكالات على صدرها مبنية على ظهوره في رجوع المتخاصمين إلى الحكمين لأجل الحكم بينهما بأن يكون الفاصل بينهما هو حكومة الحاكم لا روايته، والتدبرُ في فقهه يوجبُ ظهوره في الرجوع إليهما من حيث الرواية؛ لأنَّ المفروض أنَّ منشأ النزاع بينهما هو الاختلاف في الحكم، والمتعارفُ في ذلك الزمان أن كل من يفتي بشيء إنما إفتاؤه بنقل الحديث الذي يرويه في الواقعة المسؤول عنها، وكان المستفتي إنما يرجع إلى المفتي لاستعلام ما يرويه في الواقعة، ففرض السؤال إنما هو في رجوع المتخاصمين إلى الحكمين من حيث كونهما روايين لا مجتهدين، ألا ترى السائل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اختلفا في حديثكم</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 وهذا كالنص في الرجوع إليهما من حيث الحديث والرواية وجعلِ الفاصل الرواية والحديث لا رأي الحاكم كاليوم، فلا يرد شيء من الإشكالات التي ذكرها الشيخ قدس سرهُ </w:t>
      </w:r>
      <w:r>
        <w:rPr>
          <w:rStyle w:val="FootnoteAnchor"/>
          <w:rtl w:val="true"/>
        </w:rPr>
        <w:footnoteReference w:id="567"/>
      </w:r>
      <w:r>
        <w:rPr>
          <w:rFonts w:ascii="Amiri" w:hAnsi="Amiri" w:eastAsia="Amiri" w:cs="Amiri"/>
          <w:color w:val="111111"/>
          <w:sz w:val="28"/>
          <w:sz w:val="28"/>
          <w:szCs w:val="28"/>
          <w:rtl w:val="true"/>
          <w:lang w:bidi="ar-SA"/>
        </w:rPr>
        <w:t>، إذ الرواية مما يناسبها التعدد، ويجوز نقلُ روايةٍ متعارضةٍ لما يرويه الغير أيضاً،والراوي أيضاً لا يجوز له إلزامُ الغير الذي له ملكة الاستنباط على ما يراه بما رواه، بل العبرة بنظر الغير في أحكام نفسه، فلا إشكال في هذه الرواية أصلاً غير معارضة المرفوعة لها؛ حيث إنَّ المقبولة تقتضي الأخذ برواية الأعدل والأفقه وإن كان الآخر أشهرُ، والمرفوعة تقتضي عكس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فقه الأخبار الواردة في باب التراجيح أنها إنما وردت لأجل الإرشاد </w:t>
      </w:r>
    </w:p>
    <w:p>
      <w:pPr>
        <w:pStyle w:val="BookText"/>
        <w:rPr/>
      </w:pPr>
      <w:r>
        <w:rPr>
          <w:rFonts w:ascii="Amiri" w:hAnsi="Amiri" w:eastAsia="Amiri" w:cs="Amiri"/>
          <w:color w:val="111111"/>
          <w:sz w:val="28"/>
          <w:sz w:val="28"/>
          <w:szCs w:val="28"/>
          <w:rtl w:val="true"/>
          <w:lang w:bidi="ar-SA"/>
        </w:rPr>
        <w:t>وتعليم طريق الأخذ بما هو أقرب إلى الواقع، ولا نظر فيها إلى الترتيب بين المرجحات، ولا إلى التعبد بالمرجحات المذكورة مع مراعاة الترتيب فيها، وهذا أحسن ما يقال في توجيه أخبار التراجيح كما يشهد به الأصدقية في المقبولة، وكذا التعليل المذكور فيها لأجل تقديم المشهور على غيره، ضرورة أن عدم الريب فيه إضافي لا حقيقي، وجهةً الأقربية إلى الواقع ملحوظةٌ في أصل جعل أخبار الآحاد التي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لوحظ فيها جهةُ الكشف عن الواقع، فلو دار الأمر بين الأخذ بما هو أقرب إلى الواقع وبين التخيير بينه وبين غيره لا يحكمُ العقلُ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بالأخذ بما هو أقرب إلى الواقع، ولا إطلاق في أخبار التخيير؛ لأنَّ المرتكز في الأذهان تأخر مرتبته عن مرتبة الترجيح، وحيث كان ذلك هو المركوز كانَ إرشادُ المعصوم إلى الأخذ بالمرجحات لأجل الإرشاد إلى طريق الاستنباط وتعليم طريق الأخذ بالأقرب إلى الواقع لا تعبداً صرفاً، ولا لمجرد الاستحباب كما حملها عليه بعضهم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حملها على الاستحباب لا شاهد عليه، بل الشاهد على خلافه، مع مخالفته لكل علماء الطائفة كما تقدمت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والمقبولة صريحة في وجوب الترجيح بصفات الراوي وبالشهرة من حيث الرواية، وبموافقة الكتاب ،ومخالفة العامة ،وجواز الترجيح بكل من العدالة والفقاهة والصداقة والأورع على الآخر؛ لأنَّ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يفضل أحدهما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مراده عدم فضل أحدهما على الآخر بشيء من المزايا، فهو ظاهر في فهم أن الترجيح بمطلق المزية، وكذلك المراد بموافقة الكتاب والسنة ومخالفة العامة الترجيح بكل واحد منهما لا صورة اجتماعهما،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أشكل سيدنا الأستاذ رحمة الله علیه على ذيل رواية المقبولة إشكالاً لا أعرف الجواب عنه، و هو أنه ذكر بعد ذكر وجوب الأخذ بما وافق الاحتياط من الخبرين أنهما معاً موافقان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للاحتياط أو مخالفان له بأنه لا يمكن أن يكون النقيضان كلاهما موافقين للاحتياط</w:t>
      </w:r>
      <w:r>
        <w:rPr>
          <w:rFonts w:eastAsia="Amiri" w:cs="Amiri" w:ascii="Amiri" w:hAnsi="Amiri"/>
          <w:color w:val="111111"/>
          <w:sz w:val="28"/>
          <w:szCs w:val="28"/>
          <w:rtl w:val="true"/>
          <w:lang w:bidi="ar-SA"/>
        </w:rPr>
        <w:t xml:space="preserve">. </w:t>
      </w:r>
      <w:bookmarkStart w:id="229" w:name="pg9229_140528"/>
    </w:p>
    <w:p>
      <w:pPr>
        <w:pStyle w:val="Heading2"/>
        <w:numPr>
          <w:ilvl w:val="1"/>
          <w:numId w:val="1"/>
        </w:numPr>
        <w:rPr/>
      </w:pPr>
      <w:bookmarkStart w:id="230" w:name="__RefHeading___Toc4247310_2870459653"/>
      <w:bookmarkStart w:id="231" w:name="_Toc79"/>
      <w:bookmarkEnd w:id="229"/>
      <w:bookmarkEnd w:id="230"/>
      <w:r>
        <w:rPr>
          <w:rtl w:val="true"/>
        </w:rPr>
        <w:t>{</w:t>
      </w:r>
      <w:r>
        <w:rPr>
          <w:rtl w:val="true"/>
        </w:rPr>
        <w:t>عدم الاقتصار على المرجحات المنصوصة</w:t>
      </w:r>
      <w:r>
        <w:rPr>
          <w:rtl w:val="true"/>
        </w:rPr>
        <w:t>}</w:t>
      </w:r>
      <w:bookmarkEnd w:id="231"/>
    </w:p>
    <w:p>
      <w:pPr>
        <w:pStyle w:val="BookText"/>
        <w:rPr/>
      </w:pPr>
      <w:r>
        <w:rPr>
          <w:rFonts w:ascii="IRNazanin" w:hAnsi="IRNazanin" w:eastAsia="IRNazanin"/>
          <w:color w:val="111111"/>
          <w:sz w:val="28"/>
          <w:sz w:val="28"/>
          <w:szCs w:val="28"/>
          <w:rtl w:val="true"/>
          <w:lang w:bidi="fa-IR"/>
        </w:rPr>
        <w:t>وأمّا الاقتصار على المرجحات المنصوصه وعدمه؟</w:t>
      </w:r>
    </w:p>
    <w:p>
      <w:pPr>
        <w:pStyle w:val="BookText"/>
        <w:rPr/>
      </w:pPr>
      <w:r>
        <w:rPr>
          <w:rFonts w:ascii="Amiri" w:hAnsi="Amiri" w:eastAsia="Amiri" w:cs="Amiri"/>
          <w:color w:val="111111"/>
          <w:sz w:val="28"/>
          <w:sz w:val="28"/>
          <w:szCs w:val="28"/>
          <w:rtl w:val="true"/>
          <w:lang w:bidi="ar-SA"/>
        </w:rPr>
        <w:t>فالتحقيقُ عدم الاقتصار؛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أخبار الترجيح في أنَّ المدار على الأقرب مطابقةٌ للواقع، فكلُ مزية توجبُ الأقربيةُ إلى الواقع يجبُ الترجيح بها، ومواضع الظهور قد أشار إليها شيخنا في الرسالة في المقام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أخبار التحيّر في اختصاصها بصورة التكافؤ من جميع الجهات، فإنَّ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عنكم خبران أحدهما يأمرنا والآخر ينهانا، 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مورد السؤال إنما هو التخيير في مقام العمل ، ومن المعلوم أنه لا تحيّر مع اعتبار الشارع لذي المزية من الخبرين، لتعيّن الأخذ به حينئذٍ فالداعي للسؤال عن حكم الخبرين المتعارضين ليس إلَّا تحيّر السائل في مقام العمل، فظهرَ أنَّ سؤاله ظاهرٌ في أنَّ مورد سؤاله مورد التحيّر لا سيما بملاحظة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كالصريح في ذلك، فالحكمُ في الجواب مختصٌ بذلك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التنبيه على أمور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الظن الفعلي عند التعدي إلى المرجحات غير المنصوصة فالأمارة التي معها ما يوجبُ الأقربية إلى الواقع نوعاً تُقدمُ على التي معها ما يوجبُ الظن الشخصي بمطابقتها للواقع؛ لأنَّ المرجحات المنصوصة فيها ما لا يستلزم </w:t>
      </w:r>
      <w:r>
        <w:rPr>
          <w:rStyle w:val="FootnoteAnchor"/>
          <w:rtl w:val="true"/>
        </w:rPr>
        <w:footnoteReference w:id="569"/>
      </w:r>
      <w:r>
        <w:rPr>
          <w:rFonts w:ascii="Amiri" w:hAnsi="Amiri" w:eastAsia="Amiri" w:cs="Amiri"/>
          <w:color w:val="111111"/>
          <w:sz w:val="28"/>
          <w:sz w:val="28"/>
          <w:szCs w:val="28"/>
          <w:rtl w:val="true"/>
          <w:lang w:bidi="ar-SA"/>
        </w:rPr>
        <w:t>الظن الفعلي قطعاً كموافقة الكتاب وأمثالها مع عدم اعتبار الظن الشخصي من أصل،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على أبعدية أحدهما من الخلاف، لتعليل الإمام تقديم الحديث المخالف للعامة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الرش </w:t>
      </w:r>
    </w:p>
    <w:p>
      <w:pPr>
        <w:pStyle w:val="BookText"/>
        <w:rPr/>
      </w:pPr>
      <w:r>
        <w:rPr>
          <w:rFonts w:ascii="Amiri" w:hAnsi="Amiri" w:eastAsia="Amiri" w:cs="Amiri"/>
          <w:color w:val="111111"/>
          <w:sz w:val="28"/>
          <w:sz w:val="28"/>
          <w:szCs w:val="28"/>
          <w:rtl w:val="true"/>
          <w:lang w:bidi="ar-SA"/>
        </w:rPr>
        <w:t xml:space="preserve">في خلافهم </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 xml:space="preserve">، وتعليله علیه السلام للأخذ بالموافق للمشهور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ريب فيه</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الأظهرُ أن خلافهم طريقٌ إلى الواقع، ألا تراه يأمر باستفتاء فقهاء العامة والعمل على خلافه، فالمدار على المؤيد بما يفيد الظن نوعاً بالأقربية إلى الواقع حسبما دلت عليه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مورد التخيير التكافؤ من جميع الجهات، وبعبارة الآخر التحيّر، ومن المعلوم عدم التحيّر في تعارض النص الظني السند أو الجهة مع الظاهر وإن كان قطعي السند؛ لأنَّ تقديم النص على الظاهر وتقديم الأظهر على الظاهر ضروريٌ عند العرف كما عرفتَ، فأدلة التخيير لا تشمل ذلك، كما أن أدلة الترجيح لا تشملها ولا الأصل الأولي في تعارض الخبرين فيما إذا كان أحدهما عاماً والآخر خاصاً؛ إذ لا مجال للحكم بالتوقف فيما يحكم به العرف بالجمع المرتكز في أذهانهم ولا يرون تعارضاً فيها،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بتقديم التقييد على التخصيص عند الدوران، وبتقديم التخصيص على النسخ ؛ لكونهما من تعارض الظاهر والأظهر، وعللوا ذلك بوجوه عليلة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ذلك لا كلية فيه،وإنما هوتابع لخصوصيات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التعارض بين أكثر من اثنين يشكلُ تعيين النص أو الأظهر ، وربما كان بين الاثنين تعارض النص والظاهر أو المتباينين، فإذا جاء معارضٌ ثالث انقلبت النسبة كما لو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المأكول اللحم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تخصيص </w:t>
      </w:r>
      <w:r>
        <w:rPr>
          <w:rStyle w:val="FootnoteAnchor"/>
          <w:rtl w:val="true"/>
        </w:rPr>
        <w:footnoteReference w:id="573"/>
      </w:r>
      <w:r>
        <w:rPr>
          <w:rFonts w:ascii="Amiri" w:hAnsi="Amiri" w:eastAsia="Amiri" w:cs="Amiri"/>
          <w:color w:val="111111"/>
          <w:sz w:val="28"/>
          <w:sz w:val="28"/>
          <w:szCs w:val="28"/>
          <w:rtl w:val="true"/>
          <w:lang w:bidi="ar-SA"/>
        </w:rPr>
        <w:t xml:space="preserve">الأول بغير عذرة مأكول اللحم، ثم تلاحظ النسبة 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تعارض المقيد مع المطلق والمطلق الآخر معه على نسق واحد، فلا بدَّ من تقييد المطلق بالمقيد، وبعد التقيد يكون المطلق بحكم المقيّد فيُقيد </w:t>
      </w:r>
    </w:p>
    <w:p>
      <w:pPr>
        <w:pStyle w:val="BookText"/>
        <w:rPr/>
      </w:pPr>
      <w:r>
        <w:rPr>
          <w:rFonts w:ascii="Amiri" w:hAnsi="Amiri" w:eastAsia="Amiri" w:cs="Amiri"/>
          <w:color w:val="111111"/>
          <w:sz w:val="28"/>
          <w:sz w:val="28"/>
          <w:szCs w:val="28"/>
          <w:rtl w:val="true"/>
          <w:lang w:bidi="ar-SA"/>
        </w:rPr>
        <w:t>إطلاق الآخر به، ولو تعارض عام مع مخصصات مع تساوي السند في العام والمخصصات، ومع استيعاب جميع أفراد العام، أو لم يبقَ مقدار ما يصح حمل العام عليه، فالتعارضُ بين العام ومجموع المخصصات، والحكمُ فيها حكمُ المتباينين ، أعني التخيير مع تساوي السند، لكن إذا عمل بالمخصصات أطرح العام، وإن عمل بالعام يطرح من المخصصات مقدار لا محذور في العمل بالباقي، وتطرح المخصصات رأساً؛ لأنَّ التباين مع المجموع لا مع كل منهما، وحينئذٍ يطرح منها مقدار لا محذور بالعمل بالباقي، فحينئذٍ يقع التعارض بين نفس المخصصات فيحكمُ بالتخيير بينها؛ لعدم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التعارض بين العام والمخصصات مع ترجيح من حيث السند، فإن كان الترجيح للعام على جميع المخصصات أُخذَ بالعام ويطرحُ من المخصصات مقدار ما لا محذور في الأخذ بالباقي، وحينئذٍ يلاحظ الترجيح في الخصوصيات، وإن لم يكن بينها ترجيحٌ يرجع إلى التخيير، ولو كان الترجيح السندي للمخصصات على العام عمل بالمخصصات واطرح العام، ولو كان الترجيح للعام بالاضافة إلى بعض المخصصات ومتساوياً بالاضافة إلى الباقي أو مرجوحاً كذلك كانَ التباين بين العام والبعض المبهم من المخصصات، ولا ترجيح حينئذٍ في البين، فيلحقها حكم المتباينين؛ لأنَّ ترجيح أحد هذين المتباينين لا يكون إلّشا بترجيح العام على تمام المخصصات أو ترجيحها عليه، وحيث لم يوجد الترجيح المذكور كانَ الحكمُ في الفرض حكمُ ما لا ترجيح بينهما، وهو حكم المتباينين، فافهم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رجحنا الترجيح ولم نقتصر على المرجحات المنصوصة، بل قلنا بالترجيح بكل ما يقتضي الأقربية إلى الواقع أو الأبعدية من الخلاف،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أحد المتعارضين أحد من المزايا الموجبة للأقربية وفي الآخر كذلك، أو كان مع أحدهما إحدى المزايا المنصوصة وفي الآخر أُخَرُ كانَ الحكمُ التخييرَ أعمَّ من أن تكون المزيتان المترتبتان راجعتين </w:t>
      </w:r>
      <w:r>
        <w:rPr>
          <w:rStyle w:val="FootnoteAnchor"/>
          <w:rtl w:val="true"/>
        </w:rPr>
        <w:footnoteReference w:id="574"/>
      </w:r>
      <w:r>
        <w:rPr>
          <w:rFonts w:ascii="Amiri" w:hAnsi="Amiri" w:eastAsia="Amiri" w:cs="Amiri"/>
          <w:color w:val="111111"/>
          <w:sz w:val="28"/>
          <w:sz w:val="28"/>
          <w:szCs w:val="28"/>
          <w:rtl w:val="true"/>
          <w:lang w:bidi="ar-SA"/>
        </w:rPr>
        <w:t xml:space="preserve">إلى الصدور، أو كان أحدهما إلى الصدور والآخر إلى جهة الصدور، وكذا الحكم </w:t>
      </w:r>
    </w:p>
    <w:p>
      <w:pPr>
        <w:pStyle w:val="BookText"/>
        <w:rPr/>
      </w:pPr>
      <w:r>
        <w:rPr>
          <w:rFonts w:ascii="Amiri" w:hAnsi="Amiri" w:eastAsia="Amiri" w:cs="Amiri"/>
          <w:color w:val="111111"/>
          <w:sz w:val="28"/>
          <w:sz w:val="28"/>
          <w:szCs w:val="28"/>
          <w:rtl w:val="true"/>
          <w:lang w:bidi="ar-SA"/>
        </w:rPr>
        <w:t>بناءً على الاقتصار على خصوص المرجحات المنصوصة مع القول بأن أدلة الترجيح لا نظر فيها إلى الترتيب بين المرجحات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بناءً على الاقتصار على خصوص المرجحات المنصوصة مع الترتيب بينها انحصرَ الأخذ بالمزية الملحوظة سابقاً، ولا يعتنى بالأُخرى الملحوظة لاحقاً، ولو كان الخبر الأرجح سنداً ـ كخبر الأفقه مثلاً ـ موافقاً للعامة قُدّم على الخبر المخالف لهم، بناءً على أن الوجه في ترجیح المخالف هو احتمال التقية في الموافق؛ لأنّ هذا الترجيح ملحوظٌ بعد فرض الصدور</w:t>
      </w:r>
    </w:p>
    <w:p>
      <w:pPr>
        <w:pStyle w:val="BookText"/>
        <w:rPr/>
      </w:pPr>
      <w:r>
        <w:rPr>
          <w:rFonts w:ascii="IRNazanin" w:hAnsi="IRNazanin" w:eastAsia="IRNazanin"/>
          <w:color w:val="111111"/>
          <w:sz w:val="28"/>
          <w:sz w:val="28"/>
          <w:szCs w:val="28"/>
          <w:rtl w:val="true"/>
          <w:lang w:bidi="fa-IR"/>
        </w:rPr>
        <w:t xml:space="preserve">إمّا على وجه القطع كالمتواترين، أو على وجه التعبد كالخبرين بعد عدم إمكان التعبد بصدور أحدهما وترك التعبد بصدور الآخر، وفي ما فرضنا يمكن التعبد بخبر الأفقه بمقتضى أدلة الترجيح من حيث الصدور، كذا أفاده شيخنا المرتضى رحمة الله علیه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بعضهم </w:t>
      </w:r>
      <w:r>
        <w:rPr>
          <w:rStyle w:val="FootnoteAnchor"/>
          <w:rtl w:val="true"/>
        </w:rPr>
        <w:footnoteReference w:id="576"/>
      </w:r>
      <w:r>
        <w:rPr>
          <w:rFonts w:ascii="Amiri" w:hAnsi="Amiri" w:eastAsia="Amiri" w:cs="Amiri"/>
          <w:color w:val="111111"/>
          <w:sz w:val="28"/>
          <w:sz w:val="28"/>
          <w:szCs w:val="28"/>
          <w:rtl w:val="true"/>
          <w:lang w:bidi="ar-SA"/>
        </w:rPr>
        <w:t xml:space="preserve">بأن ملاك الترجيح في كل منهما على نهج واحد لا مزية لأحدهما على الآخر؛ لأنَّه كما عدَّ الأفقهية من المرجحات كذلك مخالفة العامة عدَّ في المرجحات </w:t>
      </w:r>
      <w:r>
        <w:rPr>
          <w:rStyle w:val="FootnoteAnchor"/>
          <w:rtl w:val="true"/>
        </w:rPr>
        <w:footnoteReference w:id="577"/>
      </w:r>
      <w:r>
        <w:rPr>
          <w:rFonts w:ascii="Amiri" w:hAnsi="Amiri" w:eastAsia="Amiri" w:cs="Amiri"/>
          <w:color w:val="111111"/>
          <w:sz w:val="28"/>
          <w:sz w:val="28"/>
          <w:szCs w:val="28"/>
          <w:rtl w:val="true"/>
          <w:lang w:bidi="ar-SA"/>
        </w:rPr>
        <w:t xml:space="preserve">، فلا وجه لترجيح خبر الأفقه المطابق لهم على خبر غيره المخالف لهم، وهما سيان بملاحظة دليل الحجية مطلقاً كما هو واضح </w:t>
      </w:r>
      <w:r>
        <w:rPr>
          <w:rStyle w:val="FootnoteAnchor"/>
          <w:rtl w:val="true"/>
        </w:rPr>
        <w:footnoteReference w:id="57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ما أنعم وله الشكر على ما ألهم</w:t>
      </w:r>
      <w:r>
        <w:rPr>
          <w:rFonts w:eastAsia="Amiri" w:cs="Amiri" w:ascii="Amiri" w:hAnsi="Amiri"/>
          <w:color w:val="111111"/>
          <w:sz w:val="28"/>
          <w:szCs w:val="28"/>
          <w:rtl w:val="true"/>
          <w:lang w:bidi="ar-SA"/>
        </w:rPr>
        <w:t xml:space="preserve">. </w:t>
      </w:r>
      <w:bookmarkStart w:id="232" w:name="pg9229_140537"/>
    </w:p>
    <w:p>
      <w:pPr>
        <w:pStyle w:val="Heading2"/>
        <w:numPr>
          <w:ilvl w:val="1"/>
          <w:numId w:val="1"/>
        </w:numPr>
        <w:rPr/>
      </w:pPr>
      <w:bookmarkStart w:id="233" w:name="__RefHeading___Toc4247312_2870459653"/>
      <w:bookmarkStart w:id="234" w:name="_Toc80"/>
      <w:bookmarkEnd w:id="232"/>
      <w:bookmarkEnd w:id="233"/>
      <w:r>
        <w:rPr>
          <w:rtl w:val="true"/>
        </w:rPr>
        <w:t>خاتمةٌ في مبحثي الاجتهاد والتقليد</w:t>
      </w:r>
      <w:bookmarkEnd w:id="234"/>
    </w:p>
    <w:p>
      <w:pPr>
        <w:pStyle w:val="Heading2"/>
        <w:numPr>
          <w:ilvl w:val="1"/>
          <w:numId w:val="1"/>
        </w:numPr>
        <w:rPr/>
      </w:pPr>
      <w:bookmarkStart w:id="235" w:name="__RefHeading___Toc4247314_2870459653"/>
      <w:bookmarkStart w:id="236" w:name="_Toc81"/>
      <w:bookmarkEnd w:id="235"/>
      <w:r>
        <w:rPr>
          <w:rtl w:val="true"/>
        </w:rPr>
        <w:t>لامعةٌ</w:t>
      </w:r>
      <w:bookmarkEnd w:id="236"/>
    </w:p>
    <w:p>
      <w:pPr>
        <w:pStyle w:val="BookText"/>
        <w:rPr/>
      </w:pPr>
      <w:r>
        <w:rPr>
          <w:rFonts w:ascii="Amiri" w:hAnsi="Amiri" w:eastAsia="Amiri" w:cs="Amiri"/>
          <w:color w:val="111111"/>
          <w:sz w:val="28"/>
          <w:sz w:val="28"/>
          <w:szCs w:val="28"/>
          <w:rtl w:val="true"/>
          <w:lang w:bidi="ar-SA"/>
        </w:rPr>
        <w:t>الاجتهاد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إعمال النظر في تحصيل الحكم الفرعي عن الأدلة له ملكة الاستنباط ومعرفة المراد من الخطابات الشرعية، واستفراغ الوسع في معرفة المراد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ويشترط فيها العلم بكل العلوم المدونة لمعرفة الكتاب والسنة، وأن يكون حصول الملکة عن كثرة المزاولة للفقه والحديث لا محض القوة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بسطنا الكلام في وجه الحاجة إلى كل علم علم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 اللجاج في إبطال طريقة أهل 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 الأخبارية بما لا مزيد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في صحة الاجتهاد بالمعنى المذكور وفي جواز العمل بفتوى المتصف به ونفوذ حكمه وقد تضافرت الروايات بكل ذلك </w:t>
      </w:r>
      <w:r>
        <w:rPr>
          <w:rStyle w:val="FootnoteAnchor"/>
          <w:rtl w:val="true"/>
        </w:rPr>
        <w:footnoteReference w:id="579"/>
      </w:r>
      <w:r>
        <w:rPr>
          <w:rFonts w:ascii="Amiri" w:hAnsi="Amiri" w:eastAsia="Amiri" w:cs="Amiri"/>
          <w:color w:val="111111"/>
          <w:sz w:val="28"/>
          <w:sz w:val="28"/>
          <w:szCs w:val="28"/>
          <w:rtl w:val="true"/>
          <w:lang w:bidi="ar-SA"/>
        </w:rPr>
        <w:t xml:space="preserve">، وتحقق الإجماع عليه </w:t>
      </w:r>
      <w:r>
        <w:rPr>
          <w:rStyle w:val="FootnoteAnchor"/>
          <w:rtl w:val="true"/>
        </w:rPr>
        <w:footnoteReference w:id="580"/>
      </w:r>
      <w:r>
        <w:rPr>
          <w:rFonts w:ascii="Amiri" w:hAnsi="Amiri" w:eastAsia="Amiri" w:cs="Amiri"/>
          <w:color w:val="111111"/>
          <w:sz w:val="28"/>
          <w:sz w:val="28"/>
          <w:szCs w:val="28"/>
          <w:rtl w:val="true"/>
          <w:lang w:bidi="ar-SA"/>
        </w:rPr>
        <w:t>، بل الضرورة</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4247316_2870459653"/>
      <w:bookmarkStart w:id="238" w:name="_Toc82"/>
      <w:bookmarkEnd w:id="237"/>
      <w:r>
        <w:rPr>
          <w:rtl w:val="true"/>
        </w:rPr>
        <w:t>[</w:t>
      </w:r>
      <w:r>
        <w:rPr>
          <w:rtl w:val="true"/>
        </w:rPr>
        <w:t xml:space="preserve">التجزئ في الإجتهاد </w:t>
      </w:r>
      <w:r>
        <w:rPr>
          <w:rtl w:val="true"/>
        </w:rPr>
        <w:t>]</w:t>
      </w:r>
      <w:bookmarkEnd w:id="23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التجزئ في الاجتهاد بمعنى حصول ملكة استنباط بعض المسائل لا جميعها فلا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الملكة أمر بسيط لا يقبل التجزئة  </w:t>
      </w:r>
      <w:r>
        <w:rPr>
          <w:rStyle w:val="FootnoteAnchor"/>
          <w:rtl w:val="true"/>
        </w:rPr>
        <w:footnoteReference w:id="581"/>
      </w:r>
      <w:r>
        <w:rPr>
          <w:rFonts w:ascii="Amiri" w:hAnsi="Amiri" w:eastAsia="Amiri" w:cs="Amiri"/>
          <w:color w:val="111111"/>
          <w:sz w:val="28"/>
          <w:sz w:val="28"/>
          <w:szCs w:val="28"/>
          <w:rtl w:val="true"/>
          <w:lang w:bidi="ar-SA"/>
        </w:rPr>
        <w:t>إذ الفرض حصولها على بساطتها في بعض المسائل على نحو حصولها في جميع المسائل، والاختلاف في القوة والضعف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فالحقُ إمكانه، بل وقوعه؛ لِما نرى بالعيان من بعض أهل العلم من قدرته على استنباط بعض المسائل على الموازين وعجزه عن المسائل الكثيرةِ الأقوال، أو لكثرة المعارضات، أو لكثرة الشقوقات، لضعف ملكته، حتى أنه يعرف ذلك من نفسه، فهو ممن له ملكة مطلق الاجتهاد لا ملكة الاجتهاد المطلق، واختلافُ المسائل بالسهولة والصعوبة ضروريٌ؛ فإنا نرى العلّامة مع قوته قد يتوقف ويتردد في المسألة، وليس توقفه من حيث الاجتهاد والرجوع إلى الأصول؛ لأنَّه في كثير من المسائل المذكورة في كتاب القواعد رجعَ إلى الأصول ولم يستشكل أصلاً، ونراه في جملة من المسائل تردد واستشكل، فلو كان إشكاله من جهة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زعمه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حكم المسألة الرجوع إلى الأصول لم يكن للإشكال وجه؛ إذ لا إشكال فيه، فليس ذلك إلّا أنه يرى من نفسه العجز عن معرفة حكم تلك المسألة والاجتهاد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فرق بين مثل العلّامة والمتجزئ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العجز عن علم والعجز عن جهل، فالمتجزئ عاجز؛ لقصور ملکته عن الأخذ بمجامع الأدلة، والعلّامةُ لا عجز فيه عن ذلك ولا عن كل ما للاجتهاد فيه مسرحٌ، غيرَ أنه لّما علِمَ أن لا مسرح للوقوف على حكم المسألة من طريق الاجتهاد المعتبر توقفَ واستشكل، وهذا العجز دليلُ كمال القوة، وكثرة الغور والتعمق، ولا ملازمة بين القدرة على المسائل السهلةِ المأخذ، والقدرة على المسائل الكثيرةِ الأقوالِ والشقوق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نرى مثل الشيخ والعلّامة والشهيد اختلفت أقوالهم في بعض تلك المسائل حتى تراهم يفتون في كل كتاب بفتوى غير الآخر، فقد يكون لهم في المسألة ثلاثة أقوال أو أكثر، فالفتوى الثانية دليل عجزه في الأولى، والثالثة دليل عجزه في الثانية، فتجدد الرأي ليس عن قصور في الملكة ولا عن ضعف فيها؛ وإنما ذلك لصعوبة المسألة، فإذا أكثر التعمق والتتبع عثر على ما لم يعثر عليه سابقاً مع بذله تمام الوسع وكمال التتبع في الأولى والثانية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تردد في المسألة أو فهم التعارض ورجع إلى الأصل، وبعد التأمل التام أو زيادة قوته التفت إلى طريق فهم المسألة كما هو حقه من غير رجوع إلى الأصل، وهذا لا ينافي </w:t>
      </w:r>
      <w:bookmarkStart w:id="239" w:name="pg9229_140542"/>
    </w:p>
    <w:p>
      <w:pPr>
        <w:pStyle w:val="BookText"/>
        <w:rPr/>
      </w:pPr>
      <w:bookmarkEnd w:id="239"/>
      <w:r>
        <w:rPr>
          <w:rFonts w:ascii="Amiri" w:hAnsi="Amiri" w:eastAsia="Amiri" w:cs="Amiri"/>
          <w:color w:val="111111"/>
          <w:sz w:val="28"/>
          <w:sz w:val="28"/>
          <w:szCs w:val="28"/>
          <w:rtl w:val="true"/>
          <w:lang w:bidi="ar-SA"/>
        </w:rPr>
        <w:t>الاجتهاد المطلق مع أنَّه لم يفهم المسألة في أول وهلة، ولا استنباطها حق الاستنباط، ولم يأخذ في الاجتهاد المطلق عدم الخطأ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،إن ملكة الاجتهاد مقولة بالتشكيك قوة وضعفاً، والمسائل بالنسبة إليها أيضاً مختلفة، وحصول الملكة بالمسائل تدريجي، بل قيل باستحالة حصول اجتهاد مطلق غير مسبوق بالتجزئ بالمعنى الذي قدمناه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حجية ما يؤدي إليه ظنه بالنسبة إلى نفسه فلا ينبغي الريب فيه؛ لاشتراكه مع المكلفين في حجة الظواهر والأخبار، وأقصى ما عليه دفع المعارض والاستنباط منها على الموازين، والمفروض أنه كذلك فيما له ملكة استنباطه لا يفرق فيه بينه وبين المجتهد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يصح تقليده ولا حكومته مع التمكن من الرجوع إلى المجتهد المطلق؛ للشك في شمول الأدلة له بأسرها، اللهم إلّا أن يكون في معرفة المراد من الخطابات واستفراغ الوسع في مقدار يصدق عليه أنه عرف أحكامهم علیه السلام</w:t>
      </w:r>
      <w:r>
        <w:rPr>
          <w:rFonts w:eastAsia="IRNazanin" w:cs="IRNazanin"/>
          <w:color w:val="111111"/>
          <w:sz w:val="28"/>
          <w:szCs w:val="28"/>
          <w:rtl w:val="true"/>
          <w:lang w:bidi="fa-IR"/>
        </w:rPr>
        <w:t>.</w:t>
      </w:r>
    </w:p>
    <w:p>
      <w:pPr>
        <w:pStyle w:val="Heading2"/>
        <w:numPr>
          <w:ilvl w:val="1"/>
          <w:numId w:val="1"/>
        </w:numPr>
        <w:rPr/>
      </w:pPr>
      <w:bookmarkStart w:id="240" w:name="__RefHeading___Toc4247318_2870459653"/>
      <w:bookmarkStart w:id="241" w:name="_Toc83"/>
      <w:bookmarkEnd w:id="240"/>
      <w:r>
        <w:rPr>
          <w:rtl w:val="true"/>
        </w:rPr>
        <w:t>تتميم في التخطئة والتصويب</w:t>
      </w:r>
      <w:bookmarkEnd w:id="241"/>
    </w:p>
    <w:p>
      <w:pPr>
        <w:pStyle w:val="BookText"/>
        <w:rPr/>
      </w:pPr>
      <w:r>
        <w:rPr>
          <w:rFonts w:ascii="Amiri" w:hAnsi="Amiri" w:eastAsia="Amiri" w:cs="Amiri"/>
          <w:color w:val="111111"/>
          <w:sz w:val="28"/>
          <w:sz w:val="28"/>
          <w:szCs w:val="28"/>
          <w:rtl w:val="true"/>
          <w:lang w:bidi="ar-SA"/>
        </w:rPr>
        <w:t>ومحل النزاع في خصوص الأحكام الفرعية الغير القطعية كالظنيات التي قام الدليل الظني على إثباتها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القطعيات والاعتقاديات فلا كلام في أنَّ المصيب فيها واحدٌ، والأشاعرة مصوّبة للمجتهد في الأحكام الفرعية الشرعية الظنية </w:t>
      </w:r>
      <w:r>
        <w:rPr>
          <w:rStyle w:val="FootnoteAnchor"/>
          <w:rtl w:val="true"/>
        </w:rPr>
        <w:footnoteReference w:id="583"/>
      </w:r>
      <w:r>
        <w:rPr>
          <w:rFonts w:ascii="Amiri" w:hAnsi="Amiri" w:eastAsia="Amiri" w:cs="Amiri"/>
          <w:color w:val="111111"/>
          <w:sz w:val="28"/>
          <w:sz w:val="28"/>
          <w:szCs w:val="28"/>
          <w:rtl w:val="true"/>
          <w:lang w:bidi="ar-SA"/>
        </w:rPr>
        <w:t xml:space="preserve">، والإمامية مخطئة سواء حصل الظن من ظاهر القرآن أو الأخبار ولو كانت متواترة، أو من الأمارات كالشهرة والإجماع المنقول ونحوهما، أو من الاستحسان والقياس؛ للإجماع المحقق عند الإمامية على أن الله تعالى أحكاماً واقعية مخزونة </w:t>
      </w:r>
      <w:r>
        <w:rPr>
          <w:rStyle w:val="FootnoteAnchor"/>
          <w:rtl w:val="true"/>
        </w:rPr>
        <w:footnoteReference w:id="584"/>
      </w:r>
      <w:r>
        <w:rPr>
          <w:rFonts w:ascii="Amiri" w:hAnsi="Amiri" w:eastAsia="Amiri" w:cs="Amiri"/>
          <w:color w:val="111111"/>
          <w:sz w:val="28"/>
          <w:sz w:val="28"/>
          <w:szCs w:val="28"/>
          <w:rtl w:val="true"/>
          <w:lang w:bidi="ar-SA"/>
        </w:rPr>
        <w:t xml:space="preserve">، والأخبارُ بذلك عن أهل العصمة ٌمستفیضةٌ، مع أنَّ التصويب غير معقول؛ لأنَّه </w:t>
      </w:r>
      <w:bookmarkStart w:id="242" w:name="pg9229_140544"/>
    </w:p>
    <w:p>
      <w:pPr>
        <w:pStyle w:val="BookText"/>
        <w:rPr/>
      </w:pPr>
      <w:bookmarkEnd w:id="242"/>
      <w:r>
        <w:rPr>
          <w:rFonts w:ascii="Amiri" w:hAnsi="Amiri" w:eastAsia="Amiri" w:cs="Amiri"/>
          <w:color w:val="111111"/>
          <w:sz w:val="28"/>
          <w:sz w:val="28"/>
          <w:szCs w:val="28"/>
          <w:rtl w:val="true"/>
          <w:lang w:bidi="ar-SA"/>
        </w:rPr>
        <w:t xml:space="preserve">إذا لم يكن حكم في الواقعة لا يعقل أن يحصل الظن به، ضرورة أن تحصيل الظن بالشيء فرعُ احتمال وجوده، ومع القطع بانتفائه كيف يحصل الظن به؟ مضافاً إلى لزوم تعدد المراد من الخطاب الواحد بالنسبة إلى المجتهدين المخالفين في الأدلة اللفظية </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4247320_2870459653"/>
      <w:bookmarkStart w:id="244" w:name="_Toc84"/>
      <w:bookmarkEnd w:id="243"/>
      <w:r>
        <w:rPr>
          <w:rtl w:val="true"/>
        </w:rPr>
        <w:t xml:space="preserve">[ </w:t>
      </w:r>
      <w:r>
        <w:rPr>
          <w:rtl w:val="true"/>
        </w:rPr>
        <w:t xml:space="preserve">أدلة التصويب </w:t>
      </w:r>
      <w:r>
        <w:rPr>
          <w:rtl w:val="true"/>
        </w:rPr>
        <w:t>]</w:t>
      </w:r>
      <w:bookmarkEnd w:id="244"/>
    </w:p>
    <w:p>
      <w:pPr>
        <w:pStyle w:val="BookText"/>
        <w:rPr/>
      </w:pPr>
      <w:r>
        <w:rPr>
          <w:rFonts w:ascii="Amiri" w:hAnsi="Amiri" w:eastAsia="Amiri" w:cs="Amiri"/>
          <w:color w:val="111111"/>
          <w:sz w:val="28"/>
          <w:sz w:val="28"/>
          <w:szCs w:val="28"/>
          <w:rtl w:val="true"/>
          <w:lang w:bidi="ar-SA"/>
        </w:rPr>
        <w:t>واحتجوا على التصويب بأنه لو كان حكم الله الواقعي واحداً ولا ريب أنه يجب على المخطئ العمل بمؤدى ظنه،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يجب عليه العمل بالحكم الواقعي أيضاً فيلزمُ اجتماع النقيضين، وإمّا لا يجب </w:t>
      </w:r>
      <w:r>
        <w:rPr>
          <w:rStyle w:val="FootnoteAnchor"/>
          <w:rtl w:val="true"/>
        </w:rPr>
        <w:footnoteReference w:id="585"/>
      </w:r>
      <w:r>
        <w:rPr>
          <w:rFonts w:ascii="Amiri" w:hAnsi="Amiri" w:eastAsia="Amiri" w:cs="Amiri"/>
          <w:color w:val="111111"/>
          <w:sz w:val="28"/>
          <w:sz w:val="28"/>
          <w:szCs w:val="28"/>
          <w:rtl w:val="true"/>
          <w:lang w:bidi="ar-SA"/>
        </w:rPr>
        <w:t>عليه العمل به فيلزمُ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العمل بالحكم الواقعي حينئذٍ، وهو غير مرتفع حتى يلزم النسخ، بل هو باق لكن تنجزه مشروط بالعلم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الظن من باب الكشف والمرآتية عن الواقع لا يلزمنا شيء سوى المعذورية؛ لأنَّا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بحرمة العصير العنبي ـ مثلاً ـ موجبٌ لإحداث مفسدة مقتضية لقبحه في الواقع حتى تكون حرمته في الواقع مستلزمة للتصويب في الحكم الأولي وحكمه في البطلان حال التصويب في الحكم الأولي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منا </w:t>
      </w:r>
      <w:r>
        <w:rPr>
          <w:rStyle w:val="FootnoteAnchor"/>
          <w:rtl w:val="true"/>
        </w:rPr>
        <w:footnoteReference w:id="586"/>
      </w:r>
      <w:r>
        <w:rPr>
          <w:rFonts w:ascii="IRNazanin" w:hAnsi="IRNazanin" w:eastAsia="IRNazanin"/>
          <w:color w:val="111111"/>
          <w:sz w:val="28"/>
          <w:sz w:val="28"/>
          <w:szCs w:val="28"/>
          <w:rtl w:val="true"/>
          <w:lang w:bidi="fa-IR"/>
        </w:rPr>
        <w:t>من ذهب إلى أن مظنون الحرمة في عرض الواقع وإنه حكم ثانوي شرعي، ويلزمه ما ذكرنا من التصويب في الحكم الواقعي الثانوي، وهو مستلزم للتصويب في الحكم الاولی لأنَّ العصیر العنی حینئذٍ من حیث هو فی حكمه الإباحة، ومن حيث الظن بحرمته حرام، ويلزم اجتماع النقيضين حينئذٍ مع أنَّه محال في ذاته؛ ضرورة أن الظن بالشيء متأخرٌ عنه ذاتاً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قاعدة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245" w:name="pg9229_140546"/>
    </w:p>
    <w:p>
      <w:pPr>
        <w:pStyle w:val="Heading2"/>
        <w:numPr>
          <w:ilvl w:val="1"/>
          <w:numId w:val="1"/>
        </w:numPr>
        <w:rPr/>
      </w:pPr>
      <w:bookmarkStart w:id="246" w:name="__RefHeading___Toc4247322_2870459653"/>
      <w:bookmarkStart w:id="247" w:name="_Toc85"/>
      <w:bookmarkEnd w:id="245"/>
      <w:bookmarkEnd w:id="246"/>
      <w:r>
        <w:rPr>
          <w:rtl w:val="true"/>
        </w:rPr>
        <w:t>خاتمة</w:t>
      </w:r>
      <w:bookmarkEnd w:id="247"/>
    </w:p>
    <w:p>
      <w:pPr>
        <w:pStyle w:val="BookText"/>
        <w:rPr/>
      </w:pPr>
      <w:r>
        <w:rPr>
          <w:rFonts w:ascii="Amiri" w:hAnsi="Amiri" w:eastAsia="Amiri" w:cs="Amiri"/>
          <w:color w:val="111111"/>
          <w:sz w:val="28"/>
          <w:sz w:val="28"/>
          <w:szCs w:val="28"/>
          <w:rtl w:val="true"/>
          <w:lang w:bidi="ar-SA"/>
        </w:rPr>
        <w:t>إنما يجب تجديد النظر على المجتهد في الأحكام التي زالت أدلتها عن نظره فلم يبقَ حتى الظن بأن هذا الاجتهاد هو حكم الله فعلاً؛ إذ لا يجوز التعويل على اجتهاده السابق الزائل؛ لأنَّ المطلوب من المكلف هو الواقع ، ولّما انسدَّ عليه باب العلم وبطل الاحتياط جعلَ ظن المجتهد حجةً وطريقاً إلى الواقع ، وقد ذهب ولم يبقَ له ظنٌ، بل هو الآن شاك بالنسبة إلى الواقع، وظنه بالسابق لا يثمر لهذا الزمان ولا يجري للاستصحاب؛ لأنَّ المستصحب إن كان جواز العمل فإمّا بالحكم الواقعي فهو من أول الأمر غير معلوم، وإما بالحكم الظاهري فالمفروض انتفاؤه؛ لأنَّ ظن المجتهد الزائل ولو كان حصل له العلم من الاجتهاد ثم ذهب العلم وظن بأن ما اجتهد فيه أولاً وحصل له العلم هو حكم الله في حجية هذا الظن الحاصل له إشكال من انه لم يحصل من الأدلة، ولا من الاجتهاد، فلا دليل على حجيته، ومن صدق أنه ظن المجتهد بأنه فعلاً هو حكم الله ، والأقرب عدم حجيته؛ لعدم حصوله من الأدلة الشرعية، ولو ظن بخلاف ما اجتهد سابقاً عند تجديده النظر، أو علم بخلاف ما اجتهد أولاً مع علمه بصحة اجتهاده الأول؛ إذ الاجتهاد الصحيح قد يكون موافقاً للواقع وقد يكون مخالفاً، وهنا إنما حصل الظن على خلافه أو العلم بخلاف ما اجتهده أولاً، وربما توقف في المسألة بعد تجديد النظر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في الفروض الثلاثة عدم جواز البقاء على مؤدى الاجتهاد الأول؛ لذهاب اعتقاده، فلا يجوز له ولا لمقلّديه العمل ؛ لذهاب الحجة وهو رأيه واعتقاده كما هو المفروض، ويجب عليه إعلام مقلّديه كما يجب على العالم إعلام الجاهل؛ لوجوب إرشاد القاصر وإعلامه حسبما دلت عليه الروايات وأمّا ترتيب الآثار على الأعمال الصادرة على طبق الفتوى الأولى بعد رجوع المجتهد عنها وعلم المقلّد بالرجوع عنها فلا ينبغي التأمل في عدم ترتيب شيء من ذلك في صورة القطع بخلاف الاجتهاد الأول، وأمّا مع الظن بالخلاف فالحقُ ذلك أيضاً في العبادات، فإن قاعدة الإجزاء لا تدل على سقوط الأمر الواقعي حتى لو تبين خلافه ظناً في الوقت، والإجماعُ أو العسر والحرج على صحة الأعمال السابقة لو أدى رأيه إلى خلافه في </w:t>
      </w:r>
    </w:p>
    <w:p>
      <w:pPr>
        <w:pStyle w:val="BookText"/>
        <w:rPr/>
      </w:pPr>
      <w:r>
        <w:rPr>
          <w:rFonts w:ascii="Amiri" w:hAnsi="Amiri" w:eastAsia="Amiri" w:cs="Amiri"/>
          <w:color w:val="111111"/>
          <w:sz w:val="28"/>
          <w:sz w:val="28"/>
          <w:szCs w:val="28"/>
          <w:rtl w:val="true"/>
          <w:lang w:bidi="ar-SA"/>
        </w:rPr>
        <w:t xml:space="preserve">الاجتهاد الثاني غيرُ متحقق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العسر والحرج في نقض الآثار السابقة المترتبة على صحة خصوص المعاملات والإيقاعات إلى حين تغيّر الرأي وبعده فيترتب آثار البطلان من حينه لا من رأسه</w:t>
      </w:r>
      <w:r>
        <w:rPr>
          <w:rFonts w:eastAsia="Amiri" w:cs="Amiri" w:ascii="Amiri" w:hAnsi="Amiri"/>
          <w:color w:val="111111"/>
          <w:sz w:val="28"/>
          <w:szCs w:val="28"/>
          <w:rtl w:val="true"/>
          <w:lang w:bidi="ar-SA"/>
        </w:rPr>
        <w:t xml:space="preserve">. </w:t>
      </w:r>
      <w:bookmarkStart w:id="248" w:name="pg9229_140550"/>
    </w:p>
    <w:p>
      <w:pPr>
        <w:pStyle w:val="Heading2"/>
        <w:numPr>
          <w:ilvl w:val="1"/>
          <w:numId w:val="1"/>
        </w:numPr>
        <w:rPr/>
      </w:pPr>
      <w:bookmarkStart w:id="249" w:name="__RefHeading___Toc4247324_2870459653"/>
      <w:bookmarkStart w:id="250" w:name="_Toc86"/>
      <w:bookmarkEnd w:id="248"/>
      <w:bookmarkEnd w:id="249"/>
      <w:r>
        <w:rPr>
          <w:rtl w:val="true"/>
        </w:rPr>
        <w:t>لامعةٌ في التقليد</w:t>
      </w:r>
      <w:bookmarkEnd w:id="250"/>
    </w:p>
    <w:p>
      <w:pPr>
        <w:pStyle w:val="BookText"/>
        <w:rPr/>
      </w:pPr>
      <w:r>
        <w:rPr>
          <w:rFonts w:ascii="IRNazanin" w:hAnsi="IRNazanin" w:eastAsia="IRNazanin"/>
          <w:color w:val="111111"/>
          <w:sz w:val="28"/>
          <w:sz w:val="28"/>
          <w:szCs w:val="28"/>
          <w:rtl w:val="true"/>
          <w:lang w:bidi="fa-IR"/>
        </w:rPr>
        <w:t>وهو أخذ فتوى المجتهد للعمل بها في الفروع الشرعية؛ لعجز غير المجتهد عن معرفة المراد من الخطابات الشرعية وعدم قدرته على استفراغ الوسع في معرفة المراد منها، وهو مكلف بالضرورة، فلو لم يرجع إلى المجتهد العارف بذلك لسد عليه باب العلم بما كلف مع أنَّ رجوع العامي إلى العالم فطري جبلّي من ضروريات العقل وفطرياته، وقد جاءت الأخبار عن أهل العصمة بالتصريح به بالخصوص کتوقيع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للعوام أن يقلدوه </w:t>
      </w:r>
      <w:r>
        <w:rPr>
          <w:rFonts w:eastAsia="IRNazanin" w:cs="IRNazanin"/>
          <w:color w:val="111111"/>
          <w:sz w:val="28"/>
          <w:szCs w:val="28"/>
          <w:rtl w:val="true"/>
          <w:lang w:bidi="fa-IR"/>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وكأمرهم بالإفتاء للعلماء بالحلال والحرام الملزوم لوجوب أخذ الناس ذلك تعبداً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الأخذ بمجامع الأخبار المتعلّقة في هذا الباب ـ ولو أخبار مدح الإفتاء بالحق وأخبار ذم الإفتاء بغير الحق وأمثال ذلك لا خصوص خبر أبان وأمر الإمام علیه السلام له بالجلوس بالمسجد وإفتاء الناس وأنه علیه السلام كان </w:t>
      </w:r>
      <w:r>
        <w:rPr>
          <w:rStyle w:val="FootnoteAnchor"/>
          <w:rtl w:val="true"/>
        </w:rPr>
        <w:footnoteReference w:id="588"/>
      </w:r>
      <w:r>
        <w:rPr>
          <w:rFonts w:ascii="Amiri" w:hAnsi="Amiri" w:eastAsia="Amiri" w:cs="Amiri"/>
          <w:color w:val="111111"/>
          <w:sz w:val="28"/>
          <w:sz w:val="28"/>
          <w:szCs w:val="28"/>
          <w:rtl w:val="true"/>
          <w:lang w:bidi="ar-SA"/>
        </w:rPr>
        <w:t>يحبّ أن يرى في شيعته مثل أبان ـ يفيد القطع بالأمر بالتقليد، وأنه طريق للعامي، وأن رأي المفتي حجة للمقلّد، والأخبارُ المستفاد منها ذم التقليد إنما أُريد منها تقليد الجاهل، والتقليد في أصول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وجوب التقليد مقدمي لا نفسي، بل هو مقدمة لتحصيل الواقع ولأجل العمل؛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علمتَ لأن تعمل</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1" w:name="__RefHeading___Toc4247326_2870459653"/>
      <w:bookmarkStart w:id="252" w:name="_Toc87"/>
      <w:bookmarkEnd w:id="251"/>
      <w:r>
        <w:rPr>
          <w:rtl w:val="true"/>
        </w:rPr>
        <w:t>بقي هنا مسائل</w:t>
      </w:r>
      <w:bookmarkEnd w:id="25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تقليد الأعلم عند اختلافهم؛ لأنَّه المتيقن وغيره مشكوك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يجوّز الأعلم الرجوع إلى غيره، والأصل عدم جواز تقديم المفضول، ولا إطلاق في أدلة التقليد عند التأمل فيها ، فإنها في مقام تشريعه وجوازه ولا نظر لها إلى ذلك وأمثاله، </w:t>
      </w:r>
    </w:p>
    <w:p>
      <w:pPr>
        <w:pStyle w:val="BookText"/>
        <w:rPr/>
      </w:pPr>
      <w:r>
        <w:rPr>
          <w:rFonts w:ascii="Amiri" w:hAnsi="Amiri" w:eastAsia="Amiri" w:cs="Amiri"/>
          <w:color w:val="111111"/>
          <w:sz w:val="28"/>
          <w:sz w:val="28"/>
          <w:szCs w:val="28"/>
          <w:rtl w:val="true"/>
          <w:lang w:bidi="ar-SA"/>
        </w:rPr>
        <w:t xml:space="preserve">بل العقل والنقل يمنعان من ترك الطريق الذي هو أقرب إلى الواقع والأخذ بغيره، ورأي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الأسّد والأمهر في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فيه، فهو المتعين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حياة المفتي في ابتداء التقليد واستمراره؛ لأنَّ الحجة للمقلّد ليس قول المجتهد، بل إنما هو رأيه واعتقاده الذي هو بمنزلة اعتقاد المقلّد، وكذلك يكون شكّه أيضاً حجةً له كما إذا شك في أنَّ المذي ناقض للوضوء أم لا، حيث يستصحب ويفتي المقلَّد بأن المذي غير ناقض مع أنَّه غير شاك فيه، وكما لو شك في نجاسة الماء القليل بالملاقاة للنجاسة واستصحب الطهارة فيفتي المقلَّد بأنه لا ينجس مع أنَّه قد لا يكون شاكاً ولا ملتفتاً، وقائم مقامه والذي هو حجة للمقلَّد هو رأيه واعتقاده الذاهب بموته  فهو نائب عن المقلَّد وقائم وجنونه أو صار عامياً وأمثال ذلك مما يوجب خروجه عن أهلية الاجتهاد والعمل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هو حجة للمجتهد هو حجة للمقلد أيضاً، والحجة له رأيه واعتقاده لا غير فكذا للمقلّد ، وليس الاجتهاد من قبيل الخبر؛ إذ الحجة في الخبر هو قول المخبر؛ ولذا كانت الشرائط المعتبرة فيه حال الأخبار والرواية لا حال التحمل ولا ما بعد الإخبار، وكذا الشرائط في الشاهد إنما اعتبرت حال أداء الشهادة لا بعدها، وهذا بخلاف شرائط الاجتهاد فإنها شرط للعمل برأيه حين العمل إجماعاً </w:t>
      </w:r>
      <w:r>
        <w:rPr>
          <w:rStyle w:val="FootnoteAnchor"/>
          <w:rtl w:val="true"/>
        </w:rPr>
        <w:footnoteReference w:id="590"/>
      </w:r>
      <w:r>
        <w:rPr>
          <w:rFonts w:ascii="Amiri" w:hAnsi="Amiri" w:eastAsia="Amiri" w:cs="Amiri"/>
          <w:color w:val="111111"/>
          <w:sz w:val="28"/>
          <w:sz w:val="28"/>
          <w:szCs w:val="28"/>
          <w:rtl w:val="true"/>
          <w:lang w:bidi="ar-SA"/>
        </w:rPr>
        <w:t xml:space="preserve">في الجملة؛ ولذا لا يجوز التقليد لو سمع المقلّد الفتوى من المجتهد ولكن لم يعمل بها حتى فسق المجتهد، أو جنّ، أو مات، فلا يجوز العمل حينئذ بدواً إجماعاً </w:t>
      </w:r>
      <w:r>
        <w:rPr>
          <w:rStyle w:val="FootnoteAnchor"/>
          <w:rtl w:val="true"/>
        </w:rPr>
        <w:footnoteReference w:id="591"/>
      </w:r>
      <w:r>
        <w:rPr>
          <w:rFonts w:ascii="Amiri" w:hAnsi="Amiri" w:eastAsia="Amiri" w:cs="Amiri"/>
          <w:color w:val="111111"/>
          <w:sz w:val="28"/>
          <w:sz w:val="28"/>
          <w:szCs w:val="28"/>
          <w:rtl w:val="true"/>
          <w:lang w:bidi="ar-SA"/>
        </w:rPr>
        <w:t>، ولو كان مثل الخبر والحجة هو قول المجتهد لجاز العمل هنا أيضاً كالخبر ، فهذا يكشف عن أن الحجة هو أن الحجة هو اعتقاد المجتهد ورأيه والمفروض ذهابه؛ ضرورة ذهاب الظنون الاجتهادية بالموت؛ لأنها مودعة في الدماغ لا قائمة بالنفس الناطقة كالاعتقادات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القوة الذاكرة تذهب بالموت فيذهب ما أدركت النفس، ولا ينافي </w:t>
      </w:r>
    </w:p>
    <w:p>
      <w:pPr>
        <w:pStyle w:val="BookText"/>
        <w:rPr/>
      </w:pPr>
      <w:r>
        <w:rPr>
          <w:rFonts w:ascii="Amiri" w:hAnsi="Amiri" w:eastAsia="Amiri" w:cs="Amiri"/>
          <w:color w:val="111111"/>
          <w:sz w:val="28"/>
          <w:sz w:val="28"/>
          <w:szCs w:val="28"/>
          <w:rtl w:val="true"/>
          <w:lang w:bidi="ar-SA"/>
        </w:rPr>
        <w:t xml:space="preserve">ذلك كون النفس مدركة بعد الموت؛ إذ هو حينئذٍ في عالم التجرّد، فيحصل اعتقادات موافقة لِما أدركته النفس حال تعلّقها بهذا البدن أو مخالفة؛ لأنَّ ذلك إدراك بعد الموت حصل لها بغير توسط القوى، والظنون الاجتهادية إنما حصلها بتوسط هذه القوى؛ ولذا كان مذهب الفحول عدم جواز تقليد الميت  </w:t>
      </w:r>
      <w:r>
        <w:rPr>
          <w:rStyle w:val="FootnoteAnchor"/>
          <w:rtl w:val="true"/>
        </w:rPr>
        <w:footnoteReference w:id="592"/>
      </w:r>
      <w:r>
        <w:rPr>
          <w:rFonts w:ascii="Amiri" w:hAnsi="Amiri" w:eastAsia="Amiri" w:cs="Amiri"/>
          <w:color w:val="111111"/>
          <w:sz w:val="28"/>
          <w:sz w:val="28"/>
          <w:szCs w:val="28"/>
          <w:rtl w:val="true"/>
          <w:lang w:bidi="ar-SA"/>
        </w:rPr>
        <w:t>لأنَّ الذي دل عليه الأدلة من الإجماع والأخبار الدالة على الإفتاء والاستفتاء إنما دل على حجية هذا الإدراك الحاصل للنفس حال حياته وتعلّقها بهذا البدن ولم يثبت أزيد من تقليد الحي، والموضوع الذي ثبت تقليده هو شخص الحي، ولا يثبت بالاستصحاب جواز تقليده بعد الموت؛ لأنه موضوع آخر غير الموضوع الأول، بمعنى أن الموضوع غير معلوم والشك هنا في موضوعية الباقي، إذ ما ثبت جواز تقليده أولاً ارتفع قطعاً بالموت؛ لعدم بقاء الرأي معه فإنه متقوّم بالحياة، فلا موضوع بعد الموت كما لو تبدل الرأي وارتفع بالجنون، والموضوع شرعاً شخص الحي، وما بقي لم يعلم من أول الأمر جواز تقليده؛ لأنَّ أقصى ما دلت عليه الأدلة جواز تقليد الحي، بل ظهر بما ذكرنا أنه لو علم بقاء الإدراك لا يمكن إثبات جواز التقليد بالاستصحاب؛ إذ موضوع الجواز هو الحي لا النفس المدركة مطلقاً، فلوصف الحياة مدخليةٌ في أصل جواز التقليد وفي الاستمرار عليه بمعنى أن الموضوع هو الشخص الموصوف بوصف كونه حياً، ولا أقل من الشك في أنَّ الموضوع هو الذات بوصف الحياة أم الذات المطلق، فإن كان الموضوع هو الأول لا يجري الاستصحاب، بل نقطع بالعدم، وإن كان الثاني نقطع بالجواز ، وفي صورة الشك لا يجري الاستصحاب؛ إذ لا نعلم أن جواز التقليد كان ثابتاً للذات حتى نثبته له بعد الموت، بل محتمل قريباً أن يكون ثابتاً للذات الموصوفة بالحياة فلا يثبت الاستصحاب الموضوع آخر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واحتجوا أيضاً على جواز البقاء على تقليد الميت أو وجوبه بوجوه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الحوادث الواقعة فارجعوا فيها إلى رواة أحاديثنا فإنهم حجتي </w:t>
      </w:r>
    </w:p>
    <w:p>
      <w:pPr>
        <w:pStyle w:val="BookText"/>
        <w:rPr/>
      </w:pPr>
      <w:r>
        <w:rPr>
          <w:rFonts w:ascii="Amiri" w:hAnsi="Amiri" w:eastAsia="Amiri" w:cs="Amiri"/>
          <w:color w:val="111111"/>
          <w:sz w:val="28"/>
          <w:sz w:val="28"/>
          <w:szCs w:val="28"/>
          <w:rtl w:val="true"/>
          <w:lang w:bidi="ar-SA"/>
        </w:rPr>
        <w:t>عليكم، وأنا حجة الله عليهم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يدل على الرجوع إلى الرواة من حيث الرواية كما عرفته في مقبولة عمر ابن حنظلة وكان هو المتعارف في ذلك الزمان إلى زمان الشيخ حسبما صرّح به الشيخ في أول المبسوط ، فراجع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ربط له بأخذ الرأي والفتوى من المجتهد أصلاً حتى يتمسك بإطلاقها الشامل للحياة وبعد الموت،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تصديقهم في الرواية وأخذها طريقاً وحجة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التقليد، وقد عرفت عدم الإطلاق، وأن المنساق فيها خصوص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حصر دليل التقليد بدليل الانسداد، ومقتضاه جواز تقليد الميت كالحي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على ذلك لا تحصى كما عرفت وليس المقام حينئذٌ من الانسداد في شيء، بل الباب فيه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السيرة على البقاء على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العلم لا يعرفون قائلاً به، ولا عاملاً من الشيعة به قبل هؤلاء المتأخرين من الأخبارية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فروع التقليد وما يقلد فيه فقد استقصيتها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الفروع الدينية في فقه الإمامية</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حرّره مؤلّفه العبد الراجي فضل ربه ذي المنن ابن السيد </w:t>
      </w:r>
    </w:p>
    <w:p>
      <w:pPr>
        <w:pStyle w:val="BookText"/>
        <w:rPr/>
      </w:pPr>
      <w:r>
        <w:rPr>
          <w:rFonts w:ascii="Amiri" w:hAnsi="Amiri" w:eastAsia="Amiri" w:cs="Amiri"/>
          <w:color w:val="111111"/>
          <w:sz w:val="28"/>
          <w:sz w:val="28"/>
          <w:szCs w:val="28"/>
          <w:rtl w:val="true"/>
          <w:lang w:bidi="ar-SA"/>
        </w:rPr>
        <w:t xml:space="preserve">العلّامة الهادي أبو محمد الحسن الشهير بالسيد حسن صدر الدين الموسوي الكاظمي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تم بحمد الله تعالى ومنه الفراغ من تحقيقه يوم استشهاد الإمام موسى بن جعفر علیه السلام الخامس والعشرين من شهر رجب الأصب من سنة </w:t>
      </w:r>
      <w:r>
        <w:rPr>
          <w:rFonts w:ascii="IRNazanin" w:hAnsi="IRNazanin" w:eastAsia="IRNazanin"/>
          <w:color w:val="111111"/>
          <w:sz w:val="28"/>
          <w:sz w:val="28"/>
          <w:szCs w:val="28"/>
          <w:lang w:bidi="fa-IR"/>
        </w:rPr>
        <w:t>١٤٤١</w:t>
      </w:r>
      <w:r>
        <w:rPr>
          <w:rFonts w:ascii="IRNazanin" w:hAnsi="IRNazanin" w:eastAsia="IRNazanin"/>
          <w:color w:val="111111"/>
          <w:sz w:val="28"/>
          <w:sz w:val="28"/>
          <w:szCs w:val="28"/>
          <w:rtl w:val="true"/>
          <w:lang w:bidi="fa-IR"/>
        </w:rPr>
        <w:t xml:space="preserve"> هـ، وقد ابتلي العالم بوباء خطير وقفت معه الأساطيل والجيوش عاجزة وانتفت قدرة الأرض وبقيت قدرة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انتهى بي استنساخ هذه النسخة الشريفة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 حضرة الإمام العلّامة سيد المجتهدين وأستاذ المحدثين جمال السالكين وواحد الأنام سيدنا السيد حسن صدر الدين أدام الله للمسلمين أيام إفاداته، بيد أقل السادات أحمد ابن سلطان علي الحسيني المرعشي الشوشتري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 يوم الرابع عشر شهر جمادى الأولى من شهور سنة من الهجرة النبوية</w:t>
      </w:r>
      <w:r>
        <w:rPr>
          <w:rFonts w:eastAsia="Amiri" w:cs="Amiri" w:ascii="Amiri" w:hAnsi="Amiri"/>
          <w:color w:val="111111"/>
          <w:sz w:val="28"/>
          <w:szCs w:val="28"/>
          <w:rtl w:val="true"/>
          <w:lang w:bidi="ar-SA"/>
        </w:rPr>
        <w:t>.</w:t>
      </w:r>
      <w:bookmarkStart w:id="253" w:name="pg9229_140560"/>
    </w:p>
    <w:p>
      <w:pPr>
        <w:pStyle w:val="Heading2"/>
        <w:numPr>
          <w:ilvl w:val="1"/>
          <w:numId w:val="1"/>
        </w:numPr>
        <w:rPr/>
      </w:pPr>
      <w:bookmarkStart w:id="254" w:name="__RefHeading___Toc4247328_2870459653"/>
      <w:bookmarkStart w:id="255" w:name="_Toc88"/>
      <w:bookmarkEnd w:id="253"/>
      <w:bookmarkEnd w:id="254"/>
      <w:r>
        <w:rPr>
          <w:rtl w:val="true"/>
        </w:rPr>
        <w:t>مصادر الكتاب</w:t>
      </w:r>
      <w:bookmarkEnd w:id="25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p>
    <w:p>
      <w:pPr>
        <w:pStyle w:val="BookText"/>
        <w:rPr/>
      </w:pPr>
      <w:r>
        <w:rPr>
          <w:rFonts w:ascii="Amiri" w:hAnsi="Amiri" w:eastAsia="Amiri" w:cs="Amiri"/>
          <w:color w:val="111111"/>
          <w:sz w:val="28"/>
          <w:sz w:val="28"/>
          <w:szCs w:val="28"/>
          <w:rtl w:val="true"/>
          <w:lang w:bidi="ar-SA"/>
        </w:rPr>
        <w:t xml:space="preserve">النجاشي، أبو العباس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٤٥٠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السيد موسى الشبيري الزنجاني،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تاريخ النشر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١٤١٦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القمي، الميرزا أبو القاسم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المحكمة في الأصول، شرحه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حسين صبح،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الطبعة الأولى،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حزم،الحافظ أبو محمد علي الطاهري الاندلسي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٤٥٦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في أصول الأحكام،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قوبلت على نسخة أشرف على طبعها الأستاذ العلّامة أحمد شاكر رحمه الله،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علي يوسف، مطبعة العاصمة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في الملل والأهواء والنحل، الطبعة 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الأدبية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المقدس الأردبيلي ، المولى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٩٣٣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آقا مجتبى العراقي والحاج شيخ علي پناه الاشتهاردي والحاج آقا حسين اليزدي الأصفهاني بقم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قم المشرفة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الجصاص، الإمام أحمد بن علي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 عجيل جاسم النمشي،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تاريخ النشر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البرقي، أحمد بن محمد بن خالد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جلال الدين الحسنی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النشر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٣٩٣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سنة الطبع</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إسماعيل بن حمادت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 الطبعة الرابعة، سنة الطبع</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إدريس الحلي،جعفر بن محمد بن منصور بن أحمد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٥٩٨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الحاوي لتحرير الفتاوي،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الغطاء، جعفرت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 عن مبهمات الشريعة الغرّاء،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التبريزيان، محمد رضا ،الذاكري عبد الحليم الحلي،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هـ،الناشر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النشر التابع مكتب الإعلام الإسلامي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الحلي، نجم الدين أبي القاسم جعفر بن الحسن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في شرح المختصر، حققه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الأفاضل تحت إشراف آية الله ناصر مكارم الشيرازي، منشورات مؤسسة سيد الشهداءعلیه السلام  ، قم إيران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w:t>
      </w:r>
    </w:p>
    <w:p>
      <w:pPr>
        <w:pStyle w:val="BookText"/>
        <w:rPr/>
      </w:pPr>
      <w:r>
        <w:rPr>
          <w:rFonts w:ascii="IRNazanin" w:hAnsi="IRNazanin" w:eastAsia="IRNazanin"/>
          <w:color w:val="111111"/>
          <w:sz w:val="28"/>
          <w:sz w:val="28"/>
          <w:szCs w:val="28"/>
          <w:rtl w:val="true"/>
          <w:lang w:bidi="fa-IR"/>
        </w:rPr>
        <w:t xml:space="preserve">أمير المؤمنين علیه السلام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الشهداءعلیه السلام تاريخ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١٣٦٤</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الأصول،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الرضوي، الطبعة الأولى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١٤٠٣</w:t>
      </w:r>
      <w:r>
        <w:rPr>
          <w:rFonts w:ascii="IRNazanin" w:hAnsi="IRNazanin" w:eastAsia="IRNazanin"/>
          <w:color w:val="111111"/>
          <w:sz w:val="28"/>
          <w:sz w:val="28"/>
          <w:szCs w:val="28"/>
          <w:rtl w:val="true"/>
          <w:lang w:bidi="fa-IR"/>
        </w:rPr>
        <w:t>هـ،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للطباعة والنشر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نجل الشهيد الثاني ،الشيخ حسن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وملاذ المجتهدين،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الثالثة عشر، تاريخ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الحلي، جمال الدين الحسن بن سديد الدين يوسف بن زين الدين بن المطهر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الشيعة، تحقيق مؤسسة النشر الإسلامي، الطبعة الثانية،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هـ،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الوصول الى علم الأصول،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لإحياء التراث، الطبعة</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١٤٣١</w:t>
      </w:r>
      <w:r>
        <w:rPr>
          <w:rFonts w:ascii="IRNazanin" w:hAnsi="IRNazanin" w:eastAsia="IRNazanin"/>
          <w:color w:val="111111"/>
          <w:sz w:val="28"/>
          <w:sz w:val="28"/>
          <w:szCs w:val="28"/>
          <w:rtl w:val="true"/>
          <w:lang w:bidi="fa-IR"/>
        </w:rPr>
        <w:t>هـ،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 الى علم الأصول،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البقال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طباعة وتصحيف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مكتب الإعلام الإسلامي، سنة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في شرح تجريد الاعتقاد،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آية الله الشيخ حسن حسن زادة الآملي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المنقحة،التاريخ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 الى علم الأصول،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الناصري،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القربي،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اللوامع الحسنية في الأصول الفقهية </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٢٠٠٥</w:t>
      </w:r>
      <w:r>
        <w:rPr>
          <w:rFonts w:ascii="Amiri" w:hAnsi="Amiri" w:eastAsia="Amiri" w:cs="Amiri"/>
          <w:color w:val="111111"/>
          <w:sz w:val="28"/>
          <w:sz w:val="28"/>
          <w:szCs w:val="28"/>
          <w:rtl w:val="true"/>
          <w:lang w:bidi="ar-SA"/>
        </w:rPr>
        <w:t>م ،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الرشتي، الميرزا حبيب الله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الأفكار، مؤسسة ال ابيت عليه السلام لإحياء التراث</w:t>
      </w:r>
    </w:p>
    <w:p>
      <w:pPr>
        <w:pStyle w:val="BookText"/>
        <w:rPr/>
      </w:pPr>
      <w:r>
        <w:rPr>
          <w:rFonts w:ascii="IRNazanin" w:hAnsi="IRNazanin" w:eastAsia="IRNazanin"/>
          <w:color w:val="111111"/>
          <w:sz w:val="28"/>
          <w:sz w:val="28"/>
          <w:szCs w:val="28"/>
          <w:rtl w:val="true"/>
          <w:lang w:bidi="fa-IR"/>
        </w:rPr>
        <w:t xml:space="preserve">سلطان العلماء، حسن بن محمد 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١٠٦٢</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السلطان على معالم الدين تصحيح الأستاذ علي محمدي، الناشر دار الفكر،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١٣٧٤</w:t>
      </w:r>
      <w:r>
        <w:rPr>
          <w:rFonts w:ascii="Amiri" w:hAnsi="Amiri" w:eastAsia="Amiri" w:cs="Amiri"/>
          <w:color w:val="111111"/>
          <w:sz w:val="28"/>
          <w:sz w:val="28"/>
          <w:szCs w:val="28"/>
          <w:rtl w:val="true"/>
          <w:lang w:bidi="ar-SA"/>
        </w:rPr>
        <w:t>هـ،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الميرزا ،النوري، حسين بن محمد تقي بن علي محمد الطبرسي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 الميرزا النوري،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المحققة الأولى، تاريخ النشر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١٤٠٨</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الفراهيدي،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المخزومي، الدكتور إبراهيم السامرائي،الطبعة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تاريخ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ثقة الإسلام محمد بن يعقوب بن إسحاق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٣٢٨</w:t>
      </w:r>
      <w:r>
        <w:rPr>
          <w:rFonts w:ascii="Amiri" w:hAnsi="Amiri" w:eastAsia="Amiri" w:cs="Amiri"/>
          <w:color w:val="111111"/>
          <w:sz w:val="28"/>
          <w:sz w:val="28"/>
          <w:szCs w:val="28"/>
          <w:rtl w:val="true"/>
          <w:lang w:bidi="ar-SA"/>
        </w:rPr>
        <w:t xml:space="preserve">هـ أو </w:t>
      </w: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مع تعليقات نافعة مأخوذة من عدة شروح،صححه و علق علی أکبر الغفاري،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١٣٦٣</w:t>
      </w:r>
      <w:r>
        <w:rPr>
          <w:rFonts w:ascii="IRNazanin" w:hAnsi="IRNazanin" w:eastAsia="IRNazanin"/>
          <w:color w:val="111111"/>
          <w:sz w:val="28"/>
          <w:sz w:val="28"/>
          <w:szCs w:val="28"/>
          <w:rtl w:val="true"/>
          <w:lang w:bidi="fa-IR"/>
        </w:rPr>
        <w:t xml:space="preserve">هـ،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أبو جعفر محمد بن علي بن الحسين بن بأبويه القمي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حققه وعلّق عليه حسن الموسوي الخرسان،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تاريخ النشر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هـ،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هاشم الحسيني الطهراني،الناشر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قم المقدسة، سنة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محمد بن محمد النعمان ابن المعلم العكّبري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أصول الفقه،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،نجف، الطبعة الثانية، 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هـ، طبع ونشر وتوزيع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مير شريفي، 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المرتضى ، علم الهدى علي بن الحسين الموسوي ت </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المرتضى،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تصحيح وتقديم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گرجي، تاريخ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 شيخ الطائفة أبي جعفر محمد بن الحسن 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٤٦٠</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نهض بمشروعه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فيما اختلف من الأخبار،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تاريخ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١٣٦٣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المحققين،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في أصول الفقه،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الأنصاري القمي،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هـ،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 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قـم</w:t>
      </w:r>
    </w:p>
    <w:p>
      <w:pPr>
        <w:pStyle w:val="BookText"/>
        <w:rPr/>
      </w:pPr>
      <w:r>
        <w:rPr>
          <w:rFonts w:ascii="Amiri" w:hAnsi="Amiri" w:eastAsia="Amiri" w:cs="Amiri"/>
          <w:color w:val="111111"/>
          <w:sz w:val="28"/>
          <w:sz w:val="28"/>
          <w:szCs w:val="28"/>
          <w:rtl w:val="true"/>
          <w:lang w:bidi="ar-SA"/>
        </w:rPr>
        <w:t>الشهيد الأول، محمد بن جمال الدين مكي العاملي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في أحكام الشريعة،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تاريخ النشر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١٤١٩</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ـ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والفوائد،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إحياء التراث الإسلامي،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العالي للعلوم والثقافة الإسلامية، الطبعة الثانية، تاريخ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الثاني الشيخ زين الدين ابن مكي العاملي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٩٦٥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فرع خراسان الرضوي،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بوستان كتاب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سنة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البهائي، بهاء الدين محمد بن الحسين بن عبد الصمد الحائري الهمداني العاملي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زبدة الأصول،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عبد الله بن محمد البشروي الخراساني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١٠٧١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الرضوي ،الكشميري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النراقي، المولى محمد مهدي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١٢٠٩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المجتهدين ،تحقيق مركز العلوم والثقافة الإسلامية، مركز إحياء التراث الإسلامي،الناشر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بوستان كتاب، الطبعة الأولى، 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 العاملي، الفقيه المحدّث محمد بن الحسن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٤٦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 إلى تحصيل مسائل الشريعة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تاريخ النشر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الشريف الجرجاني، السيد علي بن محمد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٨١٦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التعريفات، مكتبة لبنان، طبعة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العضد الايجي، عبد الرحمن بن أحمد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شرح العضد على مختصر المنتهى الأصولي، ضبطه ووضع حواشيه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فادي نصیف طرق يحيى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الطبعة الأولى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١٤٢١</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 تحقيق عبد الرحمن عميرة،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الجبل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ابي جمهور الاحسائي، محمد بن علي بن إبراهيم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مجتبی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 اللآلي،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 الدين المرعشي النجفي، تحقيق الحاج آقا مجتبـی العراقي،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سنة الطبع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١٤٠٣</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الشهداء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الغزالي ،أبي حامد محمد بن محمد بن محمد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السلام عبد الشافي ،تاريخ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المنخول، حققه وخرج نصه وعلق عليه الدكتور محمد حسن هيتو،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الاصفهاني، محمد تقي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 المسترشدين،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الثانية،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الحائري محمد حسين بن عبد الرحيم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١٢٦١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الغروية في الأصول الفقهية،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العلوم الإسلامية، سنة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الأنصاري، مرتضى بن محمد امین 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 ، المطبعة 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٥٦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تحقيق تراث الشيخ الأعظم،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٥٧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الأصولية،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غفاريو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الطبعة ،الاولى،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الكلانتري، الميرزا أبو القاسم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١٢٩٢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مطارح الأنظار، تحقيق مجمع الفكر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تاريخ الطبع</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١٤٢٥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الآخوند الخراساني، محمد كاظم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الشيخ عباس علي الزارعي السبزواري،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١٤٢٧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٦٠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 في الحاشية على الفرائد، مؤسسة الطبع والنشر التابعة لوزارة الثقافة والإرشاد الإسلامي،الطبعة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ذخيرة في دليل الانسداد،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الجعفري،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تراث سامراء،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١٤٤١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الوحيد البهبهاني، محمد باقر بن محمد أكمل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مجمع الفكر الإسلامي،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الطبعة الثالثة،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١٤٣٦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الكرباسي، محمد إبراهيم بن محمد حسن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١٢٦١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إشارات الأصول، مكتبة أهل البيت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الموسوي القزويني ،محمد إبراهيم محمد باقرت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١٢٦٢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الأصول،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١٤٣٩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منظور، محمد بن مکرم بن علي 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طباعة ونشر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فخر الدين محمد بن عمر بن الحسين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 في علم أصول الفقه،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طه جابر فياض العلواني،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تأريخ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١٤١٢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القزويني، السيد علي الموسوي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على معالم الأصول،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الكاظمي، الشيخ محمد علي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١٣٦٥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بحث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١٤٢٩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الآمدي، علي بن محمدت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عفيفي،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تاريخ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١٤٠٢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الحاجب، جمال الدين عثمان بن عمر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٦٤٦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منتهى الأصول، ضبطه ووضع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فادي نصيف وطارق يحيى، منشورات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جني، أبو الفتح عثمان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ههنداوي،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الصدر، السيد صدر الدین محمد بن محمد باقرت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عشر الستين بعد المائة والالف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الوافية،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الكاظمي،محسن بن الحسن بن مرتضى الاعرجي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١٢٢٧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 في علم الأصول،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الشيخ طه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المرتضى لإحياء التراث والبحوث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١٤٣٧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السبزواري، المحقق المولى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مقدمة الواجب المطبوعة في ضمن مجموعة رسائل، مكتبة اهل البيت علیه السلام الالكترونية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الحائري، عبد الكريم اليزدي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الأراكي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مؤمن القمي،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الكركي، علي بن حسين بن علي بن محمد بن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٩٤٠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لإحياء التراث، سنة الطبع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١٤٠٨</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الفشاركي، السيد محمد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١٣١٦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الفشاركي،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البصري، محمد بن علي بن الطيب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في أصول الفقه،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حميد عبد الله بتعاون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بكر، حسن حنفي، العهد العلمي الفرنسي للدراسات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الروزدري، المولى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ascii="Amiri" w:hAnsi="Amiri" w:eastAsia="Amiri" w:cs="Amiri"/>
          <w:color w:val="111111"/>
          <w:sz w:val="28"/>
          <w:sz w:val="28"/>
          <w:szCs w:val="28"/>
          <w:lang w:bidi="ar-SA"/>
        </w:rPr>
        <w:t>۱۲۹۰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آية الله المجدد الشيرازي،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 السلام  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١٤٠٩</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الخوانساري، المحقق حسين بن جمال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۱۰۹۹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مشارق الشموس،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لإحياء التراث،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الخطيب البغدادي، الإمام الحافظ أبي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۱۹۹٧</w:t>
      </w:r>
      <w:r>
        <w:rPr>
          <w:rFonts w:ascii="Amiri" w:hAnsi="Amiri" w:eastAsia="Amiri" w:cs="Amiri"/>
          <w:color w:val="111111"/>
          <w:sz w:val="28"/>
          <w:sz w:val="28"/>
          <w:szCs w:val="28"/>
          <w:rtl w:val="true"/>
          <w:lang w:bidi="ar-SA"/>
        </w:rPr>
        <w:t xml:space="preserve">م،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المجاهد السيد محمد بن علي الكربلائي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١٢٤٢</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الأصول،مكتبة أهل البيت علیه السلام الالكترونية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الأسنوي، عبد الرحيم بن الحسن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في تخريج الفروع على الأصول،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حسن هيتو،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١٤٠١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الرسالة،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الخطاب، محفوظ بن أحمد بن الحسن الكلوذاني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٤٣٢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في أصول الفقه،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 مفيد محمد أبو عمشة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المني للطباعة والنشر، الطبعة الأولى،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المقداد السيوري، المقداد ابن عبد الله بن محمد الحلي الأسدي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الطالبين إلى نهج المسترشدين،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سماحة آية الله العظمى المرعشي النجفي الكبرى،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١٤٣٣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السرخسي، أبو بكر محمد بن أحمد بن أبي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٤٩٠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السرخسي،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الوفا الأفغاني،الطبعة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الطريحي،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١٠٨٥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تاريخ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الاسترآبادي، محمد أمين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المدنية والشواهد المكية،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رحمة الله الرحمتي الأراكي، 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منتصف شعبان المعظم </w:t>
      </w:r>
      <w:r>
        <w:rPr>
          <w:rFonts w:ascii="Amiri" w:hAnsi="Amiri" w:eastAsia="Amiri" w:cs="Amiri"/>
          <w:color w:val="111111"/>
          <w:sz w:val="28"/>
          <w:sz w:val="28"/>
          <w:szCs w:val="28"/>
          <w:lang w:bidi="ar-SA"/>
        </w:rPr>
        <w:t>١٤٢٤</w:t>
      </w:r>
      <w:r>
        <w:rPr>
          <w:rFonts w:ascii="Amiri" w:hAnsi="Amiri" w:eastAsia="Amiri" w:cs="Amiri"/>
          <w:color w:val="111111"/>
          <w:sz w:val="28"/>
          <w:sz w:val="28"/>
          <w:szCs w:val="28"/>
          <w:rtl w:val="true"/>
          <w:lang w:bidi="ar-SA"/>
        </w:rPr>
        <w:t xml:space="preserve">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الآبي، زين الدين أبي علي الحسن بن أبي طالب ابن أبي المجد اليوسفي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٦٩٠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الرموز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پناه الاشتهاردي، الحاج آغا حسين اليزدي،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تاريخ النشر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١٤٠٨</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النشر الإسلامي التابعة لجماعة المدرّسين بقم المشرفة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المتقي بن حسام الدين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 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سنة الطبع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١٩٠٤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البحراني الشيخ يوسف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في أحكام العترة الطاهرة، مؤسسة النشر الإسلامي التابعة لجماعة المدرّسين في قم المشرفة، قام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الآخوندي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السيد محمد بن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١٠٠٩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الأحكام،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لإحياء التراث – مشهد المقدسة،الطبعة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الأولى،تاريخ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ascii="IRNazanin" w:hAnsi="IRNazanin" w:eastAsia="IRNazanin"/>
          <w:color w:val="111111"/>
          <w:sz w:val="28"/>
          <w:sz w:val="28"/>
          <w:szCs w:val="28"/>
          <w:lang w:bidi="fa-IR"/>
        </w:rPr>
        <w:t>١٤١٠</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قدامة، أبو محمد عبد الله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٦٢٠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 مكتبة اهل البيت علیه السلام الإلكترونية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اللوامع الحسنية في الأصول الفقهية </w:t>
      </w:r>
    </w:p>
    <w:p>
      <w:pPr>
        <w:pStyle w:val="BookText"/>
        <w:rPr/>
      </w:pPr>
      <w:r>
        <w:rPr>
          <w:rFonts w:ascii="Amiri" w:hAnsi="Amiri" w:eastAsia="Amiri" w:cs="Amiri"/>
          <w:color w:val="111111"/>
          <w:sz w:val="28"/>
          <w:sz w:val="28"/>
          <w:szCs w:val="28"/>
          <w:rtl w:val="true"/>
          <w:lang w:bidi="ar-SA"/>
        </w:rPr>
        <w:t xml:space="preserve">النووي، أبو زكريا محيي الدين بن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مكتبة اهل البيت علیه السلام الالكترونية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الفيض الكاشاني، المولى محمد محسن بن مرتضی ابن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الاصيلة،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بطبعه ونشره وتصحيحه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الحسيني الأرموي المحدث، 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الشوكاني،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١٢٥٠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الفحول ،تحقيق سامي بن العربي الأثري،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سينا الحسين بن عبد الله ،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٤٢٨</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القانون في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قديمة،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الأنطاكي داود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۱۰۰۸</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أولى الألباب والجامع للعجب العجاب،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قديمة،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bookmarkStart w:id="256" w:name="pg9229_140591"/>
    </w:p>
    <w:p>
      <w:pPr>
        <w:pStyle w:val="Heading2"/>
        <w:numPr>
          <w:ilvl w:val="1"/>
          <w:numId w:val="1"/>
        </w:numPr>
        <w:rPr/>
      </w:pPr>
      <w:bookmarkStart w:id="257" w:name="__RefHeading___Toc4247330_2870459653"/>
      <w:bookmarkStart w:id="258" w:name="_Toc89"/>
      <w:bookmarkEnd w:id="256"/>
      <w:bookmarkEnd w:id="257"/>
      <w:r>
        <w:rPr>
          <w:rtl w:val="true"/>
        </w:rPr>
        <w:t>الفهرس</w:t>
      </w:r>
      <w:bookmarkEnd w:id="258"/>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لامعة في رسم هذا العلم، وبيان موضوعه، وغايته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لامعة في المبادئ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في تقسيم الألفاظ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علائم الحقيقة والمجاز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في استكشاف الوضع بالاستعمال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تعارض الأحوال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في الحقيقة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مبحث الصحيح والأعم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في المشترك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مبحث المشتق</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لامعةٌ في الأوامر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الأمر بعد الحضر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في مبحث المرة والتكرار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في الفور والتراخي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في تعريف الواجب وتقسيمه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في تقسيم الواجب إلى المطلق والمشروط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مقدمة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حجة القول باختصاص الوجوب بالمقدمة السببية 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في ثمرة الخلاف في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خاتمة في التنبيه على مقدمة غير الواجب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مسألة الضد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ثمرة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في الواجب التخييري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في التخيير بين الأقل والأكثر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في الواجب الموسع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قاعدة التخيير في الشيء تخير في لوازمه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في الواجب الكفائي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وثمرة الخلاف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والعدلية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الأمر بالشيء مع العلم بانتفاء شرطه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الحقُ عدم بقاء الجواز بعد نسخ الوجوب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الحقُّ أنَّ القضاء بفرض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والأمر بالأمر بشيء 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في الإجزاء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لامعة في النواهي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صيغة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وفي دلالة النهي على التكرار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في اجتماع الأمر والنهي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احتج القائل بالامتناع</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في اقتضاء النهي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لامعةٌ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والظاهر،والمؤول،والمنطوق،والمفهوم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حجية مفهوم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تعدد العلّة هل يوجب تعدد المعلول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مفهوم الوصف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مفهوم اللقب</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مفهوم للعدد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في مباحث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صيغ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الجمع المعرَّف باللام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الجمع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والنكرةُ في سياق النفي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وتركُ الاستفصال للعموم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 مسألة خطاب المعدوم بخطاب المشافهة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إفعل، ولا تفعل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 مباحث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التخصيص بالمخصص المتصل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حجية العام في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في التمسك بالعام في الشبهة المصداقية فيما لو كان المخصص لفظياً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في التمسك بالعام في الشبهة المصداقية فيما لو كان المخصص لبياً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التخصيص بالمجمل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هل يرجع إلى العام في الشبهة المصداقية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وهل يجوز العمل بالعام قبل الفحص عن المخص؟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الاختلاف في صورة تعدد المستثنى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تخصيص العام بمفهوم الموافقة والمخالفة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التخصيص بالمخصص المنفصل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تعارض العام والخاص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مبحث المطلق والمقيد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والمطلق حقيقة في 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في المجمل والمبين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تأخير البيان عن وقت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الأدلة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في حجية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في الإجماع المحصّل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حجية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قيام الأمارات مقام القطع الطريقي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تقرير قيام الاستصحاب مقام القطع الطريقي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أقسام الظن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وأمّا مسألة التجرّي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إنكار الأخباريين لحجية القطع الناشئ من 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حجية قطع القطّاع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مباحث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أقسام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في جواز المخالفة الالتزامية دون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في حرمة المخالفة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 إمكان التعبد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 جواز اعتبار الأمارات مع إمكان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الأصل حرمة العمل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لامعةٌ في الظنون الخاصة التي دل الدليل على اعتبارها 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تشخيص الوضع بقول اللغوي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حجية الإجماع المنقول بخبر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في الشهرة في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حجية 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الاستدل بالعقل على حجية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اختلاف القائلين بالظن الانسدادي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حجة القائل بحجية الظن في خصوص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تقرير دليل الانسداد بناءً على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التعميم من حيث الأسباب والمرتبة بناءً على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في الظن المانع والممنوع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لامعةٌ في الظنون المتعلّقة بتشخيص الظواهر أوالمرادات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عدم حجية الظن في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في أنّ الظن المطلق لا تترتب عليه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لامعةٌ في الأدلة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أصالة الإباحة أو الحظر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لامعةٌ في أصالة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الاستدلال بالعقل على وجوب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دوران الأمر بين الوجوب والحرمة؛ لعدم الدليل على تعيين أحدهما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٢٠٤</w:t>
      </w:r>
    </w:p>
    <w:p>
      <w:pPr>
        <w:pStyle w:val="BookText"/>
        <w:rPr/>
      </w:pPr>
      <w:r>
        <w:rPr>
          <w:rFonts w:ascii="Amiri" w:hAnsi="Amiri" w:eastAsia="Amiri" w:cs="Amiri"/>
          <w:color w:val="111111"/>
          <w:sz w:val="28"/>
          <w:sz w:val="28"/>
          <w:szCs w:val="28"/>
          <w:rtl w:val="true"/>
          <w:lang w:bidi="ar-SA"/>
        </w:rPr>
        <w:t xml:space="preserve">لامعةٌ في الشك في المكلَّف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 دوران الأمر بين المتباينين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دوران الأمر بين الأقل والأكثر الارتباطيين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تتميمات مهمات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لامعةٌ في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أدلة القائل بالجعل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استطرادٌ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تعارض الاستصحاب مع الأصول العملية والقواعد المرجوع إليها حال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٢٤٨</w:t>
      </w:r>
    </w:p>
    <w:p>
      <w:pPr>
        <w:pStyle w:val="BookText"/>
        <w:rPr/>
      </w:pPr>
      <w:r>
        <w:rPr>
          <w:rFonts w:ascii="Amiri" w:hAnsi="Amiri" w:eastAsia="Amiri" w:cs="Amiri"/>
          <w:color w:val="111111"/>
          <w:sz w:val="28"/>
          <w:sz w:val="28"/>
          <w:szCs w:val="28"/>
          <w:rtl w:val="true"/>
          <w:lang w:bidi="ar-SA"/>
        </w:rPr>
        <w:t>تعارض الاستصحابين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لامعةٌ في التعارض والتعادل والترجيح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في ميزان الحكومة والورود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في مؤدى الأصول اللفظية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الكلام بمقتضى الأخبار العلاجية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تنبيةٌ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عدم الاقتصار على المرجحات المنصوصة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خاتمةٌ في مبحثي الاجتهاد والتقليد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لامعةٌ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التجزئ في الإجتهاد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تتميم في التخطئة والتصويب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أدلة التصويب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لامعةٌ فى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بقي هنا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bookmarkStart w:id="259" w:name="pg9229_140603"/>
    </w:p>
    <w:p>
      <w:pPr>
        <w:pStyle w:val="Heading2"/>
        <w:numPr>
          <w:ilvl w:val="1"/>
          <w:numId w:val="1"/>
        </w:numPr>
        <w:rPr/>
      </w:pPr>
      <w:bookmarkStart w:id="260" w:name="__RefHeading___Toc4247332_2870459653"/>
      <w:bookmarkStart w:id="261" w:name="_Toc90"/>
      <w:bookmarkEnd w:id="259"/>
      <w:bookmarkEnd w:id="260"/>
      <w:r>
        <w:rPr>
          <w:rtl w:val="true"/>
        </w:rPr>
        <w:t>إصدارات مركز تراث سامراء</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محمد باقر الاصطهباناتي قدس سرهُ، تحقيق مركز تراث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العبر في استدراك البحار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للميرزا حسين النوري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الذريعة إلى تصانيف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آقا بزرك الطهراني قدس سرهِ، تحقيق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من إفادات المجدّد الشيرازي قدس سرهُ، تحقيق الشيخ مسلم الرضائي بمراجعة وتدقيق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لأول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أحكام الجبائر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السيد محمد الساروي، 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رسالة في حكم الخلل الواقع في الصلاة تقريراً لبحث السيد المجدّد الشيرازي قدس سرهِ، بقلم الشيخ آقا رضا الهمداني قدس سرهُ، تحقیق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مآثر الكبراء في تاريخ سامراء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للشيخ ذبيح الله المحلاتي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رجالية وتاريخية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آقا بزرك الطهراني قدس سرهُ، تحقيق السيد جعفر الحسيني</w:t>
      </w:r>
    </w:p>
    <w:p>
      <w:pPr>
        <w:pStyle w:val="BookText"/>
        <w:rPr/>
      </w:pPr>
      <w:r>
        <w:rPr>
          <w:rFonts w:ascii="Amiri" w:hAnsi="Amiri" w:eastAsia="Amiri" w:cs="Amiri"/>
          <w:color w:val="111111"/>
          <w:sz w:val="28"/>
          <w:sz w:val="28"/>
          <w:szCs w:val="28"/>
          <w:rtl w:val="true"/>
          <w:lang w:bidi="ar-SA"/>
        </w:rPr>
        <w:t xml:space="preserve">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 والخواطر في بعض ما تركه الأوائل للأواخر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تاليف الميرزا محمد بن عبد الوهاب الهمداني، الملقب بإمام الحرمين، تحقيق الشيخ محمد لطف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الهادي علیه السلام الا عمر حافل بالجهاد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علي الكوراني، أعده وخرّج مصادره مركز تراث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في الأرشيف الوثائقي العثماني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السالنامات 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مجلة سومر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قوافي الولاء من الكاظمية إلى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للأستاذ عبد الكريم الدباغ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لأول 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زيارة أئمة سامراء علیه السلام ،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معرض فاجعة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أئمة سامراء علیه السلام 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سماحة المرجع الديني الأعلى السيد علي السيستاني دام ظله للشباب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p>
    <w:p>
      <w:pPr>
        <w:pStyle w:val="BookText"/>
        <w:rPr/>
      </w:pPr>
      <w:r>
        <w:rPr>
          <w:rFonts w:ascii="Amiri" w:hAnsi="Amiri" w:eastAsia="Amiri" w:cs="Amiri"/>
          <w:color w:val="111111"/>
          <w:sz w:val="28"/>
          <w:sz w:val="28"/>
          <w:szCs w:val="28"/>
          <w:rtl w:val="true"/>
          <w:lang w:bidi="ar-SA"/>
        </w:rPr>
        <w:t>إعداد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 سماحة المرجع الديني الأعلى السيد علي السيستاني دام ظله للمقاتلين في ساحات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إعداد مركز تراث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قبسات من حياة أئمة سامراء علیه السلام ،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كتيب تعريفي بمركز تراث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الزائر لمرقد الإمامين العسكريين علیه السلام في مدينة سامراء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مركز تراث سامراء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عصمة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السيد علي الحسيني الميبدي، تحقيق الشيخ ستار الجيزاني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من 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آية الله السيد إبراهيم الدامغاني قدس سرهُ، تقريراً لبحث تحقيق الشيخ كريم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في تحقيق دليل الإنسداد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إفادات السيّد المجدّد الشيرازي، بقلم المحقق الآخوند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الحاج محسن الجعفري، مراجعة وتدقيق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العسكرية المقدسة في الإرشيف الوثائقي العثماني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وترجمة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 المنصوري، تدقيق ومراجعة مركز تراث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الذريعة إلى تصانيف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آقا بزرك الطهراني قدس سرهُ، تحقيق مركز تراث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ثانية منقحة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آية الله السّيد إبراهيم الدامغاني قدس سرهُ، تقريراً لبحث آية الله المجدّد السيّد محمد حسن الشيرازي قدس سرهُ،تحقيق الشيخ سلام محمد الناصري، تدقيق ومراجعة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في مجلة سومر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آية الله الشيخ عباس بن حسن آل كاشف الغطاء قدس سرهُ، تحقيق محمد جليل الحسناوي، تدقيق ومراجعة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الحسنية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السيد حسن صدر الدين الكاظمي، تحقيق الشيخ إبراهيم الجوراني، تدقيق ومراجعة مركز تراث سامراء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المؤتمر العلمي الأول الإمام الهادي علیه السلام عبق النبوة وعماد السلم المجتمعي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أجزاء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الكتب التي ستصدر قريباً</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سامراء في تراث الكاظميين في القرن الثالث عشر والقرن الرابع عشر، تأليف عبد الكريم الدباغ ،مراجعة وتدقيق مركز تراث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مباحث من كتاب الزكاة، تقريراً لبحث السيد المجدّد الشيرازي قدس سرهُ، بقلم العلّامة الفقيه الشيخ أسد الله الزنجاني، تحقيق مركز تراث سامراء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ببليوغرافيا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في حوزة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ببليوغرافيا الإمامين العسكريين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ببلوغرافيا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العسكريان علیه السلام  في الشعر العربي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مكتبات سامراء الرائدة وتتضمن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المجدّد السيد محمد حسن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محمد تقي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المهدي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حسن 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قيد التحقيق والتأليف</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مقدمة الواجب، تأليف السيد هاشم بحر العلوم قدس سرهُ ، تقريراً لبحث آية الله المجدّد السيد محمد حسن الشيرازي</w:t>
      </w:r>
    </w:p>
    <w:p>
      <w:pPr>
        <w:pStyle w:val="BookText"/>
        <w:rPr/>
      </w:pP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تأليف العلّامة الشيخ ذبيح الله المحلاتي</w:t>
      </w:r>
    </w:p>
    <w:p>
      <w:pPr>
        <w:pStyle w:val="BookText"/>
        <w:rPr/>
      </w:pP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،تأليف العلّامة الشيخ ذبيح الله المحلاتي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الكبراء 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الكبراء ج</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الرجال على كتاب منتهى المقال، تأليف آية الله السيد صدر الدين الكاظمي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تتلمذوا في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الفقهاء، محمد باقر البيرجندي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على نجاة العباد، عدة من العلماء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السيد محمد تقي الشيرازي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الصدر، تكملة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الأوردبادي، موسوعة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وقد ذكر السيد عبد الحسين شرف الدين ان هجرته إلى النجف كانت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بغية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٣٠٦٢</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التكملة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سنة سبع وتسعين خرجتُ إلى سامراء والتحقت بالسيد الأستاذ الميرزا الشيرازي ،وكنت جئت قبل ذلك إليها سنة اثنتين وتسعين،بقيتُ سنة ونصفاً ورجعت إلى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الصدر، تكملة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بغية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٣٠٦٥</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طبعها وما قبلها مركز تراث سامراء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من إفادات المجدّد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الفاضل الشيخ مسلمالرضائي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تعرّضنا لتفصيل هذا المجمل من تراث السيد الذي أبدعه في سامراء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مؤلّفي حوزة سامراء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وذكرنا فيه حوالي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عنوان أَلفَ في سامراء وربوعها الطاهرة، كما تعرّض خُصوص التراث العسكري للسيد الصدر بمقالة جميلة فضيلة الأخ الشيخ مسلم الرضائي ستنشر قريباً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الصدر، تكملة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يملأ الدلو إلى عقد الكرب هو عجز بيت للفضل بن العباس، صار مثلاً يضرب للرجل إذا زاول أمراً بلغ به منتهاه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معصوم الطراز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الخليل،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الميداني، 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الحسين شرف الدين، 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غير واحد ومنهم السيد تقي الطباطبائي القمي في عمدة المطالب في التعليق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بأن المراد ببعض الأعاظم هو آية الله السيد علي آقا نجل السيد المجدّد الشيرازي رحمة الله علیه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دراسات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البهسودي 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النقوي ، أقرب المجازات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الراغبين المطبوع في ضمن موسوعة الإمام السيد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المحقق في مقدمة كتاب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الأصل في الاصطلاح على أربعة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والراجح، والأصل، والقاعدة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القوانين بعد ذكر المعاني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والأولى هنا إرادة المعنى اللغوي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ووافقه صاحب الهداية والفصول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الميرزا القمي، القوانين المحكمة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محمد تقي الأصفهاني، هداية المسترشدين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محمد حسين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الكرباسي، 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القزويني، ضوابط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المجاز هو حمل اللفظ على معنى مجازي يعم معناه الحقيقي ومعنى مجازياً آخر، كما لو حلف أن لا يضع قدمه في دار فلان، فيحنث سواء دخلها راكباً أو ماشياً حافياً كان أو ناعلاً حيث أخذت وضع القدم بنحو عموم المجاز الشامل لهذه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السرخسي ،أصول السرخسي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أطلق المصنف قدس سرهُ لما كان عروضه بلا واسطة وما كان بواسطة مطلقاً حتى لوكان بأمر مباين، في حين عرّفه الميرزا القمي في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الفرعية ما يتعلّق بالعمل بلا 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صاحب 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و صاحب 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اللامعة غير موجودة في نسخة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وموجودة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الإحكام في أصول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والمعاني المقصودة يعني المرادة؛ لأن الفظ في اللغة مهمل ومستعمل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الدين الإيجي، شرح العضد على مختصر ابن الحاجب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الجرجاني وأغلب من تأخر عنه كصاحب المعالم والفصول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حاشية الجرجاني على شرح العضد على مختصر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حاشية الجرجاني على شرح العضد على مختصر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٦٦٤</w:t>
      </w:r>
      <w:r>
        <w:rPr>
          <w:rFonts w:ascii="IRNazanin" w:hAnsi="IRNazanin" w:eastAsia="IRNazanin"/>
          <w:b w:val="false"/>
          <w:b w:val="false"/>
          <w:bCs w:val="false"/>
          <w:i w:val="false"/>
          <w:i w:val="false"/>
          <w:iCs w:val="false"/>
          <w:color w:val="333333"/>
          <w:sz w:val="20"/>
          <w:sz w:val="20"/>
          <w:szCs w:val="20"/>
          <w:rtl w:val="true"/>
        </w:rPr>
        <w:t xml:space="preserve">؛ الحائري 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تحقيق الزارعي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الرشتي 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 المحقق الحائري، 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ذكره ولم ينسبه لقائل معين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 من أجاز أن يكون الموضوع له حينئذٍ عاماً كما لو شاهدنا حيواناً فتوصلنا به إلى وضع اللفظ بأزاء نوعه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الرشتي، 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المحقق الحائري،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الأدوية المركبة، قال ابن سينا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الترياق أجل الأدوية المركبة وأفضلها، لكثرة منافعة وخصوصاً للسموم من النواهش كالحيات والعقارب والسموم المشروبة القتالة ومن الأمراض البلغمية والسوداوية وحمياتها والرياح الخبيثة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أبو علي سينا، القانون في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عبارة عن مجموعة من المواد النباتية والطبية تخلط مع بعضها وتعجن بالسمن وتعقد بالعسل وينقسم إلى معجون الطريفل الكبير والصغير بحسب المواد الداخلة في تركيبه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داود الأنطاكي، تذكرة أولي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هشام، أوضح المسالك قال المبهم هو ما افتقر إلى غيره في بيان مسماه، وهو شامل لأسماء الإشارة والموصولات والحروف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المحقق الرضي في شرح الكافية خصه بأسماء الإشارة والموصولات شرح الكافيه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الشيخ المفيد،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قال رحمة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أخبرني الشيخ أدام الله عزّه مرسلاً عن محمد بن سلام الجمحي أن أبا الأسود الدؤلي دخل على أمير المؤمنين علیه السلام فرمى إليه رقعة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الكلام 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وفعل، وحرف، جاء لمعنى، فالاسم ما أنبأ عن المسمى، والفعل ما أنبأ عن حركة المسمى، والحرف ما أوجد معنى في غيره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الرضي، شرح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ابن مالك، شرح التسهيل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وكافة علماء العربية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حيث جعلوا الحرف قسيماً للمعاني المستقلّة الاسم والفعل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 اتفق جميع علماء العربية على كون الحرف ليس له معنى استقلالي، بل آلي ربطي، ولم يقل أحد منهم بأنه يخرج عن هذا عند وقوعه بين كلّيين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المحقق الرضي، شرح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وغيره من كتب النحويين في مبحث الكلمة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الذهن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والنفع للجاهل في سبق معنى اللفظ للعالم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الاطراد من اللوازم المساوية للحقيقة، وعدمه من اللوازم المساوية للمجاز، فالأول يدل على الحقيقة والثاني يدل على المجاز، من باب دلالة اللازم المساوي على ملزومه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وسمّى المحقق الحلي هذا النوع من الأمثلة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اللفظة بما يستحيل تعلّقها به وجعله من علامات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الحلي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المتوقف هو المحقق القمي، ونسبه إلى المشهور ، وتابعه والد الفاضل النراقي كما ذكر ولده،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الحائري،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 الرشتي، 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جني،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المشهور إلى التوقف؛ لأنهم يبنون على أن الاستعمال أعم من الحقيقة والمجاز ولا مرجح لأحدهما على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 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ظاهر استعمال أهل اللغة اللفظة في شيء دلالة على أنها حقيقة فيه إلا أن ينقلها ناقل عن هذا الظاهر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القوانين والمناهج والضوابط والإشارات وزبدة الأصول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والتفصيل ثالثهما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المخطوطة والظاهر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الرازي،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حيث نسبه إلى القاضي الباقلاني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المخطوطة والظاهر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الماهية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الماهية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الميرزا القمي، القوانين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موجود في نسخة 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بالمتيقن المعلوم بالاجمال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ولوجود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وَالْمُطَلَّقَاتُ يَتَرَبَّصْنَ بِأَنفُسِهِنَّ ثَلَاثَةَ قُرُوءٍ ، حيث إن لفظ القرء موضوع للطهروالحيض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 في 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وَاللَّيْلِ إِذَا عَسْعَسَ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إن لفظ عسعس موضوع لأقبلَ وأدبرَ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الشافعي والباقلاني أنهما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 إذا تجرّد عن القرائن المخصوصة وجب حمله على جميع معانيه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ومن أصحابنا من جوّزه كالسيد المرتضى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والشيخ الطوسي في العدة اشترط أن يكون الوقت وقت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واختار المحقق الحلي جوازه نظراً إلى الإمكان لا إلى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مبادئ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الشيخ الجواهري،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القزويني، تعليقه على معالم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٥١١</w:t>
      </w:r>
      <w:r>
        <w:rPr>
          <w:rFonts w:ascii="IRNazanin" w:hAnsi="IRNazanin" w:eastAsia="IRNazanin"/>
          <w:b w:val="false"/>
          <w:b w:val="false"/>
          <w:bCs w:val="false"/>
          <w:i w:val="false"/>
          <w:i w:val="false"/>
          <w:iCs w:val="false"/>
          <w:color w:val="333333"/>
          <w:sz w:val="20"/>
          <w:sz w:val="20"/>
          <w:szCs w:val="20"/>
          <w:rtl w:val="true"/>
        </w:rPr>
        <w:t xml:space="preserve"> ؛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ودعوى اعتبار الوحدة في الموضوع له واحتج القائل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الفاضل التوني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ولا الخلاف</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الرشتي 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الاستدلال بالآية على الوجوب، بل هي آكد فيه من الصيغة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الرازي،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المحقق الحلي،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الشهيد الثاني، 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ابن الحاجب ،مختصر منتهى الأصول المطبوع في ضمن شرح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الإيجي، شرح العضد على مختصر منتهى الأصول لابن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السيد المرتضى،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الشيخ الطوسي، 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المخطوطة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نهاية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حيث ذكر هذه الأدلة في ضمن ثلاثة عشر دليلاً للقائلين بالتكرار، وردَّها جميعاً واقتصر صاحب المعالم على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المخطوطة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مشرّعاً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التوني،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 المحقق الحلي، معارج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الدمشقي، اللباب في علوم الكتاب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وقال السيد المرتضى في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مشترك بين الفور والتراخي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العلّامة الحلي، تهذيب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والرازي في المحصول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العلّامة الحلي، نهاية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الميرزا أبو القاسم الكلانتري ،مطارح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يتحقق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وما بعدها، حيث أرجع الواجب المعلّق الذي اخترعه صاحب الفصول رحمة الله علیه إلى الواجب  المشروط الذي اختاره الشيخ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ملا علي النهاوندي، تشريح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الآخوند الخراساني،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حيث إن هذا ردٌ لإشكال النهاوندي الذي ذكره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حيث أرجع القيود إلى المادة وليس إلى الهيئة، مخالفاً بذلك المشهور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حسن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فحجة القول بوجوب المقدمة على تقدير تسليمها إنما تنهض دليلاً على الوجوب في حال كون المكلف مريداً للفعل المتوقف عليها؛ 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وجوب مقدمة الواجب، السيد القزويني، حاشية على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 القوم في وجوب ما لا يتم الواجب إلا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الميرزا النائيني،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حيث من الممكن أن يريد المصنف ببعض المعاصرين الميرزا النائيني، فإن وفاته سنة </w:t>
      </w:r>
      <w:r>
        <w:rPr>
          <w:rFonts w:ascii="IRNazanin" w:hAnsi="IRNazanin" w:eastAsia="IRNazanin"/>
          <w:b w:val="false"/>
          <w:b w:val="false"/>
          <w:bCs w:val="false"/>
          <w:i w:val="false"/>
          <w:i w:val="false"/>
          <w:iCs w:val="false"/>
          <w:color w:val="333333"/>
          <w:sz w:val="20"/>
          <w:sz w:val="20"/>
          <w:szCs w:val="20"/>
        </w:rPr>
        <w:t>١٣٥٥</w:t>
      </w:r>
      <w:r>
        <w:rPr>
          <w:rFonts w:ascii="IRNazanin" w:hAnsi="IRNazanin" w:eastAsia="IRNazanin"/>
          <w:b w:val="false"/>
          <w:b w:val="false"/>
          <w:bCs w:val="false"/>
          <w:i w:val="false"/>
          <w:i w:val="false"/>
          <w:iCs w:val="false"/>
          <w:color w:val="333333"/>
          <w:sz w:val="20"/>
          <w:sz w:val="20"/>
          <w:szCs w:val="20"/>
          <w:rtl w:val="true"/>
        </w:rPr>
        <w:t xml:space="preserve"> هج ووفاة المصنف في سنة </w:t>
      </w:r>
      <w:r>
        <w:rPr>
          <w:rFonts w:ascii="IRNazanin" w:hAnsi="IRNazanin" w:eastAsia="IRNazanin"/>
          <w:b w:val="false"/>
          <w:b w:val="false"/>
          <w:bCs w:val="false"/>
          <w:i w:val="false"/>
          <w:i w:val="false"/>
          <w:iCs w:val="false"/>
          <w:color w:val="333333"/>
          <w:sz w:val="20"/>
          <w:sz w:val="20"/>
          <w:szCs w:val="20"/>
        </w:rPr>
        <w:t>١٣٥٤</w:t>
      </w:r>
      <w:r>
        <w:rPr>
          <w:rFonts w:ascii="IRNazanin" w:hAnsi="IRNazanin" w:eastAsia="IRNazanin"/>
          <w:b w:val="false"/>
          <w:b w:val="false"/>
          <w:bCs w:val="false"/>
          <w:i w:val="false"/>
          <w:i w:val="false"/>
          <w:iCs w:val="false"/>
          <w:color w:val="333333"/>
          <w:sz w:val="20"/>
          <w:sz w:val="20"/>
          <w:szCs w:val="20"/>
          <w:rtl w:val="true"/>
        </w:rPr>
        <w:t>هـ ، فهما متعاصران ودرسا معاً في سامراء، وما أفادهُ الميرزا في الفوائد مطابق لما ذكره المصنف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كتوقف صحة الأجزاء المتقدمة من الصلاة على الأجزاالمتأخرة منها، وكذلك كل مركب إرتباطي مشروط بتمام أجزاءه فتتوقف صحة الأجزاء المتقدمة على تمام الأجزاء المتأخرة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الطهارات الثلاث،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والغسل، والتيمم، ينظر كفاية الأصول للآخوند الخُراساني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الثواب لكونها مطلوبة بنفسها ندباً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وجوبها كذلك موهونةٌ جداً، بل لا يعرف قائل به أصلاً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البصري، 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الرازي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ونسب صاحب الكفاية هذا القول إلى الشيخ الأنصاري استظهاراً من كلام صاحب التقريرات المعروفة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الآخوند الخراساني،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 ولمعرفة مبنى الشيخ في المقدمة الموصولة ينظر الشيخ الأنصاري، الفوائد الأصولية، الفائدة الخامسة 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الشرعية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نهاية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حيث نسبه إلى السيد المرتضى، ولم يرتض النسبة صاحب المعالم وصاحبُ القوانين والشيخُ الأنصاري،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أورد هذا الاعتراض السيد الكاظمي في شرح الوافية، انظر المحقق النراقي، المناهج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الإيجي، شرح العضد على مختصر منتهى الأصول لأبن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المحقق النائيني،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 نسبه البعض إلى الوحيدالبهبهاني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حيث ذكره ولم ينسبه إلى قائل؛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،وأنکر الشیخ الأنصاری هذا التفریع،قال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کان إنه لاأصل لهذا التفریع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الکلانتری،مطارح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أن دلالة الأمر بالشيء على عن ضده العام ليس على سبيل التضمن والالتزام، بل ليس مفاد النهي المفروض إلا عين ما يستفاد من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حيث اختاره بناءً على القول بالمنع من التكليف بما لا يطاق، ونسب القول إلى الباقلاني المحققُ الحلي، مبادئ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 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العضدي ،شرح مختصر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الكرباسي، إشارات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الحائري، مختارات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حبيب الله الرشتي، 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حيث نسبوا هنا القول إلى الكعبي صاحب الشبهة المعروفة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البهائي،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العلماء، حاشية اسلسلطان على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المحقق الكاظمي، المحصول في الأصول </w:t>
      </w:r>
      <w:r>
        <w:rPr>
          <w:rFonts w:ascii="IRNazanin" w:hAnsi="IRNazanin" w:eastAsia="IRNazanin"/>
          <w:b w:val="false"/>
          <w:b w:val="false"/>
          <w:bCs w:val="false"/>
          <w:i w:val="false"/>
          <w:i w:val="false"/>
          <w:iCs w:val="false"/>
          <w:color w:val="333333"/>
          <w:sz w:val="20"/>
          <w:sz w:val="20"/>
          <w:szCs w:val="20"/>
        </w:rPr>
        <w:t>٥٩٩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الكلانتري،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 الرشتي 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وجود أحدهما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ولعل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رسالة في مقدمة الواجب مطبوعة في ضمن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معالم الدين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قلنا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نسخة 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ascii="IRNazanin" w:hAnsi="IRNazanin" w:eastAsia="IRNazanin"/>
          <w:b w:val="false"/>
          <w:b w:val="false"/>
          <w:bCs w:val="false"/>
          <w:i w:val="false"/>
          <w:i w:val="false"/>
          <w:iCs w:val="false"/>
          <w:color w:val="333333"/>
          <w:sz w:val="20"/>
          <w:sz w:val="20"/>
          <w:szCs w:val="20"/>
          <w:rtl w:val="true"/>
        </w:rPr>
        <w:t xml:space="preserve"> ؛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القول، وهذا القول منقول عن الشيخ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الأصفهاني هداية المسترشدين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التزم بفكرة الترتب في باب الدين من جامع المقاصد في شرح كلام العلّامة قدس سرهُ في بيان اشتغال المديون المتمكن من أداء الدين بالصلاة مع مطالبة المدين، ورتبه السيد المجدّد الشيرازي،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تحت عنوان المقدمة المحرمة السيد الفشاركي، الرسائل الفشاركية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تحت عنوان الترتب؛ الميرزا النائيني، 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حيث نقح الترتب ورتبه وهذبه، وتناوله جميعُ من جاء بعده حتى صارت من المباحث الأصولية المهمة، وأنكر تصحيح الأمر بالضد بواسطة الترتب الشيخُ الأعظم في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وما بعدها، وتابعه الآخوند الخراساني في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القمي، القوانين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xml:space="preserve"> ، وهذا هو المشهور بين أصحابنا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 الإيجي، شرح العضد على مختصر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وهذا القول تبرأ منه الأشاعرة ونسبوه إلى المعتزلة وتبرأ منه المعتزلة ونسبوه إلى الأشاعرة، ذكر ذلك العلّامة الحلي، نهاية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ببدل الأقصر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الكرباسي، إشارات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 العلّامة الحلي، 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الميرزا القمي، القوانين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وروي هذا الحديث في الموطأ لمالك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نقلَ هذا الحدیث عن الذکری للشهید الأول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۲۱٨</w:t>
      </w:r>
      <w:r>
        <w:rPr>
          <w:rFonts w:ascii="IRNazanin" w:hAnsi="IRNazanin" w:eastAsia="IRNazanin"/>
          <w:b w:val="false"/>
          <w:b w:val="false"/>
          <w:bCs w:val="false"/>
          <w:i w:val="false"/>
          <w:i w:val="false"/>
          <w:iCs w:val="false"/>
          <w:color w:val="333333"/>
          <w:sz w:val="20"/>
          <w:sz w:val="20"/>
          <w:szCs w:val="20"/>
          <w:rtl w:val="true"/>
        </w:rPr>
        <w:t xml:space="preserve"> أبواب مواقيت الصلاة باب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وفي الباب نفسه في حديث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مختصاً بصلاتي الغداة والعصر وليس مطلقاً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السرخسي، أصول السرخسي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نقله عن مشايخهم العراقيين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ابن أبي عقيل رحمة الله علیه  هو أحد فقهائنا الذين يطلق عليهم القديمين، والآخر هو ابن الجني،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المهذب البارع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وغيره من الكتب الفقهية كجامع المقاصد ومفتاح الكرامة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 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 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ونسبه إلى أبي الحسن الكرخي وجماعة من الأشاعرة وجماعة الحنفية وعزاه إلى من لا تحقيق له في مبادئ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وما بعدها؛ 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الإيجي، شرح العضد على مختصر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العلّامة الحلي، نهاية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وعزي القول به إلى قطب الدين الشيرازي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إلا أمراً واحداً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ولعل الأصح فلكل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البصري،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 العلّامة الحلي 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حيث نسبه إلى أكثر مخالفينا،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أكثر مخالفينا إن الأمر بالفعل المشروط جائز وإنْ علم الآمر انتفاء شرطه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٦١١</w:t>
      </w:r>
      <w:r>
        <w:rPr>
          <w:rFonts w:ascii="IRNazanin" w:hAnsi="IRNazanin" w:eastAsia="IRNazanin"/>
          <w:b w:val="false"/>
          <w:b w:val="false"/>
          <w:bCs w:val="false"/>
          <w:i w:val="false"/>
          <w:i w:val="false"/>
          <w:iCs w:val="false"/>
          <w:color w:val="333333"/>
          <w:sz w:val="20"/>
          <w:sz w:val="20"/>
          <w:szCs w:val="20"/>
          <w:rtl w:val="true"/>
        </w:rPr>
        <w:t xml:space="preserve"> وما بعدها؛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؛القمی،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مبادئ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٦٦٠</w:t>
      </w:r>
      <w:r>
        <w:rPr>
          <w:rFonts w:ascii="IRNazanin" w:hAnsi="IRNazanin" w:eastAsia="IRNazanin"/>
          <w:b w:val="false"/>
          <w:b w:val="false"/>
          <w:bCs w:val="false"/>
          <w:i w:val="false"/>
          <w:i w:val="false"/>
          <w:iCs w:val="false"/>
          <w:color w:val="333333"/>
          <w:sz w:val="20"/>
          <w:sz w:val="20"/>
          <w:szCs w:val="20"/>
          <w:rtl w:val="true"/>
        </w:rPr>
        <w:t xml:space="preserve"> ؛الآخوندالخراساني،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 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تكون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 الشيرازي اللمع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الإيجي، شرح العضد على مختصر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محمد مهدي النراقي، أنيس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العلّامة الحلي، تهذيب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؛وخالفه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الكلانتري،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٦٠٥</w:t>
      </w:r>
      <w:r>
        <w:rPr>
          <w:rFonts w:ascii="IRNazanin" w:hAnsi="IRNazanin" w:eastAsia="IRNazanin"/>
          <w:b w:val="false"/>
          <w:b w:val="false"/>
          <w:bCs w:val="false"/>
          <w:i w:val="false"/>
          <w:i w:val="false"/>
          <w:iCs w:val="false"/>
          <w:color w:val="333333"/>
          <w:sz w:val="20"/>
          <w:sz w:val="20"/>
          <w:szCs w:val="20"/>
          <w:rtl w:val="true"/>
        </w:rPr>
        <w:t xml:space="preserve"> ؛ الروزدري ،تقريرات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هذا الكلام نصاً في التقريرات المنسوبة للشيخ الأنصاري كالفوائد الأصولية ومطارح الأنظار، كما لم أعثر عليه في كلام تلميذيه السيد المجدّد الشيرازي والميرزا حبيب الله الرشتي، ولعل المصنّف نقله بالمعنى أو من كتاب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موجود بالمعنى في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السيوري، الأنوار الجلالية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مغايراً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﴿وَآخَرُونَ اعْتَرَفُوا بِذُنُوبِهِمْ خَلَطُوا عَمَلاً صَالِحاً وَآخَرَ سَيِّئَاً عَسَى اللَّهُ أَن يَتُوبَ عَلَيْهِمْ إِنَّ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فلا يعلل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الإمام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مواضع لايصلى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والماء، والحمام، والقبور، ومسان الطريق، وقرى النمل، ومعاطن الإبل، ومجرى الماء، والسبخ والثلج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كالصلاة في مساجد أهل البدع ؛ لقول أبي عبد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موضعاً من مواضع التهمة فاتهم فلا يلومن إلا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ككراهة الوضوء بسؤر الحائض كما في رواية الحسين ابن أبي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الحائض يشرب من سؤرها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 يتوضأ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وكصيام يوم عرفة اذا أضر بالدعاء، وصيام يوم عاشوراء ويوم الأضحى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على الصنف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حكاه عن الفاضل النراقي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له هويتان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المخطوطة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لإختصاص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الركوع والسجود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 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وأما في قواميس اللغة فلم يذكروا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س اللغة فلم يذكروا هذا لله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٥٢٧</w:t>
      </w:r>
      <w:r>
        <w:rPr>
          <w:rFonts w:ascii="IRNazanin" w:hAnsi="IRNazanin" w:eastAsia="IRNazanin"/>
          <w:b w:val="false"/>
          <w:b w:val="false"/>
          <w:bCs w:val="false"/>
          <w:i w:val="false"/>
          <w:i w:val="false"/>
          <w:iCs w:val="false"/>
          <w:color w:val="333333"/>
          <w:sz w:val="20"/>
          <w:sz w:val="20"/>
          <w:szCs w:val="20"/>
          <w:rtl w:val="true"/>
        </w:rPr>
        <w:t xml:space="preserve"> ؛ الجوهري،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لاتفاق الأصوليين على حجية الظواهر وإن اختلفوا في سبب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الآخوند الخراساني،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وجماعة من الأخباريين بنوا على عدم حجية ظواهر الكتاب مدعين اختصاص فهمه بمن خوطب به ينظر الفاضل التوني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العلّامة الحلي، نهاية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البهائي،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الكرباسي، إشارات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المستصفى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 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العلّامة الحلي، نهاية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المعلّق والمعلّق عليه والتعليق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وما بعدها؛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حيث ذهب إلى أن هيئة الجملة الشرطية تدل بالوضع على الانحصار؛ 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حيث ذهب إلى أن وضع أدوات الشرط للعلة المنحصرة؛ 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حيث ذهب الشيخ الأنصاري فيها إلى ظهور الجملة الشرطية في العلة المنحصرة بالانصراف إلى أكمل الأفراد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جمال الدين الخوانساري، 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المشتملة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لاستفادة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ونصُّ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الأعمال بالنيات، ولكل امرئٍ، ما 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بلفظ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بالنيات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٤٢١</w:t>
      </w:r>
      <w:r>
        <w:rPr>
          <w:rFonts w:ascii="IRNazanin" w:hAnsi="IRNazanin" w:eastAsia="IRNazanin"/>
          <w:b w:val="false"/>
          <w:b w:val="false"/>
          <w:bCs w:val="false"/>
          <w:i w:val="false"/>
          <w:i w:val="false"/>
          <w:iCs w:val="false"/>
          <w:color w:val="333333"/>
          <w:sz w:val="20"/>
          <w:sz w:val="20"/>
          <w:szCs w:val="20"/>
          <w:rtl w:val="true"/>
        </w:rPr>
        <w:t xml:space="preserve"> ؛ 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أبو بكر الدقاق المتوفى سنة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هـ، فقيه شافعي أصولي من أهل بغداد، وكان يلقب بحناط، له مصنّفات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الأصول على مذهب الشافعي، وقد اشتهر بقوله بمفهوم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السيد محمد المجاهد، مفاتيح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ابن فورك أبو بكر ابن فورك الحنبلي المتوفى </w:t>
      </w:r>
      <w:r>
        <w:rPr>
          <w:rFonts w:ascii="IRNazanin" w:hAnsi="IRNazanin" w:eastAsia="IRNazanin"/>
          <w:b w:val="false"/>
          <w:b w:val="false"/>
          <w:bCs w:val="false"/>
          <w:i w:val="false"/>
          <w:i w:val="false"/>
          <w:iCs w:val="false"/>
          <w:color w:val="333333"/>
          <w:sz w:val="20"/>
          <w:sz w:val="20"/>
          <w:szCs w:val="20"/>
        </w:rPr>
        <w:t>٤٠٦</w:t>
      </w:r>
      <w:r>
        <w:rPr>
          <w:rFonts w:ascii="IRNazanin" w:hAnsi="IRNazanin" w:eastAsia="IRNazanin"/>
          <w:b w:val="false"/>
          <w:b w:val="false"/>
          <w:bCs w:val="false"/>
          <w:i w:val="false"/>
          <w:i w:val="false"/>
          <w:iCs w:val="false"/>
          <w:color w:val="333333"/>
          <w:sz w:val="20"/>
          <w:sz w:val="20"/>
          <w:szCs w:val="20"/>
          <w:rtl w:val="true"/>
        </w:rPr>
        <w:t xml:space="preserve"> هـ، له كتاب الحدود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أبو الخطاب الحنبلي، التمهيد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الأسنوي، التمهيد في تخريج الفروع على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الغزالي، المنخول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ورود اسم داود الظاهري في جملة المثبتين لمفهوم العدد من طغيان القلم، فإن الظاهريين يتوقفون في حكم المفهوم، فلا يدل على النفي ولا على الإثبات إلا بدليل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حزم الظاهري، الإحكام في أصول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۸۸۷۷</w:t>
      </w:r>
      <w:r>
        <w:rPr>
          <w:rFonts w:ascii="IRNazanin" w:hAnsi="IRNazanin" w:eastAsia="IRNazanin"/>
          <w:b w:val="false"/>
          <w:b w:val="false"/>
          <w:bCs w:val="false"/>
          <w:i w:val="false"/>
          <w:i w:val="false"/>
          <w:iCs w:val="false"/>
          <w:color w:val="333333"/>
          <w:sz w:val="20"/>
          <w:sz w:val="20"/>
          <w:szCs w:val="20"/>
          <w:rtl w:val="true"/>
        </w:rPr>
        <w:t>؛ وذكر في 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نفي حجية المفهوم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برهان الدين الميرغناني التوفى سنة </w:t>
      </w:r>
      <w:r>
        <w:rPr>
          <w:rFonts w:ascii="IRNazanin" w:hAnsi="IRNazanin" w:eastAsia="IRNazanin"/>
          <w:b w:val="false"/>
          <w:b w:val="false"/>
          <w:bCs w:val="false"/>
          <w:i w:val="false"/>
          <w:i w:val="false"/>
          <w:iCs w:val="false"/>
          <w:color w:val="333333"/>
          <w:sz w:val="20"/>
          <w:sz w:val="20"/>
          <w:szCs w:val="20"/>
        </w:rPr>
        <w:t>٥٩٣</w:t>
      </w:r>
      <w:r>
        <w:rPr>
          <w:rFonts w:ascii="IRNazanin" w:hAnsi="IRNazanin" w:eastAsia="IRNazanin"/>
          <w:b w:val="false"/>
          <w:b w:val="false"/>
          <w:bCs w:val="false"/>
          <w:i w:val="false"/>
          <w:i w:val="false"/>
          <w:iCs w:val="false"/>
          <w:color w:val="333333"/>
          <w:sz w:val="20"/>
          <w:sz w:val="20"/>
          <w:szCs w:val="20"/>
          <w:rtl w:val="true"/>
        </w:rPr>
        <w:t xml:space="preserve"> هـ، وهو من الحنابلة،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فيه كتابه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المبتدي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عدة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الرازي، 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ascii="IRNazanin" w:hAnsi="IRNazanin" w:eastAsia="IRNazanin"/>
          <w:b w:val="false"/>
          <w:b w:val="false"/>
          <w:bCs w:val="false"/>
          <w:i w:val="false"/>
          <w:i w:val="false"/>
          <w:iCs w:val="false"/>
          <w:color w:val="333333"/>
          <w:sz w:val="20"/>
          <w:sz w:val="20"/>
          <w:szCs w:val="20"/>
          <w:rtl w:val="true"/>
        </w:rPr>
        <w:t xml:space="preserve"> ؛الأصفهاني،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العلّامة الحلي، نهاية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المرتضی،الدریعة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العلّامة الحلي، نهاية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المحقق الحلي، معارج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ascii="IRNazanin" w:hAnsi="IRNazanin" w:eastAsia="IRNazanin"/>
          <w:b w:val="false"/>
          <w:b w:val="false"/>
          <w:bCs w:val="false"/>
          <w:i w:val="false"/>
          <w:i w:val="false"/>
          <w:iCs w:val="false"/>
          <w:color w:val="333333"/>
          <w:sz w:val="20"/>
          <w:sz w:val="20"/>
          <w:szCs w:val="20"/>
          <w:rtl w:val="true"/>
        </w:rPr>
        <w:t xml:space="preserve"> ؛ 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وهو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الخطابات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الخطابات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٤٠٣</w:t>
      </w:r>
      <w:r>
        <w:rPr>
          <w:rFonts w:ascii="IRNazanin" w:hAnsi="IRNazanin" w:eastAsia="IRNazanin"/>
          <w:b w:val="false"/>
          <w:b w:val="false"/>
          <w:bCs w:val="false"/>
          <w:i w:val="false"/>
          <w:i w:val="false"/>
          <w:iCs w:val="false"/>
          <w:color w:val="333333"/>
          <w:sz w:val="20"/>
          <w:sz w:val="20"/>
          <w:szCs w:val="20"/>
          <w:rtl w:val="true"/>
        </w:rPr>
        <w:t xml:space="preserve"> الصفة السادسة؛المقداد السيوري، إرشاد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العلّامة الحلي، نهاية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 الأشاعرة بجوازه مكابرة ناشئة من قولهم بقدم الكلام النفسي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التوني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النراقي، أنيس المجتهدين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وما بعدها؛ 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حكاه عن المناهج الذي نسبه للتفتازاني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۲٤٥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ونص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تنقض اليقين أبداً بالشك، وإنما تنقضه بيقين آخر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القمي، القوانين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الأصفهاني ، 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بل لا خلاف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أصول السرخسي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الجصاص أصول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المسألة الخامسة، حكاه عن البلخي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ascii="IRNazanin" w:hAnsi="IRNazanin" w:eastAsia="IRNazanin"/>
          <w:b w:val="false"/>
          <w:b w:val="false"/>
          <w:bCs w:val="false"/>
          <w:i w:val="false"/>
          <w:i w:val="false"/>
          <w:iCs w:val="false"/>
          <w:color w:val="333333"/>
          <w:sz w:val="20"/>
          <w:sz w:val="20"/>
          <w:szCs w:val="20"/>
          <w:rtl w:val="true"/>
        </w:rPr>
        <w:t xml:space="preserve"> ؛ 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٢٢٣٩٤</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الروضه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 به من حكم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 لم يؤخذ</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في موضع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نسخة 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غير قابل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حيث نسب القول بالإجماع إلى العلّامة الحلي في النهاية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العلم الإجمالي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،الحائري، الفصول الغروية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نسبه إلى أبي حنيفة وأصحابه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المحقق الحلي، معارج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الكلانتري،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السيد المرتضى،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الشيخ الطوسي، عدة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 المحقق الحلي،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القمي،القوانين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مثله مطلقاً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بالأخير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 الشيخ البهائي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الجوهري،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١٦٦٢</w:t>
      </w:r>
      <w:r>
        <w:rPr>
          <w:rFonts w:ascii="IRNazanin" w:hAnsi="IRNazanin" w:eastAsia="IRNazanin"/>
          <w:b w:val="false"/>
          <w:b w:val="false"/>
          <w:bCs w:val="false"/>
          <w:i w:val="false"/>
          <w:i w:val="false"/>
          <w:iCs w:val="false"/>
          <w:color w:val="333333"/>
          <w:sz w:val="20"/>
          <w:sz w:val="20"/>
          <w:szCs w:val="20"/>
          <w:rtl w:val="true"/>
        </w:rPr>
        <w:t xml:space="preserve"> ؛ الطريحي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الأحكام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الشهيد الثاني تمهيد القواعد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الكرباسي، إشارات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كما في نسخة 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كما في نسخة 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وما بعدها؛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 المحصول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الرازي،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البصري 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حكاه عن البعض 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نسبه إلى الأصوليين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تهذيب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 الشيخ البهائي،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الشيخ الطوسي،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حديث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الإحسائي، عوالي اللآلئ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١٦٨١٣</w:t>
      </w:r>
      <w:r>
        <w:rPr>
          <w:rFonts w:ascii="IRNazanin" w:hAnsi="IRNazanin" w:eastAsia="IRNazanin"/>
          <w:b w:val="false"/>
          <w:b w:val="false"/>
          <w:bCs w:val="false"/>
          <w:i w:val="false"/>
          <w:i w:val="false"/>
          <w:iCs w:val="false"/>
          <w:color w:val="333333"/>
          <w:sz w:val="20"/>
          <w:sz w:val="20"/>
          <w:szCs w:val="20"/>
          <w:rtl w:val="true"/>
        </w:rPr>
        <w:t xml:space="preserve"> ، باب ثبوت الولاية للأب والجد للأب مع وجود الأب على البنت غير البالغة الرشيدة وكذا الصبي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الفصول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من حكاه عن الباقلاني، لكن نقل الشيخ البهائي في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الإجماع على امتناعه؛ وهو ظاهر السيد المرتضى،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التدريج بأن يبين بياناً ثانياً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الاسترآبادي، 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الفاضل التوني،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أَرْسَلْنَا مِنْ رَسُولٍ إِلَّا بِلِسَانِ قَوْمِهِ لِيُبَيِّنَ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السيدين والمراد بالسيد هو السيد المرتضى وبالشيخ هو الشيخ المفيد وبالمحمدين هو المحمدين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ومحمد بن علي بن بابويه القمي المعروف بالشيخ الصدوق و محمد بن الحسن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 أجمعين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الأعرجي،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 حاشية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تهذيب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القمي، القوانين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 ؛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لشيخ الطوسي،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وما بعدها</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ترد في 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إلا أمراً واحداً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السيوري، إرشاد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ترد في 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الحسين بن أبي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الرجل يمر بالركية وليس معه دلو؟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عليه أن ينزل الركية، إنّ رب الماء هو رب الأرض، فليتيمم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باب الوقت الذي يوجب التيمم، ومن تيمم ثم وجد الماء، حديث ، وغيرها من أدلة طهورية التراب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فالقطع أقسامع أربعة والظن أقسامه تسعة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الصحيح حكميتين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العبادة باب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أبواب جهاد العدو باب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وما يناسبها باب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الاسترآبادي، 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الأعظم، 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عن السيد صدر الدين وهو محمد ابن مير محمد باقر المتوفى في عشر الستين بعد المئة بعد الألف كما ذكره في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والسيد صدر الدين صاحب كتاب شرح الوافية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التوني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في موضوع مطلقاً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المخطوطة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كدوران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ناطقة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أبواب غسل الجنابة، الباب الأول،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وغيرها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القبح</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خلو الواقعة من الحكم إلا ما أدت إليه الأمارة، وإن الله تعالى أحكاماً بعدد آراء المجتهدين، فما يؤدي إليه الاجتهاد فهو حكمه تعالى، وقد أجمع أصحابنا على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٤٠٧</w:t>
      </w:r>
      <w:r>
        <w:rPr>
          <w:rFonts w:ascii="IRNazanin" w:hAnsi="IRNazanin" w:eastAsia="IRNazanin"/>
          <w:b w:val="false"/>
          <w:b w:val="false"/>
          <w:bCs w:val="false"/>
          <w:i w:val="false"/>
          <w:i w:val="false"/>
          <w:iCs w:val="false"/>
          <w:color w:val="333333"/>
          <w:sz w:val="20"/>
          <w:sz w:val="20"/>
          <w:szCs w:val="20"/>
          <w:rtl w:val="true"/>
        </w:rPr>
        <w:t xml:space="preserve"> ؛ الآخوند الخراساني،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لَا يُغْنِي مِنَ الْحَقِّ شَيْئًا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كقوله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 أَذِنَ لَكُمْ أَمْ عَلَى الله تَفْتَرُونَ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تَقْفُ مَا لَيْسَ لَكَ بِهِ عِلْمٌ ﴾ 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 ومن السنة قوله علیه السلام  في عداد القضاة من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قضى بالحق وهو لا يعلم الحر العاملي، وسائل الشيعة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ح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أفتى الناس بغير علم كان ما يفسده أكثر مما يصلحه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۲٤٨</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ح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الفوائد الحائرية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القمي، القوانين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وما بعدها؛ ونسب هذا القول إلى المحقق الكاظمي السيد المجاهد، مفاتيح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ascii="IRNazanin" w:hAnsi="IRNazanin" w:eastAsia="IRNazanin"/>
          <w:b w:val="false"/>
          <w:b w:val="false"/>
          <w:bCs w:val="false"/>
          <w:i w:val="false"/>
          <w:i w:val="false"/>
          <w:iCs w:val="false"/>
          <w:color w:val="333333"/>
          <w:sz w:val="20"/>
          <w:sz w:val="20"/>
          <w:szCs w:val="20"/>
          <w:rtl w:val="true"/>
        </w:rPr>
        <w:t xml:space="preserve"> حيث استفاد هذا القول من كلام الشهيد الأول في الذكرى والعلّامة في المختلف وغيره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 حيث نقل الإجماع عن السيد المرتضى ولم أعثر عليه في الذريعة، نعم نقله السيد محمد المجاهد عن أستاذه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 الإجماع وإطباق العلماء في جميع الأعصار على حجية خبر اللغوي واعتباره من غير توقف ولا إنكار كما أشار إليه السيد الأستاذ والفاضل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 ويقصد بالفاضل الخراساني المحقق السبزواري صاحب ذخيرة المعاد في شرح الإرشاد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کالصاحب ابن عباد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الآبي، كشف الرموز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ومما يدل على نجاسته فتوى الفقهاء من زمن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صلی الله عليه وآله إلى يومنا هذا بالنزح، فلو لم ينجس لكان اتفاقهم على إلزام المشاق من غير فائدة والقول بالتعبد ضعيف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المجاهد، مفاتيح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أصول السرخسي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رسائل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الشيخ الأنصاري،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کصحيح مسلم والبخاري ومسند أحمد ومالك وغيرهم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المحقق الحلي،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المقداد السيوري، إرشاد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الكاظمي، 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 أَن تُصِيبُوا قَوْمًا بِجَهَالَةٍ فَتُصْبِحُوا عَلَىٰ مَا فَعَلْتُمْ نَادِمِينَ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الْمُؤْمِنُونَ لِيَنفِرُوا كَافَّةً فَلَوْلَا نَفَرَ مِن كُلِّ فِرْقَةٍ مِّنْهُمْ طَائِفَةٌ لِّيَتَفَقَّهُوا فِي الدِّينِ وَلِيُنذِرُوا قَوْمَهُمْ إِذَا رَجَعُوا إِلَيْهِمْ لَعَلَّهُمْ يَحْذَرُونَ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يَكْتُمُونَ مَا أَنزَلْنَا مِنَ الْبَيِّنَاتِ وَالهُدَىٰ مِن بَعْدِ مَا بَيَّنَّاهُ لِلنَّاسِ فِي الْكِتَابِ أُولئِكَ يَلْعَنُهُمُ اللهُ وَيَلْعَنُهُمُ اللَّاعِنُونَ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فإيجاب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التوني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٣٦٤</w:t>
      </w:r>
      <w:r>
        <w:rPr>
          <w:rFonts w:ascii="IRNazanin" w:hAnsi="IRNazanin" w:eastAsia="IRNazanin"/>
          <w:b w:val="false"/>
          <w:b w:val="false"/>
          <w:bCs w:val="false"/>
          <w:i w:val="false"/>
          <w:i w:val="false"/>
          <w:iCs w:val="false"/>
          <w:color w:val="333333"/>
          <w:sz w:val="20"/>
          <w:sz w:val="20"/>
          <w:szCs w:val="20"/>
          <w:rtl w:val="true"/>
        </w:rPr>
        <w:t xml:space="preserve"> وما بعدها؛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نسخة 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ظن به لعدم الملازمة بين التكليف والعقوبة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ذخيرة في دليل الانسداد،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تفويت المصلحة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اختلاف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قاعدة نفي الحرج</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المخطوطة،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الموهومات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،في حاشية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لصاحب الفصول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تعريض ببعض الأفاضل حيث أورد على الإلزام بالاحتياط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لو سلم أن قضيته لزوم التنزل إلى الظن فتوهم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القوانين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٤٣٧</w:t>
      </w:r>
      <w:r>
        <w:rPr>
          <w:rFonts w:ascii="IRNazanin" w:hAnsi="IRNazanin" w:eastAsia="IRNazanin"/>
          <w:b w:val="false"/>
          <w:b w:val="false"/>
          <w:bCs w:val="false"/>
          <w:i w:val="false"/>
          <w:i w:val="false"/>
          <w:iCs w:val="false"/>
          <w:color w:val="333333"/>
          <w:sz w:val="20"/>
          <w:sz w:val="20"/>
          <w:szCs w:val="20"/>
          <w:rtl w:val="true"/>
        </w:rPr>
        <w:t xml:space="preserve">؛ وحكاه عنه في 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نكن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العقل تفصيلاً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نسخة 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يَتَّبِعُ أَكْثَرُهُمْ إِلا ظَنَّا إِنَّ الظَّنَّ لا يُغْنِي مِنَ الْحَقِّ شَيْئًا إِنَّ اللهَ عَلِيمٌ بما يَفْعَلُونَ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٥٨٥</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في الهند،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من ولد برهمي ملك من ملوكهم قديم،ولهم علامة ينفردون بها وهي خيوط ملونه بحمرة وصفرة يتقلّدونها تقلد السيوف، وهم يقولون بالتوحيد على نحو قولنا إلا أنهم أنكروا النبوات،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بعثة النبي تخالف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ينظر،ابن حزم،الملل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 الشيخ الطوسي، 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فرقة قائلة بوجود إلهين إله للشر وإله للخير، حيث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تعالى لا يقدر على الشر وإلا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السوفسطائية وهم فرقة ينكرون الحسيات والبديهيات وغيرها الواحد سوفسطائي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ascii="IRNazanin" w:hAnsi="IRNazanin" w:eastAsia="IRNazanin"/>
          <w:b w:val="false"/>
          <w:b w:val="false"/>
          <w:bCs w:val="false"/>
          <w:i w:val="false"/>
          <w:i w:val="false"/>
          <w:iCs w:val="false"/>
          <w:color w:val="333333"/>
          <w:sz w:val="20"/>
          <w:sz w:val="20"/>
          <w:szCs w:val="20"/>
          <w:rtl w:val="true"/>
        </w:rPr>
        <w:t xml:space="preserve"> ، والسفسطة قياس مركب من الوهميات الغرض منه تغليط الخصم وإسكاته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الجرجاني، 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الرازي، 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الرازي، 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محمد بن عبد الوهاب الجبّائي المتوفى سنة </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xml:space="preserve">هـ ، وابنه أبو هاشم عبد السلام المتوفى سنة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هـ وهما من معتزلة البصرة، وقد انفردا عن أصحابهما بمسائل مثل نفي رؤية تعالى بالأبصار في دار القرار ومسألة الكلام وخلق القرآن وغيرها مما يبتني على القول بالتقبيح و التحسين العقليين ينظر البغدادي،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السبحاني، بحوث في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قدماء المعتزلة حيث قالوا بذاتية الحسن والقبح، وأما المتأخرون كالجبائي الذي هو من أعلام متأخريهم، فهم يقولون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ما يقتضي الحسن والقبح لوجود صفة في الأفعال كضرب اليتيم الذي لا يتصف بصفة في ذاته، بل يتصف بالحسن إذا كان للتأديب وبالقبح إذا كان للتشفي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الرازي، 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الاختلال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لحسن الطاعة وقبح المعصية ينظر المقداد السيوري، إرشاد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اللَّهَ لاَ يَأْمُرُ بِالْفَحْشَاء أَتَقُولُونَ عَلَى اللَّهِ مَا لَا تَعْلَمُونَ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والآيات الواردة في الاحتجاج على الكفار العصاة بالتفرق بين المحسن والمسيئ بحسب العقل كما في سورة</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البصري ، 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،السيدالمرتضى،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 الشيخ الطوسي،العدة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٧٤٢</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البصري، 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الشيخ الطوسي،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الاسترآبادي، 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كُنَّا مُعَذِّبِينَ حَتَّى نَبْعَثَ رَسُولًا 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رسول الله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أمتي تسعة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والنسيان، وما أكرهوا عليه، وما لا يعلمون، وما لا يطيقون، وما اضطروا إليه، والحسد، والطيرة، والتفكر في الوسوسة في الخلوة ما ينطقوا بشفة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۲۰٧٦٩</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 جملة مما عفي عنه،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٤١٣</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الاحسائي عوالي اللآلئ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٦٦٩</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١٤٠٥</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الاحسائي،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٤٢٤</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كتاب الصيد والذبائح، باب الذبائح والأطعمة،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 باب البيان والتعريف ولزوم الحجة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٣٨٩</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وَأَنفِقُواْ فِي سَبِيلِ اللَّهِ وَلَا تُلْقُواْ بِأَيْدِيكُمْ إِلَى التَّهْلُكَةِ وَأَحْسِنُوا إِنَّ اللهَ يُحِبُّ الْمُحْسِنِينَ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تَقْفُ مَا لَيْسَ لَكَ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حَقَّ تُقَاتِهِ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ينظر البحراني،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مقبولة عمر بن حنظلة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الوقوف عند الشبهات خير من الاقتحام في الهلكات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أبواب صفات القاضي، 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وكذلك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جميل عن الصادق علیه السلام عن آبائه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قال رسول الله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بيّن لك رشده فأتبعه، وأمر بيّن لك غيّه فاجتنبه، وأمر اختلف فيه فردَّه إلى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والاحتياط كرواية داود بن القاسم الجعفري عن الرضا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أمير المؤمنين علیه السلام  قال لكميل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أخوك دينك فاحتط لدينك بما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 أبواب صفات القاضي، ح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كذلك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في الباب نفسه، ح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مسعدة بن صدقة وغيرها مما هو نص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أبواب ما يتكسب به،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فلا توقف بل احتمال الأمر عند العقل كافٍ قطعاً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أخبار كثيرة يستدل بها على قاعدة التسامح في أدلة السنن، منها ما رواه صفوان عن أبي عبد الله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بلغه شيء من الثواب على شيء من الخير فعمل به كان له أجر ذلك وإن كان رسول الله صلی اللهُ علیه وآله لم يقله الحر العاملي،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من أبواب مقدمة العبادات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وكذلك ينظر الاحاديث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الباب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 ما اختاره المصنف هو المشهور بين المتقدمين والمتأخرين من العامة والخاصة،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الشيخ الطوسي،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المسالة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ابن إدريس الحلي،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المحقق الحلي،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المسألة الأولى من الفصل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فيما الحق بأدلة الأصول وليس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الوحيد البهبهاني، الفوائد الحائرية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٤٤١</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الأنصاري، 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والإنصاف لم أعثر في كلمات من تقدم على المحقق السبزواري من يلتزم بوجوب الاحتياط في الأجزاء والشرائط وإن كان فيهم من يختلف كلامه في ذلك كالسيد والشيخ والشهيد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واختاره صاحب الحاشية وصاحب المفاتيح وصاحب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وما بعدها؛ السيد محمد المجاهد، مفاتيح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المتيقن الوجوب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وشدة التنقير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البروجردي،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من أبواب القراءة،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زرارة عن أبي جعفر علیه السلام الهلال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تعاد الصلاة إلا من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الطهور، والوقت، والقبلة، والركوع والسجود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سنة، والتشهد سنة، ولا تنقض السنة الفريضة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العاملي، وسائل الشيعة،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٧٤٢٧</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من أبواب القراءة في الصلاة، حه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الرواية ونصها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الميسور بالمعسور ينظر الإحسائي،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الاحسائي،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 حكاه عن بعض عن بعض الأصحاب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٦٣١</w:t>
      </w:r>
      <w:r>
        <w:rPr>
          <w:rFonts w:ascii="IRNazanin" w:hAnsi="IRNazanin" w:eastAsia="IRNazanin"/>
          <w:b w:val="false"/>
          <w:b w:val="false"/>
          <w:bCs w:val="false"/>
          <w:i w:val="false"/>
          <w:i w:val="false"/>
          <w:iCs w:val="false"/>
          <w:color w:val="333333"/>
          <w:sz w:val="20"/>
          <w:sz w:val="20"/>
          <w:szCs w:val="20"/>
          <w:rtl w:val="true"/>
        </w:rPr>
        <w:t xml:space="preserve"> ، الباب الأول من أبواب نواقض الوضوء،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الموسوي العاملي،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البهائي،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وجه الاستظهار في شمول الأخبار في الشك في الرافع والمقتضي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رحمة الله علیه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بن أحمد الفراهيدي،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الفيروزآبادي،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عندنا البناء على الأكثر فيما لو شك بين الاثنتين والثلاث في الرباعية، وكذلك لو شك بين الثلاث والأربع فيها، وادعى الشيخ الطوسي علية الإجماع، وهو مخالف لاستصحاب اليقين في المقام، العامة على الأقل في هذه المسألة فيكون الاستصحاب موافقاً لهم ينظر الشيخ الطوسي،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٤٤٥</w:t>
      </w:r>
      <w:r>
        <w:rPr>
          <w:rFonts w:ascii="IRNazanin" w:hAnsi="IRNazanin" w:eastAsia="IRNazanin"/>
          <w:b w:val="false"/>
          <w:b w:val="false"/>
          <w:bCs w:val="false"/>
          <w:i w:val="false"/>
          <w:i w:val="false"/>
          <w:iCs w:val="false"/>
          <w:color w:val="333333"/>
          <w:sz w:val="20"/>
          <w:sz w:val="20"/>
          <w:szCs w:val="20"/>
          <w:rtl w:val="true"/>
        </w:rPr>
        <w:t xml:space="preserve"> مسالة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العلّامة الحلي 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النووي،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ابن قدامة،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المخطوطة، والصحيح الموجودة في الرواية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٦١٩</w:t>
      </w:r>
      <w:r>
        <w:rPr>
          <w:rFonts w:ascii="IRNazanin" w:hAnsi="IRNazanin" w:eastAsia="IRNazanin"/>
          <w:b w:val="false"/>
          <w:b w:val="false"/>
          <w:bCs w:val="false"/>
          <w:i w:val="false"/>
          <w:i w:val="false"/>
          <w:iCs w:val="false"/>
          <w:color w:val="333333"/>
          <w:sz w:val="20"/>
          <w:sz w:val="20"/>
          <w:szCs w:val="20"/>
          <w:rtl w:val="true"/>
        </w:rPr>
        <w:t xml:space="preserve"> حديث الأربعمئة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النجاشي،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۲٥٥</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٦٦٩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٤٤٥</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علامة أول شهر رمضان وآخره ودليل دخوله،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والسببية والشرطية والفساد يرجع إلى الاقتضاء والتخيير ان جعلت أحكاماً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ينظر المولى حسين الخوانساري، 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ذلك الحكم إما ،وضعي أو اقتضائي، أو تخييري، ولما كان الأول أيضاً عند التحقيق يرجع إليهما فينحصر في الأخيرين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نهاية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الفاضل التوني، 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حيث ذكر كل من العلّامة والفاضل التوني السببية والشرطية والمانعية ولم يذكروا الجزئية، ولم أعثر على من حصرها في السببية والشرطية والجزئية بما متوفر عندي من مصادر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والعتاق والرطوبة واليبوسة والطهارة والحيض والقضاء والأداء والإعادة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الأول، 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الأحكام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الرازي 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المنخول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الشيخ البهائي،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لا يبعد ترتب خصوص ما كان منها محسوباً بنظر العرف من آثار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مجرى</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المجاهد، مفاتيح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كاشف الغطاء،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اليد مما لا يعارضها الاستصحاب، بل هي حاكمة عليه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بالموضوعية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السببية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تنافي الدليلين عليهما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مورد الحاكم والمخصص</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وعليّة قيامها لأجل وجوب البناء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المخطوطة، والمطلب بحاجة إلى تتميم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بالأدلة والأمارات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معوقفتين من نسخة 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معوقفتين من نسخة 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الصادقة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خصوصية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النراقي، أنيس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يلحق محتمله بأهل السوداء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تحدث شيئاً بل إلا أن العمل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كخبر الحسن بن الجهم عن الرضا علیه السلام و خبر الحارث بن المغيرة عن أبي عبدالله علیه السلام ، ومكاتبة عبدالله بن محمد إلى أبي الحسن علیه السلام ، ومكاتبة الحميري إلى الحجة علیه السلام،ينظر ، الحر العاملي،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ح</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وغيرها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ابن إدريس في مستطرفات السرائر من كتاب مسائل الرجال، ينظر ابن إدريس الحلی،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٥٨٤</w:t>
      </w:r>
      <w:r>
        <w:rPr>
          <w:rFonts w:ascii="IRNazanin" w:hAnsi="IRNazanin" w:eastAsia="IRNazanin"/>
          <w:b w:val="false"/>
          <w:b w:val="false"/>
          <w:bCs w:val="false"/>
          <w:i w:val="false"/>
          <w:i w:val="false"/>
          <w:iCs w:val="false"/>
          <w:color w:val="333333"/>
          <w:sz w:val="20"/>
          <w:sz w:val="20"/>
          <w:szCs w:val="20"/>
          <w:rtl w:val="true"/>
        </w:rPr>
        <w:t xml:space="preserve"> ، ورواية عمر بن شمر عن جابر عن أبي جعفر علیه السلام ينظر،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كمقبولة عمر بن حنظلة الواردة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وما عن عبد الرحمان بن أبي عبدالله عن الصادق علیه السلام كما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المقدمة السادسة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xml:space="preserve"> ، حيث نفى الخلاف عنه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الأصول الأصيلة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المقدمة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ابن أبي جمهور الاحسائي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الاسترآبادي، 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المسائل الظهيرية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الفاضل التوني،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القمي، القوانين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٦٢٢</w:t>
      </w:r>
      <w:r>
        <w:rPr>
          <w:rFonts w:ascii="IRNazanin" w:hAnsi="IRNazanin" w:eastAsia="IRNazanin"/>
          <w:b w:val="false"/>
          <w:b w:val="false"/>
          <w:bCs w:val="false"/>
          <w:i w:val="false"/>
          <w:i w:val="false"/>
          <w:iCs w:val="false"/>
          <w:color w:val="333333"/>
          <w:sz w:val="20"/>
          <w:sz w:val="20"/>
          <w:szCs w:val="20"/>
          <w:rtl w:val="true"/>
        </w:rPr>
        <w:t xml:space="preserve"> ؛ 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 الإمام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الوصول إلى الإمام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الاحسائي، عوالي اللآلئ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المخطوطة، والظاهر أنها زائدة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نسخة 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الشيخ الطوسي،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باب الزيادات في القضايا والأحكام ح</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باب الاتفاق على عدلين في الحكومة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حيث حكاه عن السيد الصدر في شرح الوافية؛الآخوند الخراساني،كفاية الأصول</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ما يستلزم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 مخصص</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المزيتين راجعتين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من المرجحات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الفوائد الحائرية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المحقق الرشتي، 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ما رواة البزنطي في جامعه عن الرضاء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 إلقاء الأصول وعليكم التفريع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صفات القاضي وما يجوز أن يقضي به ح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ورواية أبي خديجة سالم بن مكرم الجمال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باب أدب الحكم، ح</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کان  الفقهاء صائناً لنفسه حافظاً لدينه مخالفاً على هواه مطيعا لأمر مولاه فللعوام أن يقلّدوه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الشيخ الطوسي،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٧٣٠</w:t>
      </w:r>
      <w:r>
        <w:rPr>
          <w:rFonts w:ascii="IRNazanin" w:hAnsi="IRNazanin" w:eastAsia="IRNazanin"/>
          <w:b w:val="false"/>
          <w:b w:val="false"/>
          <w:bCs w:val="false"/>
          <w:i w:val="false"/>
          <w:i w:val="false"/>
          <w:iCs w:val="false"/>
          <w:color w:val="333333"/>
          <w:sz w:val="20"/>
          <w:sz w:val="20"/>
          <w:szCs w:val="20"/>
          <w:rtl w:val="true"/>
        </w:rPr>
        <w:t>، حيث يستظهر من كلام الشيخ قدس سرهُ الأصفهاني، 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 إرشاد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الآمدي،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الشيخ الطوسي،العدة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٧٢٦</w:t>
      </w:r>
      <w:r>
        <w:rPr>
          <w:rFonts w:ascii="IRNazanin" w:hAnsi="IRNazanin" w:eastAsia="IRNazanin"/>
          <w:b w:val="false"/>
          <w:b w:val="false"/>
          <w:bCs w:val="false"/>
          <w:i w:val="false"/>
          <w:i w:val="false"/>
          <w:iCs w:val="false"/>
          <w:color w:val="333333"/>
          <w:sz w:val="20"/>
          <w:sz w:val="20"/>
          <w:szCs w:val="20"/>
          <w:rtl w:val="true"/>
        </w:rPr>
        <w:t xml:space="preserve">؛ الشهيد الثاني، تمهيد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أن لا يجب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أسد الله صاحب المقابيس رحمة الله علیه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الآمالي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المجلس الأول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 علمت حتى 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علمتَ لأن تعمل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 القمي،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الجواهري،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٤۰۱</w:t>
      </w:r>
      <w:r>
        <w:rPr>
          <w:rFonts w:ascii="IRNazanin" w:hAnsi="IRNazanin" w:eastAsia="IRNazanin"/>
          <w:b w:val="false"/>
          <w:b w:val="false"/>
          <w:bCs w:val="false"/>
          <w:i w:val="false"/>
          <w:i w:val="false"/>
          <w:iCs w:val="false"/>
          <w:color w:val="333333"/>
          <w:sz w:val="20"/>
          <w:sz w:val="20"/>
          <w:szCs w:val="20"/>
          <w:rtl w:val="true"/>
        </w:rPr>
        <w:t xml:space="preserve"> حكاه عن غير واحد؛ الحائري،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٤۲۹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 الأردبيلي،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عدم جواز تقليد الميت مطلقاً فهو ، مذهب 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ذكرى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رجوع الحائض إلى الزوج العامي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،بدون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مؤلّفات السيد المصنّف قال عنه 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ينفع المحتاط والمقلّد خرج منه كتاب الطهارة وكتاب الصلاة، وفي مقدمته مباحث التقليد على سبيل 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السيد حسن الصدر، تكملة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الطهراني، الذريعة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نسخة الأصل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72231</Words>
  <Characters>330118</Characters>
  <CharactersWithSpaces>400616</CharactersWithSpaces>
  <Paragraphs>2606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2026-08-20T11:39:54Z</dcterms:created>
  <dc:creator>ghaemiyeh.com</dc:creator>
  <dc:description/>
  <dc:language>en-US</dc:language>
  <cp:lastModifiedBy/>
  <dcterms:modified xsi:type="dcterms:W3CDTF">2026-08-20T15:10:03Z</dcterms:modified>
  <cp:revision>1</cp:revision>
  <dc:subject/>
  <dc:title>اللوامع الحسنیة فی الأصول الفقهیة</dc:title>
</cp:coreProperties>
</file>

<file path=docProps/custom.xml><?xml version="1.0" encoding="utf-8"?>
<Properties xmlns="http://schemas.openxmlformats.org/officeDocument/2006/custom-properties" xmlns:vt="http://schemas.openxmlformats.org/officeDocument/2006/docPropsVTypes"/>
</file>