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2</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6622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96624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96626_2870459653">
            <w:r>
              <w:rPr>
                <w:webHidden/>
                <w:rStyle w:val="IndexLink"/>
                <w:rtl w:val="true"/>
              </w:rPr>
              <w:t>روش شناسی مناظرات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جریان قیام عاشورا</w:t>
            </w:r>
            <w:r>
              <w:rPr>
                <w:rStyle w:val="IndexLink"/>
                <w:rtl w:val="true"/>
              </w:rPr>
              <w:tab/>
            </w:r>
            <w:r>
              <w:rPr>
                <w:rStyle w:val="IndexLink"/>
              </w:rPr>
              <w:t>12</w:t>
            </w:r>
          </w:hyperlink>
        </w:p>
        <w:p>
          <w:pPr>
            <w:pStyle w:val="Contents3"/>
            <w:tabs>
              <w:tab w:val="clear" w:pos="8459"/>
              <w:tab w:val="right" w:pos="9026" w:leader="dot"/>
            </w:tabs>
            <w:rPr/>
          </w:pPr>
          <w:hyperlink w:anchor="__RefHeading___Toc1296628_2870459653">
            <w:r>
              <w:rPr>
                <w:webHidden/>
                <w:rStyle w:val="IndexLink"/>
                <w:rtl w:val="true"/>
              </w:rPr>
              <w:t xml:space="preserve">طاهره عطار </w:t>
            </w:r>
            <w:r>
              <w:rPr>
                <w:rStyle w:val="IndexLink"/>
                <w:rtl w:val="true"/>
              </w:rPr>
              <w:t xml:space="preserve">- </w:t>
            </w:r>
            <w:r>
              <w:rPr>
                <w:rStyle w:val="IndexLink"/>
                <w:rtl w:val="true"/>
              </w:rPr>
              <w:t>محمد رنجبرحسینی</w:t>
            </w:r>
            <w:r>
              <w:rPr>
                <w:rStyle w:val="IndexLink"/>
                <w:rtl w:val="true"/>
              </w:rPr>
              <w:tab/>
            </w:r>
            <w:r>
              <w:rPr>
                <w:rStyle w:val="IndexLink"/>
              </w:rPr>
              <w:t>12</w:t>
            </w:r>
          </w:hyperlink>
        </w:p>
        <w:p>
          <w:pPr>
            <w:pStyle w:val="Contents3"/>
            <w:tabs>
              <w:tab w:val="clear" w:pos="8459"/>
              <w:tab w:val="right" w:pos="9026" w:leader="dot"/>
            </w:tabs>
            <w:rPr/>
          </w:pPr>
          <w:hyperlink w:anchor="__RefHeading___Toc1296630_2870459653">
            <w:r>
              <w:rPr>
                <w:webHidden/>
                <w:rStyle w:val="IndexLink"/>
                <w:rtl w:val="true"/>
              </w:rPr>
              <w:t>چکیده</w:t>
            </w:r>
            <w:r>
              <w:rPr>
                <w:rStyle w:val="IndexLink"/>
                <w:rtl w:val="true"/>
              </w:rPr>
              <w:tab/>
            </w:r>
            <w:r>
              <w:rPr>
                <w:rStyle w:val="IndexLink"/>
              </w:rPr>
              <w:t>12</w:t>
            </w:r>
          </w:hyperlink>
        </w:p>
        <w:p>
          <w:pPr>
            <w:pStyle w:val="Contents3"/>
            <w:tabs>
              <w:tab w:val="clear" w:pos="8459"/>
              <w:tab w:val="right" w:pos="9026" w:leader="dot"/>
            </w:tabs>
            <w:rPr/>
          </w:pPr>
          <w:hyperlink w:anchor="__RefHeading___Toc1296632_2870459653">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1296634_2870459653">
            <w:r>
              <w:rPr>
                <w:webHidden/>
                <w:rStyle w:val="IndexLink"/>
                <w:rtl w:val="true"/>
              </w:rPr>
              <w:t>کلیات و مفاهیم</w:t>
            </w:r>
            <w:r>
              <w:rPr>
                <w:rStyle w:val="IndexLink"/>
                <w:rtl w:val="true"/>
              </w:rPr>
              <w:tab/>
            </w:r>
            <w:r>
              <w:rPr>
                <w:rStyle w:val="IndexLink"/>
              </w:rPr>
              <w:t>14</w:t>
            </w:r>
          </w:hyperlink>
        </w:p>
        <w:p>
          <w:pPr>
            <w:pStyle w:val="Contents3"/>
            <w:tabs>
              <w:tab w:val="clear" w:pos="8459"/>
              <w:tab w:val="right" w:pos="9026" w:leader="dot"/>
            </w:tabs>
            <w:rPr/>
          </w:pPr>
          <w:hyperlink w:anchor="__RefHeading___Toc1296636_2870459653">
            <w:r>
              <w:rPr>
                <w:webHidden/>
                <w:rStyle w:val="IndexLink"/>
                <w:rtl w:val="true"/>
              </w:rPr>
              <w:t>روش شناسی</w:t>
            </w:r>
            <w:r>
              <w:rPr>
                <w:rStyle w:val="IndexLink"/>
                <w:rtl w:val="true"/>
              </w:rPr>
              <w:tab/>
            </w:r>
            <w:r>
              <w:rPr>
                <w:rStyle w:val="IndexLink"/>
              </w:rPr>
              <w:t>14</w:t>
            </w:r>
          </w:hyperlink>
        </w:p>
        <w:p>
          <w:pPr>
            <w:pStyle w:val="Contents3"/>
            <w:tabs>
              <w:tab w:val="clear" w:pos="8459"/>
              <w:tab w:val="right" w:pos="9026" w:leader="dot"/>
            </w:tabs>
            <w:rPr/>
          </w:pPr>
          <w:hyperlink w:anchor="__RefHeading___Toc1296638_2870459653">
            <w:r>
              <w:rPr>
                <w:webHidden/>
                <w:rStyle w:val="IndexLink"/>
                <w:rtl w:val="true"/>
              </w:rPr>
              <w:t>مناظره</w:t>
            </w:r>
            <w:r>
              <w:rPr>
                <w:rStyle w:val="IndexLink"/>
                <w:rtl w:val="true"/>
              </w:rPr>
              <w:tab/>
            </w:r>
            <w:r>
              <w:rPr>
                <w:rStyle w:val="IndexLink"/>
              </w:rPr>
              <w:t>14</w:t>
            </w:r>
          </w:hyperlink>
        </w:p>
        <w:p>
          <w:pPr>
            <w:pStyle w:val="Contents3"/>
            <w:tabs>
              <w:tab w:val="clear" w:pos="8459"/>
              <w:tab w:val="right" w:pos="9026" w:leader="dot"/>
            </w:tabs>
            <w:rPr/>
          </w:pPr>
          <w:hyperlink w:anchor="__RefHeading___Toc1296640_2870459653">
            <w:r>
              <w:rPr>
                <w:webHidden/>
                <w:rStyle w:val="IndexLink"/>
                <w:rtl w:val="true"/>
              </w:rPr>
              <w:t>الف</w:t>
            </w:r>
            <w:r>
              <w:rPr>
                <w:rStyle w:val="IndexLink"/>
                <w:rtl w:val="true"/>
              </w:rPr>
              <w:t xml:space="preserve">: </w:t>
            </w:r>
            <w:r>
              <w:rPr>
                <w:rStyle w:val="IndexLink"/>
                <w:rtl w:val="true"/>
              </w:rPr>
              <w:t>منطق حاکم بر ساختار مناظرات امام حسین</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4"/>
            <w:tabs>
              <w:tab w:val="clear" w:pos="8176"/>
              <w:tab w:val="right" w:pos="9026" w:leader="dot"/>
            </w:tabs>
            <w:rPr/>
          </w:pPr>
          <w:hyperlink w:anchor="__RefHeading___Toc1296642_2870459653">
            <w:r>
              <w:rPr>
                <w:webHidden/>
                <w:rStyle w:val="IndexLink"/>
              </w:rPr>
              <w:t>1</w:t>
            </w:r>
            <w:r>
              <w:rPr>
                <w:rStyle w:val="IndexLink"/>
                <w:rtl w:val="true"/>
              </w:rPr>
              <w:t xml:space="preserve">. </w:t>
            </w:r>
            <w:r>
              <w:rPr>
                <w:rStyle w:val="IndexLink"/>
                <w:rtl w:val="true"/>
              </w:rPr>
              <w:t>پیش بردن بحث به صورت منظم</w:t>
            </w:r>
            <w:r>
              <w:rPr>
                <w:rStyle w:val="IndexLink"/>
                <w:rtl w:val="true"/>
              </w:rPr>
              <w:tab/>
            </w:r>
            <w:r>
              <w:rPr>
                <w:rStyle w:val="IndexLink"/>
              </w:rPr>
              <w:t>15</w:t>
            </w:r>
          </w:hyperlink>
        </w:p>
        <w:p>
          <w:pPr>
            <w:pStyle w:val="Contents4"/>
            <w:tabs>
              <w:tab w:val="clear" w:pos="8176"/>
              <w:tab w:val="right" w:pos="9026" w:leader="dot"/>
            </w:tabs>
            <w:rPr/>
          </w:pPr>
          <w:hyperlink w:anchor="__RefHeading___Toc1296644_2870459653">
            <w:r>
              <w:rPr>
                <w:webHidden/>
                <w:rStyle w:val="IndexLink"/>
              </w:rPr>
              <w:t>2</w:t>
            </w:r>
            <w:r>
              <w:rPr>
                <w:rStyle w:val="IndexLink"/>
                <w:rtl w:val="true"/>
              </w:rPr>
              <w:t xml:space="preserve">. </w:t>
            </w:r>
            <w:r>
              <w:rPr>
                <w:rStyle w:val="IndexLink"/>
                <w:rtl w:val="true"/>
              </w:rPr>
              <w:t>اقرار گرفتن از خصم با سؤالات حساب شده</w:t>
            </w:r>
            <w:r>
              <w:rPr>
                <w:rStyle w:val="IndexLink"/>
                <w:rtl w:val="true"/>
              </w:rPr>
              <w:tab/>
            </w:r>
            <w:r>
              <w:rPr>
                <w:rStyle w:val="IndexLink"/>
              </w:rPr>
              <w:t>16</w:t>
            </w:r>
          </w:hyperlink>
        </w:p>
        <w:p>
          <w:pPr>
            <w:pStyle w:val="Contents4"/>
            <w:tabs>
              <w:tab w:val="clear" w:pos="8176"/>
              <w:tab w:val="right" w:pos="9026" w:leader="dot"/>
            </w:tabs>
            <w:rPr/>
          </w:pPr>
          <w:hyperlink w:anchor="__RefHeading___Toc1296646_2870459653">
            <w:r>
              <w:rPr>
                <w:webHidden/>
                <w:rStyle w:val="IndexLink"/>
              </w:rPr>
              <w:t>3</w:t>
            </w:r>
            <w:r>
              <w:rPr>
                <w:rStyle w:val="IndexLink"/>
                <w:rtl w:val="true"/>
              </w:rPr>
              <w:t xml:space="preserve">. </w:t>
            </w:r>
            <w:r>
              <w:rPr>
                <w:rStyle w:val="IndexLink"/>
                <w:rtl w:val="true"/>
              </w:rPr>
              <w:t>نقد دقیق سخن</w:t>
            </w:r>
            <w:r>
              <w:rPr>
                <w:rStyle w:val="IndexLink"/>
                <w:rtl w:val="true"/>
              </w:rPr>
              <w:tab/>
            </w:r>
            <w:r>
              <w:rPr>
                <w:rStyle w:val="IndexLink"/>
              </w:rPr>
              <w:t>18</w:t>
            </w:r>
          </w:hyperlink>
        </w:p>
        <w:p>
          <w:pPr>
            <w:pStyle w:val="Contents4"/>
            <w:tabs>
              <w:tab w:val="clear" w:pos="8176"/>
              <w:tab w:val="right" w:pos="9026" w:leader="dot"/>
            </w:tabs>
            <w:rPr/>
          </w:pPr>
          <w:hyperlink w:anchor="__RefHeading___Toc1296648_2870459653">
            <w:r>
              <w:rPr>
                <w:webHidden/>
                <w:rStyle w:val="IndexLink"/>
              </w:rPr>
              <w:t>4</w:t>
            </w:r>
            <w:r>
              <w:rPr>
                <w:rStyle w:val="IndexLink"/>
                <w:rtl w:val="true"/>
              </w:rPr>
              <w:t xml:space="preserve">. </w:t>
            </w:r>
            <w:r>
              <w:rPr>
                <w:rStyle w:val="IndexLink"/>
                <w:rtl w:val="true"/>
              </w:rPr>
              <w:t>مقابله و مقایسه</w:t>
            </w:r>
            <w:r>
              <w:rPr>
                <w:rStyle w:val="IndexLink"/>
                <w:rtl w:val="true"/>
              </w:rPr>
              <w:tab/>
            </w:r>
            <w:r>
              <w:rPr>
                <w:rStyle w:val="IndexLink"/>
              </w:rPr>
              <w:t>19</w:t>
            </w:r>
          </w:hyperlink>
        </w:p>
        <w:p>
          <w:pPr>
            <w:pStyle w:val="Contents4"/>
            <w:tabs>
              <w:tab w:val="clear" w:pos="8176"/>
              <w:tab w:val="right" w:pos="9026" w:leader="dot"/>
            </w:tabs>
            <w:rPr/>
          </w:pPr>
          <w:hyperlink w:anchor="__RefHeading___Toc1296650_2870459653">
            <w:r>
              <w:rPr>
                <w:webHidden/>
                <w:rStyle w:val="IndexLink"/>
              </w:rPr>
              <w:t>5</w:t>
            </w:r>
            <w:r>
              <w:rPr>
                <w:rStyle w:val="IndexLink"/>
                <w:rtl w:val="true"/>
              </w:rPr>
              <w:t xml:space="preserve">. </w:t>
            </w:r>
            <w:r>
              <w:rPr>
                <w:rStyle w:val="IndexLink"/>
                <w:rtl w:val="true"/>
              </w:rPr>
              <w:t>تسجیل</w:t>
            </w:r>
            <w:r>
              <w:rPr>
                <w:rStyle w:val="IndexLink"/>
                <w:rtl w:val="true"/>
              </w:rPr>
              <w:tab/>
            </w:r>
            <w:r>
              <w:rPr>
                <w:rStyle w:val="IndexLink"/>
              </w:rPr>
              <w:t>20</w:t>
            </w:r>
          </w:hyperlink>
        </w:p>
        <w:p>
          <w:pPr>
            <w:pStyle w:val="Contents4"/>
            <w:tabs>
              <w:tab w:val="clear" w:pos="8176"/>
              <w:tab w:val="right" w:pos="9026" w:leader="dot"/>
            </w:tabs>
            <w:rPr/>
          </w:pPr>
          <w:hyperlink w:anchor="__RefHeading___Toc1296652_2870459653">
            <w:r>
              <w:rPr>
                <w:webHidden/>
                <w:rStyle w:val="IndexLink"/>
              </w:rPr>
              <w:t>6</w:t>
            </w:r>
            <w:r>
              <w:rPr>
                <w:rStyle w:val="IndexLink"/>
                <w:rtl w:val="true"/>
              </w:rPr>
              <w:t xml:space="preserve">. </w:t>
            </w:r>
            <w:r>
              <w:rPr>
                <w:rStyle w:val="IndexLink"/>
                <w:rtl w:val="true"/>
              </w:rPr>
              <w:t>قرارگرفتن در جایگاه پرسش گر</w:t>
            </w:r>
            <w:r>
              <w:rPr>
                <w:rStyle w:val="IndexLink"/>
                <w:rtl w:val="true"/>
              </w:rPr>
              <w:tab/>
            </w:r>
            <w:r>
              <w:rPr>
                <w:rStyle w:val="IndexLink"/>
              </w:rPr>
              <w:t>20</w:t>
            </w:r>
          </w:hyperlink>
        </w:p>
        <w:p>
          <w:pPr>
            <w:pStyle w:val="Contents4"/>
            <w:tabs>
              <w:tab w:val="clear" w:pos="8176"/>
              <w:tab w:val="right" w:pos="9026" w:leader="dot"/>
            </w:tabs>
            <w:rPr/>
          </w:pPr>
          <w:hyperlink w:anchor="__RefHeading___Toc1296654_2870459653">
            <w:r>
              <w:rPr>
                <w:webHidden/>
                <w:rStyle w:val="IndexLink"/>
              </w:rPr>
              <w:t>7</w:t>
            </w:r>
            <w:r>
              <w:rPr>
                <w:rStyle w:val="IndexLink"/>
                <w:rtl w:val="true"/>
              </w:rPr>
              <w:t xml:space="preserve">. </w:t>
            </w:r>
            <w:r>
              <w:rPr>
                <w:rStyle w:val="IndexLink"/>
                <w:rtl w:val="true"/>
              </w:rPr>
              <w:t>بیدار کردن فطرت</w:t>
            </w:r>
            <w:r>
              <w:rPr>
                <w:rStyle w:val="IndexLink"/>
                <w:rtl w:val="true"/>
              </w:rPr>
              <w:tab/>
            </w:r>
            <w:r>
              <w:rPr>
                <w:rStyle w:val="IndexLink"/>
              </w:rPr>
              <w:t>21</w:t>
            </w:r>
          </w:hyperlink>
        </w:p>
        <w:p>
          <w:pPr>
            <w:pStyle w:val="Contents4"/>
            <w:tabs>
              <w:tab w:val="clear" w:pos="8176"/>
              <w:tab w:val="right" w:pos="9026" w:leader="dot"/>
            </w:tabs>
            <w:rPr/>
          </w:pPr>
          <w:hyperlink w:anchor="__RefHeading___Toc1296656_2870459653">
            <w:r>
              <w:rPr>
                <w:webHidden/>
                <w:rStyle w:val="IndexLink"/>
              </w:rPr>
              <w:t>8</w:t>
            </w:r>
            <w:r>
              <w:rPr>
                <w:rStyle w:val="IndexLink"/>
                <w:rtl w:val="true"/>
              </w:rPr>
              <w:t xml:space="preserve">. </w:t>
            </w:r>
            <w:r>
              <w:rPr>
                <w:rStyle w:val="IndexLink"/>
                <w:rtl w:val="true"/>
              </w:rPr>
              <w:t>به کارگیری زبان انگیزشی</w:t>
            </w:r>
            <w:r>
              <w:rPr>
                <w:rStyle w:val="IndexLink"/>
                <w:rtl w:val="true"/>
              </w:rPr>
              <w:tab/>
            </w:r>
            <w:r>
              <w:rPr>
                <w:rStyle w:val="IndexLink"/>
              </w:rPr>
              <w:t>22</w:t>
            </w:r>
          </w:hyperlink>
        </w:p>
        <w:p>
          <w:pPr>
            <w:pStyle w:val="Contents3"/>
            <w:tabs>
              <w:tab w:val="clear" w:pos="8459"/>
              <w:tab w:val="right" w:pos="9026" w:leader="dot"/>
            </w:tabs>
            <w:rPr/>
          </w:pPr>
          <w:hyperlink w:anchor="__RefHeading___Toc1296658_2870459653">
            <w:r>
              <w:rPr>
                <w:webHidden/>
                <w:rStyle w:val="IndexLink"/>
                <w:rtl w:val="true"/>
              </w:rPr>
              <w:t>ب</w:t>
            </w:r>
            <w:r>
              <w:rPr>
                <w:rStyle w:val="IndexLink"/>
                <w:rtl w:val="true"/>
              </w:rPr>
              <w:t xml:space="preserve">: </w:t>
            </w:r>
            <w:r>
              <w:rPr>
                <w:rStyle w:val="IndexLink"/>
                <w:rtl w:val="true"/>
              </w:rPr>
              <w:t>منطق حاکم بر محتوای مناظرات امام حسین</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4"/>
            <w:tabs>
              <w:tab w:val="clear" w:pos="8176"/>
              <w:tab w:val="right" w:pos="9026" w:leader="dot"/>
            </w:tabs>
            <w:rPr/>
          </w:pPr>
          <w:hyperlink w:anchor="__RefHeading___Toc1296660_2870459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296662_2870459653">
            <w:r>
              <w:rPr>
                <w:webHidden/>
                <w:rStyle w:val="IndexLink"/>
              </w:rPr>
              <w:t>1</w:t>
            </w:r>
            <w:r>
              <w:rPr>
                <w:rStyle w:val="IndexLink"/>
                <w:rtl w:val="true"/>
              </w:rPr>
              <w:t xml:space="preserve">. </w:t>
            </w:r>
            <w:r>
              <w:rPr>
                <w:rStyle w:val="IndexLink"/>
                <w:rtl w:val="true"/>
              </w:rPr>
              <w:t>استناد به قرآن</w:t>
            </w:r>
            <w:r>
              <w:rPr>
                <w:rStyle w:val="IndexLink"/>
                <w:rtl w:val="true"/>
              </w:rPr>
              <w:tab/>
            </w:r>
            <w:r>
              <w:rPr>
                <w:rStyle w:val="IndexLink"/>
              </w:rPr>
              <w:t>24</w:t>
            </w:r>
          </w:hyperlink>
        </w:p>
        <w:p>
          <w:pPr>
            <w:pStyle w:val="Contents4"/>
            <w:tabs>
              <w:tab w:val="clear" w:pos="8176"/>
              <w:tab w:val="right" w:pos="9026" w:leader="dot"/>
            </w:tabs>
            <w:rPr/>
          </w:pPr>
          <w:hyperlink w:anchor="__RefHeading___Toc1296664_2870459653">
            <w:r>
              <w:rPr>
                <w:webHidden/>
                <w:rStyle w:val="IndexLink"/>
              </w:rPr>
              <w:t>2</w:t>
            </w:r>
            <w:r>
              <w:rPr>
                <w:rStyle w:val="IndexLink"/>
                <w:rtl w:val="true"/>
              </w:rPr>
              <w:t xml:space="preserve">. </w:t>
            </w:r>
            <w:r>
              <w:rPr>
                <w:rStyle w:val="IndexLink"/>
                <w:rtl w:val="true"/>
              </w:rPr>
              <w:t>استناد به احادیث پیامبر</w:t>
            </w:r>
            <w:r>
              <w:rPr>
                <w:rStyle w:val="IndexLink"/>
                <w:rtl w:val="true"/>
              </w:rPr>
              <w:t>(</w:t>
            </w:r>
            <w:r>
              <w:rPr>
                <w:rStyle w:val="IndexLink"/>
                <w:rtl w:val="true"/>
              </w:rPr>
              <w:t>صلی الله علیه و آله و سلم</w:t>
            </w:r>
            <w:r>
              <w:rPr>
                <w:rStyle w:val="IndexLink"/>
                <w:rtl w:val="true"/>
              </w:rPr>
              <w:t>)</w:t>
              <w:tab/>
            </w:r>
            <w:r>
              <w:rPr>
                <w:rStyle w:val="IndexLink"/>
              </w:rPr>
              <w:t>25</w:t>
            </w:r>
          </w:hyperlink>
        </w:p>
        <w:p>
          <w:pPr>
            <w:pStyle w:val="Contents4"/>
            <w:tabs>
              <w:tab w:val="clear" w:pos="8176"/>
              <w:tab w:val="right" w:pos="9026" w:leader="dot"/>
            </w:tabs>
            <w:rPr/>
          </w:pPr>
          <w:hyperlink w:anchor="__RefHeading___Toc1296666_2870459653">
            <w:r>
              <w:rPr>
                <w:webHidden/>
                <w:rStyle w:val="IndexLink"/>
              </w:rPr>
              <w:t>3</w:t>
            </w:r>
            <w:r>
              <w:rPr>
                <w:rStyle w:val="IndexLink"/>
                <w:rtl w:val="true"/>
              </w:rPr>
              <w:t xml:space="preserve">. </w:t>
            </w:r>
            <w:r>
              <w:rPr>
                <w:rStyle w:val="IndexLink"/>
                <w:rtl w:val="true"/>
              </w:rPr>
              <w:t>استناد به مقبولات</w:t>
            </w:r>
            <w:r>
              <w:rPr>
                <w:rStyle w:val="IndexLink"/>
                <w:rtl w:val="true"/>
              </w:rPr>
              <w:tab/>
            </w:r>
            <w:r>
              <w:rPr>
                <w:rStyle w:val="IndexLink"/>
              </w:rPr>
              <w:t>26</w:t>
            </w:r>
          </w:hyperlink>
        </w:p>
        <w:p>
          <w:pPr>
            <w:pStyle w:val="Contents3"/>
            <w:tabs>
              <w:tab w:val="clear" w:pos="8459"/>
              <w:tab w:val="right" w:pos="9026" w:leader="dot"/>
            </w:tabs>
            <w:rPr/>
          </w:pPr>
          <w:hyperlink w:anchor="__RefHeading___Toc1296668_2870459653">
            <w:r>
              <w:rPr>
                <w:webHidden/>
                <w:rStyle w:val="IndexLink"/>
                <w:rtl w:val="true"/>
              </w:rPr>
              <w:t>ج</w:t>
            </w:r>
            <w:r>
              <w:rPr>
                <w:rStyle w:val="IndexLink"/>
                <w:rtl w:val="true"/>
              </w:rPr>
              <w:t xml:space="preserve">: </w:t>
            </w:r>
            <w:r>
              <w:rPr>
                <w:rStyle w:val="IndexLink"/>
                <w:rtl w:val="true"/>
              </w:rPr>
              <w:t>اصول اخلاقی حاکم بر مناظرات امام حسین</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1296670_2870459653">
            <w:r>
              <w:rPr>
                <w:webHidden/>
                <w:rStyle w:val="IndexLink"/>
                <w:rtl w:val="true"/>
              </w:rPr>
              <w:t>نتیجه گیری</w:t>
            </w:r>
            <w:r>
              <w:rPr>
                <w:rStyle w:val="IndexLink"/>
                <w:rtl w:val="true"/>
              </w:rPr>
              <w:tab/>
            </w:r>
            <w:r>
              <w:rPr>
                <w:rStyle w:val="IndexLink"/>
              </w:rPr>
              <w:t>29</w:t>
            </w:r>
          </w:hyperlink>
        </w:p>
        <w:p>
          <w:pPr>
            <w:pStyle w:val="Contents3"/>
            <w:tabs>
              <w:tab w:val="clear" w:pos="8459"/>
              <w:tab w:val="right" w:pos="9026" w:leader="dot"/>
            </w:tabs>
            <w:rPr/>
          </w:pPr>
          <w:hyperlink w:anchor="__RefHeading___Toc1296672_2870459653">
            <w:r>
              <w:rPr>
                <w:webHidden/>
                <w:rStyle w:val="IndexLink"/>
                <w:rtl w:val="true"/>
              </w:rPr>
              <w:t>منابع</w:t>
            </w:r>
            <w:r>
              <w:rPr>
                <w:rStyle w:val="IndexLink"/>
                <w:rtl w:val="true"/>
              </w:rPr>
              <w:t>:</w:t>
              <w:tab/>
            </w:r>
            <w:r>
              <w:rPr>
                <w:rStyle w:val="IndexLink"/>
              </w:rPr>
              <w:t>31</w:t>
            </w:r>
          </w:hyperlink>
        </w:p>
        <w:p>
          <w:pPr>
            <w:pStyle w:val="Contents2"/>
            <w:tabs>
              <w:tab w:val="clear" w:pos="8743"/>
              <w:tab w:val="right" w:pos="9026" w:leader="dot"/>
            </w:tabs>
            <w:rPr/>
          </w:pPr>
          <w:hyperlink w:anchor="__RefHeading___Toc1296674_2870459653">
            <w:r>
              <w:rPr>
                <w:webHidden/>
                <w:rStyle w:val="IndexLink"/>
                <w:rtl w:val="true"/>
              </w:rPr>
              <w:t xml:space="preserve">ادلّه قرآنی و روایی ذرّیه بودن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بر پایه مناظره یحیی بن یعمر با حجّاج بن یوسف</w:t>
            </w:r>
            <w:r>
              <w:rPr>
                <w:rStyle w:val="IndexLink"/>
                <w:rtl w:val="true"/>
              </w:rPr>
              <w:tab/>
            </w:r>
            <w:r>
              <w:rPr>
                <w:rStyle w:val="IndexLink"/>
              </w:rPr>
              <w:t>34</w:t>
            </w:r>
          </w:hyperlink>
        </w:p>
        <w:p>
          <w:pPr>
            <w:pStyle w:val="Contents3"/>
            <w:tabs>
              <w:tab w:val="clear" w:pos="8459"/>
              <w:tab w:val="right" w:pos="9026" w:leader="dot"/>
            </w:tabs>
            <w:rPr/>
          </w:pPr>
          <w:hyperlink w:anchor="__RefHeading___Toc1296676_2870459653">
            <w:r>
              <w:rPr>
                <w:webHidden/>
                <w:rStyle w:val="IndexLink"/>
                <w:rtl w:val="true"/>
              </w:rPr>
              <w:t xml:space="preserve">میثم خلیلی </w:t>
            </w:r>
            <w:r>
              <w:rPr>
                <w:rStyle w:val="IndexLink"/>
                <w:rtl w:val="true"/>
              </w:rPr>
              <w:t xml:space="preserve">- </w:t>
            </w:r>
            <w:r>
              <w:rPr>
                <w:rStyle w:val="IndexLink"/>
                <w:rtl w:val="true"/>
              </w:rPr>
              <w:t>دکتر جواد فرامرزی</w:t>
            </w:r>
            <w:r>
              <w:rPr>
                <w:rStyle w:val="IndexLink"/>
                <w:rtl w:val="true"/>
              </w:rPr>
              <w:tab/>
            </w:r>
            <w:r>
              <w:rPr>
                <w:rStyle w:val="IndexLink"/>
              </w:rPr>
              <w:t>34</w:t>
            </w:r>
          </w:hyperlink>
        </w:p>
        <w:p>
          <w:pPr>
            <w:pStyle w:val="Contents3"/>
            <w:tabs>
              <w:tab w:val="clear" w:pos="8459"/>
              <w:tab w:val="right" w:pos="9026" w:leader="dot"/>
            </w:tabs>
            <w:rPr/>
          </w:pPr>
          <w:hyperlink w:anchor="__RefHeading___Toc1296678_2870459653">
            <w:r>
              <w:rPr>
                <w:webHidden/>
                <w:rStyle w:val="IndexLink"/>
                <w:rtl w:val="true"/>
              </w:rPr>
              <w:t>چکیده</w:t>
            </w:r>
            <w:r>
              <w:rPr>
                <w:rStyle w:val="IndexLink"/>
                <w:rtl w:val="true"/>
              </w:rPr>
              <w:tab/>
            </w:r>
            <w:r>
              <w:rPr>
                <w:rStyle w:val="IndexLink"/>
              </w:rPr>
              <w:t>34</w:t>
            </w:r>
          </w:hyperlink>
        </w:p>
        <w:p>
          <w:pPr>
            <w:pStyle w:val="Contents3"/>
            <w:tabs>
              <w:tab w:val="clear" w:pos="8459"/>
              <w:tab w:val="right" w:pos="9026" w:leader="dot"/>
            </w:tabs>
            <w:rPr/>
          </w:pPr>
          <w:hyperlink w:anchor="__RefHeading___Toc1296680_2870459653">
            <w:r>
              <w:rPr>
                <w:webHidden/>
                <w:rStyle w:val="IndexLink"/>
              </w:rPr>
              <w:t>1</w:t>
            </w:r>
            <w:r>
              <w:rPr>
                <w:rStyle w:val="IndexLink"/>
                <w:rtl w:val="true"/>
              </w:rPr>
              <w:t xml:space="preserve">. </w:t>
            </w:r>
            <w:r>
              <w:rPr>
                <w:rStyle w:val="IndexLink"/>
                <w:rtl w:val="true"/>
              </w:rPr>
              <w:t>طرح مسأله</w:t>
            </w:r>
            <w:r>
              <w:rPr>
                <w:rStyle w:val="IndexLink"/>
                <w:rtl w:val="true"/>
              </w:rPr>
              <w:tab/>
            </w:r>
            <w:r>
              <w:rPr>
                <w:rStyle w:val="IndexLink"/>
              </w:rPr>
              <w:t>35</w:t>
            </w:r>
          </w:hyperlink>
        </w:p>
        <w:p>
          <w:pPr>
            <w:pStyle w:val="Contents3"/>
            <w:tabs>
              <w:tab w:val="clear" w:pos="8459"/>
              <w:tab w:val="right" w:pos="9026" w:leader="dot"/>
            </w:tabs>
            <w:rPr/>
          </w:pPr>
          <w:hyperlink w:anchor="__RefHeading___Toc1296682_2870459653">
            <w:r>
              <w:rPr>
                <w:webHidden/>
                <w:rStyle w:val="IndexLink"/>
              </w:rPr>
              <w:t>2</w:t>
            </w:r>
            <w:r>
              <w:rPr>
                <w:rStyle w:val="IndexLink"/>
                <w:rtl w:val="true"/>
              </w:rPr>
              <w:t xml:space="preserve">. </w:t>
            </w:r>
            <w:r>
              <w:rPr>
                <w:rStyle w:val="IndexLink"/>
                <w:rtl w:val="true"/>
              </w:rPr>
              <w:t>اصل مناظره به روایت حاکم نیشابوری</w:t>
            </w:r>
            <w:r>
              <w:rPr>
                <w:rStyle w:val="IndexLink"/>
                <w:rtl w:val="true"/>
              </w:rPr>
              <w:tab/>
            </w:r>
            <w:r>
              <w:rPr>
                <w:rStyle w:val="IndexLink"/>
              </w:rPr>
              <w:t>35</w:t>
            </w:r>
          </w:hyperlink>
        </w:p>
        <w:p>
          <w:pPr>
            <w:pStyle w:val="Contents3"/>
            <w:tabs>
              <w:tab w:val="clear" w:pos="8459"/>
              <w:tab w:val="right" w:pos="9026" w:leader="dot"/>
            </w:tabs>
            <w:rPr/>
          </w:pPr>
          <w:hyperlink w:anchor="__RefHeading___Toc1296684_2870459653">
            <w:r>
              <w:rPr>
                <w:webHidden/>
                <w:rStyle w:val="IndexLink"/>
              </w:rPr>
              <w:t>3</w:t>
            </w:r>
            <w:r>
              <w:rPr>
                <w:rStyle w:val="IndexLink"/>
                <w:rtl w:val="true"/>
              </w:rPr>
              <w:t xml:space="preserve">. </w:t>
            </w:r>
            <w:r>
              <w:rPr>
                <w:rStyle w:val="IndexLink"/>
                <w:rtl w:val="true"/>
              </w:rPr>
              <w:t>تبیین دلیل قرآنی یحیی بن یعمر</w:t>
            </w:r>
            <w:r>
              <w:rPr>
                <w:rStyle w:val="IndexLink"/>
                <w:rtl w:val="true"/>
              </w:rPr>
              <w:tab/>
            </w:r>
            <w:r>
              <w:rPr>
                <w:rStyle w:val="IndexLink"/>
              </w:rPr>
              <w:t>37</w:t>
            </w:r>
          </w:hyperlink>
        </w:p>
        <w:p>
          <w:pPr>
            <w:pStyle w:val="Contents3"/>
            <w:tabs>
              <w:tab w:val="clear" w:pos="8459"/>
              <w:tab w:val="right" w:pos="9026" w:leader="dot"/>
            </w:tabs>
            <w:rPr/>
          </w:pPr>
          <w:hyperlink w:anchor="__RefHeading___Toc1296686_2870459653">
            <w:r>
              <w:rPr>
                <w:webHidden/>
                <w:rStyle w:val="IndexLink"/>
              </w:rPr>
              <w:t>4</w:t>
            </w:r>
            <w:r>
              <w:rPr>
                <w:rStyle w:val="IndexLink"/>
                <w:rtl w:val="true"/>
              </w:rPr>
              <w:t xml:space="preserve">. </w:t>
            </w:r>
            <w:r>
              <w:rPr>
                <w:rStyle w:val="IndexLink"/>
                <w:rtl w:val="true"/>
              </w:rPr>
              <w:t xml:space="preserve">دیگر مؤیدات قرآنی و روایی در اثبات ذرّیه بودن امام حسین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1296688_2870459653">
            <w:r>
              <w:rPr>
                <w:webHidden/>
                <w:rStyle w:val="IndexLink"/>
              </w:rPr>
              <w:t>5</w:t>
            </w:r>
            <w:r>
              <w:rPr>
                <w:rStyle w:val="IndexLink"/>
                <w:rtl w:val="true"/>
              </w:rPr>
              <w:t xml:space="preserve">. </w:t>
            </w:r>
            <w:r>
              <w:rPr>
                <w:rStyle w:val="IndexLink"/>
                <w:rtl w:val="true"/>
              </w:rPr>
              <w:t>نتیجه</w:t>
            </w:r>
            <w:r>
              <w:rPr>
                <w:rStyle w:val="IndexLink"/>
                <w:rtl w:val="true"/>
              </w:rPr>
              <w:tab/>
            </w:r>
            <w:r>
              <w:rPr>
                <w:rStyle w:val="IndexLink"/>
              </w:rPr>
              <w:t>46</w:t>
            </w:r>
          </w:hyperlink>
        </w:p>
        <w:p>
          <w:pPr>
            <w:pStyle w:val="Contents3"/>
            <w:tabs>
              <w:tab w:val="clear" w:pos="8459"/>
              <w:tab w:val="right" w:pos="9026" w:leader="dot"/>
            </w:tabs>
            <w:rPr/>
          </w:pPr>
          <w:hyperlink w:anchor="__RefHeading___Toc1296690_2870459653">
            <w:r>
              <w:rPr>
                <w:webHidden/>
                <w:rStyle w:val="IndexLink"/>
                <w:rtl w:val="true"/>
              </w:rPr>
              <w:t>منابع</w:t>
            </w:r>
            <w:r>
              <w:rPr>
                <w:rStyle w:val="IndexLink"/>
                <w:rtl w:val="true"/>
              </w:rPr>
              <w:tab/>
            </w:r>
            <w:r>
              <w:rPr>
                <w:rStyle w:val="IndexLink"/>
              </w:rPr>
              <w:t>48</w:t>
            </w:r>
          </w:hyperlink>
        </w:p>
        <w:p>
          <w:pPr>
            <w:pStyle w:val="Contents2"/>
            <w:tabs>
              <w:tab w:val="clear" w:pos="8743"/>
              <w:tab w:val="right" w:pos="9026" w:leader="dot"/>
            </w:tabs>
            <w:rPr/>
          </w:pPr>
          <w:hyperlink w:anchor="__RefHeading___Toc1296692_2870459653">
            <w:r>
              <w:rPr>
                <w:webHidden/>
                <w:rStyle w:val="IndexLink"/>
                <w:rtl w:val="true"/>
              </w:rPr>
              <w:t>جمعیت شناسی حواشی فرات و جایگاه آن مقارن قیام عاشورا</w:t>
            </w:r>
            <w:r>
              <w:rPr>
                <w:rStyle w:val="IndexLink"/>
                <w:rtl w:val="true"/>
              </w:rPr>
              <w:tab/>
            </w:r>
            <w:r>
              <w:rPr>
                <w:rStyle w:val="IndexLink"/>
              </w:rPr>
              <w:t>52</w:t>
            </w:r>
          </w:hyperlink>
        </w:p>
        <w:p>
          <w:pPr>
            <w:pStyle w:val="Contents3"/>
            <w:tabs>
              <w:tab w:val="clear" w:pos="8459"/>
              <w:tab w:val="right" w:pos="9026" w:leader="dot"/>
            </w:tabs>
            <w:rPr/>
          </w:pPr>
          <w:hyperlink w:anchor="__RefHeading___Toc1296694_2870459653">
            <w:r>
              <w:rPr>
                <w:webHidden/>
                <w:rStyle w:val="IndexLink"/>
                <w:rtl w:val="true"/>
              </w:rPr>
              <w:t>دکترشهربانو دلبری</w:t>
            </w:r>
            <w:r>
              <w:rPr>
                <w:rStyle w:val="IndexLink"/>
                <w:rtl w:val="true"/>
              </w:rPr>
              <w:tab/>
            </w:r>
            <w:r>
              <w:rPr>
                <w:rStyle w:val="IndexLink"/>
              </w:rPr>
              <w:t>52</w:t>
            </w:r>
          </w:hyperlink>
        </w:p>
        <w:p>
          <w:pPr>
            <w:pStyle w:val="Contents3"/>
            <w:tabs>
              <w:tab w:val="clear" w:pos="8459"/>
              <w:tab w:val="right" w:pos="9026" w:leader="dot"/>
            </w:tabs>
            <w:rPr/>
          </w:pPr>
          <w:hyperlink w:anchor="__RefHeading___Toc1296696_2870459653">
            <w:r>
              <w:rPr>
                <w:webHidden/>
                <w:rStyle w:val="IndexLink"/>
                <w:rtl w:val="true"/>
              </w:rPr>
              <w:t>چکیده</w:t>
            </w:r>
            <w:r>
              <w:rPr>
                <w:rStyle w:val="IndexLink"/>
                <w:rtl w:val="true"/>
              </w:rPr>
              <w:tab/>
            </w:r>
            <w:r>
              <w:rPr>
                <w:rStyle w:val="IndexLink"/>
              </w:rPr>
              <w:t>52</w:t>
            </w:r>
          </w:hyperlink>
        </w:p>
        <w:p>
          <w:pPr>
            <w:pStyle w:val="Contents3"/>
            <w:tabs>
              <w:tab w:val="clear" w:pos="8459"/>
              <w:tab w:val="right" w:pos="9026" w:leader="dot"/>
            </w:tabs>
            <w:rPr/>
          </w:pPr>
          <w:hyperlink w:anchor="__RefHeading___Toc1296698_2870459653">
            <w:r>
              <w:rPr>
                <w:webHidden/>
                <w:rStyle w:val="IndexLink"/>
                <w:rtl w:val="true"/>
              </w:rPr>
              <w:t>مقدمه</w:t>
            </w:r>
            <w:r>
              <w:rPr>
                <w:rStyle w:val="IndexLink"/>
                <w:rtl w:val="true"/>
              </w:rPr>
              <w:tab/>
            </w:r>
            <w:r>
              <w:rPr>
                <w:rStyle w:val="IndexLink"/>
              </w:rPr>
              <w:t>53</w:t>
            </w:r>
          </w:hyperlink>
        </w:p>
        <w:p>
          <w:pPr>
            <w:pStyle w:val="Contents3"/>
            <w:tabs>
              <w:tab w:val="clear" w:pos="8459"/>
              <w:tab w:val="right" w:pos="9026" w:leader="dot"/>
            </w:tabs>
            <w:rPr/>
          </w:pPr>
          <w:hyperlink w:anchor="__RefHeading___Toc1296700_2870459653">
            <w:r>
              <w:rPr>
                <w:webHidden/>
                <w:rStyle w:val="IndexLink"/>
                <w:rtl w:val="true"/>
              </w:rPr>
              <w:t>سر چشمه و بستر شناسی فرات</w:t>
            </w:r>
            <w:r>
              <w:rPr>
                <w:rStyle w:val="IndexLink"/>
                <w:rtl w:val="true"/>
              </w:rPr>
              <w:tab/>
            </w:r>
            <w:r>
              <w:rPr>
                <w:rStyle w:val="IndexLink"/>
              </w:rPr>
              <w:t>54</w:t>
            </w:r>
          </w:hyperlink>
        </w:p>
        <w:p>
          <w:pPr>
            <w:pStyle w:val="Contents3"/>
            <w:tabs>
              <w:tab w:val="clear" w:pos="8459"/>
              <w:tab w:val="right" w:pos="9026" w:leader="dot"/>
            </w:tabs>
            <w:rPr/>
          </w:pPr>
          <w:hyperlink w:anchor="__RefHeading___Toc1296702_2870459653">
            <w:r>
              <w:rPr>
                <w:webHidden/>
                <w:rStyle w:val="IndexLink"/>
                <w:rtl w:val="true"/>
              </w:rPr>
              <w:t>شهرها و آبادی های ناحیه ی فرات</w:t>
            </w:r>
            <w:r>
              <w:rPr>
                <w:rStyle w:val="IndexLink"/>
                <w:rtl w:val="true"/>
              </w:rPr>
              <w:tab/>
            </w:r>
            <w:r>
              <w:rPr>
                <w:rStyle w:val="IndexLink"/>
              </w:rPr>
              <w:t>57</w:t>
            </w:r>
          </w:hyperlink>
        </w:p>
        <w:p>
          <w:pPr>
            <w:pStyle w:val="Contents3"/>
            <w:tabs>
              <w:tab w:val="clear" w:pos="8459"/>
              <w:tab w:val="right" w:pos="9026" w:leader="dot"/>
            </w:tabs>
            <w:rPr/>
          </w:pPr>
          <w:hyperlink w:anchor="__RefHeading___Toc1296704_2870459653">
            <w:r>
              <w:rPr>
                <w:webHidden/>
                <w:rStyle w:val="IndexLink"/>
                <w:rtl w:val="true"/>
              </w:rPr>
              <w:t>اقوام بومی و مهاجر در میان رودان</w:t>
            </w:r>
            <w:r>
              <w:rPr>
                <w:rStyle w:val="IndexLink"/>
                <w:rtl w:val="true"/>
              </w:rPr>
              <w:tab/>
            </w:r>
            <w:r>
              <w:rPr>
                <w:rStyle w:val="IndexLink"/>
              </w:rPr>
              <w:t>64</w:t>
            </w:r>
          </w:hyperlink>
        </w:p>
        <w:p>
          <w:pPr>
            <w:pStyle w:val="Contents3"/>
            <w:tabs>
              <w:tab w:val="clear" w:pos="8459"/>
              <w:tab w:val="right" w:pos="9026" w:leader="dot"/>
            </w:tabs>
            <w:rPr/>
          </w:pPr>
          <w:hyperlink w:anchor="__RefHeading___Toc1296706_2870459653">
            <w:r>
              <w:rPr>
                <w:webHidden/>
                <w:rStyle w:val="IndexLink"/>
                <w:rtl w:val="true"/>
              </w:rPr>
              <w:t>علایق دینی ساکنان حاشیه ی فرات و ساکنان غیر مسلمان</w:t>
            </w:r>
            <w:r>
              <w:rPr>
                <w:rStyle w:val="IndexLink"/>
                <w:rtl w:val="true"/>
              </w:rPr>
              <w:tab/>
            </w:r>
            <w:r>
              <w:rPr>
                <w:rStyle w:val="IndexLink"/>
              </w:rPr>
              <w:t>66</w:t>
            </w:r>
          </w:hyperlink>
        </w:p>
        <w:p>
          <w:pPr>
            <w:pStyle w:val="Contents3"/>
            <w:tabs>
              <w:tab w:val="clear" w:pos="8459"/>
              <w:tab w:val="right" w:pos="9026" w:leader="dot"/>
            </w:tabs>
            <w:rPr/>
          </w:pPr>
          <w:hyperlink w:anchor="__RefHeading___Toc1296708_2870459653">
            <w:r>
              <w:rPr>
                <w:webHidden/>
                <w:rStyle w:val="IndexLink"/>
                <w:rtl w:val="true"/>
              </w:rPr>
              <w:t>صفات ساکنان نواحی غربی و مرکزی بین النهرین</w:t>
            </w:r>
            <w:r>
              <w:rPr>
                <w:rStyle w:val="IndexLink"/>
                <w:rtl w:val="true"/>
              </w:rPr>
              <w:tab/>
            </w:r>
            <w:r>
              <w:rPr>
                <w:rStyle w:val="IndexLink"/>
              </w:rPr>
              <w:t>67</w:t>
            </w:r>
          </w:hyperlink>
        </w:p>
        <w:p>
          <w:pPr>
            <w:pStyle w:val="Contents4"/>
            <w:tabs>
              <w:tab w:val="clear" w:pos="8176"/>
              <w:tab w:val="right" w:pos="9026" w:leader="dot"/>
            </w:tabs>
            <w:rPr/>
          </w:pPr>
          <w:hyperlink w:anchor="__RefHeading___Toc1296710_2870459653">
            <w:r>
              <w:rPr>
                <w:webHidden/>
                <w:rStyle w:val="IndexLink"/>
              </w:rPr>
              <w:t>1</w:t>
            </w:r>
            <w:r>
              <w:rPr>
                <w:rStyle w:val="IndexLink"/>
                <w:rtl w:val="true"/>
              </w:rPr>
              <w:t xml:space="preserve"> . </w:t>
            </w:r>
            <w:r>
              <w:rPr>
                <w:rStyle w:val="IndexLink"/>
                <w:rtl w:val="true"/>
              </w:rPr>
              <w:t>عدم ثبات در تصمیم گیری ها</w:t>
            </w:r>
            <w:r>
              <w:rPr>
                <w:rStyle w:val="IndexLink"/>
                <w:rtl w:val="true"/>
              </w:rPr>
              <w:tab/>
            </w:r>
            <w:r>
              <w:rPr>
                <w:rStyle w:val="IndexLink"/>
              </w:rPr>
              <w:t>67</w:t>
            </w:r>
          </w:hyperlink>
        </w:p>
        <w:p>
          <w:pPr>
            <w:pStyle w:val="Contents4"/>
            <w:tabs>
              <w:tab w:val="clear" w:pos="8176"/>
              <w:tab w:val="right" w:pos="9026" w:leader="dot"/>
            </w:tabs>
            <w:rPr/>
          </w:pPr>
          <w:hyperlink w:anchor="__RefHeading___Toc1296712_2870459653">
            <w:r>
              <w:rPr>
                <w:webHidden/>
                <w:rStyle w:val="IndexLink"/>
              </w:rPr>
              <w:t>2</w:t>
            </w:r>
            <w:r>
              <w:rPr>
                <w:rStyle w:val="IndexLink"/>
                <w:rtl w:val="true"/>
              </w:rPr>
              <w:t xml:space="preserve">. </w:t>
            </w:r>
            <w:r>
              <w:rPr>
                <w:rStyle w:val="IndexLink"/>
                <w:rtl w:val="true"/>
              </w:rPr>
              <w:t>عدم بصیرت و نفاق</w:t>
            </w:r>
            <w:r>
              <w:rPr>
                <w:rStyle w:val="IndexLink"/>
                <w:rtl w:val="true"/>
              </w:rPr>
              <w:tab/>
            </w:r>
            <w:r>
              <w:rPr>
                <w:rStyle w:val="IndexLink"/>
              </w:rPr>
              <w:t>69</w:t>
            </w:r>
          </w:hyperlink>
        </w:p>
        <w:p>
          <w:pPr>
            <w:pStyle w:val="Contents3"/>
            <w:tabs>
              <w:tab w:val="clear" w:pos="8459"/>
              <w:tab w:val="right" w:pos="9026" w:leader="dot"/>
            </w:tabs>
            <w:rPr/>
          </w:pPr>
          <w:hyperlink w:anchor="__RefHeading___Toc1296714_2870459653">
            <w:r>
              <w:rPr>
                <w:webHidden/>
                <w:rStyle w:val="IndexLink"/>
                <w:rtl w:val="true"/>
              </w:rPr>
              <w:t>نتیجه</w:t>
            </w:r>
            <w:r>
              <w:rPr>
                <w:rStyle w:val="IndexLink"/>
                <w:rtl w:val="true"/>
              </w:rPr>
              <w:tab/>
            </w:r>
            <w:r>
              <w:rPr>
                <w:rStyle w:val="IndexLink"/>
              </w:rPr>
              <w:t>71</w:t>
            </w:r>
          </w:hyperlink>
        </w:p>
        <w:p>
          <w:pPr>
            <w:pStyle w:val="Contents3"/>
            <w:tabs>
              <w:tab w:val="clear" w:pos="8459"/>
              <w:tab w:val="right" w:pos="9026" w:leader="dot"/>
            </w:tabs>
            <w:rPr/>
          </w:pPr>
          <w:hyperlink w:anchor="__RefHeading___Toc1296716_2870459653">
            <w:r>
              <w:rPr>
                <w:webHidden/>
                <w:rStyle w:val="IndexLink"/>
                <w:rtl w:val="true"/>
              </w:rPr>
              <w:t xml:space="preserve">منابع </w:t>
            </w:r>
            <w:r>
              <w:rPr>
                <w:rStyle w:val="IndexLink"/>
                <w:rtl w:val="true"/>
              </w:rPr>
              <w:t>:</w:t>
              <w:tab/>
            </w:r>
            <w:r>
              <w:rPr>
                <w:rStyle w:val="IndexLink"/>
              </w:rPr>
              <w:t>72</w:t>
            </w:r>
          </w:hyperlink>
        </w:p>
        <w:p>
          <w:pPr>
            <w:pStyle w:val="Contents2"/>
            <w:tabs>
              <w:tab w:val="clear" w:pos="8743"/>
              <w:tab w:val="right" w:pos="9026" w:leader="dot"/>
            </w:tabs>
            <w:rPr/>
          </w:pPr>
          <w:hyperlink w:anchor="__RefHeading___Toc1296718_2870459653">
            <w:r>
              <w:rPr>
                <w:webHidden/>
                <w:rStyle w:val="IndexLink"/>
                <w:rtl w:val="true"/>
              </w:rPr>
              <w:t xml:space="preserve">بررسی سندی و دلایلی حدیث </w:t>
            </w:r>
            <w:r>
              <w:rPr>
                <w:rStyle w:val="IndexLink"/>
                <w:rtl w:val="true"/>
              </w:rPr>
              <w:t>«</w:t>
            </w:r>
            <w:r>
              <w:rPr>
                <w:rStyle w:val="IndexLink"/>
                <w:rtl w:val="true"/>
              </w:rPr>
              <w:t>ریّان بن شبیب</w:t>
            </w:r>
            <w:r>
              <w:rPr>
                <w:rStyle w:val="IndexLink"/>
                <w:rtl w:val="true"/>
              </w:rPr>
              <w:t xml:space="preserve">» </w:t>
            </w:r>
            <w:r>
              <w:rPr>
                <w:rStyle w:val="IndexLink"/>
                <w:rtl w:val="true"/>
              </w:rPr>
              <w:t>پیرامون عزاداری</w:t>
            </w:r>
            <w:r>
              <w:rPr>
                <w:rStyle w:val="IndexLink"/>
                <w:rtl w:val="true"/>
              </w:rPr>
              <w:tab/>
            </w:r>
            <w:r>
              <w:rPr>
                <w:rStyle w:val="IndexLink"/>
              </w:rPr>
              <w:t>76</w:t>
            </w:r>
          </w:hyperlink>
        </w:p>
        <w:p>
          <w:pPr>
            <w:pStyle w:val="Contents3"/>
            <w:tabs>
              <w:tab w:val="clear" w:pos="8459"/>
              <w:tab w:val="right" w:pos="9026" w:leader="dot"/>
            </w:tabs>
            <w:rPr/>
          </w:pPr>
          <w:hyperlink w:anchor="__RefHeading___Toc1296720_2870459653">
            <w:r>
              <w:rPr>
                <w:webHidden/>
                <w:rStyle w:val="IndexLink"/>
                <w:rtl w:val="true"/>
              </w:rPr>
              <w:t>دکتر سید مسعود عمرانی</w:t>
            </w:r>
            <w:r>
              <w:rPr>
                <w:rStyle w:val="IndexLink"/>
                <w:rtl w:val="true"/>
              </w:rPr>
              <w:tab/>
            </w:r>
            <w:r>
              <w:rPr>
                <w:rStyle w:val="IndexLink"/>
              </w:rPr>
              <w:t>76</w:t>
            </w:r>
          </w:hyperlink>
        </w:p>
        <w:p>
          <w:pPr>
            <w:pStyle w:val="Contents3"/>
            <w:tabs>
              <w:tab w:val="clear" w:pos="8459"/>
              <w:tab w:val="right" w:pos="9026" w:leader="dot"/>
            </w:tabs>
            <w:rPr/>
          </w:pPr>
          <w:hyperlink w:anchor="__RefHeading___Toc1296722_2870459653">
            <w:r>
              <w:rPr>
                <w:webHidden/>
                <w:rStyle w:val="IndexLink"/>
                <w:rtl w:val="true"/>
              </w:rPr>
              <w:t>چکیده</w:t>
            </w:r>
            <w:r>
              <w:rPr>
                <w:rStyle w:val="IndexLink"/>
                <w:rtl w:val="true"/>
              </w:rPr>
              <w:tab/>
            </w:r>
            <w:r>
              <w:rPr>
                <w:rStyle w:val="IndexLink"/>
              </w:rPr>
              <w:t>76</w:t>
            </w:r>
          </w:hyperlink>
        </w:p>
        <w:p>
          <w:pPr>
            <w:pStyle w:val="Contents3"/>
            <w:tabs>
              <w:tab w:val="clear" w:pos="8459"/>
              <w:tab w:val="right" w:pos="9026" w:leader="dot"/>
            </w:tabs>
            <w:rPr/>
          </w:pPr>
          <w:hyperlink w:anchor="__RefHeading___Toc1296724_2870459653">
            <w:r>
              <w:rPr>
                <w:webHidden/>
                <w:rStyle w:val="IndexLink"/>
                <w:rtl w:val="true"/>
              </w:rPr>
              <w:t>مقدمه</w:t>
            </w:r>
            <w:r>
              <w:rPr>
                <w:rStyle w:val="IndexLink"/>
                <w:rtl w:val="true"/>
              </w:rPr>
              <w:tab/>
            </w:r>
            <w:r>
              <w:rPr>
                <w:rStyle w:val="IndexLink"/>
              </w:rPr>
              <w:t>77</w:t>
            </w:r>
          </w:hyperlink>
        </w:p>
        <w:p>
          <w:pPr>
            <w:pStyle w:val="Contents4"/>
            <w:tabs>
              <w:tab w:val="clear" w:pos="8176"/>
              <w:tab w:val="right" w:pos="9026" w:leader="dot"/>
            </w:tabs>
            <w:rPr/>
          </w:pPr>
          <w:hyperlink w:anchor="__RefHeading___Toc1296726_287045965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296728_2870459653">
            <w:r>
              <w:rPr>
                <w:webHidden/>
                <w:rStyle w:val="IndexLink"/>
              </w:rPr>
              <w:t>1</w:t>
            </w:r>
            <w:r>
              <w:rPr>
                <w:rStyle w:val="IndexLink"/>
                <w:rtl w:val="true"/>
              </w:rPr>
              <w:t xml:space="preserve">. </w:t>
            </w:r>
            <w:r>
              <w:rPr>
                <w:rStyle w:val="IndexLink"/>
                <w:rtl w:val="true"/>
              </w:rPr>
              <w:t>بررسی سند و اعتبار روایت ریّان بن شبیب</w:t>
            </w:r>
            <w:r>
              <w:rPr>
                <w:rStyle w:val="IndexLink"/>
                <w:rtl w:val="true"/>
              </w:rPr>
              <w:tab/>
            </w:r>
            <w:r>
              <w:rPr>
                <w:rStyle w:val="IndexLink"/>
              </w:rPr>
              <w:t>77</w:t>
            </w:r>
          </w:hyperlink>
        </w:p>
        <w:p>
          <w:pPr>
            <w:pStyle w:val="Contents5"/>
            <w:tabs>
              <w:tab w:val="clear" w:pos="7892"/>
              <w:tab w:val="right" w:pos="9026" w:leader="dot"/>
            </w:tabs>
            <w:rPr/>
          </w:pPr>
          <w:hyperlink w:anchor="__RefHeading___Toc1296730_2870459653">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296732_2870459653">
            <w:r>
              <w:rPr>
                <w:webHidden/>
                <w:rStyle w:val="IndexLink"/>
              </w:rPr>
              <w:t>1</w:t>
            </w:r>
            <w:r>
              <w:rPr>
                <w:rStyle w:val="IndexLink"/>
                <w:rtl w:val="true"/>
              </w:rPr>
              <w:t xml:space="preserve">. </w:t>
            </w:r>
            <w:r>
              <w:rPr>
                <w:rStyle w:val="IndexLink"/>
                <w:rtl w:val="true"/>
              </w:rPr>
              <w:t xml:space="preserve">میرزا ابوالفضل طهرانی </w:t>
            </w:r>
            <w:r>
              <w:rPr>
                <w:rStyle w:val="IndexLink"/>
                <w:rtl w:val="true"/>
              </w:rPr>
              <w:t>(</w:t>
            </w:r>
            <w:r>
              <w:rPr>
                <w:rStyle w:val="IndexLink"/>
                <w:rtl w:val="true"/>
              </w:rPr>
              <w:t xml:space="preserve">متوفی </w:t>
            </w:r>
            <w:r>
              <w:rPr>
                <w:rStyle w:val="IndexLink"/>
              </w:rPr>
              <w:t>1316</w:t>
            </w:r>
            <w:r>
              <w:rPr>
                <w:rStyle w:val="IndexLink"/>
                <w:rtl w:val="true"/>
              </w:rPr>
              <w:t>ق</w:t>
            </w:r>
            <w:r>
              <w:rPr>
                <w:rStyle w:val="IndexLink"/>
                <w:rtl w:val="true"/>
              </w:rPr>
              <w:t>)</w:t>
              <w:tab/>
            </w:r>
            <w:r>
              <w:rPr>
                <w:rStyle w:val="IndexLink"/>
              </w:rPr>
              <w:t>83</w:t>
            </w:r>
          </w:hyperlink>
        </w:p>
        <w:p>
          <w:pPr>
            <w:pStyle w:val="Contents5"/>
            <w:tabs>
              <w:tab w:val="clear" w:pos="7892"/>
              <w:tab w:val="right" w:pos="9026" w:leader="dot"/>
            </w:tabs>
            <w:rPr/>
          </w:pPr>
          <w:hyperlink w:anchor="__RefHeading___Toc1296734_2870459653">
            <w:r>
              <w:rPr>
                <w:webHidden/>
                <w:rStyle w:val="IndexLink"/>
              </w:rPr>
              <w:t>2</w:t>
            </w:r>
            <w:r>
              <w:rPr>
                <w:rStyle w:val="IndexLink"/>
                <w:rtl w:val="true"/>
              </w:rPr>
              <w:t xml:space="preserve">. </w:t>
            </w:r>
            <w:r>
              <w:rPr>
                <w:rStyle w:val="IndexLink"/>
                <w:rtl w:val="true"/>
              </w:rPr>
              <w:t xml:space="preserve">خاتم المحدثین حاج شیخ عباس قمی </w:t>
            </w:r>
            <w:r>
              <w:rPr>
                <w:rStyle w:val="IndexLink"/>
                <w:rtl w:val="true"/>
              </w:rPr>
              <w:t>(</w:t>
            </w:r>
            <w:r>
              <w:rPr>
                <w:rStyle w:val="IndexLink"/>
                <w:rtl w:val="true"/>
              </w:rPr>
              <w:t xml:space="preserve">متوفی </w:t>
            </w:r>
            <w:r>
              <w:rPr>
                <w:rStyle w:val="IndexLink"/>
              </w:rPr>
              <w:t>1359</w:t>
            </w:r>
            <w:r>
              <w:rPr>
                <w:rStyle w:val="IndexLink"/>
                <w:rtl w:val="true"/>
              </w:rPr>
              <w:t>ق</w:t>
            </w:r>
            <w:r>
              <w:rPr>
                <w:rStyle w:val="IndexLink"/>
                <w:rtl w:val="true"/>
              </w:rPr>
              <w:t>)</w:t>
              <w:tab/>
            </w:r>
            <w:r>
              <w:rPr>
                <w:rStyle w:val="IndexLink"/>
              </w:rPr>
              <w:t>83</w:t>
            </w:r>
          </w:hyperlink>
        </w:p>
        <w:p>
          <w:pPr>
            <w:pStyle w:val="Contents5"/>
            <w:tabs>
              <w:tab w:val="clear" w:pos="7892"/>
              <w:tab w:val="right" w:pos="9026" w:leader="dot"/>
            </w:tabs>
            <w:rPr/>
          </w:pPr>
          <w:hyperlink w:anchor="__RefHeading___Toc1296736_2870459653">
            <w:r>
              <w:rPr>
                <w:webHidden/>
                <w:rStyle w:val="IndexLink"/>
              </w:rPr>
              <w:t>3</w:t>
            </w:r>
            <w:r>
              <w:rPr>
                <w:rStyle w:val="IndexLink"/>
                <w:rtl w:val="true"/>
              </w:rPr>
              <w:t xml:space="preserve">. </w:t>
            </w:r>
            <w:r>
              <w:rPr>
                <w:rStyle w:val="IndexLink"/>
                <w:rtl w:val="true"/>
              </w:rPr>
              <w:t xml:space="preserve">علامه سید عبدالحسین شرف الدین </w:t>
            </w:r>
            <w:r>
              <w:rPr>
                <w:rStyle w:val="IndexLink"/>
                <w:rtl w:val="true"/>
              </w:rPr>
              <w:t>(</w:t>
            </w:r>
            <w:r>
              <w:rPr>
                <w:rStyle w:val="IndexLink"/>
                <w:rtl w:val="true"/>
              </w:rPr>
              <w:t xml:space="preserve">متوفی </w:t>
            </w:r>
            <w:r>
              <w:rPr>
                <w:rStyle w:val="IndexLink"/>
              </w:rPr>
              <w:t>1377</w:t>
            </w:r>
            <w:r>
              <w:rPr>
                <w:rStyle w:val="IndexLink"/>
                <w:rtl w:val="true"/>
              </w:rPr>
              <w:t>ق</w:t>
            </w:r>
            <w:r>
              <w:rPr>
                <w:rStyle w:val="IndexLink"/>
                <w:rtl w:val="true"/>
              </w:rPr>
              <w:t>)</w:t>
              <w:tab/>
            </w:r>
            <w:r>
              <w:rPr>
                <w:rStyle w:val="IndexLink"/>
              </w:rPr>
              <w:t>83</w:t>
            </w:r>
          </w:hyperlink>
        </w:p>
        <w:p>
          <w:pPr>
            <w:pStyle w:val="Contents5"/>
            <w:tabs>
              <w:tab w:val="clear" w:pos="7892"/>
              <w:tab w:val="right" w:pos="9026" w:leader="dot"/>
            </w:tabs>
            <w:rPr/>
          </w:pPr>
          <w:hyperlink w:anchor="__RefHeading___Toc1296738_2870459653">
            <w:r>
              <w:rPr>
                <w:webHidden/>
                <w:rStyle w:val="IndexLink"/>
              </w:rPr>
              <w:t>4</w:t>
            </w:r>
            <w:r>
              <w:rPr>
                <w:rStyle w:val="IndexLink"/>
                <w:rtl w:val="true"/>
              </w:rPr>
              <w:t xml:space="preserve">. </w:t>
            </w:r>
            <w:r>
              <w:rPr>
                <w:rStyle w:val="IndexLink"/>
                <w:rtl w:val="true"/>
              </w:rPr>
              <w:t>مرجع عالیقدر آیت الله صافی گلپایگانی</w:t>
            </w:r>
            <w:r>
              <w:rPr>
                <w:rStyle w:val="IndexLink"/>
                <w:rtl w:val="true"/>
              </w:rPr>
              <w:tab/>
            </w:r>
            <w:r>
              <w:rPr>
                <w:rStyle w:val="IndexLink"/>
              </w:rPr>
              <w:t>83</w:t>
            </w:r>
          </w:hyperlink>
        </w:p>
        <w:p>
          <w:pPr>
            <w:pStyle w:val="Contents4"/>
            <w:tabs>
              <w:tab w:val="clear" w:pos="8176"/>
              <w:tab w:val="right" w:pos="9026" w:leader="dot"/>
            </w:tabs>
            <w:rPr/>
          </w:pPr>
          <w:hyperlink w:anchor="__RefHeading___Toc1296740_2870459653">
            <w:r>
              <w:rPr>
                <w:webHidden/>
                <w:rStyle w:val="IndexLink"/>
              </w:rPr>
              <w:t>2</w:t>
            </w:r>
            <w:r>
              <w:rPr>
                <w:rStyle w:val="IndexLink"/>
                <w:rtl w:val="true"/>
              </w:rPr>
              <w:t xml:space="preserve">. </w:t>
            </w:r>
            <w:r>
              <w:rPr>
                <w:rStyle w:val="IndexLink"/>
                <w:rtl w:val="true"/>
              </w:rPr>
              <w:t>بررسی محتوای حدیث ریان بن شبیب</w:t>
            </w:r>
            <w:r>
              <w:rPr>
                <w:rStyle w:val="IndexLink"/>
                <w:rtl w:val="true"/>
              </w:rPr>
              <w:tab/>
            </w:r>
            <w:r>
              <w:rPr>
                <w:rStyle w:val="IndexLink"/>
              </w:rPr>
              <w:t>91</w:t>
            </w:r>
          </w:hyperlink>
        </w:p>
        <w:p>
          <w:pPr>
            <w:pStyle w:val="Contents5"/>
            <w:tabs>
              <w:tab w:val="clear" w:pos="7892"/>
              <w:tab w:val="right" w:pos="9026" w:leader="dot"/>
            </w:tabs>
            <w:rPr/>
          </w:pPr>
          <w:hyperlink w:anchor="__RefHeading___Toc1296742_2870459653">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296744_2870459653">
            <w:r>
              <w:rPr>
                <w:webHidden/>
                <w:rStyle w:val="IndexLink"/>
                <w:rtl w:val="true"/>
              </w:rPr>
              <w:t>الف</w:t>
            </w:r>
            <w:r>
              <w:rPr>
                <w:rStyle w:val="IndexLink"/>
                <w:rtl w:val="true"/>
              </w:rPr>
              <w:t xml:space="preserve">) </w:t>
            </w:r>
            <w:r>
              <w:rPr>
                <w:rStyle w:val="IndexLink"/>
                <w:rtl w:val="true"/>
              </w:rPr>
              <w:t>جعلی بودن روایات</w:t>
            </w:r>
            <w:r>
              <w:rPr>
                <w:rStyle w:val="IndexLink"/>
                <w:rtl w:val="true"/>
              </w:rPr>
              <w:tab/>
            </w:r>
            <w:r>
              <w:rPr>
                <w:rStyle w:val="IndexLink"/>
              </w:rPr>
              <w:t>96</w:t>
            </w:r>
          </w:hyperlink>
        </w:p>
        <w:p>
          <w:pPr>
            <w:pStyle w:val="Contents5"/>
            <w:tabs>
              <w:tab w:val="clear" w:pos="7892"/>
              <w:tab w:val="right" w:pos="9026" w:leader="dot"/>
            </w:tabs>
            <w:rPr/>
          </w:pPr>
          <w:hyperlink w:anchor="__RefHeading___Toc1296746_2870459653">
            <w:r>
              <w:rPr>
                <w:webHidden/>
                <w:rStyle w:val="IndexLink"/>
                <w:rtl w:val="true"/>
              </w:rPr>
              <w:t>ب</w:t>
            </w:r>
            <w:r>
              <w:rPr>
                <w:rStyle w:val="IndexLink"/>
                <w:rtl w:val="true"/>
              </w:rPr>
              <w:t xml:space="preserve">) </w:t>
            </w:r>
            <w:r>
              <w:rPr>
                <w:rStyle w:val="IndexLink"/>
                <w:rtl w:val="true"/>
              </w:rPr>
              <w:t>تقیید ثواب روایات در شرایط سخت و زمان بنی امیه</w:t>
            </w:r>
            <w:r>
              <w:rPr>
                <w:rStyle w:val="IndexLink"/>
                <w:rtl w:val="true"/>
              </w:rPr>
              <w:tab/>
            </w:r>
            <w:r>
              <w:rPr>
                <w:rStyle w:val="IndexLink"/>
              </w:rPr>
              <w:t>98</w:t>
            </w:r>
          </w:hyperlink>
        </w:p>
        <w:p>
          <w:pPr>
            <w:pStyle w:val="Contents5"/>
            <w:tabs>
              <w:tab w:val="clear" w:pos="7892"/>
              <w:tab w:val="right" w:pos="9026" w:leader="dot"/>
            </w:tabs>
            <w:rPr/>
          </w:pPr>
          <w:hyperlink w:anchor="__RefHeading___Toc1296748_2870459653">
            <w:r>
              <w:rPr>
                <w:webHidden/>
                <w:rStyle w:val="IndexLink"/>
                <w:rtl w:val="true"/>
              </w:rPr>
              <w:t>ج</w:t>
            </w:r>
            <w:r>
              <w:rPr>
                <w:rStyle w:val="IndexLink"/>
                <w:rtl w:val="true"/>
              </w:rPr>
              <w:t xml:space="preserve">) </w:t>
            </w:r>
            <w:r>
              <w:rPr>
                <w:rStyle w:val="IndexLink"/>
                <w:rtl w:val="true"/>
              </w:rPr>
              <w:t>پذیرش این روایات به طور مطلق و عدم تخصیص آن به شرایط سخت</w:t>
            </w:r>
            <w:r>
              <w:rPr>
                <w:rStyle w:val="IndexLink"/>
                <w:rtl w:val="true"/>
              </w:rPr>
              <w:tab/>
            </w:r>
            <w:r>
              <w:rPr>
                <w:rStyle w:val="IndexLink"/>
              </w:rPr>
              <w:t>99</w:t>
            </w:r>
          </w:hyperlink>
        </w:p>
        <w:p>
          <w:pPr>
            <w:pStyle w:val="Contents3"/>
            <w:tabs>
              <w:tab w:val="clear" w:pos="8459"/>
              <w:tab w:val="right" w:pos="9026" w:leader="dot"/>
            </w:tabs>
            <w:rPr/>
          </w:pPr>
          <w:hyperlink w:anchor="__RefHeading___Toc1296750_2870459653">
            <w:r>
              <w:rPr>
                <w:webHidden/>
                <w:rStyle w:val="IndexLink"/>
                <w:rtl w:val="true"/>
              </w:rPr>
              <w:t>نتیجه</w:t>
            </w:r>
            <w:r>
              <w:rPr>
                <w:rStyle w:val="IndexLink"/>
                <w:rtl w:val="true"/>
              </w:rPr>
              <w:tab/>
            </w:r>
            <w:r>
              <w:rPr>
                <w:rStyle w:val="IndexLink"/>
              </w:rPr>
              <w:t>100</w:t>
            </w:r>
          </w:hyperlink>
        </w:p>
        <w:p>
          <w:pPr>
            <w:pStyle w:val="Contents3"/>
            <w:tabs>
              <w:tab w:val="clear" w:pos="8459"/>
              <w:tab w:val="right" w:pos="9026" w:leader="dot"/>
            </w:tabs>
            <w:rPr/>
          </w:pPr>
          <w:hyperlink w:anchor="__RefHeading___Toc1296752_2870459653">
            <w:r>
              <w:rPr>
                <w:webHidden/>
                <w:rStyle w:val="IndexLink"/>
                <w:rtl w:val="true"/>
              </w:rPr>
              <w:t xml:space="preserve">منابع </w:t>
            </w:r>
            <w:r>
              <w:rPr>
                <w:rStyle w:val="IndexLink"/>
                <w:rtl w:val="true"/>
              </w:rPr>
              <w:t>:</w:t>
              <w:tab/>
            </w:r>
            <w:r>
              <w:rPr>
                <w:rStyle w:val="IndexLink"/>
              </w:rPr>
              <w:t>101</w:t>
            </w:r>
          </w:hyperlink>
        </w:p>
        <w:p>
          <w:pPr>
            <w:pStyle w:val="Contents2"/>
            <w:tabs>
              <w:tab w:val="clear" w:pos="8743"/>
              <w:tab w:val="right" w:pos="9026" w:leader="dot"/>
            </w:tabs>
            <w:rPr/>
          </w:pPr>
          <w:hyperlink w:anchor="__RefHeading___Toc1296754_2870459653">
            <w:r>
              <w:rPr>
                <w:webHidden/>
                <w:rStyle w:val="IndexLink"/>
                <w:rtl w:val="true"/>
              </w:rPr>
              <w:t>تقابل ارزش های دینی در گفتمان حسینی و یزیدی</w:t>
            </w:r>
            <w:r>
              <w:rPr>
                <w:rStyle w:val="IndexLink"/>
                <w:rtl w:val="true"/>
              </w:rPr>
              <w:tab/>
            </w:r>
            <w:r>
              <w:rPr>
                <w:rStyle w:val="IndexLink"/>
              </w:rPr>
              <w:t>104</w:t>
            </w:r>
          </w:hyperlink>
        </w:p>
        <w:p>
          <w:pPr>
            <w:pStyle w:val="Contents3"/>
            <w:tabs>
              <w:tab w:val="clear" w:pos="8459"/>
              <w:tab w:val="right" w:pos="9026" w:leader="dot"/>
            </w:tabs>
            <w:rPr/>
          </w:pPr>
          <w:hyperlink w:anchor="__RefHeading___Toc1296756_2870459653">
            <w:r>
              <w:rPr>
                <w:webHidden/>
                <w:rStyle w:val="IndexLink"/>
                <w:rtl w:val="true"/>
              </w:rPr>
              <w:t xml:space="preserve">شقایق حمیدی </w:t>
            </w:r>
            <w:r>
              <w:rPr>
                <w:rStyle w:val="IndexLink"/>
                <w:rtl w:val="true"/>
              </w:rPr>
              <w:t xml:space="preserve">- </w:t>
            </w:r>
            <w:r>
              <w:rPr>
                <w:rStyle w:val="IndexLink"/>
                <w:rtl w:val="true"/>
              </w:rPr>
              <w:t>احسان حسنی</w:t>
            </w:r>
            <w:r>
              <w:rPr>
                <w:rStyle w:val="IndexLink"/>
                <w:rtl w:val="true"/>
              </w:rPr>
              <w:tab/>
            </w:r>
            <w:r>
              <w:rPr>
                <w:rStyle w:val="IndexLink"/>
              </w:rPr>
              <w:t>104</w:t>
            </w:r>
          </w:hyperlink>
        </w:p>
        <w:p>
          <w:pPr>
            <w:pStyle w:val="Contents3"/>
            <w:tabs>
              <w:tab w:val="clear" w:pos="8459"/>
              <w:tab w:val="right" w:pos="9026" w:leader="dot"/>
            </w:tabs>
            <w:rPr/>
          </w:pPr>
          <w:hyperlink w:anchor="__RefHeading___Toc1296758_2870459653">
            <w:r>
              <w:rPr>
                <w:webHidden/>
                <w:rStyle w:val="IndexLink"/>
                <w:rtl w:val="true"/>
              </w:rPr>
              <w:t>چکیده</w:t>
            </w:r>
            <w:r>
              <w:rPr>
                <w:rStyle w:val="IndexLink"/>
                <w:rtl w:val="true"/>
              </w:rPr>
              <w:tab/>
            </w:r>
            <w:r>
              <w:rPr>
                <w:rStyle w:val="IndexLink"/>
              </w:rPr>
              <w:t>104</w:t>
            </w:r>
          </w:hyperlink>
        </w:p>
        <w:p>
          <w:pPr>
            <w:pStyle w:val="Contents3"/>
            <w:tabs>
              <w:tab w:val="clear" w:pos="8459"/>
              <w:tab w:val="right" w:pos="9026" w:leader="dot"/>
            </w:tabs>
            <w:rPr/>
          </w:pPr>
          <w:hyperlink w:anchor="__RefHeading___Toc1296760_2870459653">
            <w:r>
              <w:rPr>
                <w:webHidden/>
                <w:rStyle w:val="IndexLink"/>
                <w:rtl w:val="true"/>
              </w:rPr>
              <w:t>بیان مسأله</w:t>
            </w:r>
            <w:r>
              <w:rPr>
                <w:rStyle w:val="IndexLink"/>
                <w:rtl w:val="true"/>
              </w:rPr>
              <w:tab/>
            </w:r>
            <w:r>
              <w:rPr>
                <w:rStyle w:val="IndexLink"/>
              </w:rPr>
              <w:t>105</w:t>
            </w:r>
          </w:hyperlink>
        </w:p>
        <w:p>
          <w:pPr>
            <w:pStyle w:val="Contents3"/>
            <w:tabs>
              <w:tab w:val="clear" w:pos="8459"/>
              <w:tab w:val="right" w:pos="9026" w:leader="dot"/>
            </w:tabs>
            <w:rPr/>
          </w:pPr>
          <w:hyperlink w:anchor="__RefHeading___Toc1296762_2870459653">
            <w:r>
              <w:rPr>
                <w:webHidden/>
                <w:rStyle w:val="IndexLink"/>
                <w:rtl w:val="true"/>
              </w:rPr>
              <w:t>مقدمه</w:t>
            </w:r>
            <w:r>
              <w:rPr>
                <w:rStyle w:val="IndexLink"/>
                <w:rtl w:val="true"/>
              </w:rPr>
              <w:tab/>
            </w:r>
            <w:r>
              <w:rPr>
                <w:rStyle w:val="IndexLink"/>
              </w:rPr>
              <w:t>106</w:t>
            </w:r>
          </w:hyperlink>
        </w:p>
        <w:p>
          <w:pPr>
            <w:pStyle w:val="Contents3"/>
            <w:tabs>
              <w:tab w:val="clear" w:pos="8459"/>
              <w:tab w:val="right" w:pos="9026" w:leader="dot"/>
            </w:tabs>
            <w:rPr/>
          </w:pPr>
          <w:hyperlink w:anchor="__RefHeading___Toc1296764_2870459653">
            <w:r>
              <w:rPr>
                <w:webHidden/>
                <w:rStyle w:val="IndexLink"/>
                <w:rtl w:val="true"/>
              </w:rPr>
              <w:t>گفتمان ولایت</w:t>
            </w:r>
            <w:r>
              <w:rPr>
                <w:rStyle w:val="IndexLink"/>
                <w:rtl w:val="true"/>
              </w:rPr>
              <w:tab/>
            </w:r>
            <w:r>
              <w:rPr>
                <w:rStyle w:val="IndexLink"/>
              </w:rPr>
              <w:t>107</w:t>
            </w:r>
          </w:hyperlink>
        </w:p>
        <w:p>
          <w:pPr>
            <w:pStyle w:val="Contents3"/>
            <w:tabs>
              <w:tab w:val="clear" w:pos="8459"/>
              <w:tab w:val="right" w:pos="9026" w:leader="dot"/>
            </w:tabs>
            <w:rPr/>
          </w:pPr>
          <w:hyperlink w:anchor="__RefHeading___Toc1296766_2870459653">
            <w:r>
              <w:rPr>
                <w:webHidden/>
                <w:rStyle w:val="IndexLink"/>
                <w:rtl w:val="true"/>
              </w:rPr>
              <w:t>گفتمان سلطنت</w:t>
            </w:r>
            <w:r>
              <w:rPr>
                <w:rStyle w:val="IndexLink"/>
                <w:rtl w:val="true"/>
              </w:rPr>
              <w:tab/>
            </w:r>
            <w:r>
              <w:rPr>
                <w:rStyle w:val="IndexLink"/>
              </w:rPr>
              <w:t>108</w:t>
            </w:r>
          </w:hyperlink>
        </w:p>
        <w:p>
          <w:pPr>
            <w:pStyle w:val="Contents3"/>
            <w:tabs>
              <w:tab w:val="clear" w:pos="8459"/>
              <w:tab w:val="right" w:pos="9026" w:leader="dot"/>
            </w:tabs>
            <w:rPr/>
          </w:pPr>
          <w:hyperlink w:anchor="__RefHeading___Toc1296768_2870459653">
            <w:r>
              <w:rPr>
                <w:webHidden/>
                <w:rStyle w:val="IndexLink"/>
                <w:rtl w:val="true"/>
              </w:rPr>
              <w:t>گفتمان خلافت</w:t>
            </w:r>
            <w:r>
              <w:rPr>
                <w:rStyle w:val="IndexLink"/>
                <w:rtl w:val="true"/>
              </w:rPr>
              <w:tab/>
            </w:r>
            <w:r>
              <w:rPr>
                <w:rStyle w:val="IndexLink"/>
              </w:rPr>
              <w:t>109</w:t>
            </w:r>
          </w:hyperlink>
        </w:p>
        <w:p>
          <w:pPr>
            <w:pStyle w:val="Contents3"/>
            <w:tabs>
              <w:tab w:val="clear" w:pos="8459"/>
              <w:tab w:val="right" w:pos="9026" w:leader="dot"/>
            </w:tabs>
            <w:rPr/>
          </w:pPr>
          <w:hyperlink w:anchor="__RefHeading___Toc1296770_2870459653">
            <w:r>
              <w:rPr>
                <w:webHidden/>
                <w:rStyle w:val="IndexLink"/>
                <w:rtl w:val="true"/>
              </w:rPr>
              <w:t>تعریف گفتمان ولایت از ارزش های اسلامی</w:t>
            </w:r>
            <w:r>
              <w:rPr>
                <w:rStyle w:val="IndexLink"/>
                <w:rtl w:val="true"/>
              </w:rPr>
              <w:tab/>
            </w:r>
            <w:r>
              <w:rPr>
                <w:rStyle w:val="IndexLink"/>
              </w:rPr>
              <w:t>112</w:t>
            </w:r>
          </w:hyperlink>
        </w:p>
        <w:p>
          <w:pPr>
            <w:pStyle w:val="Contents3"/>
            <w:tabs>
              <w:tab w:val="clear" w:pos="8459"/>
              <w:tab w:val="right" w:pos="9026" w:leader="dot"/>
            </w:tabs>
            <w:rPr/>
          </w:pPr>
          <w:hyperlink w:anchor="__RefHeading___Toc1296772_2870459653">
            <w:r>
              <w:rPr>
                <w:webHidden/>
                <w:rStyle w:val="IndexLink"/>
                <w:rtl w:val="true"/>
              </w:rPr>
              <w:t>ولی الله محور ارزش های اسلامی</w:t>
            </w:r>
            <w:r>
              <w:rPr>
                <w:rStyle w:val="IndexLink"/>
                <w:rtl w:val="true"/>
              </w:rPr>
              <w:tab/>
            </w:r>
            <w:r>
              <w:rPr>
                <w:rStyle w:val="IndexLink"/>
              </w:rPr>
              <w:t>113</w:t>
            </w:r>
          </w:hyperlink>
        </w:p>
        <w:p>
          <w:pPr>
            <w:pStyle w:val="Contents3"/>
            <w:tabs>
              <w:tab w:val="clear" w:pos="8459"/>
              <w:tab w:val="right" w:pos="9026" w:leader="dot"/>
            </w:tabs>
            <w:rPr/>
          </w:pPr>
          <w:hyperlink w:anchor="__RefHeading___Toc1296774_2870459653">
            <w:r>
              <w:rPr>
                <w:webHidden/>
                <w:rStyle w:val="IndexLink"/>
                <w:rtl w:val="true"/>
              </w:rPr>
              <w:t xml:space="preserve">تفاوت تعریف </w:t>
            </w:r>
            <w:r>
              <w:rPr>
                <w:rStyle w:val="IndexLink"/>
                <w:rtl w:val="true"/>
              </w:rPr>
              <w:t>«</w:t>
            </w:r>
            <w:r>
              <w:rPr>
                <w:rStyle w:val="IndexLink"/>
                <w:rtl w:val="true"/>
              </w:rPr>
              <w:t>نماز</w:t>
            </w:r>
            <w:r>
              <w:rPr>
                <w:rStyle w:val="IndexLink"/>
                <w:rtl w:val="true"/>
              </w:rPr>
              <w:t xml:space="preserve">» </w:t>
            </w:r>
            <w:r>
              <w:rPr>
                <w:rStyle w:val="IndexLink"/>
                <w:rtl w:val="true"/>
              </w:rPr>
              <w:t>در دو گفتمان حسینی و یزیدی</w:t>
            </w:r>
            <w:r>
              <w:rPr>
                <w:rStyle w:val="IndexLink"/>
                <w:rtl w:val="true"/>
              </w:rPr>
              <w:tab/>
            </w:r>
            <w:r>
              <w:rPr>
                <w:rStyle w:val="IndexLink"/>
              </w:rPr>
              <w:t>114</w:t>
            </w:r>
          </w:hyperlink>
        </w:p>
        <w:p>
          <w:pPr>
            <w:pStyle w:val="Contents3"/>
            <w:tabs>
              <w:tab w:val="clear" w:pos="8459"/>
              <w:tab w:val="right" w:pos="9026" w:leader="dot"/>
            </w:tabs>
            <w:rPr/>
          </w:pPr>
          <w:hyperlink w:anchor="__RefHeading___Toc1296776_2870459653">
            <w:r>
              <w:rPr>
                <w:webHidden/>
                <w:rStyle w:val="IndexLink"/>
                <w:rtl w:val="true"/>
              </w:rPr>
              <w:t xml:space="preserve">تفاوت تعریف </w:t>
            </w:r>
            <w:r>
              <w:rPr>
                <w:rStyle w:val="IndexLink"/>
                <w:rtl w:val="true"/>
              </w:rPr>
              <w:t>«</w:t>
            </w:r>
            <w:r>
              <w:rPr>
                <w:rStyle w:val="IndexLink"/>
                <w:rtl w:val="true"/>
              </w:rPr>
              <w:t>زکات</w:t>
            </w:r>
            <w:r>
              <w:rPr>
                <w:rStyle w:val="IndexLink"/>
                <w:rtl w:val="true"/>
              </w:rPr>
              <w:t xml:space="preserve">» </w:t>
            </w:r>
            <w:r>
              <w:rPr>
                <w:rStyle w:val="IndexLink"/>
                <w:rtl w:val="true"/>
              </w:rPr>
              <w:t>در دو گفتمان حسینی و یزیدی</w:t>
            </w:r>
            <w:r>
              <w:rPr>
                <w:rStyle w:val="IndexLink"/>
                <w:rtl w:val="true"/>
              </w:rPr>
              <w:tab/>
            </w:r>
            <w:r>
              <w:rPr>
                <w:rStyle w:val="IndexLink"/>
              </w:rPr>
              <w:t>116</w:t>
            </w:r>
          </w:hyperlink>
        </w:p>
        <w:p>
          <w:pPr>
            <w:pStyle w:val="Contents3"/>
            <w:tabs>
              <w:tab w:val="clear" w:pos="8459"/>
              <w:tab w:val="right" w:pos="9026" w:leader="dot"/>
            </w:tabs>
            <w:rPr/>
          </w:pPr>
          <w:hyperlink w:anchor="__RefHeading___Toc1296778_2870459653">
            <w:r>
              <w:rPr>
                <w:webHidden/>
                <w:rStyle w:val="IndexLink"/>
                <w:rtl w:val="true"/>
              </w:rPr>
              <w:t xml:space="preserve">تفاوت تعریف </w:t>
            </w:r>
            <w:r>
              <w:rPr>
                <w:rStyle w:val="IndexLink"/>
                <w:rtl w:val="true"/>
              </w:rPr>
              <w:t>«</w:t>
            </w:r>
            <w:r>
              <w:rPr>
                <w:rStyle w:val="IndexLink"/>
                <w:rtl w:val="true"/>
              </w:rPr>
              <w:t>معروف</w:t>
            </w:r>
            <w:r>
              <w:rPr>
                <w:rStyle w:val="IndexLink"/>
                <w:rtl w:val="true"/>
              </w:rPr>
              <w:t xml:space="preserve">» </w:t>
            </w:r>
            <w:r>
              <w:rPr>
                <w:rStyle w:val="IndexLink"/>
                <w:rtl w:val="true"/>
              </w:rPr>
              <w:t>در دو گفتمان حسینی و یزیدی</w:t>
            </w:r>
            <w:r>
              <w:rPr>
                <w:rStyle w:val="IndexLink"/>
                <w:rtl w:val="true"/>
              </w:rPr>
              <w:tab/>
            </w:r>
            <w:r>
              <w:rPr>
                <w:rStyle w:val="IndexLink"/>
              </w:rPr>
              <w:t>117</w:t>
            </w:r>
          </w:hyperlink>
        </w:p>
        <w:p>
          <w:pPr>
            <w:pStyle w:val="Contents3"/>
            <w:tabs>
              <w:tab w:val="clear" w:pos="8459"/>
              <w:tab w:val="right" w:pos="9026" w:leader="dot"/>
            </w:tabs>
            <w:rPr/>
          </w:pPr>
          <w:hyperlink w:anchor="__RefHeading___Toc1296780_2870459653">
            <w:r>
              <w:rPr>
                <w:webHidden/>
                <w:rStyle w:val="IndexLink"/>
                <w:rtl w:val="true"/>
              </w:rPr>
              <w:t xml:space="preserve">تفاوت تعریف </w:t>
            </w:r>
            <w:r>
              <w:rPr>
                <w:rStyle w:val="IndexLink"/>
                <w:rtl w:val="true"/>
              </w:rPr>
              <w:t>«</w:t>
            </w:r>
            <w:r>
              <w:rPr>
                <w:rStyle w:val="IndexLink"/>
                <w:rtl w:val="true"/>
              </w:rPr>
              <w:t>منکَر</w:t>
            </w:r>
            <w:r>
              <w:rPr>
                <w:rStyle w:val="IndexLink"/>
                <w:rtl w:val="true"/>
              </w:rPr>
              <w:t xml:space="preserve">» </w:t>
            </w:r>
            <w:r>
              <w:rPr>
                <w:rStyle w:val="IndexLink"/>
                <w:rtl w:val="true"/>
              </w:rPr>
              <w:t>در دو گفتمان حسینی و یزیدی</w:t>
            </w:r>
            <w:r>
              <w:rPr>
                <w:rStyle w:val="IndexLink"/>
                <w:rtl w:val="true"/>
              </w:rPr>
              <w:tab/>
            </w:r>
            <w:r>
              <w:rPr>
                <w:rStyle w:val="IndexLink"/>
              </w:rPr>
              <w:t>119</w:t>
            </w:r>
          </w:hyperlink>
        </w:p>
        <w:p>
          <w:pPr>
            <w:pStyle w:val="Contents3"/>
            <w:tabs>
              <w:tab w:val="clear" w:pos="8459"/>
              <w:tab w:val="right" w:pos="9026" w:leader="dot"/>
            </w:tabs>
            <w:rPr/>
          </w:pPr>
          <w:hyperlink w:anchor="__RefHeading___Toc1296782_2870459653">
            <w:r>
              <w:rPr>
                <w:webHidden/>
                <w:rStyle w:val="IndexLink"/>
                <w:rtl w:val="true"/>
              </w:rPr>
              <w:t>نتیجه</w:t>
            </w:r>
            <w:r>
              <w:rPr>
                <w:rStyle w:val="IndexLink"/>
                <w:rtl w:val="true"/>
              </w:rPr>
              <w:tab/>
            </w:r>
            <w:r>
              <w:rPr>
                <w:rStyle w:val="IndexLink"/>
              </w:rPr>
              <w:t>121</w:t>
            </w:r>
          </w:hyperlink>
        </w:p>
        <w:p>
          <w:pPr>
            <w:pStyle w:val="Contents3"/>
            <w:tabs>
              <w:tab w:val="clear" w:pos="8459"/>
              <w:tab w:val="right" w:pos="9026" w:leader="dot"/>
            </w:tabs>
            <w:rPr/>
          </w:pPr>
          <w:hyperlink w:anchor="__RefHeading___Toc1296784_2870459653">
            <w:r>
              <w:rPr>
                <w:webHidden/>
                <w:rStyle w:val="IndexLink"/>
                <w:rtl w:val="true"/>
              </w:rPr>
              <w:t xml:space="preserve">منابع </w:t>
            </w:r>
            <w:r>
              <w:rPr>
                <w:rStyle w:val="IndexLink"/>
                <w:rtl w:val="true"/>
              </w:rPr>
              <w:t>:</w:t>
              <w:tab/>
            </w:r>
            <w:r>
              <w:rPr>
                <w:rStyle w:val="IndexLink"/>
              </w:rPr>
              <w:t>124</w:t>
            </w:r>
          </w:hyperlink>
        </w:p>
        <w:p>
          <w:pPr>
            <w:pStyle w:val="Contents2"/>
            <w:tabs>
              <w:tab w:val="clear" w:pos="8743"/>
              <w:tab w:val="right" w:pos="9026" w:leader="dot"/>
            </w:tabs>
            <w:rPr/>
          </w:pPr>
          <w:hyperlink w:anchor="__RefHeading___Toc1296786_2870459653">
            <w:r>
              <w:rPr>
                <w:webHidden/>
                <w:rStyle w:val="IndexLink"/>
                <w:rtl w:val="true"/>
              </w:rPr>
              <w:t xml:space="preserve">عاشورا و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اشعار شاعران فارسی و عربی معاصر</w:t>
            </w:r>
            <w:r>
              <w:rPr>
                <w:rStyle w:val="IndexLink"/>
                <w:rtl w:val="true"/>
              </w:rPr>
              <w:tab/>
            </w:r>
            <w:r>
              <w:rPr>
                <w:rStyle w:val="IndexLink"/>
              </w:rPr>
              <w:t>128</w:t>
            </w:r>
          </w:hyperlink>
        </w:p>
        <w:p>
          <w:pPr>
            <w:pStyle w:val="Contents3"/>
            <w:tabs>
              <w:tab w:val="clear" w:pos="8459"/>
              <w:tab w:val="right" w:pos="9026" w:leader="dot"/>
            </w:tabs>
            <w:rPr/>
          </w:pPr>
          <w:hyperlink w:anchor="__RefHeading___Toc1296788_2870459653">
            <w:r>
              <w:rPr>
                <w:webHidden/>
                <w:rStyle w:val="IndexLink"/>
                <w:rtl w:val="true"/>
              </w:rPr>
              <w:t xml:space="preserve">دکتر پیمان صالحی </w:t>
            </w:r>
            <w:r>
              <w:rPr>
                <w:rStyle w:val="IndexLink"/>
                <w:rtl w:val="true"/>
              </w:rPr>
              <w:t xml:space="preserve">- </w:t>
            </w:r>
            <w:r>
              <w:rPr>
                <w:rStyle w:val="IndexLink"/>
                <w:rtl w:val="true"/>
              </w:rPr>
              <w:t>سهراب سهیلی گیلان</w:t>
            </w:r>
            <w:r>
              <w:rPr>
                <w:rStyle w:val="IndexLink"/>
                <w:rtl w:val="true"/>
              </w:rPr>
              <w:tab/>
            </w:r>
            <w:r>
              <w:rPr>
                <w:rStyle w:val="IndexLink"/>
              </w:rPr>
              <w:t>128</w:t>
            </w:r>
          </w:hyperlink>
        </w:p>
        <w:p>
          <w:pPr>
            <w:pStyle w:val="Contents3"/>
            <w:tabs>
              <w:tab w:val="clear" w:pos="8459"/>
              <w:tab w:val="right" w:pos="9026" w:leader="dot"/>
            </w:tabs>
            <w:rPr/>
          </w:pPr>
          <w:hyperlink w:anchor="__RefHeading___Toc1296790_2870459653">
            <w:r>
              <w:rPr>
                <w:webHidden/>
                <w:rStyle w:val="IndexLink"/>
                <w:rtl w:val="true"/>
              </w:rPr>
              <w:t>چکیده</w:t>
            </w:r>
            <w:r>
              <w:rPr>
                <w:rStyle w:val="IndexLink"/>
                <w:rtl w:val="true"/>
              </w:rPr>
              <w:tab/>
            </w:r>
            <w:r>
              <w:rPr>
                <w:rStyle w:val="IndexLink"/>
              </w:rPr>
              <w:t>128</w:t>
            </w:r>
          </w:hyperlink>
        </w:p>
        <w:p>
          <w:pPr>
            <w:pStyle w:val="Contents3"/>
            <w:tabs>
              <w:tab w:val="clear" w:pos="8459"/>
              <w:tab w:val="right" w:pos="9026" w:leader="dot"/>
            </w:tabs>
            <w:rPr/>
          </w:pPr>
          <w:hyperlink w:anchor="__RefHeading___Toc1296792_2870459653">
            <w:r>
              <w:rPr>
                <w:webHidden/>
                <w:rStyle w:val="IndexLink"/>
                <w:rtl w:val="true"/>
              </w:rPr>
              <w:t>مقدمه</w:t>
            </w:r>
            <w:r>
              <w:rPr>
                <w:rStyle w:val="IndexLink"/>
                <w:rtl w:val="true"/>
              </w:rPr>
              <w:tab/>
            </w:r>
            <w:r>
              <w:rPr>
                <w:rStyle w:val="IndexLink"/>
              </w:rPr>
              <w:t>129</w:t>
            </w:r>
          </w:hyperlink>
        </w:p>
        <w:p>
          <w:pPr>
            <w:pStyle w:val="Contents4"/>
            <w:tabs>
              <w:tab w:val="clear" w:pos="8176"/>
              <w:tab w:val="right" w:pos="9026" w:leader="dot"/>
            </w:tabs>
            <w:rPr/>
          </w:pPr>
          <w:hyperlink w:anchor="__RefHeading___Toc1296794_287045965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296796_2870459653">
            <w:r>
              <w:rPr>
                <w:webHidden/>
                <w:rStyle w:val="IndexLink"/>
              </w:rPr>
              <w:t>1</w:t>
            </w:r>
            <w:r>
              <w:rPr>
                <w:rStyle w:val="IndexLink"/>
                <w:rtl w:val="true"/>
              </w:rPr>
              <w:t>.</w:t>
            </w:r>
            <w:r>
              <w:rPr>
                <w:rStyle w:val="IndexLink"/>
                <w:rtl w:val="true"/>
              </w:rPr>
              <w:t>دوره های شعر عاشورایی</w:t>
            </w:r>
            <w:r>
              <w:rPr>
                <w:rStyle w:val="IndexLink"/>
                <w:rtl w:val="true"/>
              </w:rPr>
              <w:tab/>
            </w:r>
            <w:r>
              <w:rPr>
                <w:rStyle w:val="IndexLink"/>
              </w:rPr>
              <w:t>130</w:t>
            </w:r>
          </w:hyperlink>
        </w:p>
        <w:p>
          <w:pPr>
            <w:pStyle w:val="Contents4"/>
            <w:tabs>
              <w:tab w:val="clear" w:pos="8176"/>
              <w:tab w:val="right" w:pos="9026" w:leader="dot"/>
            </w:tabs>
            <w:rPr/>
          </w:pPr>
          <w:hyperlink w:anchor="__RefHeading___Toc1296798_2870459653">
            <w:r>
              <w:rPr>
                <w:webHidden/>
                <w:rStyle w:val="IndexLink"/>
              </w:rPr>
              <w:t>2</w:t>
            </w:r>
            <w:r>
              <w:rPr>
                <w:rStyle w:val="IndexLink"/>
                <w:rtl w:val="true"/>
              </w:rPr>
              <w:t xml:space="preserve">. </w:t>
            </w:r>
            <w:r>
              <w:rPr>
                <w:rStyle w:val="IndexLink"/>
                <w:rtl w:val="true"/>
              </w:rPr>
              <w:t>نقاط اشتراک و افتراق شعر عاشورایی فارسی و عربی معاصر</w:t>
            </w:r>
            <w:r>
              <w:rPr>
                <w:rStyle w:val="IndexLink"/>
                <w:rtl w:val="true"/>
              </w:rPr>
              <w:tab/>
            </w:r>
            <w:r>
              <w:rPr>
                <w:rStyle w:val="IndexLink"/>
              </w:rPr>
              <w:t>132</w:t>
            </w:r>
          </w:hyperlink>
        </w:p>
        <w:p>
          <w:pPr>
            <w:pStyle w:val="Contents4"/>
            <w:tabs>
              <w:tab w:val="clear" w:pos="8176"/>
              <w:tab w:val="right" w:pos="9026" w:leader="dot"/>
            </w:tabs>
            <w:rPr/>
          </w:pPr>
          <w:hyperlink w:anchor="__RefHeading___Toc1296800_2870459653">
            <w:r>
              <w:rPr>
                <w:webHidden/>
                <w:rStyle w:val="IndexLink"/>
              </w:rPr>
              <w:t>3</w:t>
            </w:r>
            <w:r>
              <w:rPr>
                <w:rStyle w:val="IndexLink"/>
                <w:rtl w:val="true"/>
              </w:rPr>
              <w:t xml:space="preserve">. </w:t>
            </w:r>
            <w:r>
              <w:rPr>
                <w:rStyle w:val="IndexLink"/>
                <w:rtl w:val="true"/>
              </w:rPr>
              <w:t xml:space="preserve">خصال برجسته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شعر فارسی و عربی معاصر</w:t>
            </w:r>
            <w:r>
              <w:rPr>
                <w:rStyle w:val="IndexLink"/>
                <w:rtl w:val="true"/>
              </w:rPr>
              <w:tab/>
            </w:r>
            <w:r>
              <w:rPr>
                <w:rStyle w:val="IndexLink"/>
              </w:rPr>
              <w:t>134</w:t>
            </w:r>
          </w:hyperlink>
        </w:p>
        <w:p>
          <w:pPr>
            <w:pStyle w:val="Contents5"/>
            <w:tabs>
              <w:tab w:val="clear" w:pos="7892"/>
              <w:tab w:val="right" w:pos="9026" w:leader="dot"/>
            </w:tabs>
            <w:rPr/>
          </w:pPr>
          <w:hyperlink w:anchor="__RefHeading___Toc1296802_2870459653">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1296804_2870459653">
            <w:r>
              <w:rPr>
                <w:webHidden/>
                <w:rStyle w:val="IndexLink"/>
                <w:rtl w:val="true"/>
              </w:rPr>
              <w:t>هدایت گری</w:t>
            </w:r>
            <w:r>
              <w:rPr>
                <w:rStyle w:val="IndexLink"/>
                <w:rtl w:val="true"/>
              </w:rPr>
              <w:tab/>
            </w:r>
            <w:r>
              <w:rPr>
                <w:rStyle w:val="IndexLink"/>
              </w:rPr>
              <w:t>134</w:t>
            </w:r>
          </w:hyperlink>
        </w:p>
        <w:p>
          <w:pPr>
            <w:pStyle w:val="Contents4"/>
            <w:tabs>
              <w:tab w:val="clear" w:pos="8176"/>
              <w:tab w:val="right" w:pos="9026" w:leader="dot"/>
            </w:tabs>
            <w:rPr/>
          </w:pPr>
          <w:hyperlink w:anchor="__RefHeading___Toc1296806_2870459653">
            <w:r>
              <w:rPr>
                <w:webHidden/>
                <w:rStyle w:val="IndexLink"/>
              </w:rPr>
              <w:t>4</w:t>
            </w:r>
            <w:r>
              <w:rPr>
                <w:rStyle w:val="IndexLink"/>
                <w:rtl w:val="true"/>
              </w:rPr>
              <w:t xml:space="preserve">. </w:t>
            </w:r>
            <w:r>
              <w:rPr>
                <w:rStyle w:val="IndexLink"/>
                <w:rtl w:val="true"/>
              </w:rPr>
              <w:t>اشعار عاشورایی فارسی دوره معاصر</w:t>
            </w:r>
            <w:r>
              <w:rPr>
                <w:rStyle w:val="IndexLink"/>
                <w:rtl w:val="true"/>
              </w:rPr>
              <w:tab/>
            </w:r>
            <w:r>
              <w:rPr>
                <w:rStyle w:val="IndexLink"/>
              </w:rPr>
              <w:t>140</w:t>
            </w:r>
          </w:hyperlink>
        </w:p>
        <w:p>
          <w:pPr>
            <w:pStyle w:val="Contents3"/>
            <w:tabs>
              <w:tab w:val="clear" w:pos="8459"/>
              <w:tab w:val="right" w:pos="9026" w:leader="dot"/>
            </w:tabs>
            <w:rPr/>
          </w:pPr>
          <w:hyperlink w:anchor="__RefHeading___Toc1296808_2870459653">
            <w:r>
              <w:rPr>
                <w:webHidden/>
                <w:rStyle w:val="IndexLink"/>
                <w:rtl w:val="true"/>
              </w:rPr>
              <w:t>نتیجه</w:t>
            </w:r>
            <w:r>
              <w:rPr>
                <w:rStyle w:val="IndexLink"/>
                <w:rtl w:val="true"/>
              </w:rPr>
              <w:tab/>
            </w:r>
            <w:r>
              <w:rPr>
                <w:rStyle w:val="IndexLink"/>
              </w:rPr>
              <w:t>151</w:t>
            </w:r>
          </w:hyperlink>
        </w:p>
        <w:p>
          <w:pPr>
            <w:pStyle w:val="Contents3"/>
            <w:tabs>
              <w:tab w:val="clear" w:pos="8459"/>
              <w:tab w:val="right" w:pos="9026" w:leader="dot"/>
            </w:tabs>
            <w:rPr/>
          </w:pPr>
          <w:hyperlink w:anchor="__RefHeading___Toc1296810_2870459653">
            <w:r>
              <w:rPr>
                <w:webHidden/>
                <w:rStyle w:val="IndexLink"/>
                <w:rtl w:val="true"/>
              </w:rPr>
              <w:t xml:space="preserve">منابع </w:t>
            </w:r>
            <w:r>
              <w:rPr>
                <w:rStyle w:val="IndexLink"/>
                <w:rtl w:val="true"/>
              </w:rPr>
              <w:t>:</w:t>
              <w:tab/>
            </w:r>
            <w:r>
              <w:rPr>
                <w:rStyle w:val="IndexLink"/>
              </w:rPr>
              <w:t>154</w:t>
            </w:r>
          </w:hyperlink>
        </w:p>
        <w:p>
          <w:pPr>
            <w:pStyle w:val="Contents2"/>
            <w:tabs>
              <w:tab w:val="clear" w:pos="8743"/>
              <w:tab w:val="right" w:pos="9026" w:leader="dot"/>
            </w:tabs>
            <w:rPr/>
          </w:pPr>
          <w:hyperlink w:anchor="__RefHeading___Toc1296812_2870459653">
            <w:r>
              <w:rPr>
                <w:webHidden/>
                <w:rStyle w:val="IndexLink"/>
                <w:rtl w:val="true"/>
              </w:rPr>
              <w:t xml:space="preserve">گزارشی از نخستین مقتل مسیحی امام حسین علیه السلام به گزارش سفیر امپراطوری بیزانس </w:t>
            </w:r>
            <w:r>
              <w:rPr>
                <w:rStyle w:val="IndexLink"/>
                <w:rtl w:val="true"/>
              </w:rPr>
              <w:t>(</w:t>
            </w:r>
            <w:r>
              <w:rPr>
                <w:rStyle w:val="IndexLink"/>
                <w:rtl w:val="true"/>
              </w:rPr>
              <w:t>روم</w:t>
            </w:r>
            <w:r>
              <w:rPr>
                <w:rStyle w:val="IndexLink"/>
                <w:rtl w:val="true"/>
              </w:rPr>
              <w:t xml:space="preserve">) </w:t>
            </w:r>
            <w:r>
              <w:rPr>
                <w:rStyle w:val="IndexLink"/>
                <w:rtl w:val="true"/>
              </w:rPr>
              <w:t>در دربار یزید</w:t>
            </w:r>
            <w:r>
              <w:rPr>
                <w:rStyle w:val="IndexLink"/>
                <w:rtl w:val="true"/>
              </w:rPr>
              <w:tab/>
            </w:r>
            <w:r>
              <w:rPr>
                <w:rStyle w:val="IndexLink"/>
              </w:rPr>
              <w:t>158</w:t>
            </w:r>
          </w:hyperlink>
        </w:p>
        <w:p>
          <w:pPr>
            <w:pStyle w:val="Contents3"/>
            <w:tabs>
              <w:tab w:val="clear" w:pos="8459"/>
              <w:tab w:val="right" w:pos="9026" w:leader="dot"/>
            </w:tabs>
            <w:rPr/>
          </w:pPr>
          <w:hyperlink w:anchor="__RefHeading___Toc1296814_2870459653">
            <w:r>
              <w:rPr>
                <w:webHidden/>
                <w:rStyle w:val="IndexLink"/>
                <w:rtl w:val="true"/>
              </w:rPr>
              <w:t>دکتر محمدرضا فخر روحانی</w:t>
            </w:r>
            <w:r>
              <w:rPr>
                <w:rStyle w:val="IndexLink"/>
                <w:rtl w:val="true"/>
              </w:rPr>
              <w:tab/>
            </w:r>
            <w:r>
              <w:rPr>
                <w:rStyle w:val="IndexLink"/>
              </w:rPr>
              <w:t>158</w:t>
            </w:r>
          </w:hyperlink>
        </w:p>
        <w:p>
          <w:pPr>
            <w:pStyle w:val="Contents2"/>
            <w:tabs>
              <w:tab w:val="clear" w:pos="8743"/>
              <w:tab w:val="right" w:pos="9026" w:leader="dot"/>
            </w:tabs>
            <w:rPr/>
          </w:pPr>
          <w:hyperlink w:anchor="__RefHeading___Toc1296816_2870459653">
            <w:r>
              <w:rPr>
                <w:webHidden/>
                <w:rStyle w:val="IndexLink"/>
                <w:rtl w:val="true"/>
              </w:rPr>
              <w:t>نکته هایی از معارف حسینی</w:t>
            </w:r>
            <w:r>
              <w:rPr>
                <w:rStyle w:val="IndexLink"/>
                <w:rtl w:val="true"/>
              </w:rPr>
              <w:tab/>
            </w:r>
            <w:r>
              <w:rPr>
                <w:rStyle w:val="IndexLink"/>
              </w:rPr>
              <w:t>162</w:t>
            </w:r>
          </w:hyperlink>
        </w:p>
        <w:p>
          <w:pPr>
            <w:pStyle w:val="Contents3"/>
            <w:tabs>
              <w:tab w:val="clear" w:pos="8459"/>
              <w:tab w:val="right" w:pos="9026" w:leader="dot"/>
            </w:tabs>
            <w:rPr/>
          </w:pPr>
          <w:hyperlink w:anchor="__RefHeading___Toc1296818_287045965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1296820_2870459653">
            <w:r>
              <w:rPr>
                <w:webHidden/>
                <w:rStyle w:val="IndexLink"/>
                <w:rtl w:val="true"/>
              </w:rPr>
              <w:t>عباس پسندیده</w:t>
            </w:r>
            <w:r>
              <w:rPr>
                <w:rStyle w:val="IndexLink"/>
                <w:rtl w:val="true"/>
              </w:rPr>
              <w:tab/>
            </w:r>
            <w:r>
              <w:rPr>
                <w:rStyle w:val="IndexLink"/>
              </w:rPr>
              <w:t>162</w:t>
            </w:r>
          </w:hyperlink>
        </w:p>
        <w:p>
          <w:pPr>
            <w:pStyle w:val="Contents2"/>
            <w:tabs>
              <w:tab w:val="clear" w:pos="8743"/>
              <w:tab w:val="right" w:pos="9026" w:leader="dot"/>
            </w:tabs>
            <w:rPr/>
          </w:pPr>
          <w:hyperlink w:anchor="__RefHeading___Toc1296822_2870459653">
            <w:r>
              <w:rPr>
                <w:webHidden/>
                <w:rStyle w:val="IndexLink"/>
                <w:rtl w:val="true"/>
              </w:rPr>
              <w:t>معرفی کتاب</w:t>
            </w:r>
            <w:r>
              <w:rPr>
                <w:rStyle w:val="IndexLink"/>
                <w:rtl w:val="true"/>
              </w:rPr>
              <w:tab/>
            </w:r>
            <w:r>
              <w:rPr>
                <w:rStyle w:val="IndexLink"/>
              </w:rPr>
              <w:t>170</w:t>
            </w:r>
          </w:hyperlink>
        </w:p>
        <w:p>
          <w:pPr>
            <w:pStyle w:val="Contents3"/>
            <w:tabs>
              <w:tab w:val="clear" w:pos="8459"/>
              <w:tab w:val="right" w:pos="9026" w:leader="dot"/>
            </w:tabs>
            <w:rPr/>
          </w:pPr>
          <w:hyperlink w:anchor="__RefHeading___Toc1296824_2870459653">
            <w:r>
              <w:rPr>
                <w:webHidden/>
                <w:rStyle w:val="IndexLink"/>
                <w:rtl w:val="true"/>
              </w:rPr>
              <w:t>مشخصات</w:t>
            </w:r>
            <w:r>
              <w:rPr>
                <w:rStyle w:val="IndexLink"/>
                <w:rtl w:val="true"/>
              </w:rPr>
              <w:tab/>
            </w:r>
            <w:r>
              <w:rPr>
                <w:rStyle w:val="IndexLink"/>
              </w:rPr>
              <w:t>170</w:t>
            </w:r>
          </w:hyperlink>
        </w:p>
        <w:p>
          <w:pPr>
            <w:pStyle w:val="Contents3"/>
            <w:tabs>
              <w:tab w:val="clear" w:pos="8459"/>
              <w:tab w:val="right" w:pos="9026" w:leader="dot"/>
            </w:tabs>
            <w:rPr/>
          </w:pPr>
          <w:hyperlink w:anchor="__RefHeading___Toc1296826_2870459653">
            <w:r>
              <w:rPr>
                <w:webHidden/>
                <w:rStyle w:val="IndexLink"/>
                <w:rtl w:val="true"/>
              </w:rPr>
              <w:t>مقدمه</w:t>
            </w:r>
            <w:r>
              <w:rPr>
                <w:rStyle w:val="IndexLink"/>
                <w:rtl w:val="true"/>
              </w:rPr>
              <w:tab/>
            </w:r>
            <w:r>
              <w:rPr>
                <w:rStyle w:val="IndexLink"/>
              </w:rPr>
              <w:t>170</w:t>
            </w:r>
          </w:hyperlink>
        </w:p>
        <w:p>
          <w:pPr>
            <w:pStyle w:val="Contents3"/>
            <w:tabs>
              <w:tab w:val="clear" w:pos="8459"/>
              <w:tab w:val="right" w:pos="9026" w:leader="dot"/>
            </w:tabs>
            <w:rPr/>
          </w:pPr>
          <w:hyperlink w:anchor="__RefHeading___Toc1296828_2870459653">
            <w:r>
              <w:rPr>
                <w:webHidden/>
                <w:rStyle w:val="IndexLink"/>
                <w:rtl w:val="true"/>
              </w:rPr>
              <w:t>کتاب مورد بررسی</w:t>
            </w:r>
            <w:r>
              <w:rPr>
                <w:rStyle w:val="IndexLink"/>
                <w:rtl w:val="true"/>
              </w:rPr>
              <w:tab/>
            </w:r>
            <w:r>
              <w:rPr>
                <w:rStyle w:val="IndexLink"/>
              </w:rPr>
              <w:t>171</w:t>
            </w:r>
          </w:hyperlink>
        </w:p>
        <w:p>
          <w:pPr>
            <w:pStyle w:val="Contents3"/>
            <w:tabs>
              <w:tab w:val="clear" w:pos="8459"/>
              <w:tab w:val="right" w:pos="9026" w:leader="dot"/>
            </w:tabs>
            <w:rPr/>
          </w:pPr>
          <w:hyperlink w:anchor="__RefHeading___Toc1296830_2870459653">
            <w:r>
              <w:rPr>
                <w:webHidden/>
                <w:rStyle w:val="IndexLink"/>
                <w:rtl w:val="true"/>
              </w:rPr>
              <w:t>سخن پایانی</w:t>
            </w:r>
            <w:r>
              <w:rPr>
                <w:rStyle w:val="IndexLink"/>
                <w:rtl w:val="true"/>
              </w:rPr>
              <w:tab/>
            </w:r>
            <w:r>
              <w:rPr>
                <w:rStyle w:val="IndexLink"/>
              </w:rPr>
              <w:t>172</w:t>
            </w:r>
          </w:hyperlink>
        </w:p>
        <w:p>
          <w:pPr>
            <w:pStyle w:val="Contents2"/>
            <w:tabs>
              <w:tab w:val="clear" w:pos="8743"/>
              <w:tab w:val="right" w:pos="9026" w:leader="dot"/>
            </w:tabs>
            <w:rPr/>
          </w:pPr>
          <w:hyperlink w:anchor="__RefHeading___Toc1296832_2870459653">
            <w:r>
              <w:rPr>
                <w:webHidden/>
                <w:rStyle w:val="IndexLink"/>
                <w:rtl w:val="true"/>
              </w:rPr>
              <w:t>فراخوان نگارش مقاله برای فصلنامه آیت بوستان</w:t>
            </w:r>
            <w:r>
              <w:rPr>
                <w:rStyle w:val="IndexLink"/>
                <w:rtl w:val="true"/>
              </w:rPr>
              <w:tab/>
            </w:r>
            <w:r>
              <w:rPr>
                <w:rStyle w:val="IndexLink"/>
              </w:rPr>
              <w:t>174</w:t>
            </w:r>
          </w:hyperlink>
        </w:p>
        <w:p>
          <w:pPr>
            <w:pStyle w:val="Contents2"/>
            <w:tabs>
              <w:tab w:val="clear" w:pos="8743"/>
              <w:tab w:val="right" w:pos="9026" w:leader="dot"/>
            </w:tabs>
            <w:rPr/>
          </w:pPr>
          <w:hyperlink w:anchor="__RefHeading___Toc1296834_2870459653">
            <w:r>
              <w:rPr>
                <w:webHidden/>
                <w:rStyle w:val="IndexLink"/>
              </w:rPr>
              <w:t>ABSTRACTS</w:t>
            </w:r>
            <w:r>
              <w:rPr>
                <w:rStyle w:val="IndexLink"/>
                <w:rtl w:val="true"/>
              </w:rPr>
              <w:tab/>
            </w:r>
            <w:r>
              <w:rPr>
                <w:rStyle w:val="IndexLink"/>
              </w:rPr>
              <w:t>181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30_84692"/>
      <w:bookmarkStart w:id="1" w:name="pg8930_84692"/>
      <w:bookmarkEnd w:id="1"/>
    </w:p>
    <w:p>
      <w:pPr>
        <w:pStyle w:val="Heading2"/>
        <w:numPr>
          <w:ilvl w:val="1"/>
          <w:numId w:val="1"/>
        </w:numPr>
        <w:rPr/>
      </w:pPr>
      <w:bookmarkStart w:id="2" w:name="pg8930_84692"/>
      <w:bookmarkStart w:id="3" w:name="__RefHeading___Toc129662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سوم،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662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سراسری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 magiran. 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 sid. 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 noorrmags. 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نشریات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دانشگاهی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الفتلاوی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کتابخانه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یونس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30_84698"/>
      <w:bookmarkStart w:id="8" w:name="pg8930_84698"/>
      <w:bookmarkEnd w:id="8"/>
    </w:p>
    <w:p>
      <w:pPr>
        <w:pStyle w:val="Heading2"/>
        <w:numPr>
          <w:ilvl w:val="1"/>
          <w:numId w:val="1"/>
        </w:numPr>
        <w:rPr/>
      </w:pPr>
      <w:bookmarkStart w:id="9" w:name="pg8930_84698"/>
      <w:bookmarkStart w:id="10" w:name="__RefHeading___Toc1296626_2870459653"/>
      <w:bookmarkStart w:id="11" w:name="_Toc3"/>
      <w:bookmarkEnd w:id="9"/>
      <w:bookmarkEnd w:id="10"/>
      <w:r>
        <w:rPr>
          <w:rtl w:val="true"/>
        </w:rPr>
        <w:t>روش شناسی مناظرات امام حسین</w:t>
      </w:r>
      <w:r>
        <w:rPr>
          <w:rtl w:val="true"/>
        </w:rPr>
        <w:t>(</w:t>
      </w:r>
      <w:r>
        <w:rPr>
          <w:rtl w:val="true"/>
        </w:rPr>
        <w:t>علیه السلام</w:t>
      </w:r>
      <w:r>
        <w:rPr>
          <w:rtl w:val="true"/>
        </w:rPr>
        <w:t xml:space="preserve">) </w:t>
      </w:r>
      <w:r>
        <w:rPr>
          <w:rtl w:val="true"/>
        </w:rPr>
        <w:t>در جریان قیام عاشورا</w:t>
      </w:r>
      <w:bookmarkEnd w:id="11"/>
    </w:p>
    <w:p>
      <w:pPr>
        <w:pStyle w:val="Heading3"/>
        <w:numPr>
          <w:ilvl w:val="2"/>
          <w:numId w:val="1"/>
        </w:numPr>
        <w:rPr/>
      </w:pPr>
      <w:bookmarkStart w:id="12" w:name="__RefHeading___Toc1296628_2870459653"/>
      <w:bookmarkStart w:id="13" w:name="_Toc4"/>
      <w:bookmarkEnd w:id="12"/>
      <w:r>
        <w:rPr>
          <w:rtl w:val="true"/>
        </w:rPr>
        <w:t xml:space="preserve">طاهره عطار </w:t>
      </w:r>
      <w:r>
        <w:rPr>
          <w:rtl w:val="true"/>
        </w:rPr>
        <w:t xml:space="preserve">- </w:t>
      </w:r>
      <w:r>
        <w:rPr>
          <w:rtl w:val="true"/>
        </w:rPr>
        <w:t>محمد رنجبرحسینی</w:t>
      </w:r>
      <w:bookmarkEnd w:id="13"/>
    </w:p>
    <w:p>
      <w:pPr>
        <w:pStyle w:val="BookText"/>
        <w:rPr/>
      </w:pPr>
      <w:r>
        <w:rPr>
          <w:rFonts w:ascii="IRNazanin" w:hAnsi="IRNazanin" w:eastAsia="IRNazanin"/>
          <w:color w:val="111111"/>
          <w:sz w:val="28"/>
          <w:sz w:val="28"/>
          <w:szCs w:val="28"/>
          <w:rtl w:val="true"/>
          <w:lang w:bidi="fa-IR"/>
        </w:rPr>
        <w:t>طاهره عطار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محمد رنجبرحسینی</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10/2/1395</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3/4/1395</w:t>
      </w:r>
      <w:r>
        <w:rPr>
          <w:rFonts w:eastAsia="IRNazanin" w:cs="IRNazanin"/>
          <w:color w:val="111111"/>
          <w:sz w:val="28"/>
          <w:szCs w:val="28"/>
          <w:rtl w:val="true"/>
          <w:lang w:bidi="fa-IR"/>
        </w:rPr>
        <w:t>)</w:t>
      </w:r>
    </w:p>
    <w:p>
      <w:pPr>
        <w:pStyle w:val="Heading3"/>
        <w:numPr>
          <w:ilvl w:val="2"/>
          <w:numId w:val="1"/>
        </w:numPr>
        <w:rPr/>
      </w:pPr>
      <w:bookmarkStart w:id="14" w:name="__RefHeading___Toc1296630_2870459653"/>
      <w:bookmarkStart w:id="15" w:name="_Toc5"/>
      <w:bookmarkEnd w:id="14"/>
      <w:r>
        <w:rPr>
          <w:rtl w:val="true"/>
        </w:rPr>
        <w:t>چکیده</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قیام های حق طلبانه تاریخ بشریت است که حامل درس ها و معارفی سترگ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قیام تا لحظه شهادت مناظرات و احتجاج هایی با افراد مختلف داشته اند که بر این مناظرات از لحاظ ساختار ، محتوا و اصول اخلاقی، منطقی خاص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با تکیه بر مناظرات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قیام عاشورا جهت دستیابی به منطق حاکم بر مناظرات ایشان سامان یافته که حاصل آن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 از حیث ساختار حضرت از فنون پیش بردن بحث به صورت منظم، اقرار گرفتن از خصم با سؤالات حساب شده، نقد دقیق سخن، مقابله و مقایسه، تسجیل ،قرار گرفتن در جایگاه پرسش گر، بیدار نمودن فطرت و به کارگیری زبان انگیزشی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محتوایی آن حضرت در این مناظرات به کتاب و سنت نبوی و مقبولات طرف مقابل استناد کرده اند و درباب اصول اخلاقی به مواردی همچون مهربانی، داشتن صبر و تحمل ، خیرخواهی نسبت به طرف مقابل ، حسن نیت داشتن، پرهیز از کینه </w:t>
      </w:r>
      <w:bookmarkStart w:id="16" w:name="pg8930_84699"/>
    </w:p>
    <w:p>
      <w:pPr>
        <w:pStyle w:val="BookText"/>
        <w:rPr/>
      </w:pPr>
      <w:bookmarkEnd w:id="16"/>
      <w:r>
        <w:rPr>
          <w:rFonts w:ascii="IRNazanin" w:hAnsi="IRNazanin" w:eastAsia="IRNazanin"/>
          <w:color w:val="111111"/>
          <w:sz w:val="28"/>
          <w:sz w:val="28"/>
          <w:szCs w:val="28"/>
          <w:rtl w:val="true"/>
          <w:lang w:bidi="fa-IR"/>
        </w:rPr>
        <w:t>توزی ،دوری از مغالطه،تواضع در قول،احترام به طرف مقابل،عذرپذیری ،ترک تعصب و آزادمنشی توجه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مناظرات ،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منطق حاکم بر ساختار ، منطق حاکم بر محتوا، اصول اخلاقی</w:t>
      </w:r>
    </w:p>
    <w:p>
      <w:pPr>
        <w:pStyle w:val="Heading3"/>
        <w:numPr>
          <w:ilvl w:val="2"/>
          <w:numId w:val="1"/>
        </w:numPr>
        <w:rPr/>
      </w:pPr>
      <w:bookmarkStart w:id="17" w:name="__RefHeading___Toc1296632_2870459653"/>
      <w:bookmarkStart w:id="18" w:name="_Toc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رسالت بزرگ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پیام سعادت بخش الهی به انسان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ادامه دهندگان این رسالت عظیم اند، در طول زندگانی افتخارآمیز خود به منظور دعوت الی الله و سوق دادن انسان ها به اسلام ناب، هر یک در جای خود تأثیر بسزایی بر شخصیت و رفتار انسان ها بر جای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تبلیغ به شیوه های مختلف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که کتاب سعادت، هدایت و برنامه زندگی هر مسلمان است و اجرای دستورات آن لازم است، بیان داشته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 إِلىَ سَبِیلِ رَبِّكَ بِالحْكْمَةِ وَ الْمَوْعِظَةِ الحْسَنَةِوَ جَادِلْهُم بِالَّتىِ هِىَ أَحْسَنُ إِنَّ رَبَّكَ هُوَ أَعْلَمُ بِمَن ضَلَّ عَن سَبِیلِهِ وَ هُوَ أَعْلَمُ 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را با حکمت و اندرز نیکو به راه پروردگارت دعوت کن و با آنان به نیکوترین شیوه به بحث و مجادله بپرداز؛ به یقین پروردگارت به کسانی که از راه او گمراه شده اند و نیز به راه یافتگان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برترین معلمان قرآن به احتجاج و مناظره با مخالفان پرداخته و پیروان خود را نیز به این امر تشویق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عاشورا از هر مجال و فرصتی جهت روشنگری و آگاه نمودن مسلمین در افشای فساد دستگاه حاکم اموی و انحراف اسلام از 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با گفت وگوهایی که با مخالفان و معاندان و نیز دوستان و نزدیکان داشتند، اهداف این قیام را روشن نمودند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اهمیت مناظره و گفت وگو در تبیین اندیشه ها و باورها و نقش آن در دفاع از مبانی دینی و اعتقادی، این مقاله در صدد است تا نگاهی روش شناسانه به مناظراتی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عاشورا به صورت شفاهی یا مکتوب، داشته بپردازد تا بتواند </w:t>
      </w:r>
      <w:bookmarkStart w:id="19" w:name="pg8930_84700"/>
    </w:p>
    <w:p>
      <w:pPr>
        <w:pStyle w:val="BookText"/>
        <w:rPr/>
      </w:pPr>
      <w:bookmarkEnd w:id="19"/>
      <w:r>
        <w:rPr>
          <w:rFonts w:ascii="IRNazanin" w:hAnsi="IRNazanin" w:eastAsia="IRNazanin"/>
          <w:color w:val="111111"/>
          <w:sz w:val="28"/>
          <w:sz w:val="28"/>
          <w:szCs w:val="28"/>
          <w:rtl w:val="true"/>
          <w:lang w:bidi="fa-IR"/>
        </w:rPr>
        <w:t>منطق حاکم بر مناظرات ایشان را در حوزه های ساختار ، محتوا و اصول اخلاقی به دست آورد</w:t>
      </w:r>
      <w:r>
        <w:rPr>
          <w:rFonts w:eastAsia="IRNazanin" w:cs="IRNazanin"/>
          <w:color w:val="111111"/>
          <w:sz w:val="28"/>
          <w:szCs w:val="28"/>
          <w:rtl w:val="true"/>
          <w:lang w:bidi="fa-IR"/>
        </w:rPr>
        <w:t>.</w:t>
      </w:r>
    </w:p>
    <w:p>
      <w:pPr>
        <w:pStyle w:val="Heading3"/>
        <w:numPr>
          <w:ilvl w:val="2"/>
          <w:numId w:val="1"/>
        </w:numPr>
        <w:rPr/>
      </w:pPr>
      <w:bookmarkStart w:id="20" w:name="__RefHeading___Toc1296634_2870459653"/>
      <w:bookmarkStart w:id="21" w:name="_Toc7"/>
      <w:bookmarkEnd w:id="20"/>
      <w:r>
        <w:rPr>
          <w:rtl w:val="true"/>
        </w:rPr>
        <w:t>کلیات و مفاهیم</w:t>
      </w:r>
      <w:bookmarkEnd w:id="21"/>
    </w:p>
    <w:p>
      <w:pPr>
        <w:pStyle w:val="Heading3"/>
        <w:numPr>
          <w:ilvl w:val="2"/>
          <w:numId w:val="1"/>
        </w:numPr>
        <w:rPr/>
      </w:pPr>
      <w:bookmarkStart w:id="22" w:name="__RefHeading___Toc1296636_2870459653"/>
      <w:bookmarkStart w:id="23" w:name="_Toc8"/>
      <w:bookmarkEnd w:id="22"/>
      <w:r>
        <w:rPr>
          <w:rtl w:val="true"/>
        </w:rPr>
        <w:t>روش شناسی</w:t>
      </w:r>
      <w:bookmarkEnd w:id="23"/>
    </w:p>
    <w:p>
      <w:pPr>
        <w:pStyle w:val="BookText"/>
        <w:rPr/>
      </w:pPr>
      <w:r>
        <w:rPr>
          <w:rFonts w:ascii="IRNazanin" w:hAnsi="IRNazanin" w:eastAsia="IRNazanin"/>
          <w:color w:val="111111"/>
          <w:sz w:val="28"/>
          <w:sz w:val="28"/>
          <w:szCs w:val="28"/>
          <w:rtl w:val="true"/>
          <w:lang w:bidi="fa-IR"/>
        </w:rPr>
        <w:t>روش شناسی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methodology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 است از مطالعه منتظم و منطقی اصولی که تفحص علمی را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روش شناسی به عنوان شاخه ای از منطق و یا حتی فلسفه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دیگر، روش شناسی شاخه ای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روش شناسی عبارت است از ملاحظه زمینه های کلی برای اعتبار کار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 شناسی نه دقیقا یک رشته فلسفی و نه یک رشته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روش شناسی را مبحثی نظری می دانندکه با تعقل، منطق و فلسفه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کلی می توان گفت؛ روش شناسی به نوعی فلسفه یا بینش در راه قوام روش ها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ساروخانی،</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24" w:name="__RefHeading___Toc1296638_2870459653"/>
      <w:bookmarkStart w:id="25" w:name="_Toc9"/>
      <w:bookmarkEnd w:id="24"/>
      <w:r>
        <w:rPr>
          <w:rtl w:val="true"/>
        </w:rPr>
        <w:t>مناظره</w:t>
      </w:r>
      <w:bookmarkEnd w:id="25"/>
    </w:p>
    <w:p>
      <w:pPr>
        <w:pStyle w:val="BookText"/>
        <w:rPr/>
      </w:pPr>
      <w:r>
        <w:rPr>
          <w:rFonts w:ascii="IRNazanin" w:hAnsi="IRNazanin" w:eastAsia="IRNazanin"/>
          <w:color w:val="111111"/>
          <w:sz w:val="28"/>
          <w:sz w:val="28"/>
          <w:szCs w:val="28"/>
          <w:rtl w:val="true"/>
          <w:lang w:bidi="fa-IR"/>
        </w:rPr>
        <w:t>مناظره در لغت به معنای نظر همراه با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نیز به معنای نگاه با بصیرت دو طرف گفت وگو درباره مسأله ی مورد چالش برای اظهار صواب و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واژه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معین، مناظره به معنای مباحثه ، مجادله و ستیهیدن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واژه مناظره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مترادف مناظره،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و جدل دقیقا به یک معنا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مظفر در کتاب منطق خود، مجادله و مناظره را به یک معنی گرفته و معتقد است بهترین واژه در زبان عربی برای مناظره، همان لفظ جدل است چرا که انسان همواره با اختلاف آراء و عقاید در تمام زمینه ها مواجه است و ناگزیر باید مدافع رأی خود و ابطال رأی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همین امر باعث مناظره و جدال کلامی بین دو گروه مخالف و موافق می شود، به طوری که هر گروهی در پی کسب دلیل و حجتی است تا نظر خود را </w:t>
      </w:r>
      <w:bookmarkStart w:id="26" w:name="pg8930_84701"/>
    </w:p>
    <w:p>
      <w:pPr>
        <w:pStyle w:val="BookText"/>
        <w:rPr/>
      </w:pPr>
      <w:bookmarkEnd w:id="26"/>
      <w:r>
        <w:rPr>
          <w:rFonts w:ascii="IRNazanin" w:hAnsi="IRNazanin" w:eastAsia="IRNazanin"/>
          <w:color w:val="111111"/>
          <w:sz w:val="28"/>
          <w:sz w:val="28"/>
          <w:szCs w:val="28"/>
          <w:rtl w:val="true"/>
          <w:lang w:bidi="fa-IR"/>
        </w:rPr>
        <w:t>اثبات و نظر مخالف را ابطال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إِلىَ سَبِیلِ رَبِّكَ بِالحْكْمَةِ وَ الْمَوْعِظَةِ الحْسَنَةِوَ جَادِلْهُم بِالَّتىِ هِىَ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خاص تر از مجادله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بر دو نوع احسن و غیر احسن است و مناظره تنها به مجادله ی احسن اطلاق می شود که در آن بحث و گفت وگو بر اساس اصول صحیح و مقبول طرفین و تنها برای کشف حقیقت است و صرفا برای پیروزی بر خصم و اظهار قدرت و تفاخر از هر روش ممکن نیست</w:t>
      </w:r>
      <w:r>
        <w:rPr>
          <w:rFonts w:eastAsia="IRNazanin" w:cs="IRNazanin"/>
          <w:color w:val="111111"/>
          <w:sz w:val="28"/>
          <w:szCs w:val="28"/>
          <w:rtl w:val="true"/>
          <w:lang w:bidi="fa-IR"/>
        </w:rPr>
        <w:t>.</w:t>
      </w:r>
    </w:p>
    <w:p>
      <w:pPr>
        <w:pStyle w:val="Heading3"/>
        <w:numPr>
          <w:ilvl w:val="2"/>
          <w:numId w:val="1"/>
        </w:numPr>
        <w:rPr/>
      </w:pPr>
      <w:bookmarkStart w:id="27" w:name="__RefHeading___Toc1296640_2870459653"/>
      <w:bookmarkStart w:id="28" w:name="_Toc10"/>
      <w:bookmarkEnd w:id="27"/>
      <w:r>
        <w:rPr>
          <w:rtl w:val="true"/>
        </w:rPr>
        <w:t>الف</w:t>
      </w:r>
      <w:r>
        <w:rPr>
          <w:rtl w:val="true"/>
        </w:rPr>
        <w:t xml:space="preserve">: </w:t>
      </w:r>
      <w:r>
        <w:rPr>
          <w:rtl w:val="true"/>
        </w:rPr>
        <w:t>منطق حاکم بر ساختار مناظرات امام حسین</w:t>
      </w:r>
      <w:r>
        <w:rPr>
          <w:rtl w:val="true"/>
        </w:rPr>
        <w:t>(</w:t>
      </w:r>
      <w:r>
        <w:rPr>
          <w:rtl w:val="true"/>
        </w:rPr>
        <w:t>علیه السلام</w:t>
      </w:r>
      <w:r>
        <w:rPr>
          <w:rtl w:val="true"/>
        </w:rPr>
        <w:t>)</w:t>
      </w:r>
      <w:bookmarkEnd w:id="28"/>
    </w:p>
    <w:p>
      <w:pPr>
        <w:pStyle w:val="Heading4"/>
        <w:numPr>
          <w:ilvl w:val="3"/>
          <w:numId w:val="1"/>
        </w:numPr>
        <w:rPr/>
      </w:pPr>
      <w:bookmarkStart w:id="29" w:name="__RefHeading___Toc1296642_2870459653"/>
      <w:bookmarkStart w:id="30" w:name="_Toc11"/>
      <w:bookmarkEnd w:id="29"/>
      <w:r>
        <w:rPr/>
        <w:t>1</w:t>
      </w:r>
      <w:r>
        <w:rPr>
          <w:rtl w:val="true"/>
        </w:rPr>
        <w:t xml:space="preserve">. </w:t>
      </w:r>
      <w:r>
        <w:rPr>
          <w:rtl w:val="true"/>
        </w:rPr>
        <w:t>پیش بردن بحث به صورت منظم</w:t>
      </w:r>
      <w:bookmarkEnd w:id="30"/>
    </w:p>
    <w:p>
      <w:pPr>
        <w:pStyle w:val="BookText"/>
        <w:rPr/>
      </w:pPr>
      <w:r>
        <w:rPr>
          <w:rFonts w:ascii="IRNazanin" w:hAnsi="IRNazanin" w:eastAsia="IRNazanin"/>
          <w:color w:val="111111"/>
          <w:sz w:val="28"/>
          <w:sz w:val="28"/>
          <w:szCs w:val="28"/>
          <w:rtl w:val="true"/>
          <w:lang w:bidi="fa-IR"/>
        </w:rPr>
        <w:t>در تمام مناظراتی که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مختلف ثبت شده و به دست ما رسیده است، نظم حاکم بر این مناظرات و گفت وگوها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در خطبه منا ابتدا با روش مناسب پرسش گری که با تأیید مردم همراه بود، به معرفی خود و 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ذهن مردم را برای ادامه خطبه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گرفتن تأییدیه از مخاطبان، علت سقوط یهودیان در قرآن را بیان کرده و اهمیت امر به معروف و نهی از منکر را متذکر می شود و در ادامه ضمن یادآوری مسؤلیت خواص و بزرگان جامعه، علل نکوهش بزرگان امت اسلامی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با توجه به این که اذهان مخاطبان برای اصل بحث آماده شده است، علت حاکمیت فاسدان بنی امیه را تشریح کرده و به افشای حکومت ظالمانه ی معاویه پرداخته است و در پایان با جملاتی نیایش گونه، فلسفه و اهداف حکومت اسلامی را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از این خطبه چنین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الله اتعلمون ان علی بن ابی طالب کان اخا رسول الله صلی الله علیه و آله و سلم حین آخی بین اصحابه فاخی بینه و بین نفسه،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اخی و انا اخوک فی الدنیا و الآخرة؟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 ایها الناس بما وعظ الله به اولیاءه من سوء ثنائه علی الاحبار اذ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ینهیهم الربانیون و الاحبار عن قولهم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الله بالامر بالمعروف و النهی عن المنکر فریضة منه لعلمه بانها اذا </w:t>
      </w:r>
      <w:bookmarkStart w:id="31" w:name="pg8930_84702"/>
    </w:p>
    <w:p>
      <w:pPr>
        <w:pStyle w:val="BookText"/>
        <w:rPr/>
      </w:pPr>
      <w:bookmarkEnd w:id="31"/>
      <w:r>
        <w:rPr>
          <w:rFonts w:ascii="IRNazanin" w:hAnsi="IRNazanin" w:eastAsia="IRNazanin"/>
          <w:color w:val="111111"/>
          <w:sz w:val="28"/>
          <w:sz w:val="28"/>
          <w:szCs w:val="28"/>
          <w:rtl w:val="true"/>
          <w:lang w:bidi="fa-IR"/>
        </w:rPr>
        <w:t>ادیت و اقیمت استقامت الفرائض کلها هینها و صعبها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انتم ایها العصابة عصابة بالعلم مشهورة، و بالخیر مذکورة، و بالنصیحة معروفة، و بالله فی انفس الناس مهابة یهابکم الشریف، و یکرمکم الضعیف، و یؤثرکم من لا فضل لکم علیه و لا یدلکم عنده، تشفعون فی الحوائج اذا امتنعت من طلابها، و تمشون فی الطریق بهیئة الملوک و کرامة الاکابر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وقتی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صحابه و یارانش،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بست برای اخوّت خویش،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 گفتند خدایا تو را گواه می گیریم که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خداوند به اولیا و دوستانش با نکوهش از علمای یهود پندی داده تا عبرت بگیرید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علمای دینی و احبار، یهودی ها را از سخنان گناه آمیز و خوردن حرام نهی و جلوگیری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امر به معروف و نهی از منکر را اولین فریضه قرار داد زیرا اگر به انجام این فریضه اقدام گردد، تمام فرایض چه آسان و چه دشوار عملی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گروهی که به علم و دانش شهرت دارید و از شما به نیکی یاد می شود و به خیرخواهی و اندرزگویی و به راهنمایی در جامعه معروف شده اید، و به خاطر خدا در دل مردم شکوه و مهابت پیدا کرده اید، به طوری که مرد مقتدر از شما بیم دارد و ناتوان به تکریم شما برمی خیزد و آن کس که نه برتری و نه قدرتی بر او دارید شما را بر خود برتری داده است و نعمت های خویش را از خود دریغ داشته به شما ارزانی می دارد، در موارد حوائج وقتی به دست مردم نمی رسد وساطت می کنید و در کوچه و خیابان با مهابت پادشاهان و شکوه بزرگان قدم برمی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4"/>
        <w:numPr>
          <w:ilvl w:val="3"/>
          <w:numId w:val="1"/>
        </w:numPr>
        <w:rPr/>
      </w:pPr>
      <w:bookmarkStart w:id="32" w:name="__RefHeading___Toc1296644_2870459653"/>
      <w:bookmarkStart w:id="33" w:name="_Toc12"/>
      <w:bookmarkEnd w:id="32"/>
      <w:r>
        <w:rPr/>
        <w:t>2</w:t>
      </w:r>
      <w:r>
        <w:rPr>
          <w:rtl w:val="true"/>
        </w:rPr>
        <w:t xml:space="preserve">. </w:t>
      </w:r>
      <w:r>
        <w:rPr>
          <w:rtl w:val="true"/>
        </w:rPr>
        <w:t>اقرار گرفتن از خصم با سؤالات حساب شده</w:t>
      </w:r>
      <w:bookmarkEnd w:id="33"/>
    </w:p>
    <w:p>
      <w:pPr>
        <w:pStyle w:val="BookText"/>
        <w:rPr/>
      </w:pPr>
      <w:r>
        <w:rPr>
          <w:rFonts w:ascii="IRNazanin" w:hAnsi="IRNazanin" w:eastAsia="IRNazanin"/>
          <w:color w:val="111111"/>
          <w:sz w:val="28"/>
          <w:sz w:val="28"/>
          <w:szCs w:val="28"/>
          <w:rtl w:val="true"/>
          <w:lang w:bidi="fa-IR"/>
        </w:rPr>
        <w:t>گاهی برای اثبات عقیده ی خود، می توان از مخاطب اقرار گرفت و با استناد به همین اقرار نظر خویش را اثبات یا عقاید مخاطب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اقرار گرفتن با سؤالاتی همراه باشد که وجدان مخاطب را بیدار کند، به هیچ نحو او نخواهد توانست حق را انکار و نظر خود را توجیه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مردم کوفه نامه های زیادی به آن حضرت نوشته و ایشان را به کوفه دعوت </w:t>
      </w:r>
    </w:p>
    <w:p>
      <w:pPr>
        <w:pStyle w:val="BookText"/>
        <w:rPr/>
      </w:pPr>
      <w:r>
        <w:rPr>
          <w:rFonts w:ascii="IRNazanin" w:hAnsi="IRNazanin" w:eastAsia="IRNazanin"/>
          <w:color w:val="111111"/>
          <w:sz w:val="28"/>
          <w:sz w:val="28"/>
          <w:szCs w:val="28"/>
          <w:rtl w:val="true"/>
          <w:lang w:bidi="fa-IR"/>
        </w:rPr>
        <w:t>کرده بودند و چندی بعد کاملا از خواسته خود برگشته و در جمع سپاه دشمنان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با سوالاتی حساب شده از آنان سعی کرد وجدان کوفیان را بیدار سازد و آنان را به خود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سوار بر اسب، میان دو سپاه قرار گرفت و بحث و مناظره با آنان را این گونه آغاز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هل تعرفوننی؟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انت ابن رسول الله صلی الله علیه و آله و سلم و 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تعلمون أنّ جدّی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تعلمون أنّ أمّی فاطمة الزهراء بنت محمد المصطفی صلی الله علیه و آله و سلم؟ قالوا 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تعلمون أنّ أبی علی بن ابی طالب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تعلمون أنّ جدّتی خدیجة بنت خویلد اول نساء هذه الامة اسلاماً؟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خدا می خوانم آیا مرا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فرزند و سبط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 خوانم آیا می دانید که مادرم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مصطفی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 خوانم آیا می دانید که مادربزرگ من خدیجه، اول زن مسلمان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 و دیگران،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پرسش های مکرر و منظم که از کوفیان می پرسد به معرفی خود پرداخته و اعتبار و نسب خویش را به یاد کوفیان می آورد تا آنان به زشتی اعمال خود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آنان سؤال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أَتَطْلُبُونی بِقَتیل مِنْكُمْ قَتَلْتُهُ؟ أَوْ مال اسْتَهْلَكْتُهُ؟ أَوْ بِقِصاص مِنْ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كسى را از شما كشته ام كه خونش را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مالى را از شما تباه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زخمی کرده ام تا قصاص 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 و دیگران،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سكوت سنگینى بر سپاه دشمن سایه انداخته بود و كسى سخن نمى گفت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خطبه منا که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مکه بیان فرمودند، با سوالاتی بسیار دقیق از مردم به معرفی خود پرداختند به گونه ای که آنان پانزده بار سخن امام را با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34" w:name="pg8930_84704"/>
    </w:p>
    <w:p>
      <w:pPr>
        <w:pStyle w:val="Heading4"/>
        <w:numPr>
          <w:ilvl w:val="3"/>
          <w:numId w:val="1"/>
        </w:numPr>
        <w:rPr/>
      </w:pPr>
      <w:bookmarkStart w:id="35" w:name="__RefHeading___Toc1296646_2870459653"/>
      <w:bookmarkStart w:id="36" w:name="_Toc13"/>
      <w:bookmarkEnd w:id="34"/>
      <w:bookmarkEnd w:id="35"/>
      <w:r>
        <w:rPr/>
        <w:t>3</w:t>
      </w:r>
      <w:r>
        <w:rPr>
          <w:rtl w:val="true"/>
        </w:rPr>
        <w:t xml:space="preserve">. </w:t>
      </w:r>
      <w:r>
        <w:rPr>
          <w:rtl w:val="true"/>
        </w:rPr>
        <w:t>نقد دقیق سخن</w:t>
      </w:r>
      <w:bookmarkEnd w:id="36"/>
    </w:p>
    <w:p>
      <w:pPr>
        <w:pStyle w:val="BookText"/>
        <w:rPr/>
      </w:pPr>
      <w:r>
        <w:rPr>
          <w:rFonts w:ascii="IRNazanin" w:hAnsi="IRNazanin" w:eastAsia="IRNazanin"/>
          <w:color w:val="111111"/>
          <w:sz w:val="28"/>
          <w:sz w:val="28"/>
          <w:szCs w:val="28"/>
          <w:rtl w:val="true"/>
          <w:lang w:bidi="fa-IR"/>
        </w:rPr>
        <w:t>با استفاده از این فن در مناظره می توان به حقیقت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نقد گفتار و افعال معاویه او را محکوم به انجام افعال باطل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ای با معاویه او را بر قتل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کردند و در آنجا سخنان خود معاویه را به طور دقیق نقد کرده و برایش حجت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قُلْتَ فِیمَا تَقُولُ انْظُرْ نَفْسَكَ وَ لِدِینِكَ وَ لِأُمَّةِ مُحَمَّدٍ ص وَ اتَّقِ شَقَّ عَصَا هَذِهِ الْأُمَّةِ وَ أَنْ تَرُدَّهُمْ فِی فِتْنَةٍ فَلَا أَعْرِفُ فِتْنَةً أَعْظَمَ مِنْ وَلَایَتِكَ عَلَیْهَا وَ لَا أَعْلَمُ نَظَراً لِنَفْسِی وَ وُلْدِی وَ أُمَّةِ جَدِّی أَفْضَلَ مِنْ جِهَادِكَ فَإِنْ فَعَلْتُهُ فَهُوَ قُرْبَةٌ إِلَى اللَّهِ عَزَّ وَ جَلَّ وَ إِنْ تَرَكْتُهُ فَأَسْتَغْفِرُ اللَّهَ لِذَنْبِی وَ أَسْأَلُهُ تَوْفِیقِی لِإِرْشَادِ أُمُورِی وَ قُلْتَ فِیمَا تَقُولُ إِنْ أُنْكِرْكَ تُنْكِرْنِی وَ إِنْ أَكِدْكَ تَكِدْنِی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نامه ات گفته بودى ملاحظه خود و دینت و امّت محمّد را بكن، و از سركشى و پراكندگى این امّت بپرهیز كه تو را وارد فتنه اى كنند و من فتنه اى را عظیم تر از ولایت تو بر اینان نمى دانم، و هیچ نظرى را براى خود و فرزندانم و امّت جدّم افضل از جهاد تو نمى دانم، كه اگر آن را انجام دهم فقط قصدم قربت به خداوند است، و اگر آن را ترك گفته ام از خداوند به جهت این گناه استغفار مى كنم و توفیق هدایت در كارهایم را دارم و اى معاویه تو در قسمت دیگرى از نامه ات 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انكار كنم تو نیز همان كنى، و اگر درباره ات كید كنم تو هم به حیله دست یازى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رأى و نظر تو از وقتى كه به دنیا آمده اى، جز كید صالحان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معاویه سعی داشت با تعریف های جذاب از یزید، او را چهره ای محبوب جلوه دهد،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این گونه نقد نمودند و به افشای چهره واقعی او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فهمتُ ما ذكرته عن یزید من اكتماله و سیاسته لامة محمد، ترید أن توهّم الناس فی یزید، كأنك تصف محجوباً أو تنعت غائباً، أو تخبر عمّا كأنك احتویته بعلم خاص، وقد دلّ یزید من نفسه على موقع رأیه، فخذ لیزید فیما أخذ به من استقرائه الكلاب المهارشة عند التحارش، والحمّام السُبَّق لاترابهن، والقینات ذوات المعازف، وضروب الملاهی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عنك ما تحاول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 و دیگران،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دانستیم آن چه را که درباره یزید از کمال روحی و سیاست او نسبت به امّت </w:t>
      </w:r>
      <w:bookmarkStart w:id="37" w:name="pg8930_84705"/>
    </w:p>
    <w:p>
      <w:pPr>
        <w:pStyle w:val="BookText"/>
        <w:rPr/>
      </w:pPr>
      <w:bookmarkEnd w:id="37"/>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و تلاش داری ذهن مردم را درباره یزید به انحراف کشانی، گویا فرد ناشناسی را تعریف می کنی، یا صفات فرد پنهان شده ای را بیان می داری، یا چیزهائی از یزید می دانی که مردم نمی دانند، نه یزید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شناساند، و افکارش را آشکارا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که یزید با سگ های تحریک شده بازی می کند، و کبوتر باز است و با کبوتران مسابقه می دهد، با زنان معروف به فساد سرگرم است، و به انواع لهو و لعب بازی های حرام خوش می گذراند، او را می بینی که در این گونه از کارها نیرومند است، معاویه این گونه دگرگونی ها را که بوجود می آوری، رها کن</w:t>
      </w:r>
      <w:r>
        <w:rPr>
          <w:rFonts w:eastAsia="IRNazanin" w:cs="IRNazanin"/>
          <w:color w:val="111111"/>
          <w:sz w:val="28"/>
          <w:szCs w:val="28"/>
          <w:rtl w:val="true"/>
          <w:lang w:bidi="fa-IR"/>
        </w:rPr>
        <w:t>.</w:t>
      </w:r>
    </w:p>
    <w:p>
      <w:pPr>
        <w:pStyle w:val="Heading4"/>
        <w:numPr>
          <w:ilvl w:val="3"/>
          <w:numId w:val="1"/>
        </w:numPr>
        <w:rPr/>
      </w:pPr>
      <w:bookmarkStart w:id="38" w:name="__RefHeading___Toc1296648_2870459653"/>
      <w:bookmarkStart w:id="39" w:name="_Toc14"/>
      <w:bookmarkEnd w:id="38"/>
      <w:r>
        <w:rPr/>
        <w:t>4</w:t>
      </w:r>
      <w:r>
        <w:rPr>
          <w:rtl w:val="true"/>
        </w:rPr>
        <w:t xml:space="preserve">. </w:t>
      </w:r>
      <w:r>
        <w:rPr>
          <w:rtl w:val="true"/>
        </w:rPr>
        <w:t>مقابله و مقایسه</w:t>
      </w:r>
      <w:bookmarkEnd w:id="39"/>
    </w:p>
    <w:p>
      <w:pPr>
        <w:pStyle w:val="BookText"/>
        <w:rPr/>
      </w:pPr>
      <w:r>
        <w:rPr>
          <w:rFonts w:ascii="IRNazanin" w:hAnsi="IRNazanin" w:eastAsia="IRNazanin"/>
          <w:color w:val="111111"/>
          <w:sz w:val="28"/>
          <w:sz w:val="28"/>
          <w:szCs w:val="28"/>
          <w:rtl w:val="true"/>
          <w:lang w:bidi="fa-IR"/>
        </w:rPr>
        <w:t>یکی از فنون مناظره است که در آن به شکل مقایسه ای مقابله می شود تا روشن شود کدام یک مهم تر، مؤثرتر یا مقدم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مجلسی که ولید از امام خواست تا با یزید بیعت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استفاده کرده و ارجحیت خود بر یزید را روشن نمود لذا خطاب به ولید، حاکم مدینه،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النبوة و معدن الرسالة و مختلف الملائکة و محلّ الرحمه و بنا فتح الله و بنا ختم و یزید رجل فاسق شارب خمر قاتل النفس المحرمة معلن بالفسق، و مثلی لا یبایع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خاندان نبوت و معدن رسالت و خاندان ما محل آمد و شد فرشتگان و محل نزول رحمت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اسلام را از خاندان ما شروع کرد و تا آخر همگام با ما پیش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مردی شراب خوار که دستش به خون افراد بی گناه آلوده است، او شخصی است که دستورات الهی را در هم شکسته، و در مقابل چشم مردم مرتکب فسق و فجور می گردد، آیا رواست شخصی همچون من با آن سوابق درخشان و اصالت خانوادگی با چنین مرد فاسقی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نجمی،</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امام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سپاه خود و سپاه حرّ سخن می گفت از این روش جهت اثبات حقانیت قیام خود استفاده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عَلِمْتُمْ أَنَّ هَؤُلَاءِ الْقَوْمَ قَدْ لَزِمُوا طَاعَةَ الشَّیْطَانِ وَ تَوَلَّوْا عَنْ طَاعَةِ الرَّحْمَنِ وَ أَظْهَرُوا الْفَسَادَ وَ عَطَّلُوا الْحُدُودَ وَ اسْتَأْثَرُوا بِالْفَیْ ءِ وَ أَحَلُّوا حَرَامَ اللَّهِ وَ حَرَّمُوا حَلَالَهُ وَ إِنِّی أَحَقُّ بِهَذَا الْأَمْرِ لِقَرَابَتِی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پیروی شیطان چسبیده اطاعت خدای رحمن را ترک گفته، تباهی ها را </w:t>
      </w:r>
      <w:bookmarkStart w:id="40" w:name="pg8930_84706"/>
    </w:p>
    <w:p>
      <w:pPr>
        <w:pStyle w:val="BookText"/>
        <w:rPr/>
      </w:pPr>
      <w:bookmarkEnd w:id="40"/>
      <w:r>
        <w:rPr>
          <w:rFonts w:ascii="IRNazanin" w:hAnsi="IRNazanin" w:eastAsia="IRNazanin"/>
          <w:color w:val="111111"/>
          <w:sz w:val="28"/>
          <w:sz w:val="28"/>
          <w:szCs w:val="28"/>
          <w:rtl w:val="true"/>
          <w:lang w:bidi="fa-IR"/>
        </w:rPr>
        <w:t>آشکار ساخته، حدود خداوندی را تعطیل کرده، بیت المال را در انحصار خود درآورده، حرام خدا را حلال و حلال خدا را حرام ساخته اند و من از هر کس دیگر سزاوارترم که بر اینان شوریده در برابرشان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و دیگران،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Heading4"/>
        <w:numPr>
          <w:ilvl w:val="3"/>
          <w:numId w:val="1"/>
        </w:numPr>
        <w:rPr/>
      </w:pPr>
      <w:bookmarkStart w:id="41" w:name="__RefHeading___Toc1296650_2870459653"/>
      <w:bookmarkStart w:id="42" w:name="_Toc15"/>
      <w:bookmarkEnd w:id="41"/>
      <w:r>
        <w:rPr/>
        <w:t>5</w:t>
      </w:r>
      <w:r>
        <w:rPr>
          <w:rtl w:val="true"/>
        </w:rPr>
        <w:t xml:space="preserve">. </w:t>
      </w:r>
      <w:r>
        <w:rPr>
          <w:rtl w:val="true"/>
        </w:rPr>
        <w:t>تسجیل</w:t>
      </w:r>
      <w:bookmarkEnd w:id="42"/>
    </w:p>
    <w:p>
      <w:pPr>
        <w:pStyle w:val="BookText"/>
        <w:rPr/>
      </w:pPr>
      <w:r>
        <w:rPr>
          <w:rFonts w:ascii="IRNazanin" w:hAnsi="IRNazanin" w:eastAsia="IRNazanin"/>
          <w:color w:val="111111"/>
          <w:sz w:val="28"/>
          <w:sz w:val="28"/>
          <w:szCs w:val="28"/>
          <w:rtl w:val="true"/>
          <w:lang w:bidi="fa-IR"/>
        </w:rPr>
        <w:t>فن تسجیل یعنی استفاده از الفاظی که وقوع مطلب را برای مخاطب مسجّل و حتمی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عاشورا، تسجیل بسیار به کار رفته است که به مواردی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مردی کوفی به نام ابوهره ازدی که گفت؛ ای فرزند رسول خدا چرا از حرم خدا و جد خود بیرون آمدی؟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أیم الله لتقتلنی الفئه الباغیه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ستمگر مرا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و دیگران،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به عبدالله بن جعفر که نگران بود و از ایشان خواسته بود تا از مکه خارج نشوند مبادا کشته 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یَابْنَ عَمّی لَوْ کُنْتُ فی حُجْرِ هامَّةٍ مِنْ هَوامِّ الْاَرْضِ لَاِسْتَخْرَجُونی وَ یَقْتُلُونی ؛ وَ اللّه ِ یَا ابْنَ عَمّی لَیَعْتَدَنَّ عَلَیَّ کما اِعْتَدَتِ الیَهُودُ عَلَی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آشیانه ی بومی نیز باشم آنان مرا بیرون آورند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همچون یهود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 ستم کردند، بر من ستم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و دیگران،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امام با همه خاندان خویش راهی مکه بود از شاهراه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پسرعمویش، مسلم بن عقیل گفت اگر همچون عبدالله بن زبیر از راه دیگری می رفتیم، بهتر بود؛ زیرا نگرانم تعقیب کنندگان به ما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به مسلم به گونه ای بود که باور کند به هیج وجه از این راه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یابن العم لا فارقت هذا الطریق أبدا أو أنظر إلی أبیات مکه أو یقضی الله فی ذلک ما یحب و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 عمو به خدا سوگند از این راه جدا نمی شوم تا خانه های مکه را ببینم یا خدا آن چه را دوست دارد و می پسندد در این راه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و دیگران،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4"/>
        <w:numPr>
          <w:ilvl w:val="3"/>
          <w:numId w:val="1"/>
        </w:numPr>
        <w:rPr/>
      </w:pPr>
      <w:bookmarkStart w:id="43" w:name="__RefHeading___Toc1296652_2870459653"/>
      <w:bookmarkStart w:id="44" w:name="_Toc16"/>
      <w:bookmarkEnd w:id="43"/>
      <w:r>
        <w:rPr/>
        <w:t>6</w:t>
      </w:r>
      <w:r>
        <w:rPr>
          <w:rtl w:val="true"/>
        </w:rPr>
        <w:t xml:space="preserve">. </w:t>
      </w:r>
      <w:r>
        <w:rPr>
          <w:rtl w:val="true"/>
        </w:rPr>
        <w:t>قرارگرفتن در جایگاه پرسش گر</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پرسش گری می توان خصم را وادار به پاسخ گویی کرد تا باطل او آشکار گردد</w:t>
      </w:r>
      <w:r>
        <w:rPr>
          <w:rFonts w:eastAsia="IRNazanin" w:cs="IRNazanin"/>
          <w:color w:val="111111"/>
          <w:sz w:val="28"/>
          <w:szCs w:val="28"/>
          <w:rtl w:val="true"/>
          <w:lang w:bidi="fa-IR"/>
        </w:rPr>
        <w:t xml:space="preserve">. </w:t>
      </w:r>
      <w:bookmarkStart w:id="45" w:name="pg8930_84707"/>
    </w:p>
    <w:p>
      <w:pPr>
        <w:pStyle w:val="BookText"/>
        <w:rPr/>
      </w:pPr>
      <w:bookmarkEnd w:id="45"/>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توبیخ معاویه بر قتل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پرسش های پی در پی او را محکوم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قَاتِلَ حُجْرِ بْنِ عَدِیٍّ أَخِی كِنْدَةَ وَ أَصْحَابِهِ الصَّالِحِینَ الْمُطِیعِینَ الْعَابِدِینَ كَانُوا یُنْكِرُونَ الظُّلْمَ وَ یَسْتَعْظِمُونَ الْمُنْكَرَ وَ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یُؤْثِرُونَ حُكْمَ الْكِتَابِ وَ لَا یَخَافُونَ فِی اللَّهِ لَوْمَةَ لَائِمٍ فَقَتَلْتَهُمْ ظُلْماً وَ عُدْوَاناً بَعْدَ مَا كُنْتَ أَعْطَیْتَهُمُ الْأَیْمَانَ الْمُغَلَّظَةَ وَ الْمَوَاثِیقَ الْمُؤَكَّدَةَ لَا تَأْخُذُهُمْ بِحَدَثٍ كَانَ بَیْنَكَ وَ بَیْنَهُمْ وَ لَا بِإِحْنَةٍ تَجِدُهَا فِی صَدْرِكَ عَلَیْهِمْ أَ وَ لَسْتَ قَاتِلَ عَمْرِو بْنِ الْحَمِقِ صَاحِبِ رَسُولِ اللَّهِ الْعَبْدِ الصَّالِحِ الَّذِی أَبْلَتْهُ الْعِبَادَةُ فَصَفَّرَتْ لَوْنَهُ وَ نَحَّلَتْ جِسْمَهُ بَعْدَ أَنْ آمَنْتَهُ وَ أَعْطَیْتَهُ مِنْ عُهُودِ اللَّهِ عَزَّ وَ جَلَّ وَ مِیثَاقِهِ مَا لَوْ أَعْطَیْتَهُ الْعُصْمَ فَفَهَّمْتَهُ لَنَزَلَتْ إِلَیْكَ مِنْ شَعَفِ الْجِبَالِ ثُمَّ قَتَلْتَهُ جُرْأَةً عَلَى اللَّهِ عَزَّ وَ جَلَّ وَ اسْتِخْفَافاً بِذَلِكَ الْعَهْدِ أَ وَ لَسْتَ الْمُدَّعِیَ زِیَادَ بْنَ سُمَیَّةَ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عَلَى فِرَاشِ عُبَیْدِ عَبْدِ ثَقِیفٍ فَزَعَمْتَ أَنَّهُ ابْنُ أَبِیكَ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تو قاتل حجر بن عدى برادر كنده و أصحاب صالح مطیع عابد او نیستى، آنان منكر ظلم بوده و بدعت را بد شمرده و حكم كتاب خدا را پیش مى انداختند، و در راه خدا از سرزنش هیچ ملامت گرى نمى ترسیدند، تو از سر ظلم و عدوان همه ایشان را پس از امان و عهد و میثاق محكم؛ بى آنكه مسأله اى میان تو و ایشان بوده و نه حقد و كینه اى كه در سینه داشته باشى؛ از لب تیغ گذراندى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قاتل عمرو بن حمق؛ صحابه گرامى رسول خدا نیستى؛ بنده صالحى كه شدّت عبادت او را تحلیل برده و رنگش را زرد و جسمش را نحیف كرده بود، پس از آن كه او را به عهود و میثاق الهى امانش دادى، امانى كه اگر به پرندگان داده بودى همه آن ها از بالاى كوه بر تو نازل مى شدند، سپس تو آن بزرگوار را از سر گستاخى و بى شرمى بر خداى و كوچك شمردن عهد و پیمان او به قتل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آن نیستى كه زیاد را همو كه بر فراش بردگان عبد ثقیف به دنیا آمد برادر خود خواندى</w:t>
      </w:r>
      <w:r>
        <w:rPr>
          <w:rFonts w:eastAsia="IRNazanin" w:cs="IRNazanin"/>
          <w:color w:val="111111"/>
          <w:sz w:val="28"/>
          <w:szCs w:val="28"/>
          <w:rtl w:val="true"/>
          <w:lang w:bidi="fa-IR"/>
        </w:rPr>
        <w:t>... .</w:t>
      </w:r>
    </w:p>
    <w:p>
      <w:pPr>
        <w:pStyle w:val="Heading4"/>
        <w:numPr>
          <w:ilvl w:val="3"/>
          <w:numId w:val="1"/>
        </w:numPr>
        <w:rPr/>
      </w:pPr>
      <w:bookmarkStart w:id="46" w:name="__RefHeading___Toc1296654_2870459653"/>
      <w:bookmarkStart w:id="47" w:name="_Toc17"/>
      <w:bookmarkEnd w:id="46"/>
      <w:r>
        <w:rPr/>
        <w:t>7</w:t>
      </w:r>
      <w:r>
        <w:rPr>
          <w:rtl w:val="true"/>
        </w:rPr>
        <w:t xml:space="preserve">. </w:t>
      </w:r>
      <w:r>
        <w:rPr>
          <w:rtl w:val="true"/>
        </w:rPr>
        <w:t>بیدار کردن فطرت</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مناظرات می توان با بیدار نمودن فطرت طرف مقابل او را به محاسبه و تفکر واداشت تا راه صواب و حقیقت بر او آشکار گشته و در برابر حق تسلیم شود</w:t>
      </w:r>
      <w:r>
        <w:rPr>
          <w:rFonts w:eastAsia="IRNazanin" w:cs="IRNazanin"/>
          <w:color w:val="111111"/>
          <w:sz w:val="28"/>
          <w:szCs w:val="28"/>
          <w:rtl w:val="true"/>
          <w:lang w:bidi="fa-IR"/>
        </w:rPr>
        <w:t xml:space="preserve">. </w:t>
      </w:r>
      <w:bookmarkStart w:id="48" w:name="pg8930_84708"/>
    </w:p>
    <w:p>
      <w:pPr>
        <w:pStyle w:val="BookText"/>
        <w:rPr/>
      </w:pPr>
      <w:bookmarkEnd w:id="48"/>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طریقی سعی در هدایت مسلمانان گمراهی داشت که در سپاه عمر بن سعد و رو در روی فرزند پیامبر خویش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عاشورا برهانی عقلی برای آنان بیان کرد شاید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سپاهیان عمر بن سعد پس از حمد و ثناى الهى، دعوت به تقوا و پرهیز از دنیا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الدُّنْیا لَوْ بَقِیَتْ لاِحَد أَوْ بَقِىَ عَلَیْها أَحَدٌ، كانَتِ الاْنْبِیاءُ أَحَقُّ بِالْبَقاءِ، وَ أَوْلى بِالرِّضى، وَ أَرْضى بِالْقَضاءِ، غَیْرُ أَنَّ اللّهَ تَعالى خَلَقَ الدُّنْیا لِلْبَلاءِ، وَ خَلَقَ أَهْلَها لِلْفَناءِ، فَجَدیدُها بال، وَ نَعیمُها مُضْمَحِلٌّ، وَ سُرُورُها مُكْفَهِرٌّ، وَ الْمَنْزِلُ بُلْغَةٌ وَ الدّارُ قُلْعَةٌ، فَتَزَوَّدُوا، فَإِنَّ خَیْرَ الزّادِ التَّقْوى، فَاتَّقُوا اللّهَ لَعَلَّكُمْ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شریفی و دیگران،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دنیا براى كسى مى ماند و یا كسى در آن مى ماند، پیامبران به بقا شایسته 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جلب رضایت، سزاوارتر و به قضاى الهى خشنودتر بودند و حال آن كه خداوند دنیا را براى آزمایش و امتحان و اهل آن را براى فنا و زوال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هاى آن كهنه مى شود و نعمت هایش نابود مى گردد و شادمانى آن آمیخته با غم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منزلى است ناپایدار و خانه اى است كه به ناچار باید از آن رخت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توشه راه بردارید و بهترین ره توشه، تقواست، تقواى الهى پیشه كنید تا رستگار شوید</w:t>
      </w:r>
      <w:r>
        <w:rPr>
          <w:rFonts w:eastAsia="IRNazanin" w:cs="IRNazanin"/>
          <w:color w:val="111111"/>
          <w:sz w:val="28"/>
          <w:szCs w:val="28"/>
          <w:rtl w:val="true"/>
          <w:lang w:bidi="fa-IR"/>
        </w:rPr>
        <w:t>.</w:t>
      </w:r>
    </w:p>
    <w:p>
      <w:pPr>
        <w:pStyle w:val="Heading4"/>
        <w:numPr>
          <w:ilvl w:val="3"/>
          <w:numId w:val="1"/>
        </w:numPr>
        <w:rPr/>
      </w:pPr>
      <w:bookmarkStart w:id="49" w:name="__RefHeading___Toc1296656_2870459653"/>
      <w:bookmarkStart w:id="50" w:name="_Toc18"/>
      <w:bookmarkEnd w:id="49"/>
      <w:r>
        <w:rPr/>
        <w:t>8</w:t>
      </w:r>
      <w:r>
        <w:rPr>
          <w:rtl w:val="true"/>
        </w:rPr>
        <w:t xml:space="preserve">. </w:t>
      </w:r>
      <w:r>
        <w:rPr>
          <w:rtl w:val="true"/>
        </w:rPr>
        <w:t>به کارگیری زبان انگیزشی</w:t>
      </w:r>
      <w:bookmarkEnd w:id="5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روش هایی که برای تأثیرگذاری بیشتر بر مخاطبان به کار می رود، برانگیختن شوق و انگیزه درونی مخاطب برای دریافت حقایق و واقعیات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روش در جریان عاشورا بارها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عاشورا امام به امید هدایت مردم پس از حمد و ثناى الهى این گونه سپاه عمر بن سعد را مورد خطاب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كُونُوا مِنَ الدُّنْیا عَلى حَذَر، فَإِنَّ الدُّنْیا لَوْ بَقِیَتْ لاِحَد أَوْ بَقِىَ عَلَیْها أَحَدٌ، كانَتِ الاْنْبِیاءُ أَحَقُّ بِالْبَقاءِ، وَ أَوْلى بِالرِّضى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پیشه كنید و از دنیا دورى نمایید، اگر دنیا براى كسى مى ماند و یا كسى در آن می ماند، پیامبران به بقا شایسته 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جلب رضایت، سزاوارتر و به قضاى الهى خشنودتر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 و دیگران،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bookmarkStart w:id="51" w:name="pg8930_84709"/>
    </w:p>
    <w:p>
      <w:pPr>
        <w:pStyle w:val="BookText"/>
        <w:rPr/>
      </w:pPr>
      <w:bookmarkEnd w:id="51"/>
      <w:r>
        <w:rPr>
          <w:rFonts w:ascii="IRNazanin" w:hAnsi="IRNazanin" w:eastAsia="IRNazanin"/>
          <w:color w:val="111111"/>
          <w:sz w:val="28"/>
          <w:sz w:val="28"/>
          <w:szCs w:val="28"/>
          <w:rtl w:val="true"/>
          <w:lang w:bidi="fa-IR"/>
        </w:rPr>
        <w:t>همچنین در همان روز عاشورا چون سپاه عمر سعد نزدیک شدند، امام شتر خویش را خواست سوار شد و با صدای بلند که همه مردم بشنوند،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إِسْمَعُوا قَوْلی، وَ لا تُعَجِّلُونی حَتّى أَعِظُكُمْ بِما لَحَقٌّ لَكُمْ عَلَىَّ، وَ حَتّى اَعْتَذِرُ اِلَیْكُمْ مِنْ مَقْدَمی عَلَیْكُمْ، فَاِنْ قَبِلْتُمْ عُذْری وَ صَدَّقْتُمْ قَوْلی، وَ أَعْطَیْتُمُونی النَّصْفَ، كُنْتُمْ بِذلِكَ أَسْعَدُ، وَ لَمْ یَكُنْ لَكُمْ عَلَىَّ سَبیلٌ، وَ إِنْ لَمْ تَقْبَلُوا مِنّی الْعُذْرَ، وَ لَمْ تُعْطُواالنَّصْفَ مِنْ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أَمْرَكُمْ وَشُرَكَاءَكُمْ ثُمَّ لاَ یَكُنْ أَمْرُكُمْ عَلَیْكُمْ غُمَّةً ثُمَّ اقْضُوا إِلَىَّ وَلاَ تُنْظِرُونِ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 و دیگران،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بشنوید، و براى كشتن من شتاب مكنید، تا شما را به چیزى كه حقّ شما بر من است، موعظه كنم و دلیل آمدنم را به این دیار با شما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سخنم را پذیرفته و گفتارم را تصدیق كردید و انصاف دادید، سعادتمند خواهید شد و اگر عذرم را نپذیرفته و از مسیر عدل و انصاف كناره گرفتید، پس هیچ چیز بر شما پوشیده نماند، تمام جوانب كارتان را بنگرید، سپس مهلتم ندهید و هر كارى از دستتان ساخته است انجام دهید</w:t>
      </w:r>
      <w:r>
        <w:rPr>
          <w:rFonts w:eastAsia="IRNazanin" w:cs="IRNazanin"/>
          <w:color w:val="111111"/>
          <w:sz w:val="28"/>
          <w:szCs w:val="28"/>
          <w:rtl w:val="true"/>
          <w:lang w:bidi="fa-IR"/>
        </w:rPr>
        <w:t>... .</w:t>
      </w:r>
    </w:p>
    <w:p>
      <w:pPr>
        <w:pStyle w:val="Heading3"/>
        <w:numPr>
          <w:ilvl w:val="2"/>
          <w:numId w:val="1"/>
        </w:numPr>
        <w:rPr/>
      </w:pPr>
      <w:bookmarkStart w:id="52" w:name="__RefHeading___Toc1296658_2870459653"/>
      <w:bookmarkStart w:id="53" w:name="_Toc19"/>
      <w:bookmarkEnd w:id="52"/>
      <w:r>
        <w:rPr>
          <w:rtl w:val="true"/>
        </w:rPr>
        <w:t>ب</w:t>
      </w:r>
      <w:r>
        <w:rPr>
          <w:rtl w:val="true"/>
        </w:rPr>
        <w:t xml:space="preserve">: </w:t>
      </w:r>
      <w:r>
        <w:rPr>
          <w:rtl w:val="true"/>
        </w:rPr>
        <w:t>منطق حاکم بر محتوای مناظرات امام حسین</w:t>
      </w:r>
      <w:r>
        <w:rPr>
          <w:rtl w:val="true"/>
        </w:rPr>
        <w:t>(</w:t>
      </w:r>
      <w:r>
        <w:rPr>
          <w:rtl w:val="true"/>
        </w:rPr>
        <w:t>علیه السلام</w:t>
      </w:r>
      <w:r>
        <w:rPr>
          <w:rtl w:val="true"/>
        </w:rPr>
        <w:t>)</w:t>
      </w:r>
      <w:bookmarkEnd w:id="53"/>
    </w:p>
    <w:p>
      <w:pPr>
        <w:pStyle w:val="Heading4"/>
        <w:numPr>
          <w:ilvl w:val="3"/>
          <w:numId w:val="1"/>
        </w:numPr>
        <w:rPr/>
      </w:pPr>
      <w:bookmarkStart w:id="54" w:name="__RefHeading___Toc1296660_2870459653"/>
      <w:bookmarkStart w:id="55" w:name="_Toc20"/>
      <w:bookmarkEnd w:id="54"/>
      <w:r>
        <w:rPr>
          <w:rtl w:val="true"/>
        </w:rPr>
        <w:t>اشاره</w:t>
      </w:r>
      <w:bookmarkEnd w:id="5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مناظره، داشتن اطلاعات کافی و تسلط بر منابع و مستندات موضوع از ضروریات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مواد به کار رفته در استدلال صحیح تر، معتبرتر و یقینی تر باشد، نتیجه بهتری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باید مستندات شخص، مورد قبول مخاطب باشد برای مسلمانان استناد به قرآن و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أئمه معصومین و برهان های عقلی و حسی از معتبرترین مستندات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أئمه معصومین است، برای ما به خودی خود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زندگانی ایشان و به خصوص جریان عاشورا عده زیادی از مردم در آن اوضاع و شرایط مسموم جامعه که در اثر تبلیغات و سیاست های غلط حاکمان اموی ایجاد شده بود، از مسیر حق و درست منحرف گشته و دچار شبهات و اشتباهات زیادی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رو در روی امام معصوم قرار گرفتند؛ لذا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متوجه ساختن آنان ناچار به قرآن و سخنان </w:t>
      </w:r>
      <w:bookmarkStart w:id="56" w:name="pg8930_84710"/>
    </w:p>
    <w:p>
      <w:pPr>
        <w:pStyle w:val="BookText"/>
        <w:rPr/>
      </w:pPr>
      <w:bookmarkEnd w:id="56"/>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بیدار ساختن وجدان این مسلمانان غفلت زده از طریق محسوسات و عقلیات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 و سخنان ایشان موارد زیادی از استناد به قرآن و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کارگیری برهان عقلی و محسوسات وجود دارد که به برخی از آن ها اشاره می شود</w:t>
      </w:r>
      <w:r>
        <w:rPr>
          <w:rFonts w:eastAsia="IRNazanin" w:cs="IRNazanin"/>
          <w:color w:val="111111"/>
          <w:sz w:val="28"/>
          <w:szCs w:val="28"/>
          <w:rtl w:val="true"/>
          <w:lang w:bidi="fa-IR"/>
        </w:rPr>
        <w:t>.</w:t>
      </w:r>
    </w:p>
    <w:p>
      <w:pPr>
        <w:pStyle w:val="Heading4"/>
        <w:numPr>
          <w:ilvl w:val="3"/>
          <w:numId w:val="1"/>
        </w:numPr>
        <w:rPr/>
      </w:pPr>
      <w:bookmarkStart w:id="57" w:name="__RefHeading___Toc1296662_2870459653"/>
      <w:bookmarkStart w:id="58" w:name="_Toc21"/>
      <w:bookmarkEnd w:id="57"/>
      <w:r>
        <w:rPr/>
        <w:t>1</w:t>
      </w:r>
      <w:r>
        <w:rPr>
          <w:rtl w:val="true"/>
        </w:rPr>
        <w:t xml:space="preserve">. </w:t>
      </w:r>
      <w:r>
        <w:rPr>
          <w:rtl w:val="true"/>
        </w:rPr>
        <w:t>استناد به قرآن</w:t>
      </w:r>
      <w:bookmarkEnd w:id="58"/>
    </w:p>
    <w:p>
      <w:pPr>
        <w:pStyle w:val="BookText"/>
        <w:rPr/>
      </w:pPr>
      <w:r>
        <w:rPr>
          <w:rFonts w:ascii="IRNazanin" w:hAnsi="IRNazanin" w:eastAsia="IRNazanin"/>
          <w:color w:val="111111"/>
          <w:sz w:val="28"/>
          <w:sz w:val="28"/>
          <w:szCs w:val="28"/>
          <w:rtl w:val="true"/>
          <w:lang w:bidi="fa-IR"/>
        </w:rPr>
        <w:t>به برخی از آیات مورد استناد امام قبلا اشاره شد و اکنون برخی دیگر از این استنادات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 مناظره ای که امام در روز عاشورا با کوفیان داشتند، به آنان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علی الیهود 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ابن الله، و اشتد غضب الله علی النصاری 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 ابن الله، واشتد غضب الله علی المجوس حین عبدوا النار من دون الله، و اشتد غضب الله علی قوم قتلوا نبیهم، و اشتد غضب الله علی هذه اعصابة الذین یریدون قتلی، ابن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خداوند بر یهود، زمانیسخت شد كه عُزیر را پسر خداوند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خداوند زمانی بر نصاری شدید شد كه مسیح را پسر خداوند دانستند و خشم خداوند زمانی بر مجوس شدت گرفت كه آن ها آتش را معبود خودشان گرفتند و آن را بدون اعتقاد به خداوند می پرستیدند و غضب خداوند بر مردمی سخت گردید كه پیامبرشان را كشتند و غضب خداوند بر این جماعتی شدید شد كه كشتن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 پیامبرشان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شریفی و دیگران،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سپاه عمر سعد نزدیک شدند، امام سوار بر شتر آنان را موعظه فرمود و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أَمْرَكُمْ وَشُرَكَاءَكُمْ ثُمَّ لاَ یَكُنْ أَمْرُكُمْ عَلَیْكُمْ غُمَّةً ثُمَّ اقْضُوا إِلَىَّ وَلاَ تُنْظِرُونِ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خود و قدرت معبود هایتان را جمع کنید، سپس هیچ چیز بر شما پوشیده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جوانب کارتان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حیات من پایان دهید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وَلِیِّىَ اللهُ الَّذِى نَزَّلَ الْكِتَابَ وَهُوَ یَتَوَلَّى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 من خدایی است که این کتاب را نازل کرده و او همه صالحان را سرپرستی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 و دیگران،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یزید بن معاویه از شام نامه ای به مردم مدینه از قریش و بنی هاشم فرستاد که به زبان شعر متضمن این معانی بود که اعمال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است و برای </w:t>
      </w:r>
      <w:bookmarkStart w:id="59" w:name="pg8930_84711"/>
    </w:p>
    <w:p>
      <w:pPr>
        <w:pStyle w:val="BookText"/>
        <w:rPr/>
      </w:pPr>
      <w:bookmarkEnd w:id="59"/>
      <w:r>
        <w:rPr>
          <w:rFonts w:ascii="IRNazanin" w:hAnsi="IRNazanin" w:eastAsia="IRNazanin"/>
          <w:color w:val="111111"/>
          <w:sz w:val="28"/>
          <w:sz w:val="28"/>
          <w:szCs w:val="28"/>
          <w:rtl w:val="true"/>
          <w:lang w:bidi="fa-IR"/>
        </w:rPr>
        <w:t>دور کردن مردم از امام چنین کرد، افرادی این اشعار را به امام رساندند و ایشان در جواب فقط 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كَذَّبُوكَ فَقُل لِّی عَمَلِی وَلَكُمْ عَمَلُكُمْ أَنتُمْ بَرِیئُونَ مِمَّا أَعْمَلُ وَأَنَاْ بَرِیءٌ مِّمَّا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تکذیب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برای من و عمل شما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چه من انجام می دهم بیزارید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شما انجام می دهید،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 و دیگران،</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4"/>
        <w:numPr>
          <w:ilvl w:val="3"/>
          <w:numId w:val="1"/>
        </w:numPr>
        <w:rPr/>
      </w:pPr>
      <w:bookmarkStart w:id="60" w:name="__RefHeading___Toc1296664_2870459653"/>
      <w:bookmarkStart w:id="61" w:name="_Toc22"/>
      <w:bookmarkEnd w:id="60"/>
      <w:r>
        <w:rPr/>
        <w:t>2</w:t>
      </w:r>
      <w:r>
        <w:rPr>
          <w:rtl w:val="true"/>
        </w:rPr>
        <w:t xml:space="preserve">. </w:t>
      </w:r>
      <w:r>
        <w:rPr>
          <w:rtl w:val="true"/>
        </w:rPr>
        <w:t>استناد به احادیث پیامبر</w:t>
      </w:r>
      <w:r>
        <w:rPr>
          <w:rtl w:val="true"/>
        </w:rPr>
        <w:t>(</w:t>
      </w:r>
      <w:r>
        <w:rPr>
          <w:rtl w:val="true"/>
        </w:rPr>
        <w:t>صلی الله علیه و آله و سلم</w:t>
      </w:r>
      <w:r>
        <w:rPr>
          <w:rtl w:val="true"/>
        </w:rPr>
        <w:t>)</w:t>
      </w:r>
      <w:bookmarkEnd w:id="61"/>
    </w:p>
    <w:p>
      <w:pPr>
        <w:pStyle w:val="BookText"/>
        <w:rPr/>
      </w:pPr>
      <w:r>
        <w:rPr>
          <w:rFonts w:ascii="IRNazanin" w:hAnsi="IRNazanin" w:eastAsia="IRNazanin"/>
          <w:color w:val="111111"/>
          <w:sz w:val="28"/>
          <w:sz w:val="28"/>
          <w:szCs w:val="28"/>
          <w:rtl w:val="true"/>
          <w:lang w:bidi="fa-IR"/>
        </w:rPr>
        <w:t>زمانی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حرّ جعفی را به قیام در رکاب خود فرا خواند و عبیدالله بن حر امتناع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قد سمعت رسول الله صلی الله علیه و آله و سلم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 تنصرنا فاتق الله ان لا تکون ممن یقاتلنا، فوالله لا یسمع و اعیتنا احد ثم لا ینصرنا الا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ندای اهل بیت مرا بشنود و آنان را برگرفتن حق یاری ندهد، خدا او را به رو در آتش جهنم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 و دیگران،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به سرزمین کربلا رسیدند، امام برای کوفیان نامه ای فرستاد و در آن به 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فِی حَیَاتِهِ مَنْ رَأَى سُلْطَاناً جَائِراً مُسْتَحِلًّا لِحُرُمِ اللَّهِ نَاكِثاً لِعَهْدِ اللَّهِ مُخَالِفاً لِسُنَّةِ رَسُولِ اللَّهِ یَعْمَلُ فِی عِبَادِ اللَّهِ بِالْإِثْمِ وَ الْعُدْوَانِ ثُمَّ لَمْ یُغَیِّرْ بِقَوْلٍ وَ لَا فِعْلٍ كَانَ حَقاً عَلَى اللَّهِ أَنْ یُدْخِلَهُ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هستید که پیامبر خدا صلی الله علیه و اله فرمود کسی که ببیند فرمانروای ستمگری را که حلال می دارد حرام خدا را، می شکند پیمان خدا را،رویارویی می کند با آیین خدا و میان بندگان خدا با گناه و دشمنی رفتار می کند، با این همه با گفتار و کردار بر چنین سلطانی نشورد، سزاوار است که خدای او را به جایگاهش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شریفی و دیگران،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جواب مروان بن حکم که ایشان را به بیعت با یزید دستور می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الخلافه محرمه علی آل ابی سفیان و علی الطلقاء ابناء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آل ابوسفیان و طلقا و فرزندان طلقا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شریفی و دیگران،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62" w:name="pg8930_84712"/>
    </w:p>
    <w:p>
      <w:pPr>
        <w:pStyle w:val="Heading4"/>
        <w:numPr>
          <w:ilvl w:val="3"/>
          <w:numId w:val="1"/>
        </w:numPr>
        <w:rPr/>
      </w:pPr>
      <w:bookmarkStart w:id="63" w:name="__RefHeading___Toc1296666_2870459653"/>
      <w:bookmarkStart w:id="64" w:name="_Toc23"/>
      <w:bookmarkEnd w:id="62"/>
      <w:bookmarkEnd w:id="63"/>
      <w:r>
        <w:rPr/>
        <w:t>3</w:t>
      </w:r>
      <w:r>
        <w:rPr>
          <w:rtl w:val="true"/>
        </w:rPr>
        <w:t xml:space="preserve">. </w:t>
      </w:r>
      <w:r>
        <w:rPr>
          <w:rtl w:val="true"/>
        </w:rPr>
        <w:t>استناد به مقبولات</w:t>
      </w:r>
      <w:bookmarkEnd w:id="64"/>
    </w:p>
    <w:p>
      <w:pPr>
        <w:pStyle w:val="BookText"/>
        <w:rPr/>
      </w:pPr>
      <w:r>
        <w:rPr>
          <w:rFonts w:ascii="IRNazanin" w:hAnsi="IRNazanin" w:eastAsia="IRNazanin"/>
          <w:color w:val="111111"/>
          <w:sz w:val="28"/>
          <w:sz w:val="28"/>
          <w:szCs w:val="28"/>
          <w:rtl w:val="true"/>
          <w:lang w:bidi="fa-IR"/>
        </w:rPr>
        <w:t>در خطبه ای که در صبح عاشورا برای کوفیان بیان کردند به اموری مقبول نزد آن ها اشاره کردند و آنان را وادار به تأیید این امور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فَانْسِبُونی فَانْظُرُوا 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ارْجِعُوا اِلى أَنْفُسِكُمْ وَ عاتِبُوها، فَانْظُرُوا هَلْ یَحِلُّ لَكُمْ قَتْلی وَ انْتِهاكَ حُرْمَتی؟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اِبْنَ بِنْتِ نَبِیِّكُمْ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وَصِیِّهِ وَ ابْنَ عَمِّهِ، وَ أَوَّلِ الْمُؤْمِنینَ بِاللّهِ وَ الْمُصَدِّقِ لِرَسُولِهِ بِما جاءَ بِهِ مِنْ عِنْدِ رَبِّهِ أَوَ لَیْسَ حَمْزَةٌ سَیِّدُ الشُّهَداءِ عَمَّ أَبی؟ أَوَ لَیْسَ جَعْفَرُ الشَّهیدُ الطَّیّارُ ذُوالْجِناحَیْنِ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یَبْلُغْكُمْ قَوْلٌ مُسْتَفیضٌ فیكُمْ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وَ لاِخی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 و دیگران،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نسب مرا بررسى كنید و ببینید من كیستم؟ و به خود آیید و نفس خود را مورد خطاب و سرزنش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كشتن من و هتك حرمتم براى شما رواست؟ آیا من پسر دختر پیامبر شما و فرزند جانشین و پسر عموى او نیستم؟ همان كسى كه قبل از همه، ایمان آورد و رسول خدا را به آن چه از جانب خداى آورده بود تصدیق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حمزه سیّد الشهدا عموى پدرم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جعفر طیّار كه با دو بال در بهشت پرواز مى كند عموى من نیست؟ آیا شما نمى دانید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و برادرم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سرور جوانان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خطبه ای که امام به اصل و نسب خویش که مورد قبول آن ها بود اشاره کرد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كَذَّبْتُمُونی فَإِنَّ فیكُمْ مَنْ إِنْ سَأَلْتمُوهُ عَنْ ذلِكَ أَخْبَرَكُمْ، سَلُوا جابِرَ بْنَ عَبْدِاللّهِ الاْنْصاری، أَوْ أَبا سَعیدِ الْخِدْری، أَوْ سَهْلِ بْنِ سَعْدِ السّاعِدی، أَوْ زَیْدَ بْنَ أَرْقَم، أَوْ أَنَسَ بْنَ مالِك، یُخْبِرُوكُمْ أَنَّهُمْ سَمِعُوا هذِهِ الْمَقالَةَ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وَ لاِخی، أَفَما فی هذا حاجِزٌ لَكُمْ عَنْ سَفْكِ دَمی؟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كُنْتُمْ فِی شَكٍّ مِنْ هذَا الْقَوْلِ، أَفَتَشُكُّونَ اَثَراً ما أَنِّی اِبْنُ بِنْتِ نَبِیِّكُمْ؟ فَوَاللّهِ ما بَیْنَ الْمَشْرِقِ وَ الْمَغْرِبِ اِبْنُ بِنْتِ نَبِىٍّ غَیْری مِنْكُمْ وَ لا مَنْ غَیْرِكُمْ، أَنَا ابْنُ بِنْتِ نَبِیِّكُمْ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أَتَطْلُبُونی بِقَتیل مِنْكُمْ قَتَلْتُهُ؟ أَوْ مال اسْتَهْلَكْتُهُ؟ أَوْ بِقِصاص مِنْ جَراحَة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 و دیگران،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سخنان حقّ مرا تصدیق كنید به نفع شماست،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دانستم </w:t>
      </w:r>
      <w:bookmarkStart w:id="65" w:name="pg8930_84713"/>
    </w:p>
    <w:p>
      <w:pPr>
        <w:pStyle w:val="BookText"/>
        <w:rPr/>
      </w:pPr>
      <w:bookmarkEnd w:id="65"/>
      <w:r>
        <w:rPr>
          <w:rFonts w:ascii="IRNazanin" w:hAnsi="IRNazanin" w:eastAsia="IRNazanin"/>
          <w:color w:val="111111"/>
          <w:sz w:val="28"/>
          <w:sz w:val="28"/>
          <w:szCs w:val="28"/>
          <w:rtl w:val="true"/>
          <w:lang w:bidi="fa-IR"/>
        </w:rPr>
        <w:t>خداوند نسبت به دروغگویان خشم مى گیرد، و دروغ پردازان زیان خواهند دید، هرگز آهنگ دروغ نكرده ام و اگر كلام مرا باور نكردید، در میان شما افرادى هستند كه اگر از آن ها بپرسید، به شما خبر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انصارى و ابوسعید خدرى و سهل بن سعد ساعدى و زید بن ارقم و انس بن مالك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شما خبر خواهند داد كه خودشان این سخن را از پیامبر خدا شنیده اند كه آن را در حقّ من و برادرم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گواهى ها سبب نمى شود كه دست از قتل من بردارید؟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سخن شك دارید، آیا در این هم شك دارید كه من پسر دختر پیامبر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در شرق و غرب عالم، فرزند دختر پیامبرى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و غیر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نیست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كسى را از شما كشته ام كه خونش را می خواهید؟ آیا مالى را از شما تباه کرده ام و یا كسى را زخمی کرده ام تا قصاص جویید؟</w:t>
      </w:r>
      <w:r>
        <w:rPr>
          <w:rFonts w:eastAsia="IRNazanin" w:cs="IRNazanin"/>
          <w:color w:val="111111"/>
          <w:sz w:val="28"/>
          <w:szCs w:val="28"/>
          <w:rtl w:val="true"/>
          <w:lang w:bidi="fa-IR"/>
        </w:rPr>
        <w:t>!</w:t>
      </w:r>
    </w:p>
    <w:p>
      <w:pPr>
        <w:pStyle w:val="Heading3"/>
        <w:numPr>
          <w:ilvl w:val="2"/>
          <w:numId w:val="1"/>
        </w:numPr>
        <w:rPr/>
      </w:pPr>
      <w:bookmarkStart w:id="66" w:name="__RefHeading___Toc1296668_2870459653"/>
      <w:bookmarkStart w:id="67" w:name="_Toc24"/>
      <w:bookmarkEnd w:id="66"/>
      <w:r>
        <w:rPr>
          <w:rtl w:val="true"/>
        </w:rPr>
        <w:t>ج</w:t>
      </w:r>
      <w:r>
        <w:rPr>
          <w:rtl w:val="true"/>
        </w:rPr>
        <w:t xml:space="preserve">: </w:t>
      </w:r>
      <w:r>
        <w:rPr>
          <w:rtl w:val="true"/>
        </w:rPr>
        <w:t>اصول اخلاقی حاکم بر مناظرات امام حسین</w:t>
      </w:r>
      <w:r>
        <w:rPr>
          <w:rtl w:val="true"/>
        </w:rPr>
        <w:t>(</w:t>
      </w:r>
      <w:r>
        <w:rPr>
          <w:rtl w:val="true"/>
        </w:rPr>
        <w:t>علیه السلام</w:t>
      </w:r>
      <w:r>
        <w:rPr>
          <w:rtl w:val="true"/>
        </w:rPr>
        <w:t>)</w:t>
      </w:r>
      <w:bookmarkEnd w:id="67"/>
    </w:p>
    <w:p>
      <w:pPr>
        <w:pStyle w:val="BookText"/>
        <w:rPr/>
      </w:pPr>
      <w:r>
        <w:rPr>
          <w:rFonts w:ascii="IRNazanin" w:hAnsi="IRNazanin" w:eastAsia="IRNazanin"/>
          <w:color w:val="111111"/>
          <w:sz w:val="28"/>
          <w:sz w:val="28"/>
          <w:szCs w:val="28"/>
          <w:rtl w:val="true"/>
          <w:lang w:bidi="fa-IR"/>
        </w:rPr>
        <w:t>در مباحث مناظره دو دسته آداب وجود دارد؛ آداب اخلاقی و آداب فنی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موفق علاوه بر رعایت آداب فنی و داشتن تسلط علمی باید آداب اخلاقی نیز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امامان معصوم که برترین احتجاج کنندگان با مردم بودند، مهربان ترین آن ها بر مردم نیز بودند و از این جهت نیز الگوی رفتاری شایسته ای برای تمام مردم محسوب می شوند، چرا که جز خیرخواهی، اصلاح و هدایت افراد انگیزه ی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لازمه ی یک مناظره ی احسن</w:t>
      </w:r>
      <w:r>
        <w:rPr>
          <w:rStyle w:val="FootnoteAnchor"/>
          <w:rtl w:val="true"/>
        </w:rPr>
        <w:footnoteReference w:id="4"/>
      </w:r>
      <w:r>
        <w:rPr>
          <w:rFonts w:ascii="IRNazanin" w:hAnsi="IRNazanin" w:eastAsia="IRNazanin"/>
          <w:color w:val="111111"/>
          <w:sz w:val="28"/>
          <w:sz w:val="28"/>
          <w:szCs w:val="28"/>
          <w:rtl w:val="true"/>
          <w:lang w:bidi="fa-IR"/>
        </w:rPr>
        <w:t>داشتن اخلاق نیکو، سعه ی صدر و از همه مهم تر خیرخواهی است تا مخاطب را به تواضع و تسلیم نزدیک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معلمان بزرگ بشریت است و الگوی اخلاق و خیرخواهی مردم است، در جریان عاشورا با سعه صدر و تواضع و روشنگری های مکرر نشان داد که می توان تنها بر مدار حق و حقیقت حرکت کرد و در عین حال تنها راهنمایی و سوق به سعادت مردمان را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خطبه ها و مناظرات حضوری و نامه هایی که در این ماجرا از آن حضرت به جا مانده است، مهربانی و خیرخواهی و سایر آداب اخلاقی </w:t>
      </w:r>
    </w:p>
    <w:p>
      <w:pPr>
        <w:pStyle w:val="BookText"/>
        <w:rPr/>
      </w:pPr>
      <w:r>
        <w:rPr>
          <w:rFonts w:ascii="IRNazanin" w:hAnsi="IRNazanin" w:eastAsia="IRNazanin"/>
          <w:color w:val="111111"/>
          <w:sz w:val="28"/>
          <w:sz w:val="28"/>
          <w:szCs w:val="28"/>
          <w:rtl w:val="true"/>
          <w:lang w:bidi="fa-IR"/>
        </w:rPr>
        <w:t>مشهود است، مانند؛ آغاز کلام با حمد و ثنای خداوند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الحمدلله، و ماشاءالله، و لا قوة الا بالله، و صلی الله 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محمود و دیگران، پیشین، ص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درخطبه منی، احتجاج بر اهل کوفه در کربلا، نامه هایی که به بزرگان بصره نوشتند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حمد و ثنای الهی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صبر وتحمل</w:t>
      </w:r>
      <w:r>
        <w:rPr>
          <w:rStyle w:val="FootnoteAnchor"/>
          <w:rtl w:val="true"/>
        </w:rPr>
        <w:footnoteReference w:id="6"/>
      </w:r>
      <w:r>
        <w:rPr>
          <w:rFonts w:ascii="IRNazanin" w:hAnsi="IRNazanin" w:eastAsia="IRNazanin"/>
          <w:color w:val="111111"/>
          <w:sz w:val="28"/>
          <w:sz w:val="28"/>
          <w:szCs w:val="28"/>
          <w:rtl w:val="true"/>
          <w:lang w:bidi="fa-IR"/>
        </w:rPr>
        <w:t>، خیرخواهی برای طرف مقابل</w:t>
      </w:r>
      <w:r>
        <w:rPr>
          <w:rStyle w:val="FootnoteAnchor"/>
          <w:rtl w:val="true"/>
        </w:rPr>
        <w:footnoteReference w:id="7"/>
      </w:r>
      <w:r>
        <w:rPr>
          <w:rFonts w:ascii="IRNazanin" w:hAnsi="IRNazanin" w:eastAsia="IRNazanin"/>
          <w:color w:val="111111"/>
          <w:sz w:val="28"/>
          <w:sz w:val="28"/>
          <w:szCs w:val="28"/>
          <w:rtl w:val="true"/>
          <w:lang w:bidi="fa-IR"/>
        </w:rPr>
        <w:t>، حسن نیت داشتن، پرهیز از کینه توزی</w:t>
      </w:r>
      <w:r>
        <w:rPr>
          <w:rStyle w:val="FootnoteAnchor"/>
          <w:rtl w:val="true"/>
        </w:rPr>
        <w:footnoteReference w:id="8"/>
      </w:r>
      <w:r>
        <w:rPr>
          <w:rFonts w:ascii="IRNazanin" w:hAnsi="IRNazanin" w:eastAsia="IRNazanin"/>
          <w:color w:val="111111"/>
          <w:sz w:val="28"/>
          <w:sz w:val="28"/>
          <w:szCs w:val="28"/>
          <w:rtl w:val="true"/>
          <w:lang w:bidi="fa-IR"/>
        </w:rPr>
        <w:t>، دوری از مغالطه، تواضع در قول، احترام به طرف مقابل</w:t>
      </w:r>
      <w:r>
        <w:rPr>
          <w:rStyle w:val="FootnoteAnchor"/>
          <w:rtl w:val="true"/>
        </w:rPr>
        <w:footnoteReference w:id="9"/>
      </w:r>
      <w:r>
        <w:rPr>
          <w:rFonts w:ascii="IRNazanin" w:hAnsi="IRNazanin" w:eastAsia="IRNazanin"/>
          <w:color w:val="111111"/>
          <w:sz w:val="28"/>
          <w:sz w:val="28"/>
          <w:szCs w:val="28"/>
          <w:rtl w:val="true"/>
          <w:lang w:bidi="fa-IR"/>
        </w:rPr>
        <w:t xml:space="preserve">، عذر پذیری، با فصاحت و بلاغت سخن گفتن، ایراد سخن در زمان و مکان مناسب، بیان صریح و </w:t>
      </w:r>
      <w:bookmarkStart w:id="68" w:name="pg8930_84715"/>
    </w:p>
    <w:p>
      <w:pPr>
        <w:pStyle w:val="BookText"/>
        <w:rPr/>
      </w:pPr>
      <w:bookmarkEnd w:id="68"/>
      <w:r>
        <w:rPr>
          <w:rFonts w:ascii="IRNazanin" w:hAnsi="IRNazanin" w:eastAsia="IRNazanin"/>
          <w:color w:val="111111"/>
          <w:sz w:val="28"/>
          <w:sz w:val="28"/>
          <w:szCs w:val="28"/>
          <w:rtl w:val="true"/>
          <w:lang w:bidi="fa-IR"/>
        </w:rPr>
        <w:t>قاطع</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در نامه ات گفته بودى ملاحظه خود و دینت و امّت محمّد را بكن، و از سركشى و پراكندگى این امّت بپرهیز كه تو را وارد فتنه اى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فتنه اى را عظیم تر از ولایت تو بر اینان نمى دانم، و هیچ نظرى را براى خود و فرزندانم و امّت جدّم افضل از جهاد تو نمى دانم كه اگر آن را انجام دهم فقط قصدم قربت به خداوند است، و اگر آن را ترك گفته ام از خداوند بجهت این گناه استغفار مى كنم و توفیق هدایت در كارى كه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ترک تعصب، آزادمنشی و بسیاری آداب اخلاقی دیگر کهبیان همه آنها فرصتی دیگر می طلبد، از آداب اخلاقی است که در مناظرات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عاشورا مشهود است</w:t>
      </w:r>
      <w:r>
        <w:rPr>
          <w:rFonts w:eastAsia="IRNazanin" w:cs="IRNazanin"/>
          <w:color w:val="111111"/>
          <w:sz w:val="28"/>
          <w:szCs w:val="28"/>
          <w:rtl w:val="true"/>
          <w:lang w:bidi="fa-IR"/>
        </w:rPr>
        <w:t>.</w:t>
      </w:r>
    </w:p>
    <w:p>
      <w:pPr>
        <w:pStyle w:val="Heading3"/>
        <w:numPr>
          <w:ilvl w:val="2"/>
          <w:numId w:val="1"/>
        </w:numPr>
        <w:rPr/>
      </w:pPr>
      <w:bookmarkStart w:id="69" w:name="__RefHeading___Toc1296670_2870459653"/>
      <w:bookmarkStart w:id="70" w:name="_Toc25"/>
      <w:bookmarkEnd w:id="69"/>
      <w:r>
        <w:rPr>
          <w:rtl w:val="true"/>
        </w:rPr>
        <w:t>نتیجه گیری</w:t>
      </w:r>
      <w:bookmarkEnd w:id="70"/>
    </w:p>
    <w:p>
      <w:pPr>
        <w:pStyle w:val="BookText"/>
        <w:rPr/>
      </w:pPr>
      <w:r>
        <w:rPr>
          <w:rFonts w:ascii="IRNazanin" w:hAnsi="IRNazanin" w:eastAsia="IRNazanin"/>
          <w:color w:val="111111"/>
          <w:sz w:val="28"/>
          <w:sz w:val="28"/>
          <w:szCs w:val="28"/>
          <w:rtl w:val="true"/>
          <w:lang w:bidi="fa-IR"/>
        </w:rPr>
        <w:t>از تحلیل و بررسی مناظرات و احتجاج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عاشورا روشن گردید که راه و روش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 قرآن و راه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موقعیت های مختلف با ایراد خطبه های روشنگرانه و نیز نامه هایی که ارسال می کرد و پاسخ هایی که در جواب خصم بیان می فرمود، ضمن معرفی چهره ی ظالمان، بیان می دارند مردم باید برای حفظ دین خدا ایثار جان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وجدان افراد را مورد خطاب قرار می داد و سعی در بیدار کردن فطرت های خفته داشت تا آن ها را به تفکر و اندیشیدن وادارد تا در اثر آن، هدایت شوند هر چند آنان به دلیل عناد و دشمنی با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لجاجت از نعمت هدایت محروم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از سیره و روش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با اوضاع جامعه و برخورد مناسب و بهنگام الهام گرفت و ضمن آگاهی از اوضاع سیاسی، اجتماعی و فرهنگی عصر خود، به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بوده و با عقل با مشکلات به مبارزه برخاست و آثار شوم پیروی از باطل را همواره برای خود و افراد دیگر یادآوری نمود، شاید کسی که قابل هدایت است، مسیر حق را بیابد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شبهات بر ذهن افراد غالب شده و آنان بین تشخیص درست از نادرست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مانده اند، باید وجدان ها را مورد خطاب قرار داد و فطرت های پاک و حقیقت طلب را بیدار ساخت و با نشان دادن خیرخواهی و رعایت احترام و سایر اصول اخلاقی و نیز پایبندی به عقیده و قاطعیت و صراحت در بیان آن حتی با بذل جان در این راه به دفاع از آیین اسلام ناب محمدی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آیندگان با دقت نظر بیشتر در فرمایش ها و مناظرات أئمه که چراغ های هدایت ما هستند، توفیق بیشتری در استفاده از این گوهر های ناب و رسیدن به سرمنزل سعادت و هدایت در زندگی فردی و اجتماعی خود و دیگران داشته باشند</w:t>
      </w:r>
      <w:r>
        <w:rPr>
          <w:rFonts w:eastAsia="IRNazanin" w:cs="IRNazanin"/>
          <w:color w:val="111111"/>
          <w:sz w:val="28"/>
          <w:szCs w:val="28"/>
          <w:rtl w:val="true"/>
          <w:lang w:bidi="fa-IR"/>
        </w:rPr>
        <w:t xml:space="preserve">. </w:t>
      </w:r>
      <w:bookmarkStart w:id="71" w:name="pg8930_84717"/>
    </w:p>
    <w:p>
      <w:pPr>
        <w:pStyle w:val="Heading3"/>
        <w:numPr>
          <w:ilvl w:val="2"/>
          <w:numId w:val="1"/>
        </w:numPr>
        <w:rPr/>
      </w:pPr>
      <w:bookmarkStart w:id="72" w:name="__RefHeading___Toc1296672_2870459653"/>
      <w:bookmarkStart w:id="73" w:name="_Toc26"/>
      <w:bookmarkEnd w:id="71"/>
      <w:bookmarkEnd w:id="72"/>
      <w:r>
        <w:rPr>
          <w:rtl w:val="true"/>
        </w:rPr>
        <w:t>منابع</w:t>
      </w:r>
      <w:r>
        <w:rPr>
          <w:rtl w:val="true"/>
        </w:rPr>
        <w:t>:</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واسطی زبیدی، سید مرتضی</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محمد معین و سید جعفر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 چاپ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ساروخانی، باقر</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تحقیق در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محمدبن حسین</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شریفی، محمود و دیگران</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موسوعه کلمات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علی</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عبدالعلی محمدی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احمدبن علی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علی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محمد باقر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باعلام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دانشنامه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مرتضی خوش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محمدرضا</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دارالعلم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کبیر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نجمی، محمد صادق</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حسین بن علی علیه السلام از مدینه تا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8930_84720"/>
      <w:bookmarkStart w:id="75" w:name="pg8930_84720"/>
      <w:bookmarkEnd w:id="75"/>
    </w:p>
    <w:p>
      <w:pPr>
        <w:pStyle w:val="Heading2"/>
        <w:numPr>
          <w:ilvl w:val="1"/>
          <w:numId w:val="1"/>
        </w:numPr>
        <w:rPr/>
      </w:pPr>
      <w:bookmarkStart w:id="76" w:name="pg8930_84720"/>
      <w:bookmarkStart w:id="77" w:name="__RefHeading___Toc1296674_2870459653"/>
      <w:bookmarkStart w:id="78" w:name="_Toc27"/>
      <w:bookmarkEnd w:id="76"/>
      <w:bookmarkEnd w:id="77"/>
      <w:r>
        <w:rPr>
          <w:rtl w:val="true"/>
        </w:rPr>
        <w:t xml:space="preserve">ادلّه قرآنی و روایی ذرّیه بودن امام حسین </w:t>
      </w:r>
      <w:r>
        <w:rPr>
          <w:rtl w:val="true"/>
        </w:rPr>
        <w:t>(</w:t>
      </w:r>
      <w:r>
        <w:rPr>
          <w:rtl w:val="true"/>
        </w:rPr>
        <w:t>علیه السلام</w:t>
      </w:r>
      <w:r>
        <w:rPr>
          <w:rtl w:val="true"/>
        </w:rPr>
        <w:t xml:space="preserve">) </w:t>
      </w:r>
      <w:r>
        <w:rPr>
          <w:rtl w:val="true"/>
        </w:rPr>
        <w:t>بر پایه مناظره یحیی بن یعمر با حجّاج بن یوسف</w:t>
      </w:r>
      <w:bookmarkEnd w:id="78"/>
    </w:p>
    <w:p>
      <w:pPr>
        <w:pStyle w:val="Heading3"/>
        <w:numPr>
          <w:ilvl w:val="2"/>
          <w:numId w:val="1"/>
        </w:numPr>
        <w:rPr/>
      </w:pPr>
      <w:bookmarkStart w:id="79" w:name="__RefHeading___Toc1296676_2870459653"/>
      <w:bookmarkStart w:id="80" w:name="_Toc28"/>
      <w:bookmarkEnd w:id="79"/>
      <w:r>
        <w:rPr>
          <w:rtl w:val="true"/>
        </w:rPr>
        <w:t xml:space="preserve">میثم خلیلی </w:t>
      </w:r>
      <w:r>
        <w:rPr>
          <w:rtl w:val="true"/>
        </w:rPr>
        <w:t xml:space="preserve">- </w:t>
      </w:r>
      <w:r>
        <w:rPr>
          <w:rtl w:val="true"/>
        </w:rPr>
        <w:t>دکتر جواد فرامرزی</w:t>
      </w:r>
      <w:bookmarkEnd w:id="80"/>
    </w:p>
    <w:p>
      <w:pPr>
        <w:pStyle w:val="BookText"/>
        <w:rPr/>
      </w:pPr>
      <w:r>
        <w:rPr>
          <w:rFonts w:ascii="IRNazanin" w:hAnsi="IRNazanin" w:eastAsia="IRNazanin"/>
          <w:color w:val="111111"/>
          <w:sz w:val="28"/>
          <w:sz w:val="28"/>
          <w:szCs w:val="28"/>
          <w:rtl w:val="true"/>
          <w:lang w:bidi="fa-IR"/>
        </w:rPr>
        <w:t>میثم خلیلی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دکتر جواد فرامرزی</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30/1/1395</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18/3/1395</w:t>
      </w:r>
      <w:r>
        <w:rPr>
          <w:rFonts w:eastAsia="IRNazanin" w:cs="IRNazanin"/>
          <w:color w:val="111111"/>
          <w:sz w:val="28"/>
          <w:szCs w:val="28"/>
          <w:rtl w:val="true"/>
          <w:lang w:bidi="fa-IR"/>
        </w:rPr>
        <w:t>)</w:t>
      </w:r>
    </w:p>
    <w:p>
      <w:pPr>
        <w:pStyle w:val="Heading3"/>
        <w:numPr>
          <w:ilvl w:val="2"/>
          <w:numId w:val="1"/>
        </w:numPr>
        <w:rPr/>
      </w:pPr>
      <w:bookmarkStart w:id="81" w:name="__RefHeading___Toc1296678_2870459653"/>
      <w:bookmarkStart w:id="82" w:name="_Toc29"/>
      <w:bookmarkEnd w:id="81"/>
      <w:r>
        <w:rPr>
          <w:rtl w:val="true"/>
        </w:rPr>
        <w:t>چکیده</w:t>
      </w:r>
      <w:bookmarkEnd w:id="82"/>
    </w:p>
    <w:p>
      <w:pPr>
        <w:pStyle w:val="BookText"/>
        <w:rPr/>
      </w:pPr>
      <w:r>
        <w:rPr>
          <w:rFonts w:ascii="IRNazanin" w:hAnsi="IRNazanin" w:eastAsia="IRNazanin"/>
          <w:color w:val="111111"/>
          <w:sz w:val="28"/>
          <w:sz w:val="28"/>
          <w:szCs w:val="28"/>
          <w:rtl w:val="true"/>
          <w:lang w:bidi="fa-IR"/>
        </w:rPr>
        <w:t xml:space="preserve">در قسمت فضایل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مناظره ای میان حجآج بن یوسف و یحیی بن یعمر نقل شده است که در آن حجّاج ضمن طرح شبهه ای، انتساب مستقیم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بودن ایشان نفی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بلافاصله با پاسخ مستدل قرآنی یحیی بن یعمر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یحیی بن یعمر در اثبات ذرّیه بودن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آیه یا آیاتی استناد نمود؟ این مقاله در صدد است با استناد به آیات و روایات و با اتّخاذ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به شبهه عدم انتساب مستقیم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بودن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 روایاتی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فرزند خود یاد نموده اند، قابل اثبات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ذرّیه، یحیی بن یعمر، حجّاج بن یوسف، مستدرک علی الصحیحین</w:t>
      </w:r>
      <w:r>
        <w:rPr>
          <w:rFonts w:eastAsia="IRNazanin" w:cs="IRNazanin"/>
          <w:color w:val="111111"/>
          <w:sz w:val="28"/>
          <w:szCs w:val="28"/>
          <w:rtl w:val="true"/>
          <w:lang w:bidi="fa-IR"/>
        </w:rPr>
        <w:t xml:space="preserve">. </w:t>
      </w:r>
      <w:bookmarkStart w:id="83" w:name="pg8930_84721"/>
    </w:p>
    <w:p>
      <w:pPr>
        <w:pStyle w:val="Heading3"/>
        <w:numPr>
          <w:ilvl w:val="2"/>
          <w:numId w:val="1"/>
        </w:numPr>
        <w:rPr/>
      </w:pPr>
      <w:bookmarkStart w:id="84" w:name="__RefHeading___Toc1296680_2870459653"/>
      <w:bookmarkStart w:id="85" w:name="_Toc30"/>
      <w:bookmarkEnd w:id="83"/>
      <w:bookmarkEnd w:id="84"/>
      <w:r>
        <w:rPr/>
        <w:t>1</w:t>
      </w:r>
      <w:r>
        <w:rPr>
          <w:rtl w:val="true"/>
        </w:rPr>
        <w:t xml:space="preserve">. </w:t>
      </w:r>
      <w:r>
        <w:rPr>
          <w:rtl w:val="true"/>
        </w:rPr>
        <w:t>طرح مسأله</w:t>
      </w:r>
      <w:bookmarkEnd w:id="85"/>
    </w:p>
    <w:p>
      <w:pPr>
        <w:pStyle w:val="BookText"/>
        <w:rPr/>
      </w:pPr>
      <w:r>
        <w:rPr>
          <w:rFonts w:ascii="IRNazanin" w:hAnsi="IRNazanin" w:eastAsia="IRNazanin"/>
          <w:color w:val="111111"/>
          <w:sz w:val="28"/>
          <w:sz w:val="28"/>
          <w:szCs w:val="28"/>
          <w:rtl w:val="true"/>
          <w:lang w:bidi="fa-IR"/>
        </w:rPr>
        <w:t xml:space="preserve">یحیی بن یعمر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پیشگامان مباحث علوم قرآنی و علم قرائت و از شیعیان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حاکم نیشابوری، پیرامون فضایل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 و گوی بین حجّاج بن یوسف و یحیی ین یعمر، در مجلس حجاج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حجّاج، جهت پایین آوردن مقامات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طرح شبهه ای نسبت مستقیم ایشان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بلافاصله، با پاسخ محکم و قانع کننده یحیی بن یعمر، که به آیات کلام وحی استناد کرد،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تبیین پاسخ قرآنی یحیی بن یعمر و همچنین دیگر مؤیدات قرآنی و روایی در پاسخ به شبهه ذرّیه نبودن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ضروری در حوزه امامت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شیعیان همواره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نواده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 ایشان می دانند و این مطلب را فضیلتی منحصر به فرد برای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شمارند؛ ثانیاً نسل امامت از طریق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یافته است و با اثبات این مطلب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ذرّیه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سایر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بیان گردید پرسش زیر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استنادات قرآنی یحیی بن یعمر در اثبات ذرّیه بودن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دیگر مؤیّدات قرآنی و روایی در این زمینه چیست؟</w:t>
      </w:r>
    </w:p>
    <w:p>
      <w:pPr>
        <w:pStyle w:val="BookText"/>
        <w:rPr/>
      </w:pPr>
      <w:r>
        <w:rPr>
          <w:rFonts w:ascii="IRNazanin" w:hAnsi="IRNazanin" w:eastAsia="IRNazanin"/>
          <w:color w:val="111111"/>
          <w:sz w:val="28"/>
          <w:sz w:val="28"/>
          <w:szCs w:val="28"/>
          <w:rtl w:val="true"/>
          <w:lang w:bidi="fa-IR"/>
        </w:rPr>
        <w:t xml:space="preserve">این پژوهش در راستای پاسخ گویی به پرسش مذکور، و اثبات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به آیات و روایات و با محوریت مناظره مندرج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با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سامان یافته است</w:t>
      </w:r>
      <w:r>
        <w:rPr>
          <w:rFonts w:eastAsia="IRNazanin" w:cs="IRNazanin"/>
          <w:color w:val="111111"/>
          <w:sz w:val="28"/>
          <w:szCs w:val="28"/>
          <w:rtl w:val="true"/>
          <w:lang w:bidi="fa-IR"/>
        </w:rPr>
        <w:t>.</w:t>
      </w:r>
    </w:p>
    <w:p>
      <w:pPr>
        <w:pStyle w:val="Heading3"/>
        <w:numPr>
          <w:ilvl w:val="2"/>
          <w:numId w:val="1"/>
        </w:numPr>
        <w:rPr/>
      </w:pPr>
      <w:bookmarkStart w:id="86" w:name="__RefHeading___Toc1296682_2870459653"/>
      <w:bookmarkStart w:id="87" w:name="_Toc31"/>
      <w:bookmarkEnd w:id="86"/>
      <w:r>
        <w:rPr/>
        <w:t>2</w:t>
      </w:r>
      <w:r>
        <w:rPr>
          <w:rtl w:val="true"/>
        </w:rPr>
        <w:t xml:space="preserve">. </w:t>
      </w:r>
      <w:r>
        <w:rPr>
          <w:rtl w:val="true"/>
        </w:rPr>
        <w:t>اصل مناظره به روایت حاکم نیشابوری</w:t>
      </w:r>
      <w:bookmarkEnd w:id="87"/>
    </w:p>
    <w:p>
      <w:pPr>
        <w:pStyle w:val="BookText"/>
        <w:rPr/>
      </w:pPr>
      <w:r>
        <w:rPr>
          <w:rFonts w:ascii="IRNazanin" w:hAnsi="IRNazanin" w:eastAsia="IRNazanin"/>
          <w:color w:val="111111"/>
          <w:sz w:val="28"/>
          <w:sz w:val="28"/>
          <w:szCs w:val="28"/>
          <w:rtl w:val="true"/>
          <w:lang w:bidi="fa-IR"/>
        </w:rPr>
        <w:t>حاکم نیشابوری در مستدرک علی الصحیحین، این مناظره را با دو سند و یک مضمون، این گونه آورده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أبوسهل أحمد بن محمّد بن عبدالله بن زیاد النحوی ببغداد ثنا جعفر بن محمّد بن </w:t>
      </w:r>
    </w:p>
    <w:p>
      <w:pPr>
        <w:pStyle w:val="BookText"/>
        <w:rPr/>
      </w:pPr>
      <w:r>
        <w:rPr>
          <w:rFonts w:ascii="IRNazanin" w:hAnsi="IRNazanin" w:eastAsia="IRNazanin"/>
          <w:color w:val="111111"/>
          <w:sz w:val="28"/>
          <w:sz w:val="28"/>
          <w:szCs w:val="28"/>
          <w:rtl w:val="true"/>
          <w:lang w:bidi="fa-IR"/>
        </w:rPr>
        <w:t>شاکر ثنا بشر بن مهران ثنا شریک عن عبدالملک بن عمیر قال دخل یحیی بن یعمر علی الحجّاج</w:t>
      </w:r>
    </w:p>
    <w:p>
      <w:pPr>
        <w:pStyle w:val="BookText"/>
        <w:rPr/>
      </w:pPr>
      <w:r>
        <w:rPr>
          <w:rFonts w:ascii="IRNazanin" w:hAnsi="IRNazanin" w:eastAsia="IRNazanin"/>
          <w:color w:val="111111"/>
          <w:sz w:val="28"/>
          <w:sz w:val="28"/>
          <w:szCs w:val="28"/>
          <w:rtl w:val="true"/>
          <w:lang w:bidi="fa-IR"/>
        </w:rPr>
        <w:t>و حدّثنا إسحاق بن محمّد بن علی بن خالد الهاشمی بالکوفة ثنا أحمد بن موسی بن إسحاق التمیمی ثنا محمّد بن عبید النحاس ثنا صالح بن موسی الطلحی ثنا عاصم بن بهدلة 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عند الحجاج فذکر الحسین بن علی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ذریة النبی صلّی الله علیه و آله و سلّم و عنده یحیی بن یعمر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أیها الأمیر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لتأتینی علی ما قلت ببینة و مصداق من کتاب الله عزّ وجلّ أو لأقتلنّک قتلاً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ذُرِّیَّتِهِ دَاوُدَ وَ سُلَیْمَنَ وَ أَیُّوبَ وَ یُوسُفَ وَ مُوسىَ – إلی قومه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زَكَرِیَّا وَ یحَْیىَ وَ عِیسىَ وَ إِلْیَاس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فأخبرالله عزّوجلّ أن عیسی من ذریة آدم بأمه و الحسین بن علی من ذریّة محمّد صلّی الله علیه و آله و سلّم بأمه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حملک علی تکذیبی فی مجلسی؟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الله علی الأنبیاء لیبیننه للناس و لا یکتمونه قال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فَنَبَذُوهُ وَرَاءَ ظُهُورِهِمْ وَ اشْترََوْاْ بِهِ ثمََنًا قَلِیلاً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اجتماعی نزد حجاج بن یوسف،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ذریه و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حجاج، یحیی بن یعمر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 آن چه گفتی و مصداق آن را از کتاب خدا برایم روشن می کنی؛ یا تو را به قتل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وی این آیه را شاهد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فرزندان او، داوود و سلیمان و ایّوب و یوسف و موسى – تا گفته 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زكریّا و یحیى و عیسى و الیاس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خبر داده است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 آدم، به واسطه ی مادرش است؛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ذریه و نسل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چه جرأتی مرا در مجلسم تکذیب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چه خداوند از انبیا عهد گرفت که برای مردم معنای آن را روشن سازند و آن را کتمان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آن ها، آن را پشت سر افكندند؛ و به بهاى كمى فروختند؛ و چه بد متاعى مى خرند؟</w:t>
      </w:r>
      <w:r>
        <w:rPr>
          <w:rFonts w:eastAsia="IRNazanin" w:cs="IRNazanin"/>
          <w:color w:val="111111"/>
          <w:sz w:val="28"/>
          <w:szCs w:val="28"/>
          <w:rtl w:val="true"/>
          <w:lang w:bidi="fa-IR"/>
        </w:rPr>
        <w:t xml:space="preserve">!» </w:t>
      </w:r>
      <w:bookmarkStart w:id="88" w:name="pg8930_84723"/>
    </w:p>
    <w:p>
      <w:pPr>
        <w:pStyle w:val="BookText"/>
        <w:rPr/>
      </w:pPr>
      <w:bookmarkEnd w:id="88"/>
      <w:r>
        <w:rPr>
          <w:rFonts w:ascii="IRNazanin" w:hAnsi="IRNazanin" w:eastAsia="IRNazanin"/>
          <w:color w:val="111111"/>
          <w:sz w:val="28"/>
          <w:sz w:val="28"/>
          <w:szCs w:val="28"/>
          <w:rtl w:val="true"/>
          <w:lang w:bidi="fa-IR"/>
        </w:rPr>
        <w:t xml:space="preserve">شبیه این روایت برای حاکم با اندکی اختلاف در مضمون، جلال الدین سیوطی به این صورت نقل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حجاج،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بن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گزارش داده اند که تو می پنداری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و ذرّیه پیامبرند و این سخن را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ای، در حالی که من از آغاز تا پایان قرآن را خوانده ام و این سخن را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از سوره انعام را نخوانده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ذُرِّیَّتِهِ دَاوُودَ وَسُلَیْمَانَ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سخن قرآن، حضرت عیسی به عنوان ذرّیه ابراهیم به شمار نرفته است، در حالی که برای او پدری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مادر به ابراهیم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Heading3"/>
        <w:numPr>
          <w:ilvl w:val="2"/>
          <w:numId w:val="1"/>
        </w:numPr>
        <w:rPr/>
      </w:pPr>
      <w:bookmarkStart w:id="89" w:name="__RefHeading___Toc1296684_2870459653"/>
      <w:bookmarkStart w:id="90" w:name="_Toc32"/>
      <w:bookmarkEnd w:id="89"/>
      <w:r>
        <w:rPr/>
        <w:t>3</w:t>
      </w:r>
      <w:r>
        <w:rPr>
          <w:rtl w:val="true"/>
        </w:rPr>
        <w:t xml:space="preserve">. </w:t>
      </w:r>
      <w:r>
        <w:rPr>
          <w:rtl w:val="true"/>
        </w:rPr>
        <w:t>تبیین دلیل قرآنی یحیی بن یعمر</w:t>
      </w:r>
      <w:bookmarkEnd w:id="90"/>
    </w:p>
    <w:p>
      <w:pPr>
        <w:pStyle w:val="BookText"/>
        <w:rPr/>
      </w:pPr>
      <w:r>
        <w:rPr>
          <w:rFonts w:ascii="IRNazanin" w:hAnsi="IRNazanin" w:eastAsia="IRNazanin"/>
          <w:color w:val="111111"/>
          <w:sz w:val="28"/>
          <w:sz w:val="28"/>
          <w:szCs w:val="28"/>
          <w:rtl w:val="true"/>
          <w:lang w:bidi="fa-IR"/>
        </w:rPr>
        <w:t xml:space="preserve">همان گونه که ملاحظه گردید، یحیی بن یعمر در پاسخ حجّاج بن یوسف به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استناد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وجود این که پدری نداشت، ولی از سوی مادر،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قاعده جری و تطبیق و عدم انحصار آیات قرآن کریم به زمان یا افرادی خاص، می توان این موضوع 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اثبات رسانید و انتساب ایشان به واسطه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دلیلی بر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در کلام بسیاری از مفسران و بزرگان فریقین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از مفسران شیعه، شیخ طوسی آیه را دلالتی بر این مطلب می داند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دلیل خود را این گونه تشریح می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الآیة دلالة على أن الحسن و الحسین من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عیسى جعله اللَّه من ذریة ابراهیم أو نوح، و إنما كانت أمه من ذریتهما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 دلالتی است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زیرا خداوند،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ذرّیه و نسل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در حالی که مادرش از ذرّیه ایشان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نیز قریب به این دیدگاه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عیسى را كه پسر مریم است، از ذرّیه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و از اینجا استفاده می شود كه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اولادشان از ذرّیه پیامبر خدا هستند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پیامبرند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ابوالفتوح رازی نیز پس از تعجب آمیز قلمداد کردن سخن نواصب پیرامون عدم انتساب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اشاره می نماید و بیان می کند که با وجود فاصله چندین هزار ساله میان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تصریح قرآن ایشان از ذرّیه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ممکن است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واسطه یعنی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ابوالفتوح رازی،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علامه طباطبایی نیز ذیل آیات شریفه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گفتاری طولانی دارد؛ از جمله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كه قرآن كریم عیسى را در بین نام بردگان از ذرّیه نوح مى شمارد، مى توان به دست آورد كه قرآن كریم دخترزادگان را هم اولاد و ذرّیه حقیقى مى داند، چون اگر غیر این بود عیسى را كه از طرف مادر به نوح متّصل مى شود، ذرّیه نوح نمى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7:338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بحث روایی، کلام آلوسی را پیرامون این آیات، این گونه نقل 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آلوسى در تفسیر روح المعانى در ذیل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قرآن كریم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شمار ذرّیه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خود دلیل بر این است كه ذرّیه شامل دختر زاده ها نیز مى شود، براى این كه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طرف مادر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و منتسب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اشكال كند كه این معنا دلالت ندارد بر این كه هر دختر زاده اى ذرّیه است، براى این كه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p>
    <w:p>
      <w:pPr>
        <w:pStyle w:val="BookText"/>
        <w:rPr/>
      </w:pPr>
      <w:r>
        <w:rPr>
          <w:rFonts w:ascii="IRNazanin" w:hAnsi="IRNazanin" w:eastAsia="IRNazanin"/>
          <w:color w:val="111111"/>
          <w:sz w:val="28"/>
          <w:sz w:val="28"/>
          <w:szCs w:val="28"/>
          <w:rtl w:val="true"/>
          <w:lang w:bidi="fa-IR"/>
        </w:rPr>
        <w:t xml:space="preserve">نداشت تا از راه پدر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بوده كه قرآن او را ذرّیه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جوابش خوب روشن است، البته مسأله مورد اختلاف است، و لیكن هر كسى كه ذرّیه را شامل دختر زاده نیز دانسته به همین آیه استدلال كرده، از آن جمله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به بعضى از روایات در پاسخ هارون الرشید به این آیه تمسك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نظر بعدی که علامه طباطبایی به آن اشاره نموده، دیدگاه فخر رازی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نیز مناظره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حجّاج را که طی آن حضرت جهت اثبات ذرّیه بودن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و هم چنین آیه مباهله استدلال کرده اند؛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حاصل فخر رازی در این زمینه در بیان علامه طباطبایی این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نظر من قوی تر است این است که دختر زادگان نیز داخل در ذرّیه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تفسیر نمونه نیز، پس ازآن که انتقال نَسب از طریق پدر را ارجاع به دوران جاهلیت می دهد، انکار انتساب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شیوه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کم رنگ نشان دادن فضایل ایشان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آن که به احادیث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نظرات برخی علمای اهل سنت در این زمینه اشاره می کند، نتیجه بحث خود را این گونه بیان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شكّی نیست كه فرزندزاده ها از طرف دختر و پسر هر دو فرزند انسان محسوب مى شوند و هیچ گونه تفاوتى در این زمینه نیست، و نه این موضوع از مختصات پیغمبر ماست و مخالفت با این مسأله سر چشمه اى جز تعصب و یا افكار جاهلى ندارد، و لذا در تمام احكام اسلامى از قبیل ازدواج و ارث و مانند آن هیچ گونه تفاوتى میان این دو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مفسران اهل سنت، علاوه بر دیدگاه هایی که از فخر رازی و آلوسی به نقل از علامه طباطبایی مطرح گردید، صاحبان تفاسیری هم چون انوار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1" w:name="pg8930_84726"/>
    </w:p>
    <w:p>
      <w:pPr>
        <w:pStyle w:val="BookText"/>
        <w:rPr/>
      </w:pPr>
      <w:bookmarkEnd w:id="9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محرّر الوجیز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عطیه،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مدارک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نسفی،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ذرّیه و نسل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بنابر استدلال یحیی بن یعمر بر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طبق نظرات مفسران فریقین، دلالت آیه بر ذرّیه بودن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w:t>
      </w:r>
    </w:p>
    <w:p>
      <w:pPr>
        <w:pStyle w:val="Heading3"/>
        <w:numPr>
          <w:ilvl w:val="2"/>
          <w:numId w:val="1"/>
        </w:numPr>
        <w:rPr/>
      </w:pPr>
      <w:bookmarkStart w:id="92" w:name="__RefHeading___Toc1296686_2870459653"/>
      <w:bookmarkStart w:id="93" w:name="_Toc33"/>
      <w:bookmarkEnd w:id="92"/>
      <w:r>
        <w:rPr/>
        <w:t>4</w:t>
      </w:r>
      <w:r>
        <w:rPr>
          <w:rtl w:val="true"/>
        </w:rPr>
        <w:t xml:space="preserve">. </w:t>
      </w:r>
      <w:r>
        <w:rPr>
          <w:rtl w:val="true"/>
        </w:rPr>
        <w:t xml:space="preserve">دیگر مؤیدات قرآنی و روایی در اثبات ذرّیه بودن امام حسین </w:t>
      </w:r>
      <w:r>
        <w:rPr>
          <w:rtl w:val="true"/>
        </w:rPr>
        <w:t>(</w:t>
      </w:r>
      <w:r>
        <w:rPr>
          <w:rtl w:val="true"/>
        </w:rPr>
        <w:t>علیه السلام</w:t>
      </w:r>
      <w:r>
        <w:rPr>
          <w:rtl w:val="true"/>
        </w:rPr>
        <w:t>)</w:t>
      </w:r>
      <w:bookmarkEnd w:id="93"/>
    </w:p>
    <w:p>
      <w:pPr>
        <w:pStyle w:val="BookText"/>
        <w:rPr/>
      </w:pPr>
      <w:r>
        <w:rPr>
          <w:rFonts w:ascii="IRNazanin" w:hAnsi="IRNazanin" w:eastAsia="IRNazanin"/>
          <w:color w:val="111111"/>
          <w:sz w:val="28"/>
          <w:sz w:val="28"/>
          <w:szCs w:val="28"/>
          <w:rtl w:val="true"/>
          <w:lang w:bidi="fa-IR"/>
        </w:rPr>
        <w:t>علاوه بر آیه مورد استناد یحیی بن یعمر، می توان در جهت اثبات این مطلب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مؤیدات دیگر قرآنی، روایی و تاریخی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مؤیدات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آل عمران، که به آیه مباهله مشهور است، از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پسران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حَاجَّكَ فِیهِ مِن بَعْدِ مَا جَاءَكَ مِنَ الْعِلْمِ فَقُلْ تَعَالَوْاْ نَدْعُ أَبْنَاءَنَا وَ أَبْنَاءَكمُ ْ وَ نِسَاءَنَا وَ نِسَاءَكُمْ وَ أَنفُسَنَا وَ أَنفُسَكُمْ ثُمَّ نَبْتهَِلْ فَنَجْعَل لَّعْنَتَ اللَّهِ عَلىَ الْكَذِبِین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بعد از علم و دانشى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تو به محاجّه و ستیز برخیزند، 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فرزندان خود را دعوت كنیم، شما هم فرزندان خود را؛ ما زنان خویش را دعوت نماییم، شما هم زنان خود را؛ ما از نفوس خود دعوت كنیم، شما هم از نفوس خود؛ آن گاه مباهله كنیم؛ و لعنت خدا را بر دروغ گویان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استدلال های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اثبات ذرّیه بودن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مناظراتی که با مخالفان انجام داده اند،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به مناظره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حجّاج اشاره نمود، که فخر رازی آن را در تفسیر کبیر خود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ها و سخنان خود را در جهت اثبات این مطلب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مستند به آیات قرآن </w:t>
      </w:r>
    </w:p>
    <w:p>
      <w:p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که آیه مباهله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شرکت در میاهله دعوت فرمود و به نصارا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فرزندان خود را و شما هم فرزندان خویش را دعوت نموده و مباهله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ابوالفتوح رازی در تفسیر خود، در اثبات این مطلب که دخترزادگان نیز در مال وقفی که پدر برای فرزندان در نظر گرفته، با فرزندان پسر شریک اند، و از آن مال به آن ها نیز تعلّق می گیرد، به قول شافعی تمسّک می کند که وی به قسمتی از آیه کریمه مباهله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فَقُلْتَعَالَوْاْ نَدْعُ أَبْنَاءَنَا وَ أَبْنَاءَكمُ</w:t>
      </w:r>
      <w:r>
        <w:rPr>
          <w:rFonts w:ascii="IRNazanin" w:hAnsi="IRNazanin" w:eastAsia="IRNazanin"/>
          <w:color w:val="111111"/>
          <w:sz w:val="28"/>
          <w:sz w:val="28"/>
          <w:szCs w:val="28"/>
          <w:rtl w:val="true"/>
          <w:lang w:bidi="fa-IR"/>
        </w:rPr>
        <w:t xml:space="preserve"> استدلال نموده و این قول را با واقعیت سازگار، و موافق دیدگاه شیعیان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ادامه به گفت و گویی میان مأمون عبّاسی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نماید که حضرت در جواب پرسش مأمون که دلیلی قرآنی مبنی بر انتساب مستقیم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 به این قسمت از آیه کریمه مباهله استناد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ابوالفتوح رازی،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اثبات این مطلب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مباهله،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 توان به سبب نزول این آیه که در منابع معتبر فریقین نقل شده است،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دو شاهد در این زمینه از منابع فریقین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شیعه، در تفسیر عیاشی آمده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فضایلشان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قسمتی از فضایل خود را برای آن ها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احبار نصارا از اهل نجران آمدند و درباره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آیات مباهله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کف دست خود را به سوی آسمان گشود و آن ها را به مباهله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از علمای اهل سنت نیز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فَقُلْ تَعَالَوْاْ نَدْعُ أَبْنَاءَنَا وَ أَبْنَاءَكمُ ْ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 و 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 و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درخواست عذاب در حقّ دروغ گویان درباره عاقب، سیّد، عبدالمسیح و یاران آن ها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طبق این روایات،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کریمه می باشند و از آن ها با عنوان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 xml:space="preserve">از دیگر آیات کلام خدا که می توان در جهت اثبات ذرّیه بودن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استناد نمود،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محكمه اى است كه محرمات در باب ازدواج و آن چه را كه در این باب حلال است بر مى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آیه شریفه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حُرِّمَتْ عَلَیْكُمْ أُمَّهَاتُكُمْ وَ بَنَاتُكُمْ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حَلَئلُ أَبْنَائكُمُ الَّذِینَ مِنْ أَصْلَابِكُم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شده است بر شما مادرانتان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همسرهاى پسرانتان كه از نسل شما هستند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ازدواج با همسران پسران مسلمین که از نسل ایشان هستند، از مصادیق </w:t>
      </w:r>
    </w:p>
    <w:p>
      <w:pPr>
        <w:pStyle w:val="BookText"/>
        <w:rPr/>
      </w:pPr>
      <w:r>
        <w:rPr>
          <w:rFonts w:ascii="IRNazanin" w:hAnsi="IRNazanin" w:eastAsia="IRNazanin"/>
          <w:color w:val="111111"/>
          <w:sz w:val="28"/>
          <w:sz w:val="28"/>
          <w:szCs w:val="28"/>
          <w:rtl w:val="true"/>
          <w:lang w:bidi="fa-IR"/>
        </w:rPr>
        <w:t>ازدواج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پیرامون دلالت این آیه بر ذرّیه بودن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کلینی به سند خود از عبدالصمد بن بشیر از ابی الجارود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حضرت جهت اثبات ذرّیه بودن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 که توضیحاتشان از نظر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کریمه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استدلال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هنگامی که به این قسمت از آیه شریفه می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حَلَئلُ أَبْنَائكُمُ الَّذِینَ مِنْ أَصْلَابِكُم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ابوالجارود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با همسران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کند؟ اگر مخالفین بگویند آری می توانست، قطعاً دروغ گفته و فاسق شده اند، و اگر اعتراف کنند به این که نمی توانست، پس اعتراف کرده اند به این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عروسی حویزی،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طی مناظره ای با علمای مرو در مجلسی که مأمون عبّاسی تدارک دیده بود، در توضیح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دهمین شاهد قرآنی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برگزیدگی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قسمت 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استناد نموده و خطاب به علمای حاضر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بودند، دختر من و دختر پسرم و سایر دخترانی که از نسل من هستند، برایشان حلال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بگویید آیا دختران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حلال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است بر این که من از آل آن حضرت هستم و شما از آل او نیستید و اگر شما از آل او بودید، دخترانتان بر ایشان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دختران من بر ایشان حرام اند، چون من از آل او هستم و شما از امّت او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طبق این آیه شریفه،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ایشان از ذرّیه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زنان ایشان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اند و ازدواج با ایشان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احادیث و روایاتی که از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حاکم نیشابوری در دو روایت از مستدرک خود، پیرامون فضایل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یعلی العامری و ابوهریره نقل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 أحبّ الله من أحبّ حسیناً، حسینٌ سبطٌ من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است و من هم از حسینم، هر کس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دوست بدارد خداوند دوست او باد،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زاده ای است از فرزندزادگان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نشان می گردد، حاکم پس از نقل هر یک از این دو حدیث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الإسناد و لم یخرجاه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از نظر سند صحیح اند، ولی بخاری و مسلم آن ها را نقل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ملاحظه گردید، در این دو حدیث،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نواده و فرزند خویش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مستدرک حاکم، این حدیث در بسیاری از منبع اهل سنت از جمله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ابوبکر کنانی، پس از نقل این حدیث،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سند و توثیق رجال آن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کنانی،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نیز سند این روایات را حسن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شیعه نیز این روایت از طریق یعلی بن مرّه عامری به صورت مختصر و مفصل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دیگر از روایات وارد شده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رَیْحانَةٌ وَ رَیْحانَتىّ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ترمذی،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ریحانه است و دو ریحانه من حسن و حسین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ابْنىَّ هذَیْنِ رَیْحانَتاىَ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من، دو ریحانه من از دنیا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منابع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احادیث شریف، به وضوح دلالت بر ذرّیه بودن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منابع اهل سنت سیوطى از بغوى و ابن السکن و باوردى و ابن منده و ابن عساکر از انس بن حارث روایت کرده 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ابْنى هذا یُقْتَلُ بِارْضٍ مِنَ الْعِراقِ یُقالُ لَها کَرْبَلا فَمَنْ شَهِدَ ذلکَ مِنْهُم فَلْیَنصُرْهُ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پسرم در زمینى از عراق که به آن کربلا گفته مى شود کشته مى شود؛ پس هر کس شاهد بر آن باشد باید او را یارى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شیعه نیز احادیثی در این زمینه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طبرسی در مجمع البیان، حدیثی صحیح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عنوان می کند که حضرت خطاب به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پسرم امام اند، قیام کنند یا قیام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بسیار است که جهت نمونه به چند مورد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تمامی این روایات با اختلافات سندی و مضمونی، بر این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نواده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شبهه عدم انتساب مستقیم حضرت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احادیث و روایات مشابه آن برطرف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صحابه،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درباره نسل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می شد، و در باب دیگر نوادگان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در کاربرد این اصطلاح درباره فرد یا افراد دیگر مشاهده نشده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تنها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و لذا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بعدها هم به امامان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دیگر موارد هرگز چنین اتفاقی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خود را فرزندان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كردند و این موارد شاهدی است بر این که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 و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94" w:name="pg8930_84732"/>
    </w:p>
    <w:p>
      <w:pPr>
        <w:pStyle w:val="Heading3"/>
        <w:numPr>
          <w:ilvl w:val="2"/>
          <w:numId w:val="1"/>
        </w:numPr>
        <w:rPr/>
      </w:pPr>
      <w:bookmarkStart w:id="95" w:name="__RefHeading___Toc1296688_2870459653"/>
      <w:bookmarkStart w:id="96" w:name="_Toc34"/>
      <w:bookmarkEnd w:id="94"/>
      <w:bookmarkEnd w:id="95"/>
      <w:r>
        <w:rPr/>
        <w:t>5</w:t>
      </w:r>
      <w:r>
        <w:rPr>
          <w:rtl w:val="true"/>
        </w:rPr>
        <w:t xml:space="preserve">. </w:t>
      </w:r>
      <w:r>
        <w:rPr>
          <w:rtl w:val="true"/>
        </w:rPr>
        <w:t>نتیجه</w:t>
      </w:r>
      <w:bookmarkEnd w:id="96"/>
    </w:p>
    <w:p>
      <w:pPr>
        <w:pStyle w:val="BookText"/>
        <w:rPr/>
      </w:pPr>
      <w:r>
        <w:rPr>
          <w:rFonts w:ascii="IRNazanin" w:hAnsi="IRNazanin" w:eastAsia="IRNazanin"/>
          <w:color w:val="111111"/>
          <w:sz w:val="28"/>
          <w:sz w:val="28"/>
          <w:szCs w:val="28"/>
          <w:rtl w:val="true"/>
          <w:lang w:bidi="fa-IR"/>
        </w:rPr>
        <w:t xml:space="preserve">پرسش کلیدی این پژوهش، استنادات قرآنی یحیی بن یعمر و دیگر مؤیدات قرآنی و روایی پیرامون اثبات ذرّیه بودن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ارائه مستندات قرآنی، تفسیری، روایی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رهیافتی مناسب به سوی پاسخ به این پرسش می داند و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که مورد استناد یحیی بن یعمر در پاسخ به شبهه حجّاج قرار گرفته است، دلالت واضحی بر ذرّیه بودن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آیات،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از طریق مادر به ابراهیم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است، ولی از ذرّیه ایشان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شبهه عدم انتساب مستقیم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این آیه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 توان در جهت اثبات ذرّیه بودن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دیدگاه غالب مفسران فریقین و همچنین بر اساس روایات متواتر، این آیه در شأن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آیه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شده که جهت انجام مباهله فرزندان خود، یعنی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از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 ازدواج با همسران پسران مسلمین که از نسل ایشان هستند، از مصادیق ازدواج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بودند، نمی توانستند با همسر ایشان پیوند زناشویی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طبق این آیه،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و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احادیث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من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خویش خوانده اند و شبهه عدم انتساب حضرت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این روایات باطل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مطلب که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رحلت ایشان، از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اند، می توان نتیجه گرفت که صحابه آگاه بودند که ایشان از ذرّیه و نسل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مطالب بیان شده این نتیجه حاصل می شود که با طرح شبهات بی اساس نمی توان فضیلت ذرّیه و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شواهد قرآنی، تفسیری و روایی بسیاری در اثبات این مطلب وجود دارد</w:t>
      </w:r>
      <w:r>
        <w:rPr>
          <w:rFonts w:eastAsia="IRNazanin" w:cs="IRNazanin"/>
          <w:color w:val="111111"/>
          <w:sz w:val="28"/>
          <w:szCs w:val="28"/>
          <w:rtl w:val="true"/>
          <w:lang w:bidi="fa-IR"/>
        </w:rPr>
        <w:t>.</w:t>
      </w:r>
      <w:bookmarkStart w:id="97" w:name="pg8930_84734"/>
    </w:p>
    <w:p>
      <w:pPr>
        <w:pStyle w:val="Heading3"/>
        <w:numPr>
          <w:ilvl w:val="2"/>
          <w:numId w:val="1"/>
        </w:numPr>
        <w:rPr/>
      </w:pPr>
      <w:bookmarkStart w:id="98" w:name="__RefHeading___Toc1296690_2870459653"/>
      <w:bookmarkStart w:id="99" w:name="_Toc35"/>
      <w:bookmarkEnd w:id="97"/>
      <w:bookmarkEnd w:id="98"/>
      <w:r>
        <w:rPr>
          <w:rtl w:val="true"/>
        </w:rPr>
        <w:t>منابع</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 ابوبکر</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فی الاحادیث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حمیدرضا مستفید؛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علاء الدین علی بن بلبان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هیثمی، احمد بن محمّد</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تبیان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بن محمّد</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الکتاب الثقافیة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محمّد بن علی</w:t>
      </w:r>
      <w:r>
        <w:rPr>
          <w:rFonts w:eastAsia="IRNazanin" w:cs="IRNazanin"/>
          <w:color w:val="111111"/>
          <w:sz w:val="28"/>
          <w:szCs w:val="28"/>
          <w:rtl w:val="true"/>
          <w:lang w:bidi="fa-IR"/>
        </w:rPr>
        <w:t>.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دارالأضواء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ابوالقاسم علی بن الحسن</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عطیه آندلسی، عبدالحق بن غالب</w:t>
      </w:r>
      <w:r>
        <w:rPr>
          <w:rFonts w:eastAsia="IRNazanin" w:cs="IRNazanin"/>
          <w:color w:val="111111"/>
          <w:sz w:val="28"/>
          <w:szCs w:val="28"/>
          <w:rtl w:val="true"/>
          <w:lang w:bidi="fa-IR"/>
        </w:rPr>
        <w:t>.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المحرّر الوجیز فی تفسیر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 جعفر بن محمّد</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وجدانی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رازی، حسین بن علی</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سید محمود</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فی تفسیر القرآن العظیم و 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w:t>
      </w:r>
      <w:r>
        <w:rPr>
          <w:rFonts w:eastAsia="IRNazanin" w:cs="IRNazanin"/>
          <w:color w:val="111111"/>
          <w:sz w:val="28"/>
          <w:szCs w:val="28"/>
          <w:rtl w:val="true"/>
          <w:lang w:bidi="fa-IR"/>
        </w:rPr>
        <w:t>.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دارإبن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عبدالله بن عمر</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أنوارالتنزیل و أسرار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دارإحیاء </w:t>
      </w:r>
    </w:p>
    <w:p>
      <w:pPr>
        <w:pStyle w:val="BookText"/>
        <w:rPr/>
      </w:pP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ابوعیسی محمّد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احمد بن ابراهیم</w:t>
      </w:r>
      <w:r>
        <w:rPr>
          <w:rFonts w:eastAsia="IRNazanin" w:cs="IRNazanin"/>
          <w:color w:val="111111"/>
          <w:sz w:val="28"/>
          <w:szCs w:val="28"/>
          <w:rtl w:val="true"/>
          <w:lang w:bidi="fa-IR"/>
        </w:rPr>
        <w:t>.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 بن عبدالله</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دارالحرمین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دارالآفاق الجدیده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عبیدالله بن احمد</w:t>
      </w:r>
      <w:r>
        <w:rPr>
          <w:rFonts w:eastAsia="IRNazanin" w:cs="IRNazanin"/>
          <w:color w:val="111111"/>
          <w:sz w:val="28"/>
          <w:szCs w:val="28"/>
          <w:rtl w:val="true"/>
          <w:lang w:bidi="fa-IR"/>
        </w:rPr>
        <w:t>.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استرآبادی، شرف الدین علی</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الظاهرة فی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جارالله محمود بن عمر</w:t>
      </w:r>
      <w:r>
        <w:rPr>
          <w:rFonts w:eastAsia="IRNazanin" w:cs="IRNazanin"/>
          <w:color w:val="111111"/>
          <w:sz w:val="28"/>
          <w:szCs w:val="28"/>
          <w:rtl w:val="true"/>
          <w:lang w:bidi="fa-IR"/>
        </w:rPr>
        <w:t>.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عن حقائق غوامض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عبدالرحمن</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الدرالمنثور فی تفسیر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آیت 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جامعه مدرسین حوزه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فی تفسیرالقرآن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ابوجعفر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عن تأویل آی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تفسیرالقرآن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دارإحیاءالتراث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حویزی، عبد علی بن جمعه</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محمود بن عمر</w:t>
      </w:r>
      <w:r>
        <w:rPr>
          <w:rFonts w:eastAsia="IRNazanin" w:cs="IRNazanin"/>
          <w:color w:val="111111"/>
          <w:sz w:val="28"/>
          <w:szCs w:val="28"/>
          <w:rtl w:val="true"/>
          <w:lang w:bidi="fa-IR"/>
        </w:rPr>
        <w:t>.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الکبیر أو 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دارإحیاء </w:t>
      </w:r>
    </w:p>
    <w:p>
      <w:pPr>
        <w:pStyle w:val="BookText"/>
        <w:rPr/>
      </w:pP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کوفی، فرات بن ابراهیم</w:t>
      </w:r>
      <w:r>
        <w:rPr>
          <w:rFonts w:eastAsia="IRNazanin" w:cs="IRNazanin"/>
          <w:color w:val="111111"/>
          <w:sz w:val="28"/>
          <w:szCs w:val="28"/>
          <w:rtl w:val="true"/>
          <w:lang w:bidi="fa-IR"/>
        </w:rPr>
        <w:t>.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الطبع و النشر لوزارة الثقافه و الارشاد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محمّد بن احمد</w:t>
      </w:r>
      <w:r>
        <w:rPr>
          <w:rFonts w:eastAsia="IRNazanin" w:cs="IRNazanin"/>
          <w:color w:val="111111"/>
          <w:sz w:val="28"/>
          <w:szCs w:val="28"/>
          <w:rtl w:val="true"/>
          <w:lang w:bidi="fa-IR"/>
        </w:rPr>
        <w:t>.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الإسلامیه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کنانی، احمد بن ابی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گنابادی، سلطان محمّد</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السعادة فی مقامات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الهندی، علاء الدّین علی</w:t>
      </w:r>
      <w:r>
        <w:rPr>
          <w:rFonts w:eastAsia="IRNazanin" w:cs="IRNazanin"/>
          <w:color w:val="111111"/>
          <w:sz w:val="28"/>
          <w:szCs w:val="28"/>
          <w:rtl w:val="true"/>
          <w:lang w:bidi="fa-IR"/>
        </w:rPr>
        <w:t>.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فی سنن و الأقوال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میبدی، احمد بن محمّد</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الأسرار و عدة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نسفی، عبدالله بن احمد</w:t>
      </w:r>
      <w:r>
        <w:rPr>
          <w:rFonts w:eastAsia="IRNazanin" w:cs="IRNazanin"/>
          <w:color w:val="111111"/>
          <w:sz w:val="28"/>
          <w:szCs w:val="28"/>
          <w:rtl w:val="true"/>
          <w:lang w:bidi="fa-IR"/>
        </w:rPr>
        <w:t>.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التنزیل و حقایق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دارالنفائس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مسلم بن 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علی بن ابی بکر</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ابی یعقوب</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8930_84738"/>
      <w:bookmarkStart w:id="101" w:name="pg8930_84738"/>
      <w:bookmarkEnd w:id="101"/>
    </w:p>
    <w:p>
      <w:pPr>
        <w:pStyle w:val="Heading2"/>
        <w:numPr>
          <w:ilvl w:val="1"/>
          <w:numId w:val="1"/>
        </w:numPr>
        <w:rPr/>
      </w:pPr>
      <w:bookmarkStart w:id="102" w:name="pg8930_84738"/>
      <w:bookmarkStart w:id="103" w:name="__RefHeading___Toc1296692_2870459653"/>
      <w:bookmarkStart w:id="104" w:name="_Toc36"/>
      <w:bookmarkEnd w:id="102"/>
      <w:bookmarkEnd w:id="103"/>
      <w:r>
        <w:rPr>
          <w:rtl w:val="true"/>
        </w:rPr>
        <w:t>جمعیت شناسی حواشی فرات و جایگاه آن مقارن قیام عاشورا</w:t>
      </w:r>
      <w:bookmarkEnd w:id="104"/>
    </w:p>
    <w:p>
      <w:pPr>
        <w:pStyle w:val="Heading3"/>
        <w:numPr>
          <w:ilvl w:val="2"/>
          <w:numId w:val="1"/>
        </w:numPr>
        <w:rPr/>
      </w:pPr>
      <w:bookmarkStart w:id="105" w:name="__RefHeading___Toc1296694_2870459653"/>
      <w:bookmarkStart w:id="106" w:name="_Toc37"/>
      <w:bookmarkEnd w:id="105"/>
      <w:r>
        <w:rPr>
          <w:rtl w:val="true"/>
        </w:rPr>
        <w:t>دکترشهربانو دلبری</w:t>
      </w:r>
      <w:bookmarkEnd w:id="106"/>
    </w:p>
    <w:p>
      <w:pPr>
        <w:pStyle w:val="BookText"/>
        <w:rPr/>
      </w:pPr>
      <w:r>
        <w:rPr>
          <w:rFonts w:ascii="IRNazanin" w:hAnsi="IRNazanin" w:eastAsia="IRNazanin"/>
          <w:color w:val="111111"/>
          <w:sz w:val="28"/>
          <w:sz w:val="28"/>
          <w:szCs w:val="28"/>
          <w:rtl w:val="true"/>
          <w:lang w:bidi="fa-IR"/>
        </w:rPr>
        <w:t>دکترشهربانو دلبری</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5/2/1395</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29/3/1395</w:t>
      </w:r>
      <w:r>
        <w:rPr>
          <w:rFonts w:eastAsia="IRNazanin" w:cs="IRNazanin"/>
          <w:color w:val="111111"/>
          <w:sz w:val="28"/>
          <w:szCs w:val="28"/>
          <w:rtl w:val="true"/>
          <w:lang w:bidi="fa-IR"/>
        </w:rPr>
        <w:t>)</w:t>
      </w:r>
    </w:p>
    <w:p>
      <w:pPr>
        <w:pStyle w:val="Heading3"/>
        <w:numPr>
          <w:ilvl w:val="2"/>
          <w:numId w:val="1"/>
        </w:numPr>
        <w:rPr/>
      </w:pPr>
      <w:bookmarkStart w:id="107" w:name="__RefHeading___Toc1296696_2870459653"/>
      <w:bookmarkStart w:id="108" w:name="_Toc38"/>
      <w:bookmarkEnd w:id="107"/>
      <w:r>
        <w:rPr>
          <w:rtl w:val="true"/>
        </w:rPr>
        <w:t>چکیده</w:t>
      </w:r>
      <w:bookmarkEnd w:id="108"/>
    </w:p>
    <w:p>
      <w:pPr>
        <w:pStyle w:val="BookText"/>
        <w:rPr/>
      </w:pPr>
      <w:r>
        <w:rPr>
          <w:rFonts w:ascii="IRNazanin" w:hAnsi="IRNazanin" w:eastAsia="IRNazanin"/>
          <w:color w:val="111111"/>
          <w:sz w:val="28"/>
          <w:sz w:val="28"/>
          <w:szCs w:val="28"/>
          <w:rtl w:val="true"/>
          <w:lang w:bidi="fa-IR"/>
        </w:rPr>
        <w:t xml:space="preserve">در حاشیه ی رود فرات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نهضتی بس بزرگ و جاودان رقم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ساکنان حواشی محل این قیام در بین النهرین بسیار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عراق از یکپارچگی و تجانس در بافت جمعیتی خویش برخوردار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یکی از عوامل پی آمدهای حادثه ی عاشورا به شمار می رود و در نتیجه عاشورای خونینی رقم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در پی پاسخ به این پرسش است که ساکنا ن حواشی فرات و ناحیه ی بین النهرین از چه بافت جمعیتی برخوردار بودند؟ و هم چنین آیا عدم تجانس قومیتی آن ها در غلبه سپاه اموی تاثیر گذار بوده است؟ ساکنان نواحی فرات گروه هایی متشکل از اعراب مهاجر ، عشایر عرب ، ایرانیان ، موالی ، کردها ، بومیان آرامی ، نبطی و اهل کتاب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یکدیگر یک دل و متحد نبودند و این خصیصه ی آنان از قدیم الایام تا قرن ها بعد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دشمنان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موقعیت نهایت سود و بهره را بردند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عاشورا ، ساکنان حواشی فرات ، جغرافیای تاریخی فرات ، عراق ، جمعیت شناسی حواشی فرات</w:t>
      </w:r>
      <w:r>
        <w:rPr>
          <w:rFonts w:eastAsia="IRNazanin" w:cs="IRNazanin"/>
          <w:color w:val="111111"/>
          <w:sz w:val="28"/>
          <w:szCs w:val="28"/>
          <w:rtl w:val="true"/>
          <w:lang w:bidi="fa-IR"/>
        </w:rPr>
        <w:t xml:space="preserve">. </w:t>
      </w:r>
      <w:bookmarkStart w:id="109" w:name="pg8930_84739"/>
    </w:p>
    <w:p>
      <w:pPr>
        <w:pStyle w:val="Heading3"/>
        <w:numPr>
          <w:ilvl w:val="2"/>
          <w:numId w:val="1"/>
        </w:numPr>
        <w:rPr/>
      </w:pPr>
      <w:bookmarkStart w:id="110" w:name="__RefHeading___Toc1296698_2870459653"/>
      <w:bookmarkStart w:id="111" w:name="_Toc39"/>
      <w:bookmarkEnd w:id="109"/>
      <w:bookmarkEnd w:id="110"/>
      <w:r>
        <w:rPr>
          <w:rtl w:val="true"/>
        </w:rPr>
        <w:t>مقدمه</w:t>
      </w:r>
      <w:bookmarkEnd w:id="11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درباره ی بستر جغرافیایی فرات و ناحیه ی 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 سفلی ، تفاوت های آب و هوایی و زمین شناسی وجود دارد ، در مورد بافت جمعیتی این نواحی نیز این تفاوت ها به شدت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نواحی به گونه ای بود که هم کشاورزان و هم عشایر برای بهره برداری می توانستند در آن سکنی گزینند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میان رودان از هر دو بافت کشاورز و عشایر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مسیر بزرگ تجاری از سوی چین و ایران در میان رودان با یکدیگر تلاقی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آمد و شد اقوام گوناگون و سکنی گزیدن آنان در این ناحیه خود مزید بر علت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این منطقه با گرایش های اعتقادی متفاوت در تصمیم گیری ها و حوادث این ناحیه بسیار سهیم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روحیاتی از جمله کسب غنیمت و مال پرستی باعث می شد تا به سرعت برای جنگ آماده و به سرعت نیز پراکنده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شناخت و بررسی یک واقعه ی تاریخی بی شک آگاهی از جمعیت و ساکنان آن ناحیه بسیار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ها و تحقیقات قیام عاشورا کمتر به مباحث جامعه شناختی و انسان شناسی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بسیاری از متخصصان علوم اجتماعی معتقدند، بررسی پیشینه ی اجتماعی موضوعات و وقایع گوناگون اهمیت فراوانی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محل وقوع حادثه ی عاشورا در کنار رود فرات بوده است ، این مقاله بیشتر بر حاشیه ی فرات تاکید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درخواست یزید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بیعت گرفتن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دعوت مردم عراق از آن حضرت برای رهبری مسلمین از سوی دیگر ، منتهی به حادثه ای دردناک شد و درک رابطه میان ساکنان این ناحیه و حادثه ی فوق بسیار با اهمیت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از جهات مختلف قابل بررسی است و جای آن دارد تا نگارش های زیادی در این باره به عمل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جستار از نوع میان رشته ای و تلفیقی از تاریخ و جامعه شناسی است و در عین حال تنها به یکی از این دو نیز پرداخته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در دو بخش کلی 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مقاله به شناخت جغرافیایی و آبادی های حاشیه فرات پرداخته شده و در بخشی دیگر با </w:t>
      </w:r>
      <w:bookmarkStart w:id="112" w:name="pg8930_84740"/>
    </w:p>
    <w:p>
      <w:pPr>
        <w:pStyle w:val="BookText"/>
        <w:rPr/>
      </w:pPr>
      <w:bookmarkEnd w:id="112"/>
      <w:r>
        <w:rPr>
          <w:rFonts w:ascii="IRNazanin" w:hAnsi="IRNazanin" w:eastAsia="IRNazanin"/>
          <w:color w:val="111111"/>
          <w:sz w:val="28"/>
          <w:sz w:val="28"/>
          <w:szCs w:val="28"/>
          <w:rtl w:val="true"/>
          <w:lang w:bidi="fa-IR"/>
        </w:rPr>
        <w:t>تاکید بر واقعه ی عاشورا بافت جمعیتی حاشیه فرات مرکزی و جنوبی بررسی شده است</w:t>
      </w:r>
      <w:r>
        <w:rPr>
          <w:rFonts w:eastAsia="IRNazanin" w:cs="IRNazanin"/>
          <w:color w:val="111111"/>
          <w:sz w:val="28"/>
          <w:szCs w:val="28"/>
          <w:rtl w:val="true"/>
          <w:lang w:bidi="fa-IR"/>
        </w:rPr>
        <w:t>.</w:t>
      </w:r>
    </w:p>
    <w:p>
      <w:pPr>
        <w:pStyle w:val="Heading3"/>
        <w:numPr>
          <w:ilvl w:val="2"/>
          <w:numId w:val="1"/>
        </w:numPr>
        <w:rPr/>
      </w:pPr>
      <w:bookmarkStart w:id="113" w:name="__RefHeading___Toc1296700_2870459653"/>
      <w:bookmarkStart w:id="114" w:name="_Toc40"/>
      <w:bookmarkEnd w:id="113"/>
      <w:r>
        <w:rPr>
          <w:rtl w:val="true"/>
        </w:rPr>
        <w:t>سر چشمه و بستر شناسی فرات</w:t>
      </w:r>
      <w:bookmarkEnd w:id="11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از مناطق شرقی ترکیه کنونی که در گذشته ناحیه ی پهناور ارمنیه یا ارمنستان خوانده می شد، از کو هستان های مرتفع توروس و آنتی توروس یا به گفته ترک ها چورس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نخجوانی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اعراب آن ها را جبل لکام و کوه 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العالم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خواندند،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مسافتی در حدود سه هزار کیلومتر به خلیج فارس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مستوفی طول فرات در قرن هفتم چهار صد فرسنگ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سرچشمه رود فرات با سرچشمه ی رود قزل ایرماق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در زبان نواحی ترک نشین به نام یشیل ایرماق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های ارمن و قالیقیلا و ارزن الروم بر می خیزد و در اول یک چشمه ی بزرگ است که دویست و پنجاه گز دور دارد و چندان آب از آن بیرون می آید که گذار اسب به دشواری دهد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رسیدن رود فرات به خاک شامات، سوریه فعلی ، شعبات و نهرهای بسیاری به آن می پیوندند، مانند؛ نهر ثرثار که از حوالی سنجار بیرون آمده و به فرات می ریخت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فقیه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حوالی سنجار در سمت شمال شهر عرابان ، دریاچه ای به نام منخرق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آن یک جریب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ماکسین و فرات قرار داشته آبی بسیار شیرین و عمیق و در سمت چپ وادی الحیالبوده که تا دشت سنجار امتداد می یافت و قبایل ربیعه در این جا سکنی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حوقل ،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نتیجه فرات بسیار پر آب و عریض می گردد و پس از آن با گذراندن یک مسیر از سمت شمال غرب به سوی جنوب شرق وارد عراق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جلگه ی وسیع و حاصل خیز بین النهرین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رومی ها آن را </w:t>
      </w:r>
      <w:r>
        <w:rPr>
          <w:rFonts w:eastAsia="Times New Roman" w:cs="Times New Roman" w:ascii="Times New Roman" w:hAnsi="Times New Roman"/>
          <w:color w:val="111111"/>
          <w:sz w:val="28"/>
          <w:szCs w:val="28"/>
          <w:lang w:val="en-US" w:bidi="en-US"/>
        </w:rPr>
        <w:t>Mesopotamia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خواندند بستر دو رود دجله و فرات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توصیفات در منابع جغرافیایی از هفتصد سال پیش بوسیله یاقوت حموی انجام گرفته است که عینا نقل می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فرات از ارمینیه آغاز و سپس به سوی کلیکیه نزدیک خلاط کوه های آن جا را دور می زند و وارد سرزمین روم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سمت کمخ و ملطیه و سمیساط می </w:t>
      </w:r>
    </w:p>
    <w:p>
      <w:pPr>
        <w:pStyle w:val="BookText"/>
        <w:rPr/>
      </w:pP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رودهای کوچک تری نیز به آن می پیوندد مانند نهر سنجه ، کیسوم ، دیصان ، بلیخ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فرات به قلعه ستارگان مقابل منبج و بعد بالس ، دوسر و رقه و رحبه مالک بن طوق ، عانه و بعد آن به هیت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مسیر نهرهایی از فرات منشعب می شود و مزارع را آبیاری می کند، مانند؛ نهر سورا که از تمام این نهرها بزرگ تر است ، نهر ملک ، نهر صر صر ، نهر عیسی بن علی ، کوثا ، سوق اسد ، صراه ، نهر کوفه ، فرات عتیق ، نهر حله بنی مزید ، نهر کرخایا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منطقه ای میان واسط و بصره دو رود دجله و فرات به هم می پیوندند و نهر بزرگی را تشکیل می دهند که عرض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است و به دریای هند می ریزد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 تا ، ذیل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بصره از آب های فرات و دجله معمولا بی نصیب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این ناحیه بزرگ بود و وسعت آن را سی فرسخ در سی فرسخ نوشته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رسته ،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حوالی بصره جایی که به نام روستای قرنه شناخته می شود فرات و دجله گویی خسته و مشتاق در آغوش کشیدن بعد از مدت ها جدایی از هم ، به یکدیگر می پیوندند و پس از اتحاد با کارون ، اروند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شط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داده و پس از آن به خلیج پارس می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چون ابن رسته نام اروند را فرات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دریای فارس در قسمتی که مجاور کناره های فرات است ، دانه های مروارید بسیار خوبی به دست می آید </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فرات از دجله معمولا پهناورتر و پر آب 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به شکل ضرب المثل رواج 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یعقوبی ،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 آبی فرات گاه به اندازه ای بود که بر اثر تلاقی با نهر خابور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شهر 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دژ مستحکم قرقیسیا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قریه البصیره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جزیره در می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لوسکایا ،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وضعیت به حدی بوده که در قرن چهارم هجری اصطخری بیان کرده که نهر صرصر و نهر الملک و نهر عیسی که به نام هر سه شهر های آبادان نیز وجود داشته ، محل کشتی رانی بسیار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اصطخری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خردادبه رئیس مکتب عراقی در جغرافی و وزیر پست عباسیان ، نیز از وجود کشتی های بسیار برای تجارت بر روی فرات در قرن سوم هجری یاد کرده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قرن ششم هجری نیز این پر آبی در گزارش های بر جای مانده قابل رویت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جبیر ،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قرن هشتم هجری ابن بطوطه از </w:t>
      </w:r>
    </w:p>
    <w:p>
      <w:pPr>
        <w:pStyle w:val="BookText"/>
        <w:rPr/>
      </w:pPr>
      <w:r>
        <w:rPr>
          <w:rFonts w:ascii="IRNazanin" w:hAnsi="IRNazanin" w:eastAsia="IRNazanin"/>
          <w:color w:val="111111"/>
          <w:sz w:val="28"/>
          <w:sz w:val="28"/>
          <w:szCs w:val="28"/>
          <w:rtl w:val="true"/>
          <w:lang w:bidi="fa-IR"/>
        </w:rPr>
        <w:t xml:space="preserve">زورق هایی به نام صنبوق بر فرات نام می برد و می نگارد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کشتیبانان این نواحی در حال ایستاده پارو می زنند </w:t>
      </w:r>
      <w:r>
        <w:rPr>
          <w:rFonts w:eastAsia="IRNazanin" w:cs="IRNazanin"/>
          <w:color w:val="111111"/>
          <w:sz w:val="28"/>
          <w:szCs w:val="28"/>
          <w:rtl w:val="true"/>
          <w:lang w:bidi="fa-IR"/>
        </w:rPr>
        <w:t xml:space="preserve">. »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میزان تخلیه آن را تا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ثانیه بر آورد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رود قره سو و مراد چای به شکل گرفتن فرات کمک بسیار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رودها مانند نیل چون شیب چندانی ندارند برای ایجاد کانال های آب رسانی و کشاورزی بسیار مستعد هستند با این وجود فرات نسبت به رود دجله از شیب کمتری برخوردار است و در نهایت از قدیم الایام مهندسان آبیاری و کشاورزی این ناحیه با ایجاد ترعه ها و کانال های متعدد و بندهای خاکی توانستند آب فرات را به نواحی اطراف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کانال بسیار بزرگ هر یک به درازای بیش از هزار کیلومتر به موازات دو رود دجله و فرات بوسیله ایرانیان حفر شده بود که نام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کندک شاپور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خندق شاپور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کندک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خندق شاپور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 بسیار بزرگی بوده است که در باختر رود فرات به موازات آن رود کنده شده بود و گذشته از سود آبیاری آن ، سرزمین عراق را از دستبرد مردمان وحشی عربستان حفظ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شاپور از زیر شهر هیت آغازمی شد و در باختر رود فرات روان بود و پایان آن به شاخه ای از خلیج فارس می ریخت که تا نزدیکی های سماوه بالا می آمد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 شوشتری ،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نهرهای بسیاری از این رودها در دل کشتزارهای عراق روان و باعث آبادانی و سرسبزی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های زیبای بسیاری از حواشی فرات از قدیم الایام و تا اخیرا مورد توجه سیاحان قرار 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باستانی پاریزی ،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باغ های معلق بابل درباره ی همین نواحی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ششم ابن جبیر می نگارد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مسیر دیده بر جلوه هایی از زیبایی گشوده می شود و جان را نشاط و انبساط می بخشد </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برنامه های دولت های قبل از اسلام برای این ناحیه باید از لایروبی و تمیزی و مرتب بودن و مساحی آب در هر سال و برنامه هایی برای کشاورزان نام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رسته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به یاد داشته باشیم که در غرب فرات بادیه ی بزرگ شام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بیابان وسیع در هجوم بادهای گرم و پر شن صحرا به سوی نواحی شرقی موثر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دیرباز مهندسان نخبه ی آرامی و نبطی این نیاز را به خوبی حس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15" w:name="pg8930_84743"/>
    </w:p>
    <w:p>
      <w:pPr>
        <w:pStyle w:val="BookText"/>
        <w:rPr/>
      </w:pPr>
      <w:bookmarkEnd w:id="115"/>
      <w:r>
        <w:rPr>
          <w:rFonts w:ascii="IRNazanin" w:hAnsi="IRNazanin" w:eastAsia="IRNazanin"/>
          <w:color w:val="111111"/>
          <w:sz w:val="28"/>
          <w:sz w:val="28"/>
          <w:szCs w:val="28"/>
          <w:rtl w:val="true"/>
          <w:lang w:bidi="fa-IR"/>
        </w:rPr>
        <w:t xml:space="preserve">آن جا که اعراب به فنون کشاورزی آگاهی چندانی نداشتند ، در ابتدای فتح این ناحیه ، عمر دستور عدم دخالت اعراب را در کشاورزی و دخالت در امور آن داد ولی این اتفاق نیفتاد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های نخستین هجرت با سهل انگاری هایی که از طرف ساکنان جدید الورود و حکام صورت گرفت بسیاری از زمین های قابل کشت به شوره زار یا باتلاق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بطیحه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پژوهشگرانی که در باره ی این ناحیه به تحقیق می پردازند ، برای تقسیم بین النهرین به دو قسمت علیا و سفلی ، خط فرضی را از شمال بغداد یعنی شهر تکریت به سمت غرب در شمال شهر انبار ، در نظر می 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حوقل ،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خط فرضی در واقع رودخانه فرات را از جنوب شهر عانه که رود فرات به سمت جنوب شرقی می رود قطع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عراق فرات را به مانند مرز می دانستند به این نحو که هر آن چه آن سوی فرات در غرب آن بود شام می نامیدند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مقدسی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 طبیعی بسیاری در هر دو ناحیه ی شمالی و جنوبی میان رودان به چشم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فرات معمولا تیره رنگ تر از دجله بوده و سبب آن بود که گاه بادهای پر گرد و خاک بادیه در غرب فرات خاک های سرخ صحرا را به سوی فرات می رانند </w:t>
      </w:r>
      <w:r>
        <w:rPr>
          <w:rFonts w:eastAsia="IRNazanin" w:cs="IRNazanin"/>
          <w:color w:val="111111"/>
          <w:sz w:val="28"/>
          <w:szCs w:val="28"/>
          <w:rtl w:val="true"/>
          <w:lang w:bidi="fa-IR"/>
        </w:rPr>
        <w:t>.</w:t>
      </w:r>
    </w:p>
    <w:p>
      <w:pPr>
        <w:pStyle w:val="Heading3"/>
        <w:numPr>
          <w:ilvl w:val="2"/>
          <w:numId w:val="1"/>
        </w:numPr>
        <w:rPr/>
      </w:pPr>
      <w:bookmarkStart w:id="116" w:name="__RefHeading___Toc1296702_2870459653"/>
      <w:bookmarkStart w:id="117" w:name="_Toc41"/>
      <w:bookmarkEnd w:id="116"/>
      <w:r>
        <w:rPr>
          <w:rtl w:val="true"/>
        </w:rPr>
        <w:t>شهرها و آبادی های ناحیه ی فرات</w:t>
      </w:r>
      <w:bookmarkEnd w:id="1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حومه فرات در آبادانی شهر سازی از رود دجله جلو 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یاقوت حموی ،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بنا را بعد از طوفان در این سرزمین بنا کرد و کم کم بر جمعیت آن جا افزوده 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یاقوت حموی ، بی تا ،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اسلام ایرانیان ناحیه ی میان رودان را به دوازده استان تقسیم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شادشاپور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شاذسابور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کسگر ، استان شاذ پیروز یا استان بالا شامل تسوگ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شاپور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شهر انبار ، استان اردشیر بابکان ، ویه گوات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بهقباذ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ویه گوات میانی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بهقباد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 گوات پایینی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بهقباذ الاسفل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کنار فرات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رود فرات مسافت طولانی تری را در مقایسه با دجله می پیماید و از طرفی دیگر به دلایل دیگری چون قرار داشتن بر سر راه های تجاری و بازرگانی مختلف ، وجود قلعه ها و پایگاه </w:t>
      </w:r>
    </w:p>
    <w:p>
      <w:pPr>
        <w:pStyle w:val="BookText"/>
        <w:rPr/>
      </w:pPr>
      <w:r>
        <w:rPr>
          <w:rFonts w:ascii="IRNazanin" w:hAnsi="IRNazanin" w:eastAsia="IRNazanin"/>
          <w:color w:val="111111"/>
          <w:sz w:val="28"/>
          <w:sz w:val="28"/>
          <w:szCs w:val="28"/>
          <w:rtl w:val="true"/>
          <w:lang w:bidi="fa-IR"/>
        </w:rPr>
        <w:t xml:space="preserve">های نظامی در قبل و بعد از اسلام ، نزدیکترین رود منطقه به موقعیت های طبیعی و مهمی چون بیابان بادیه الشام و جزیره العرب و دریاهای مدیترانه و سیاه و خلیج فارس و کمک به بهبود وضعیت کشاورزی و دامداری ، حضور قبایل و عشایر بسیار و قبیله مضر که به نام خود آن ها به دیار مضر به مرکزیترقه معروف می باشد ، همه و همه باعث شد تا آبادی های بسیاری در حاشیه این رود ساخته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آبادی ها برخی به پیش از اسلام و برخی به دوره های اسلامی باز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هخامنشیان این نواحی در تصرف دولت ایران قرار داشت و به چند استان تقسیم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سرزمین ها به دلیل حاصل خیزی گاه در این دوران به شکل هدیه به اطرافیان شاه ایران تعلق می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احتشام ، </w:t>
      </w:r>
      <w:r>
        <w:rPr>
          <w:rFonts w:eastAsia="IRNazanin" w:cs="IRNazanin"/>
          <w:color w:val="111111"/>
          <w:sz w:val="28"/>
          <w:szCs w:val="28"/>
          <w:lang w:bidi="fa-IR"/>
        </w:rPr>
        <w:t>2535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فرات در این باره نشیب و فرازهای بسیاری را به خود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نواحی فرات در همان سال های اولیه اسلامی در زمان عمر بن خطاب بسیاری به دست عیاض بن غنم و عتبه بن فرقد سلمی به جنگ گشوده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فتح اسلامی خالد بن ولید از فرماندهان عرب بر ساحل فرات به اماکن تاریخی بسیاری به جامانده از دوره ی قبل از اسلام برخورد مانند قصر امغیشیا و الیس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جابه پاره ای از آن ها که بیشتر دارای اهمیت بوده اشاره مختصری می شود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همواره مرز میان سرزمین شام و دیار ربیعه و دیار بکر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بین النهرین از دیر باز سه گروه از اعراب جزیره العرب ساکن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سکونت آن ها به نام خود آن قبایل در جغرافیای عراق خوانده می شد که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بکر به مرکزیت شهر آمد ، دیار ربیعه به مرکزیت شهر موصل و دیار مضر به مرکزیت شهر 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رقه در ساحل فرات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به جنگ با معاویه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به صفین مشهور است و در این ناحیه روی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العالم ، بی تا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مزارات چند تن از شهدای صفین و قبر عمار بن یاسر در جزیره و منطقه حفاظت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دریاچه اسد در استان رقه و نیز چند منزلگاه امام و یارانش و در مسیر ایشان به سوی صفین در مناطق مجاور رود فرات ، قابل مشاهده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ابن حوقل از خانه ای نام می برد که گویامحل جمع آوری بیت المال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نوشته بلاذری ، ولید بن صالح با چند سند از ابو زید انصاری نقل کرده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زید را بر مناطقی از فرات که با آب آن مشروب می شد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بلاذری به طور کامل و دقیق نقل کرده و نشان از پر محصولی این مناطق و دقت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اخذ مالیات ها داشت </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قبیله مالک بن طوق در نزدیک رقه بودند که جایگاه آن ها به رحبه الشام موسوم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جبیر ،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قرن هقتم رحبه آباد و پر منفعت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مستوفی ،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روحیه ی جنگجویی در این مردم بسیار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نیز به وجود راهزنان جرار در این نواحی اشاره کرده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را یاقوت حموی از کوره های بغداد دانسته که بوسیله فرات آبیاری می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تا ، ذیل فرات 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دژ این شهر مستحکم و شهر آبادی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وجه تسمیه آن را از هیت بن بلندی پادشاهی از فرزندان مدین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هاشمیه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بر کنار فرات بوسیله ابو العباس اولین خلیفه عباسی بنیان گذاشته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یعقوبی ،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نهر 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بر ساحل فرات در تاریخ یهود بسیار مهم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اقوام این منطقه یهودیانی بودند که در زمان غلبه اشکانیان بر این مناطق تا حدود سی تا چهل هزار مرد جنگی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یهودی سدرا و جبره در این شهر فعالیت های فرهنگی بسیار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غنیمه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خاطر نشان کرد که فرهنگ یهودیت تا مدت ها پس از ورود اسلام به این نواحی هم چنان ادامه یافت و بی شک در گزاره های تاریخی منطقه موثر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اشکانیان چون اردوان سوم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یهودیان برای مرزیانی این نواحی فرات سود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نهر دعه در نزدیکی ایرانیان و یهودیان کوشش های بسیار می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اولین شهری بوده که در دوره ی خلافت عمر در ساحل غربی رود فرات و نزدیک شهر باستانی حیره بوسیله مسلمانان بنیان گذاشته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کوفه با نظر و مشورت سلمان فارسی و به دستور سعد بن ابی وقاص در کنار فرات در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ساحل غربی ساخته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بلاذری ،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خرابه های 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اردوگاهی مرکب از خیمه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طبری حیره و انبار در زمان بخت النصر بنیان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اصفهانی ساخت شهر حیره را در دوره ی اشکانیان دانسته که مرکز ملوک آل لخم بود و تا حدود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که مسلمآن ها آن جا را فتح کردند و کوفه ایجاد شد ، دایر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اصفهانی ، حمزه ، بی تا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کوفه خود نواحی زیر مجموعه ایی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در قرن سوم می نگارد که فرات بادقلا از طسوج های کوفه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یعقوبی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امرا برای آب رسانی به این شهر از طریق فرات سعی زیاد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عضدالدوله دیلمی در قرن چهارم هجری و در دوره ی قاجار مرحوم وکیل الملک حاکم کرمان ، از جمله این افراد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علقمه از شعبات فرات بود که از گذشته های دور قبل از اسلام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کانال آب رسانی برای آبیاری زمین های اطراف حیاتی بود و در حوالی کوفه جریان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نهر سبب آبادانی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فرات مهاجر پذیر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عمر بن خطاب یهودیانی را از ناحیه ی نجران در حوالی یمن به کوفه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ثروت بسیار داشتند و از طبقات مرفه به شمار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حتی در ابتدای عهد عباسیان یعنی اوایل قرن دوم هجری ، از این گروه مبالغی قرض گرفته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غنیمه ،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تفکرات تاجر مآبانه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میان یهودیان یا بخشی از آنان که تازه به اسلام گرویده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تصمیم گیری های درست در بین این افراد بود و این نکته در زمان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ائمه نیز به خوبی مشهود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مهاجران قدیمی فرات در این نواحی می توان به تنوخیان ، عبادیان و احلاف اشاره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 ،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 حاضر تنها خرابه های کاخ نعمان بن منذر معروف به خورنق که بسیار مشهور و در کنار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مشرف به شهر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ساختش بوسیله معماران رومی به طول انجامید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فقیه ،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قرن ششم هجری ابن جبیر به وجود سقاخانه ای بزرگ در مسجد کوفه اشاره دارد که از آب فرات تامین می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فرات از سمت شرقی کوفه به اندازه نیم فرسخ فاصله دارد و سمت شرقی تمام نخلستآن هایی است که به سواد شهر پیوسته و تا آن جا که چشم به </w:t>
      </w:r>
    </w:p>
    <w:p>
      <w:pPr>
        <w:pStyle w:val="BookText"/>
        <w:rPr/>
      </w:pPr>
      <w:r>
        <w:rPr>
          <w:rFonts w:ascii="IRNazanin" w:hAnsi="IRNazanin" w:eastAsia="IRNazanin"/>
          <w:color w:val="111111"/>
          <w:sz w:val="28"/>
          <w:sz w:val="28"/>
          <w:szCs w:val="28"/>
          <w:rtl w:val="true"/>
          <w:lang w:bidi="fa-IR"/>
        </w:rPr>
        <w:t xml:space="preserve">دید می آرد امتداد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جبیر ،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عشایر عرب مهاجر در حاشیه فرات و خصوصا نواحی کوفه و نجف تا کربلا گرایش های علوی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فرات در مقایسه با دجله جایگاه و موقعیت بهتری برای رشد و گسترش تشیع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میان کوفه و بغداد در حاشیه فرات ساخته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با تشدید لام به حله بنی مزید یا حله سیفیه نیز مشهور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در سرزمین بابل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برخی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سردابی در حله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قلقشندی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قرن ششم هجری این شهر آباد و پر جمعیت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جبیر ،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نهرهای منشعب شده از فرات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شهر حله روان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شهر تا قرن دهم هجری شهری آباد بوده و بعدها تحت الشعاع نجف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هندیه بالای این شهر بر روی فرات بسته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ایلاه که همان ایلوی باب – ایلو – ن و یا بابیروش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تمدنی بزرگ و با سابقه ای طولانی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بابل از شهرهای قدیمی که در سوره بقره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ضحاک اول بار ساخته و عمالقه اول ساکنان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نیز آن را وسیع ساخت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حمیری ، </w:t>
      </w: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بابل حدود سه هزار سال بعد از سقوط دولت آشور و نینوا جای آن را گرفت و از نواحی مهم تجاری به شمار می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لئوناردو ،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ناحیه ایی مهم و تمدنی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 در جنوب ترکیه فعلی و شمال سوریه کنونی در محلی به نام ادسا یا الرها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در آبرسانی به این شهر موثر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جبیر ،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تسوگها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طسوج به معنای شهر های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رودان ، قطربل و بادوریا و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شهر را با کربلا ی فعلی یکی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رستاق را برای مسکن ذکر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جنوب غربی فرات قرار دارد، یعنی؛ به سمت بیابان و نواحی کویری که منتهی به بادیه الشام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رود فرات فاصله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الانصاری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 الشام اولین کویر بزرگ و سوزناک جزیره العرب محسوب می گردد که پس از آن سه ناحیه ی کویری </w:t>
      </w:r>
    </w:p>
    <w:p>
      <w:pPr>
        <w:pStyle w:val="BookText"/>
        <w:rPr/>
      </w:pPr>
      <w:r>
        <w:rPr>
          <w:rFonts w:ascii="IRNazanin" w:hAnsi="IRNazanin" w:eastAsia="IRNazanin"/>
          <w:color w:val="111111"/>
          <w:sz w:val="28"/>
          <w:sz w:val="28"/>
          <w:szCs w:val="28"/>
          <w:rtl w:val="true"/>
          <w:lang w:bidi="fa-IR"/>
        </w:rPr>
        <w:t xml:space="preserve">دهناء و نفود و ربع الخالی آغاز و تا یمن امتداد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زمانی قرن اول هجری گویا در محل قدیم کربلا روستایی به نام العین بود که در مسیر راه های تجاری قرار داشت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جریان جنگ صفین از سرزمینی در اطراف فرات گذشتند و از واقعه ی عاشورا خبر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اعثم ،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ناحیه مذکور در مسیر راه قرار داشت و همان گونه که می دانیم راه در گذشته مخصوصا در نواحی خشک از اهمیت بسیاری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گمان برخی این ناحیه تا قبل از آمدن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مسکونی و خالی از سکنه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ی این سرزمین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زمین کرب است و هم بلا که جای کشتن ما و محط رحال و مناخ شتران ما این زمین خواهد بود و خون های ما بر این خاک ریخته خواهد شد و بگریست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اعثم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نوشته طبری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گذشتن از آبادی هایی چون ثعلبیه ، زباله ، عذیب و قادسیه و بیضه و ذی حسم در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دهکده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نینوا فرود آمد </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قرن سوم یعقوبی مورخ بزرگ و ابن خردادبه وزیر پست و راه های دولت عباسی که از بسیاری از شهرهای این ناحیه یاد کرده اند ، از کربلا با نام شهر، ذکری به میان نیاورده اند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اطراف این مکان روستاهایی بوده، زیرا در نواحی گرم و خشک آب باعث تجمع می گردد و این ناحیه نیز زمین ها و نخلستان های بسیار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آن که مسیر راه بوده و در گذشته میزان پر آبی فرات و کانال های آب رسانی آن ناحیه بیشتر از زمان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و قبایلی چون بنی اسد از غاضریه در این جا می زیستند که به قولی یک روز بعد از واقعه ی عاشورا به دفن اجساد شهدا همت گماردند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گزارش ها نیز بر غیر مسکونی بودن کربلا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ی طبری راس الجالوت نصاری به نقل از پدرش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از کربلا می گذشتم مرکبم را می دوانیدم تا از آن جا بروم زیرا شنیده بودم که فرزند پیمبری در این جا کشته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گزارش اصطخری در قرن چهارم هجری کربلا در غرب فرات و برابر شهر بزرگ قصر ابن هبیره قرار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چنین به پر آبی این ناحیه اشاره </w:t>
      </w:r>
    </w:p>
    <w:p>
      <w:pPr>
        <w:pStyle w:val="BookText"/>
        <w:rPr/>
      </w:pP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وسعت یابی و رشد کربلا هم چنان در قرن هشتم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را در پاره ای از منابع زیر مجموعه نینوا در شرق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دانسته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غنیمه ،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نینوا نیز امروز به طویریج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بطوطه جهان گرد قرن هشتم ، کربلا را شهری کوچک توصیف کرده که دارای نخلستان هایی در اطرافش است و از رودخانه فرات آبیاری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مدرسه و زاویه ی بزرگ شهر و محل اطعام مسافرین اشاره کرده و هم چنین وی ویرانی شهر را بر اثر نزاع دو دسته از بنی فائز و بنی رخیک می 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بطوطه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اکثر منابع به جای کربلا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دهم هجری حمیری در معجم جغرافیایی خود چنین 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طف بر ساحل بطیحه میان بصره و اهواز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فرسخی بصره موضعی معروف به کربلا که در آن جا حسین بن علیکشته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قصر انس بن مالک که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فوت شد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حسین رضی الله در طف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ذی الجوشن او را کشت و برخی گفته اند سنان بن ابی انس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عمر بن سعد بن ابی وقاص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برای یزید بن معاویه بردند و سر او اول سری بود که در اسلام بر روی چوب حمل شد</w:t>
      </w:r>
      <w:r>
        <w:rPr>
          <w:rFonts w:eastAsia="IRNazanin" w:cs="IRNazanin"/>
          <w:color w:val="111111"/>
          <w:sz w:val="28"/>
          <w:szCs w:val="28"/>
          <w:rtl w:val="true"/>
          <w:lang w:bidi="fa-IR"/>
        </w:rPr>
        <w:t xml:space="preserve">. » ( </w:t>
      </w: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حمیری چندان معقول به نظر نمی رسد زیرا کربلا از بصره فاصله ی بیشتری دارد و دیگر جغرافی دانان این گونه بازگو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حمیری از کربلا چنین یاد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کربلا موضعی در عراق از ناحیه کوفه که در آن جا حسین بن علی رضی الله کشته شد </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نویسنده زمانی که در باره ی سورا از شهر های سواد عراق که دارای اشجار و بوستان ها و میوه جات و مزارع بسیار بوده ، صحبت می کند ، می نگارد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محاذی آن قصر ابن هبیره است و در آن جا قبر حسین بن علی رضی الله و برای آن مشهد عظیمی در اوقاتی از سال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گویا منظور وی بر پایی مراسماتی در محرم بوده باشد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شهرهای حاشیه فرات دیر الزور ، المیادین ، عانه ، هیت ، والیه ، انبار ، قرقیسیا ، بالس ، جسر منبج ، سمیساط ، الخانوقه ، جربلص ، عبیدیه ، ثنینیر ، جحشیه ، طلبان ، </w:t>
      </w:r>
      <w:bookmarkStart w:id="118" w:name="pg8930_84750"/>
    </w:p>
    <w:p>
      <w:pPr>
        <w:pStyle w:val="BookText"/>
        <w:rPr/>
      </w:pPr>
      <w:bookmarkEnd w:id="118"/>
      <w:r>
        <w:rPr>
          <w:rFonts w:ascii="IRNazanin" w:hAnsi="IRNazanin" w:eastAsia="IRNazanin"/>
          <w:color w:val="111111"/>
          <w:sz w:val="28"/>
          <w:sz w:val="28"/>
          <w:szCs w:val="28"/>
          <w:rtl w:val="true"/>
          <w:lang w:bidi="fa-IR"/>
        </w:rPr>
        <w:t>سکیر العباس ، عرابان ، تل بنی سیار، ناصریه رمادی ، فلوجه علیا و فلوجه سفلی ، فرات بادقلی، حدیثه، روذمستان ، السیبین ، سورا و بربیسما ، باروسما ، جبه و بداه ، عین التمر ، قصر ابن هبیره و قنطره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مسلمه از طوایف اموی در حاشیه فرات ساکن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دالیه در قرن چهارم محل شورش قرامطه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حوقل ،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Heading3"/>
        <w:numPr>
          <w:ilvl w:val="2"/>
          <w:numId w:val="1"/>
        </w:numPr>
        <w:rPr/>
      </w:pPr>
      <w:bookmarkStart w:id="119" w:name="__RefHeading___Toc1296704_2870459653"/>
      <w:bookmarkStart w:id="120" w:name="_Toc42"/>
      <w:bookmarkEnd w:id="119"/>
      <w:r>
        <w:rPr>
          <w:rtl w:val="true"/>
        </w:rPr>
        <w:t>اقوام بومی و مهاجر در میان رودان</w:t>
      </w:r>
      <w:bookmarkEnd w:id="120"/>
    </w:p>
    <w:p>
      <w:pPr>
        <w:pStyle w:val="BookText"/>
        <w:rPr/>
      </w:pPr>
      <w:r>
        <w:rPr>
          <w:rFonts w:ascii="IRNazanin" w:hAnsi="IRNazanin" w:eastAsia="IRNazanin"/>
          <w:color w:val="111111"/>
          <w:sz w:val="28"/>
          <w:sz w:val="28"/>
          <w:szCs w:val="28"/>
          <w:rtl w:val="true"/>
          <w:lang w:bidi="fa-IR"/>
        </w:rPr>
        <w:t xml:space="preserve">در زمان فتح اسلامی این نواحی در دوره ی عمر بن خطاب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های هزار نفری از مناطق مختلف به این نواحی مهاجرت کردند و شهرهایی نیز تاسیس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اقوام مهاجر از نواحی مختلف ایران مانند جنگجویان دیلم که به حمراء دیلم نیز معروف بودند و در کنار اعراب در فتوحات جنگیده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اعراب بادیه های جزیره العرب ، آسیای صغیر ، ساکنان نواحی از مدیترانه و دریای خزر و دریای سیاه و حتی مصر و شمال آفریقا و هم چنین آن دسته از گروه های قومی که به دلیل تجارت دائم در رفت و آمد بودند گاه بر ساکنان فوق افزوده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جاده های تجاری از دورترین نواحی از چین و آسیای مرکزی و هندوستان و استپ نشینان شرقی خراسان و دریاچه خوارزم به سمت میان رودان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یا ایران شهر در گذشته و بغداد پس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می شد ، گاه از این دسته اقوام نیز در میان رودان ساکن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های بین المللی در این نواحی چه از طریق خشکی و چه دریایی سابقه حدود چهار هزار ساله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بهمنش ،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کلی ثروت بین النهرین در جذب گروه های مختلف بی تاثیر نبوده است و حضور افرادی با روحیه ی تاجر مآبی در این نواحی به خوبی مشهود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احمد العلی ،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ی غالب بر این ناحیه در تصمیم گیری های خرد و کلان آن ها تاثیر داشته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های روم و ایران همواره برای حراست از مرزها و راه های خویش به اعراب جنگجوی بادیه نیاز داشتند و به همین دلیل گروه های اعراب رزم جو اجازه یافتند تا در مناطقی از دجله و فرات به صورت پراکنده استقرار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شهرها مانند قباقب در قرن چهارم در حاشیه فرات، به حضور جنگجویانش مشهور و معروف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فقیه ، </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قباقب نام نهری نیز بود که به فرات می ریخت و منطقه ثغور و جنگی محسوب می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گزارش ابن حوقلساکنان بسیاری از نواحی حاشیه فرات برای خود سورها و قلعه ها داشتند و از دولت ها تبعیت نمی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حوقل ،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 دیگر اعراب به خوبی راه های این مناطق را می شناختند و ایرانیان و رومیان سخت به آن ها نیاز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درباره ی دولت ایران در نواحی شرق فرات نیز صدق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پیگولوسکایا ،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ی دیگر آن که زمین های حاصل خیز اطراف فرات به شکل تیول و اقطاع به فرماندهان و نظامیان و گاه سران قبایل واگذار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نتیجه این گروه خود طبقه ای مرفه را به وجود آورده بودند و این مساله در وقایع تاریخ اسلام در قرن اول هجری به خوبی نمایان است، مانند؛ قتل مختار به دست اشراف کوفه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توضیحات ذکر شده ، پاسخ به این سوال که آیا بافت جمعیتی میان رودان یک پارچه بوده است؟ روشن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رودان هم پیش و هم پس از اسلام جایگاه و موقعیت مهمی را به خود اختصاص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هیچگاه از یک بافت جمعیتی با گرایشی استوار برخوردار نبوده است که حتی این وضعیت اکنون نیز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پذیری میان رودان در قبل و بعد اسلام قابل مشاهده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انبار کدخدایان ایرانی با ایشان ملاقات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دهه های متمادی اعراب در مناطق مفتوحه چون بین النهرین در اقلیت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اشپولر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مقارن قیام عاشورا در نیمه قرن اول هجری حضور دسته ای به نام موالی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نامی بود که بر گروه های غیر اعراب اطلاق می شد و معمولا به آنان ظلم روا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موالی عمدتا ایرانی بودند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مرزبانان ایرانی پس از ورود اعراب به عراق نیز در جرگه ی موالی بودند و حتی به اعراب در حرکت های جنگی و فتوحات یاری می رساندند، مانند؛ بسفروح مرزبان شهر انبار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دینوری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گزارش طبری در میان شهدای شیعه ی واقعه ی عاشورا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اهالی بصره نام شاه داشتند و آگاهیم که در ادبیات عرب واژه شاه کاربردی نداشت و این لفظ را ایرانیان به کار می بردند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ایرانیان در عراق </w:t>
      </w:r>
      <w:bookmarkStart w:id="121" w:name="pg8930_84752"/>
    </w:p>
    <w:p>
      <w:pPr>
        <w:pStyle w:val="BookText"/>
        <w:rPr/>
      </w:pPr>
      <w:bookmarkEnd w:id="121"/>
      <w:r>
        <w:rPr>
          <w:rFonts w:ascii="IRNazanin" w:hAnsi="IRNazanin" w:eastAsia="IRNazanin"/>
          <w:color w:val="111111"/>
          <w:sz w:val="28"/>
          <w:sz w:val="28"/>
          <w:szCs w:val="28"/>
          <w:rtl w:val="true"/>
          <w:lang w:bidi="fa-IR"/>
        </w:rPr>
        <w:t xml:space="preserve">هنگام قیام عاشورا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در این قیام حضوری ندارند ؟ باید گفت آن چنان به سرعت این حرکت به شکلی جانسوز خاتمه یافت که فرصتی برای یاری رساندن از جانب بسیاری، از جمله ایرانیان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اشپولر این در حالی است که در حرکت مختار زیر ساخت هایی برای قیام به تدریج روی داد و بی هیچ شکی امویان با ایرانیان رفتار خوبی نداشتند و عرب ها با آنان مانند غنیمت مسخر و شکار مغلوب رفتار می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اشپولر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بعدها در قیام مختار ثقفی ایرانیان در سپاه ابراهیم بن مالک اشتر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 جواب یکی از یاران خود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مردمی که همراه من می بینی فرزندان سوار کاران و مرزبانان ایرانیانند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دینوری ،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Heading3"/>
        <w:numPr>
          <w:ilvl w:val="2"/>
          <w:numId w:val="1"/>
        </w:numPr>
        <w:rPr/>
      </w:pPr>
      <w:bookmarkStart w:id="122" w:name="__RefHeading___Toc1296706_2870459653"/>
      <w:bookmarkStart w:id="123" w:name="_Toc43"/>
      <w:bookmarkEnd w:id="122"/>
      <w:r>
        <w:rPr>
          <w:rtl w:val="true"/>
        </w:rPr>
        <w:t>علایق دینی ساکنان حاشیه ی فرات و ساکنان غیر مسلمان</w:t>
      </w:r>
      <w:bookmarkEnd w:id="123"/>
    </w:p>
    <w:p>
      <w:pPr>
        <w:pStyle w:val="BookText"/>
        <w:rPr/>
      </w:pPr>
      <w:r>
        <w:rPr>
          <w:rFonts w:ascii="IRNazanin" w:hAnsi="IRNazanin" w:eastAsia="IRNazanin"/>
          <w:color w:val="111111"/>
          <w:sz w:val="28"/>
          <w:sz w:val="28"/>
          <w:szCs w:val="28"/>
          <w:rtl w:val="true"/>
          <w:lang w:bidi="fa-IR"/>
        </w:rPr>
        <w:t xml:space="preserve">یکی از نکات قابل تامل در باب حاشیه ی رود فرات آن است که این نواحی از دیر باز مانند سایر نواحی بین النهرین مهد علایق دینی و پرستش آفریننده جهان هستی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بزرگ را در حکومت آشور تنها خدایان در اختیار داشتند و عنوان شاهی در این دوره انحصارا به خدای ملی آشور تعلق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مجید زاده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دنبال همین جریان در سیر مطالعه ساکنان این نواحی پس از اسلام نیز این گرایش های مختلف قابل رویت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برای فرات ریشه در پیش از اسلام نیز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بین النهرین بسیار زیاد و معمولا هر چند هکتار زمین ، متعلق به خدایی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چایلد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یهودیان بین النهرین نیز در این ناحیه دارای معابدی بسیار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غنیمه ،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درحاشیه فرات از قدیم الایام مشهودات زیادی از قدیسان و بزرگان مسیحی دیده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لوسکایا ،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پیش از اسلام در این ناحیه گزارش های بسیاری از ساکنان نصاری نسطوری داریم که پس از اسلام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ایشان نسبت به هم کیشان منو فیزتشان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نزدیک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امپراطوری ایران بیشتر مدافع نسطوری گری بود ، اهالی این نواحی برای نزدیکی بیشتر به دولت ایران از نسوری گری دفاع می کردند</w:t>
      </w:r>
      <w:r>
        <w:rPr>
          <w:rFonts w:eastAsia="IRNazanin" w:cs="IRNazanin"/>
          <w:color w:val="111111"/>
          <w:sz w:val="28"/>
          <w:szCs w:val="28"/>
          <w:rtl w:val="true"/>
          <w:lang w:bidi="fa-IR"/>
        </w:rPr>
        <w:t xml:space="preserve">. </w:t>
      </w:r>
      <w:bookmarkStart w:id="124" w:name="pg8930_84753"/>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لوسکایا ،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مسیحیان و نصارا و وجود دیرهای آن ها در حواشی فرات معمولا در گزارش های متقدمین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حوقل جهان گرد و جغرافی نویس قرن چهارم از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و صومعه و راهبانی که به اموری چون تجارت مشغول بودند ، یاد کرده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دیرها گاه به حدی بود که شابستی کتاب الدیارات را در این باره تالیف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الجماجم بر حاشیه فرات و نزدیک به کوفه از نمونه شهرهای نصاری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حمیری ، </w:t>
      </w:r>
      <w:r>
        <w:rPr>
          <w:rFonts w:eastAsia="IRNazanin" w:cs="IRNazanin"/>
          <w:color w:val="111111"/>
          <w:sz w:val="28"/>
          <w:szCs w:val="28"/>
          <w:lang w:bidi="fa-IR"/>
        </w:rPr>
        <w:t>1984</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زیاد نصاری در حاشیه فرات مورد تاکید و گزارش جغرافی دانان مسلمان بوده است و قطعا در زمان واقعه ی عاشورا 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نیز گروهی از ساکنان فرات را نصاری تشکیل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گروه نیز در عدم تجانس بیشتر این نواحی دخیل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بسیاری از آبادی های این ناحیه در تورات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کوثی اکنون در شمال شرقی بابل قدیم همان تل ابراهیم معروف است که خرابه های آن هنوز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این نواحی تل ابراهیم را همان آتش فراهم شده بوسیله نمرود می دانستند که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غنیمه ،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Heading3"/>
        <w:numPr>
          <w:ilvl w:val="2"/>
          <w:numId w:val="1"/>
        </w:numPr>
        <w:rPr/>
      </w:pPr>
      <w:bookmarkStart w:id="125" w:name="__RefHeading___Toc1296708_2870459653"/>
      <w:bookmarkStart w:id="126" w:name="_Toc44"/>
      <w:bookmarkEnd w:id="125"/>
      <w:r>
        <w:rPr>
          <w:rtl w:val="true"/>
        </w:rPr>
        <w:t>صفات ساکنان نواحی غربی و مرکزی بین النهرین</w:t>
      </w:r>
      <w:bookmarkEnd w:id="126"/>
    </w:p>
    <w:p>
      <w:pPr>
        <w:pStyle w:val="Heading4"/>
        <w:numPr>
          <w:ilvl w:val="3"/>
          <w:numId w:val="1"/>
        </w:numPr>
        <w:rPr/>
      </w:pPr>
      <w:bookmarkStart w:id="127" w:name="__RefHeading___Toc1296710_2870459653"/>
      <w:bookmarkStart w:id="128" w:name="_Toc45"/>
      <w:bookmarkEnd w:id="127"/>
      <w:r>
        <w:rPr/>
        <w:t>1</w:t>
      </w:r>
      <w:r>
        <w:rPr>
          <w:rtl w:val="true"/>
        </w:rPr>
        <w:t xml:space="preserve"> . </w:t>
      </w:r>
      <w:r>
        <w:rPr>
          <w:rtl w:val="true"/>
        </w:rPr>
        <w:t>عدم ثبات در تصمیم گیری ها</w:t>
      </w:r>
      <w:bookmarkEnd w:id="12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یکپارچگی بافت قومی می تواند ما را در درک عدم ثبات در تصمیم گیری های ساکنان این نواحی در حوادث و رویدادهای تاریخی ، یاری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کرّات در طی بررسی های وقایع میان رودان مشاهده می گردد که در رای و اظهار عقیده مردمان این نواحی اعتقاد سست به چشم می خورد و بنابراین کمتر قابلیت اعتماد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ساکنان این نواحی به صورت قبیله ای و عشیره ای بودند، در تصمیم گیری ها بر یکدیگر تاثیر بسیار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باید افزود که این گروه ها معمولا با هم نژادان و هم خونان خود در جزیره العرب ارتباط نزدیکی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ی عشیره ای باعث شده بود تا در تصمیم گیری ها به شدت از شیوخ خود متاثر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مسلم بن عقیل با عده ای از کوفیان هم بیعت خود، به دروازه قصر عبیدالله بن زیاد رسید، آنان با اشاره شیوخ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از مسلم دست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چنین نگاشته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مسلم به در قصر رسید سران قوم از بالا نمودار شدند و با عشایر خویش سخن کردند و آن ها را باز گردانیدند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طبری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ساکنان میان رودان از جنوب جزیره العرب کوچ کرده بودند و دارای ویژگی هایی چون تجارت پیشگی ، جنگجویی ، کشاورزی و کوچ نشینی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لوسکایا ،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 خواهی و کسب غنیمت بیشتر گویی در ساکنان نواحی از فرات نهادینه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روحیه قبل و یعد از اسلام قابل رویت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رویدادنویس سوریایی اوایل سده ی ششم میلادی درباره ی اعراب تابع ایران در این ناحیه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ایران هرگز آسوده نمی نشینند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حیله گری و دو رویی مردمان کوفه بسیار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به صراحت در نامه ای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قومی حیله گر توصیف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دینوری ،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حرکت توابین به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رهبری سلیمان بن صرد خزاعی نقل است که درابتدا با 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بیعت کردند و در حالی که در انتها تنها سی نفر با او ماندند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در زمانی که امامان عباسی مخفیانه فعالیت های ضد بنی امیه را طراحی می کنند به داعیانشان خراسان و ایران را پیشنهاد می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به خوبی از خصایص مردم این ناحیه آگاهی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دیده بودند که پیش از آن در قرن اول هجری آنان نه در همراهی با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رای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نکوهش و مذمت اهالی عراق و سست رایی ایشان ، دیده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 خطبه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نهروان از کُندی شمشیرها و اتمام تیرها و خرابی سر نیزه های خود به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برده و خواهان بازگشت به شهرشان می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دینوری ،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امام در پاسخ آن ها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کسانی که شبیه مردانید و مرد نیستید و آرزوهای کودکانه و خرد حجله نشینان را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شما را ندیده بودم و نمی شناختم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مقدسی در قرن چهارم هجری در توصیف ساکنان نواحی فرات در سمت کوفه و تا بخش هایی از درون فرات آنان را افراد متغیر الحال و نااستوار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آنان را سخیف العقل ، نا منسجم و بی ارزش خوانده است </w:t>
      </w:r>
      <w:r>
        <w:rPr>
          <w:rFonts w:eastAsia="IRNazanin" w:cs="IRNazanin"/>
          <w:color w:val="111111"/>
          <w:sz w:val="28"/>
          <w:szCs w:val="28"/>
          <w:rtl w:val="true"/>
          <w:lang w:bidi="fa-IR"/>
        </w:rPr>
        <w:t xml:space="preserve">. </w:t>
      </w:r>
      <w:bookmarkStart w:id="129" w:name="pg8930_84755"/>
    </w:p>
    <w:p>
      <w:pPr>
        <w:pStyle w:val="BookText"/>
        <w:rPr/>
      </w:pPr>
      <w:bookmarkEnd w:id="12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قرن ششم نیز توصیفات ابن جبیر دال بر تاثیر پذیری و متغیر الحال بودن این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توصیف مجلس شیخ رضی الدین قزوینی و جمال الدین بن علی جوزی از این عکس العمل های لحظه ای و توبه های پر حاشیه ی آنان شگفت زده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جبیر،</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Heading4"/>
        <w:numPr>
          <w:ilvl w:val="3"/>
          <w:numId w:val="1"/>
        </w:numPr>
        <w:rPr/>
      </w:pPr>
      <w:bookmarkStart w:id="130" w:name="__RefHeading___Toc1296712_2870459653"/>
      <w:bookmarkStart w:id="131" w:name="_Toc46"/>
      <w:bookmarkEnd w:id="130"/>
      <w:r>
        <w:rPr/>
        <w:t>2</w:t>
      </w:r>
      <w:r>
        <w:rPr>
          <w:rtl w:val="true"/>
        </w:rPr>
        <w:t xml:space="preserve">. </w:t>
      </w:r>
      <w:r>
        <w:rPr>
          <w:rtl w:val="true"/>
        </w:rPr>
        <w:t>عدم بصیرت و نفاق</w:t>
      </w:r>
      <w:bookmarkEnd w:id="131"/>
    </w:p>
    <w:p>
      <w:pPr>
        <w:pStyle w:val="BookText"/>
        <w:rPr/>
      </w:pPr>
      <w:r>
        <w:rPr>
          <w:rFonts w:ascii="IRNazanin" w:hAnsi="IRNazanin" w:eastAsia="IRNazanin"/>
          <w:color w:val="111111"/>
          <w:sz w:val="28"/>
          <w:sz w:val="28"/>
          <w:szCs w:val="28"/>
          <w:rtl w:val="true"/>
          <w:lang w:bidi="fa-IR"/>
        </w:rPr>
        <w:t xml:space="preserve">یکی از ویژگی های ساکنان عراق معمولا ناآگاهی و عدم درک صحیح ایشان از پیرامون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حتی پس از ارتکاب اعمالی که در آن ها دست داشتند ، از عواقب و تاثیرات آن اظهار بی اطلاعی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تاریخی از یعقوبی نقل است زمانی که اسیران کربلا را به کوفه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کوفی شیون کنان و اشک ریزان از خانه ها در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هولاء یبکون علینا فمن قتلنا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 ما گریه می کنند ، پس ما را که کشته است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یعقوبی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اظهارات در آبادی های حاشیه فرات به کرّّات به چشم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 قابلی که در رفتارهای اجتماعی عراقیان به چشم می خورد ، نفاق و دو رویی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نفاق آنان چنان دلگیر بود که به ایشان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عراق دوست داشتم که مرا به جای هر هشت نفر از شما مردی از مردم شام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پس از سرزنش مردم کوفه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 بر شما باد راستی که گرفتار شما شده ام هم روزی که با شما راز می گویم و هم روزی که شما را می خوانم؛ پس نه برادرانی هستید هنگام راز گفتن و نه آزاد مردانی هنگام برخورد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یعقوبی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عراق به صراحت نامه های نوشته شده به آن حضرت را انکار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آن ها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شبث بن ربعی ، ای حجار بن ابجر ، ای قیس بن اشعث، ای یزید بن حارث مگر به من ننوشتید که میوه ها رسیده و باغستان ها سر سبز شده و چاه ها پر شده و پیش سپاه آماده خویش می آیی ،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ننوشتیم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چرا به خدا شما نوشتید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طبری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حالی که به گفته طبری دوازده هزار کس با نماینده امام ، مسلم بن عقیل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 از دروغ و تزویر این مردم به امان آمده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قوم با من دروغ گفتند و فریبم دادند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طبری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فرزدق شاعر در پاسخ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مردم عراق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مطلع پرسیدی ، دل های کسان با تواست و شمشیرهایشان با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از آسمان می رسد و خدا هر چه بخواهد می 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روحیه متاسفانه از ابتدای ورود اسلام به این نواحی کاملا مشهود است و تا سال های متمادی قابل رویت است و تنها به قیام حسینی ارتباط نمی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پرسش که آیا همکاری ساکنان بین النهرین سفلی،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امویان امتداد یافت ؟ جواب منفی و شگفت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یزید، عبیدالله بن زیاد مردم را مخیّر در انتخاب امیر کرد که ساکنان کوفه با وی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نوشته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بیعت برفتند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مرجانه می پندارد که در حال جماعت و پراکندگی مطیع وی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خطا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ضدیت با وی برخاستند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طبری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گواهی تاریخ، عراقیان عبیدالله را یاری نکردند و او به نهایت خواری و ذلّت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بن یوسف ثقفی از والیان سخت گیر عراق در زمان عبد الملک بن مروان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 منبر کوفه نشست به عراقیان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عراق و ای اهل ناسازی و دورویی و نافرمانی و زشتخویی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یعقوبی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روحیات و اخلاقیات ناشایستی باز هم در طول سده های بعد از این مردم دیده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جبیر جهان گرد قرن ششم آنان را چنین توصیف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مردمانی متکبرند و دیگران را حقیر می شمرند ، در داد و ستد به عدل رفتار نمی کنند ، با غریبان مدارا ندارند ، مردمانی پول پرست هستند و تنها درهم و دینار را می شناسند و به همین دلایل به طور مستمر واعظان و خطیبان برایشان پند و اندرز می گویند که فایده ای ندارد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ابن جبیر،</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علی از نویسندگان چیره دست و آگاه در باب اوصاف عراقیان در قرن اول هجری چنین می نگارد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مردمی هستند متلوّن و دمدمی ، دغا پیشه ، درنده ، بی باک و </w:t>
      </w:r>
      <w:bookmarkStart w:id="132" w:name="pg8930_84757"/>
    </w:p>
    <w:p>
      <w:pPr>
        <w:pStyle w:val="BookText"/>
        <w:rPr/>
      </w:pPr>
      <w:bookmarkEnd w:id="132"/>
      <w:r>
        <w:rPr>
          <w:rFonts w:ascii="IRNazanin" w:hAnsi="IRNazanin" w:eastAsia="IRNazanin"/>
          <w:color w:val="111111"/>
          <w:sz w:val="28"/>
          <w:sz w:val="28"/>
          <w:szCs w:val="28"/>
          <w:rtl w:val="true"/>
          <w:lang w:bidi="fa-IR"/>
        </w:rPr>
        <w:t xml:space="preserve">بی پروا و بالاخره از ثبات و استقامت به کلی بی بهره و دور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مردم هیچوقت مالک قلب خود نبودند؛ چه یک وقت مثل آتش گرم و سوزان و دیگر مانند یخ سرد و فسرده و یا به قدری خونسرد و بیطرف که مثل مرده به نظر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قول اعتمادی که به آن حضرت دادند که اگر به آن سرزمین قدم رنجه کند، همه ی اهل عراق به قدوم او شتافته، به شرایط جان نثاری قیام خواهند نمود و در نتیجه موجب اطمینان خاطر وی گردیدند و بالاخره حضرت تصمیم بر حرکت گرفت و عازم کوفه گردید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امیر علی ،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Heading3"/>
        <w:numPr>
          <w:ilvl w:val="2"/>
          <w:numId w:val="1"/>
        </w:numPr>
        <w:rPr/>
      </w:pPr>
      <w:bookmarkStart w:id="133" w:name="__RefHeading___Toc1296714_2870459653"/>
      <w:bookmarkStart w:id="134" w:name="_Toc47"/>
      <w:bookmarkEnd w:id="133"/>
      <w:r>
        <w:rPr>
          <w:rtl w:val="true"/>
        </w:rPr>
        <w:t>نتیجه</w:t>
      </w:r>
      <w:bookmarkEnd w:id="134"/>
    </w:p>
    <w:p>
      <w:pPr>
        <w:pStyle w:val="BookText"/>
        <w:rPr/>
      </w:pPr>
      <w:r>
        <w:rPr>
          <w:rFonts w:ascii="IRNazanin" w:hAnsi="IRNazanin" w:eastAsia="IRNazanin"/>
          <w:color w:val="111111"/>
          <w:sz w:val="28"/>
          <w:sz w:val="28"/>
          <w:szCs w:val="28"/>
          <w:rtl w:val="true"/>
          <w:lang w:bidi="fa-IR"/>
        </w:rPr>
        <w:t xml:space="preserve">از بررسی اجمالی درباره ی بافت قومی ساکنان حواشی فرات می توان به نتایج زیر دست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تجانس و یکپارچگی به شدت در ساکنان میان رودان قابل مشاهده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عشایر مهاجر عرب فرهنگی خاص داشتند که در روند تاریخی وقایع این ناحیه بی تاثیر نبوده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سوق الجیشی و استراتژیک این نواحی مناسبت بسیاری برای حضور تاجران و نظامیان داشت و این حضور به دنبال خود تفکرات پول پرستانه و جنگجویی را به ارمغان می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عده ی زیادی از اهل کتاب در ناحیه ی بین النهرین خود سهم بسیاری در وقایع این نواحی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کار گرفتن ایرانیان عراق در قالب موالی و عدم اعتنا به آنان در وقایع تاریخی موثر بوده است، ولی در زمان واقعه ی عاشورا این تاثیر دیده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تداوم روحیات ساکنان حواشی فرات تا دوره های بعد نیز به چشم می 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و تمدن امپراطوری ایران تاثیر چندانی بر روحیات و تفکرات ساکنان نواحی فرات نداشته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روحیات سست و بی وفایی مردم عراق مطلع بود ولی بذری که در آن ناحیه کاشت خیلی زود در گرایش های بی شمار شیعی گری به بار نشست </w:t>
      </w:r>
      <w:r>
        <w:rPr>
          <w:rFonts w:eastAsia="IRNazanin" w:cs="IRNazanin"/>
          <w:color w:val="111111"/>
          <w:sz w:val="28"/>
          <w:szCs w:val="28"/>
          <w:rtl w:val="true"/>
          <w:lang w:bidi="fa-IR"/>
        </w:rPr>
        <w:t xml:space="preserve">. </w:t>
      </w:r>
      <w:bookmarkStart w:id="135" w:name="pg8930_84758"/>
    </w:p>
    <w:p>
      <w:pPr>
        <w:pStyle w:val="Heading3"/>
        <w:numPr>
          <w:ilvl w:val="2"/>
          <w:numId w:val="1"/>
        </w:numPr>
        <w:rPr/>
      </w:pPr>
      <w:bookmarkStart w:id="136" w:name="__RefHeading___Toc1296716_2870459653"/>
      <w:bookmarkStart w:id="137" w:name="_Toc48"/>
      <w:bookmarkEnd w:id="135"/>
      <w:bookmarkEnd w:id="136"/>
      <w:r>
        <w:rPr>
          <w:rtl w:val="true"/>
        </w:rPr>
        <w:t xml:space="preserve">منابع </w:t>
      </w:r>
      <w:r>
        <w:rPr>
          <w:rtl w:val="true"/>
        </w:rPr>
        <w:t>:</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 ، علاء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نقشه حیره در زمان شاهنشاهی ساسانیان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کوفی ، محمد بن علی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طباطبائی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آموزش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بطوطه ، ابو عبدالله محمد</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دکتر 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جبیر ، محمد بن احمد</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پرویز اتابکی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حوقل ، ابی القاسم</w:t>
      </w:r>
      <w:r>
        <w:rPr>
          <w:rFonts w:eastAsia="IRNazanin" w:cs="IRNazanin"/>
          <w:color w:val="111111"/>
          <w:sz w:val="28"/>
          <w:szCs w:val="28"/>
          <w:rtl w:val="true"/>
          <w:lang w:bidi="fa-IR"/>
        </w:rPr>
        <w:t>.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المکتبه الحیاه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خرداد به ، ابی القاسم</w:t>
      </w:r>
      <w:r>
        <w:rPr>
          <w:rFonts w:eastAsia="IRNazanin" w:cs="IRNazanin"/>
          <w:color w:val="111111"/>
          <w:sz w:val="28"/>
          <w:szCs w:val="28"/>
          <w:rtl w:val="true"/>
          <w:lang w:bidi="fa-IR"/>
        </w:rPr>
        <w:t>.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المسالک و الممالک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رسته ، احمد بن عمر</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الاعلاق النفیسه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دکتر حسین قره چانلو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فقیه ،ابو بکر شهاب الدین احمد</w:t>
      </w:r>
      <w:r>
        <w:rPr>
          <w:rFonts w:eastAsia="IRNazanin" w:cs="IRNazanin"/>
          <w:color w:val="111111"/>
          <w:sz w:val="28"/>
          <w:szCs w:val="28"/>
          <w:rtl w:val="true"/>
          <w:lang w:bidi="fa-IR"/>
        </w:rPr>
        <w:t>.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کتاب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احتشام ، مرتضی</w:t>
      </w:r>
      <w:r>
        <w:rPr>
          <w:rFonts w:eastAsia="IRNazanin" w:cs="IRNazanin"/>
          <w:color w:val="111111"/>
          <w:sz w:val="28"/>
          <w:szCs w:val="28"/>
          <w:rtl w:val="true"/>
          <w:lang w:bidi="fa-IR"/>
        </w:rPr>
        <w:t>.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زمان هخامنشیان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کتاب های جیبی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اشپولر ، برتولد</w:t>
      </w:r>
      <w:r>
        <w:rPr>
          <w:rFonts w:eastAsia="IRNazanin" w:cs="IRNazanin"/>
          <w:color w:val="111111"/>
          <w:sz w:val="28"/>
          <w:szCs w:val="28"/>
          <w:rtl w:val="true"/>
          <w:lang w:bidi="fa-IR"/>
        </w:rPr>
        <w:t>.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در قرون نخستین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جواد فلاطوری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اصطخری ، ابو اسحق ابراهیم</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و ممالک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ایرج 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ملوک الارض و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المکتبه الحیاه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شوشتری ، محمد علی</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کشور عراق از دیدگاه فرهنگ و تمدن رنگ ایرانی </w:t>
      </w:r>
    </w:p>
    <w:p>
      <w:pPr>
        <w:pStyle w:val="BookText"/>
        <w:rPr/>
      </w:pPr>
      <w:r>
        <w:rPr>
          <w:rFonts w:ascii="IRNazanin" w:hAnsi="IRNazanin" w:eastAsia="IRNazanin"/>
          <w:color w:val="111111"/>
          <w:sz w:val="28"/>
          <w:sz w:val="28"/>
          <w:szCs w:val="28"/>
          <w:rtl w:val="true"/>
          <w:lang w:bidi="fa-IR"/>
        </w:rPr>
        <w:t xml:space="preserve">دارد نه عربی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بررسی 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الانصاری ، رووف محمد علی</w:t>
      </w:r>
      <w:r>
        <w:rPr>
          <w:rFonts w:eastAsia="IRNazanin" w:cs="IRNazanin"/>
          <w:color w:val="111111"/>
          <w:sz w:val="28"/>
          <w:szCs w:val="28"/>
          <w:rtl w:val="true"/>
          <w:lang w:bidi="fa-IR"/>
        </w:rPr>
        <w:t xml:space="preserve">. (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الصالحانی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باستانی پاریزی</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کنار فرات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 احمد بن یحیی</w:t>
      </w:r>
      <w:r>
        <w:rPr>
          <w:rFonts w:eastAsia="IRNazanin" w:cs="IRNazanin"/>
          <w:color w:val="111111"/>
          <w:sz w:val="28"/>
          <w:szCs w:val="28"/>
          <w:rtl w:val="true"/>
          <w:lang w:bidi="fa-IR"/>
        </w:rPr>
        <w:t>.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نقره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بهمنش ، احمد</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ملل قدیم آسیا 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چایلد ، گوردن</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احمد بهمنش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العالم من المشرق الی المغرب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منوچهر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 طهوری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 ، شهاب الدین ابی عبدالله یاقوت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 ابی عبدالله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المعطار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 ابو حنیفه 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الاطوال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محمود مهدوی 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چهارم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 محمد بن جریر</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الرسل و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ابو القاسم پاینده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اساطیر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 امیر</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عرب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فخر 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گنجینه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غنیمه ، یوسف رزق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المشتاق فی تاریخ الیهود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الثقافه الدینیه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الطبعه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قلقشندی ، شهاب الدین احمد</w:t>
      </w:r>
      <w:r>
        <w:rPr>
          <w:rFonts w:eastAsia="IRNazanin" w:cs="IRNazanin"/>
          <w:color w:val="111111"/>
          <w:sz w:val="28"/>
          <w:szCs w:val="28"/>
          <w:rtl w:val="true"/>
          <w:lang w:bidi="fa-IR"/>
        </w:rPr>
        <w:t xml:space="preserve">.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الاعشی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یوسف علی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لوسکایا ، پیگو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حدود مرزهای روم شرقی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عنایت الله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تحقیقات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لئوناردو ، کینگ</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دکتر رقیه بهزادی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w:t>
      </w:r>
    </w:p>
    <w:p>
      <w:pPr>
        <w:pStyle w:val="BookText"/>
        <w:rPr/>
      </w:pP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مجید زاده ، یوسف</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 تمدن بین النهرین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مستوفی ، حمدالله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نزهه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 ابو عبدالله محمد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التقاسیم فی معرفه الاقالیم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 محمد</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نخجوانی ،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تلخیص سیاحت نامه اولیاء چلبی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دانشکده ادبیات علوم و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و ترجمه فیض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کلاله خاور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 علی بن حسین</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فی الطریقه الی الشهاده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 احمد بن ابی یعقوب</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الطبعه الاولی </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8930_84762"/>
      <w:bookmarkStart w:id="139" w:name="pg8930_84762"/>
      <w:bookmarkEnd w:id="139"/>
    </w:p>
    <w:p>
      <w:pPr>
        <w:pStyle w:val="Heading2"/>
        <w:numPr>
          <w:ilvl w:val="1"/>
          <w:numId w:val="1"/>
        </w:numPr>
        <w:rPr/>
      </w:pPr>
      <w:bookmarkStart w:id="140" w:name="pg8930_84762"/>
      <w:bookmarkStart w:id="141" w:name="__RefHeading___Toc1296718_2870459653"/>
      <w:bookmarkStart w:id="142" w:name="_Toc49"/>
      <w:bookmarkEnd w:id="140"/>
      <w:bookmarkEnd w:id="141"/>
      <w:r>
        <w:rPr>
          <w:rtl w:val="true"/>
        </w:rPr>
        <w:t xml:space="preserve">بررسی سندی و دلایلی حدیث </w:t>
      </w:r>
      <w:r>
        <w:rPr>
          <w:rtl w:val="true"/>
        </w:rPr>
        <w:t>«</w:t>
      </w:r>
      <w:r>
        <w:rPr>
          <w:rtl w:val="true"/>
        </w:rPr>
        <w:t>ریّان بن شبیب</w:t>
      </w:r>
      <w:r>
        <w:rPr>
          <w:rtl w:val="true"/>
        </w:rPr>
        <w:t xml:space="preserve">» </w:t>
      </w:r>
      <w:r>
        <w:rPr>
          <w:rtl w:val="true"/>
        </w:rPr>
        <w:t>پیرامون عزاداری</w:t>
      </w:r>
      <w:bookmarkEnd w:id="142"/>
    </w:p>
    <w:p>
      <w:pPr>
        <w:pStyle w:val="Heading3"/>
        <w:numPr>
          <w:ilvl w:val="2"/>
          <w:numId w:val="1"/>
        </w:numPr>
        <w:rPr/>
      </w:pPr>
      <w:bookmarkStart w:id="143" w:name="__RefHeading___Toc1296720_2870459653"/>
      <w:bookmarkStart w:id="144" w:name="_Toc50"/>
      <w:bookmarkEnd w:id="143"/>
      <w:r>
        <w:rPr>
          <w:rtl w:val="true"/>
        </w:rPr>
        <w:t>دکتر سید مسعود عمرانی</w:t>
      </w:r>
      <w:bookmarkEnd w:id="144"/>
    </w:p>
    <w:p>
      <w:pPr>
        <w:pStyle w:val="BookText"/>
        <w:rPr/>
      </w:pPr>
      <w:r>
        <w:rPr>
          <w:rFonts w:ascii="IRNazanin" w:hAnsi="IRNazanin" w:eastAsia="IRNazanin"/>
          <w:color w:val="111111"/>
          <w:sz w:val="28"/>
          <w:sz w:val="28"/>
          <w:szCs w:val="28"/>
          <w:rtl w:val="true"/>
          <w:lang w:bidi="fa-IR"/>
        </w:rPr>
        <w:t>دکتر سید مسعود عمرانی</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3/1/1395</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30/3/1395</w:t>
      </w:r>
      <w:r>
        <w:rPr>
          <w:rFonts w:eastAsia="IRNazanin" w:cs="IRNazanin"/>
          <w:color w:val="111111"/>
          <w:sz w:val="28"/>
          <w:szCs w:val="28"/>
          <w:rtl w:val="true"/>
          <w:lang w:bidi="fa-IR"/>
        </w:rPr>
        <w:t>)</w:t>
      </w:r>
    </w:p>
    <w:p>
      <w:pPr>
        <w:pStyle w:val="Heading3"/>
        <w:numPr>
          <w:ilvl w:val="2"/>
          <w:numId w:val="1"/>
        </w:numPr>
        <w:rPr/>
      </w:pPr>
      <w:bookmarkStart w:id="145" w:name="__RefHeading___Toc1296722_2870459653"/>
      <w:bookmarkStart w:id="146" w:name="_Toc51"/>
      <w:bookmarkEnd w:id="145"/>
      <w:r>
        <w:rPr>
          <w:rtl w:val="true"/>
        </w:rPr>
        <w:t>چکیده</w:t>
      </w:r>
      <w:bookmarkEnd w:id="146"/>
    </w:p>
    <w:p>
      <w:pPr>
        <w:pStyle w:val="BookText"/>
        <w:rPr/>
      </w:pPr>
      <w:r>
        <w:rPr>
          <w:rFonts w:ascii="IRNazanin" w:hAnsi="IRNazanin" w:eastAsia="IRNazanin"/>
          <w:color w:val="111111"/>
          <w:sz w:val="28"/>
          <w:sz w:val="28"/>
          <w:szCs w:val="28"/>
          <w:rtl w:val="true"/>
          <w:lang w:bidi="fa-IR"/>
        </w:rPr>
        <w:t>عزاداری و گریه بر خامس آل عبا، در روایت های فریقین مورد تأکید و توصیه قرار گرفته و پیشوایان دینی این امر را یکی از بهترین عبادت های الهی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مشهورترین احادیث سوگواری، روایت ریّان بن شبیب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 گر سخنان آن حضرت، پیرامون عظمت ماه محرم، حادثه عاشورا و فضل و ثوابِ گریه و عزاداری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جستار، ضمن بررسی سندی و دلایلی روایت یاد شده، نشان می دهد که این روایت از نظر سند در حدّ صحیح و از لحاظ محتوایی فاقد اشکال دلالتی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صحیح در تحلیل روایات ثواب عزاداری، پذیرش این روایات به طور مطلق است و نظریه جعلی بودن این گونه روایات به جهت استبعاد از ثواب بسیار آن و همچنین نظریه برخی مبنی بر تخصیص این روایت، به موردی که شرایط سخت باشد، قابل دفاع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شبیب، عزاداری، گریه،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صدوری، بررسی دلالی</w:t>
      </w:r>
      <w:r>
        <w:rPr>
          <w:rFonts w:eastAsia="IRNazanin" w:cs="IRNazanin"/>
          <w:color w:val="111111"/>
          <w:sz w:val="28"/>
          <w:szCs w:val="28"/>
          <w:rtl w:val="true"/>
          <w:lang w:bidi="fa-IR"/>
        </w:rPr>
        <w:t xml:space="preserve">. </w:t>
      </w:r>
      <w:bookmarkStart w:id="147" w:name="pg8930_84763"/>
    </w:p>
    <w:p>
      <w:pPr>
        <w:pStyle w:val="Heading3"/>
        <w:numPr>
          <w:ilvl w:val="2"/>
          <w:numId w:val="1"/>
        </w:numPr>
        <w:rPr/>
      </w:pPr>
      <w:bookmarkStart w:id="148" w:name="__RefHeading___Toc1296724_2870459653"/>
      <w:bookmarkStart w:id="149" w:name="_Toc52"/>
      <w:bookmarkEnd w:id="147"/>
      <w:bookmarkEnd w:id="148"/>
      <w:r>
        <w:rPr>
          <w:rtl w:val="true"/>
        </w:rPr>
        <w:t>مقدمه</w:t>
      </w:r>
      <w:bookmarkEnd w:id="149"/>
    </w:p>
    <w:p>
      <w:pPr>
        <w:pStyle w:val="Heading4"/>
        <w:numPr>
          <w:ilvl w:val="3"/>
          <w:numId w:val="1"/>
        </w:numPr>
        <w:rPr/>
      </w:pPr>
      <w:bookmarkStart w:id="150" w:name="__RefHeading___Toc1296726_2870459653"/>
      <w:bookmarkStart w:id="151" w:name="_Toc53"/>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از روایات بسیاری که از ائمه اطهار نقل شده، آشکار می گردد، گریستن، گریاندن و خود را به گریه واداشتن، در سوگ اهل بیت، پاداش هایی عظیم دارد و مایه ی دستیابی به رحمت الهی، سعادتمندی، و دخول در بهشت جاویدان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این احادیث، روایت ریّان بن شبیب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 گر سخنان حضرت، پیرامون عظمت ماه محرم، حادثه عاشورا و فضل و ثوابِ گریه و عزاداری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بیان می داریم ضرورتی برای کشف وثاقت این روایت وجود ندارد، زیرا مفاد احادیث من بلغ در روایات عزاداری نیز قابل صدق است و از طرف دیگر روایات سوگواری، در حدّ تواتر اجمالی ذکر شده به گونه ای که مجال هیچ گونه انکاری در سندیت آن ها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بیان وثاقت رجال این حدیث پرداخته و با ارائه و نقد دیدگاه های مختلف، پیرامون محتوای این حدیث، نظریه ی صحیح را بیان نموده ایم</w:t>
      </w:r>
      <w:r>
        <w:rPr>
          <w:rFonts w:eastAsia="IRNazanin" w:cs="IRNazanin"/>
          <w:color w:val="111111"/>
          <w:sz w:val="28"/>
          <w:szCs w:val="28"/>
          <w:rtl w:val="true"/>
          <w:lang w:bidi="fa-IR"/>
        </w:rPr>
        <w:t>.</w:t>
      </w:r>
    </w:p>
    <w:p>
      <w:pPr>
        <w:pStyle w:val="Heading4"/>
        <w:numPr>
          <w:ilvl w:val="3"/>
          <w:numId w:val="1"/>
        </w:numPr>
        <w:rPr/>
      </w:pPr>
      <w:bookmarkStart w:id="152" w:name="__RefHeading___Toc1296728_2870459653"/>
      <w:bookmarkStart w:id="153" w:name="_Toc54"/>
      <w:bookmarkEnd w:id="152"/>
      <w:r>
        <w:rPr/>
        <w:t>1</w:t>
      </w:r>
      <w:r>
        <w:rPr>
          <w:rtl w:val="true"/>
        </w:rPr>
        <w:t xml:space="preserve">. </w:t>
      </w:r>
      <w:r>
        <w:rPr>
          <w:rtl w:val="true"/>
        </w:rPr>
        <w:t>بررسی سند و اعتبار روایت ریّان بن شبیب</w:t>
      </w:r>
      <w:bookmarkEnd w:id="153"/>
    </w:p>
    <w:p>
      <w:pPr>
        <w:pStyle w:val="Heading5"/>
        <w:numPr>
          <w:ilvl w:val="4"/>
          <w:numId w:val="1"/>
        </w:numPr>
        <w:rPr/>
      </w:pPr>
      <w:bookmarkStart w:id="154" w:name="__RefHeading___Toc1296730_2870459653"/>
      <w:bookmarkStart w:id="155" w:name="_Toc55"/>
      <w:bookmarkEnd w:id="154"/>
      <w:r>
        <w:rPr>
          <w:rtl w:val="true"/>
        </w:rPr>
        <w:t>اشاره</w:t>
      </w:r>
      <w:bookmarkEnd w:id="15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این روایت از كشف وثاقت</w:t>
      </w:r>
    </w:p>
    <w:p>
      <w:pPr>
        <w:pStyle w:val="BookText"/>
        <w:rPr/>
      </w:pPr>
      <w:r>
        <w:rPr>
          <w:rFonts w:ascii="IRNazanin" w:hAnsi="IRNazanin" w:eastAsia="IRNazanin"/>
          <w:color w:val="111111"/>
          <w:sz w:val="28"/>
          <w:sz w:val="28"/>
          <w:szCs w:val="28"/>
          <w:rtl w:val="true"/>
          <w:lang w:bidi="fa-IR"/>
        </w:rPr>
        <w:t>بیش از بیان وثاقت و اعتبار این روایت، باید دید آیا ضرورتی برای کشف وثاقت این روایت وجود دارد یا خیر؟ برای پاسخ به این پرسش ذکر مقدمه ای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شیعه، قاعده ی فقهی وجود دارد به نام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Style w:val="FootnoteAnchor"/>
          <w:rtl w:val="true"/>
        </w:rPr>
        <w:footnoteReference w:id="1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ی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ی اصلی این قاعده، احادیث معتبر</w:t>
      </w:r>
      <w:r>
        <w:rPr>
          <w:rStyle w:val="FootnoteAnchor"/>
          <w:rtl w:val="true"/>
        </w:rPr>
        <w:footnoteReference w:id="18"/>
      </w:r>
      <w:r>
        <w:rPr>
          <w:rFonts w:ascii="IRNazanin" w:hAnsi="IRNazanin" w:eastAsia="IRNazanin"/>
          <w:color w:val="111111"/>
          <w:sz w:val="28"/>
          <w:sz w:val="28"/>
          <w:szCs w:val="28"/>
          <w:rtl w:val="true"/>
          <w:lang w:bidi="fa-IR"/>
        </w:rPr>
        <w:t xml:space="preserve">و صحیحی است که از سوی </w:t>
      </w:r>
    </w:p>
    <w:p>
      <w:pPr>
        <w:pStyle w:val="BookText"/>
        <w:rPr/>
      </w:pPr>
      <w:r>
        <w:rPr>
          <w:rFonts w:ascii="IRNazanin" w:hAnsi="IRNazanin" w:eastAsia="IRNazanin"/>
          <w:color w:val="111111"/>
          <w:sz w:val="28"/>
          <w:sz w:val="28"/>
          <w:szCs w:val="28"/>
          <w:rtl w:val="true"/>
          <w:lang w:bidi="fa-IR"/>
        </w:rPr>
        <w:t xml:space="preserve">اکثر عالمان پذیرفته شده و کسی در اعتبار و صدور آن ها خدشه ای وارد ندانسته است، البتّه در تفسیر و تبیین مفاد آن ها وجوه گوناگونی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محتواى اخبار من بلغ این است كه چنان چه حدیثى كه در بردارنده ی ثوابى براى انجام یا ترك عملى است به کسی برسد و او براى نیل به آن ثواب، به مقتضاى حدیث عمل كند، پاداش آن به وى داده مى شود، هر چند حدیث، آن گونه كه نقل شده،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بزرگ تهرانی، برخی نگاشته ها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که دانشمندانی چون میرزای قمی و شیخ انصاری، از مؤلفان این دسته رساله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وی، بسیاری از عالمان شیعه، از قبیل علامه حلّی، شهید اول و شیخ بهایی براساس قاعده ی تسامح فتوا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تهرانی،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فی ادلّة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اظهار نظر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الأخبار مع صحّة بعضها غنیّة عن ملاحظة سندها لتعاضدها وتلقّیها بالقبول بین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نیازی به بررسی سندی این روایات نیست؛ چرا که این دسته از روایات یکدیگر را تقویت می نمایند، و از سوی دیگر همه بزرگان این روایات را پذیرفته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خوئی، در مصباح الاصول درباره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التکلّم فی سند هذه الروایات غیر لازم اذ منها ما هو صحیح من حیث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صحبت کردن پیرامون سند این روایات لازم نیست؛ زیرا در بین آن روایات، حدیث صحیح السند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احادیث می توان استفاده کرد که در محدوده سنن و مستحبّات، سخت گیری </w:t>
      </w:r>
    </w:p>
    <w:p>
      <w:pPr>
        <w:pStyle w:val="BookText"/>
        <w:rPr/>
      </w:pPr>
      <w:r>
        <w:rPr>
          <w:rFonts w:ascii="IRNazanin" w:hAnsi="IRNazanin" w:eastAsia="IRNazanin"/>
          <w:color w:val="111111"/>
          <w:sz w:val="28"/>
          <w:sz w:val="28"/>
          <w:szCs w:val="28"/>
          <w:rtl w:val="true"/>
          <w:lang w:bidi="fa-IR"/>
        </w:rPr>
        <w:t>سندی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قابل توجّه است که مواردی که دروغ بودن و بدعت بودن عمل، ثابت باشد، قطعاً مشمول روایت نیست، و به این شکل این احادیث هرگز نمی تواند پشتوانه قبول روایات جعلی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تطبیق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ظنّ به کذب نباشد گرچه ظنّ به صدق با توجه به احادیث من بلغ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عالمان شیعه، از قبیل علامه حلّی، شهید اول ، شیخ بهایی و همچنین اکثر اصولیون متأخر امامی درکتاب های خود، به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بر اساس آن فتوا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آخوند خراسانی،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شیخ بهایی،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نتیجه گیری از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عزاداری، سخت گیری سندی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شخصی با توجه به حدیث ریّان بن شبیب، به قصد قربت و رجا عزاداری کند، ثواب آن عمل به او می رسد ولو این که شخص، سند حدیث را بررسی نکرده و حدیث از غیر معصوم صادر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 روایات عزاداری و اعتبار آن</w:t>
      </w:r>
    </w:p>
    <w:p>
      <w:pPr>
        <w:pStyle w:val="BookText"/>
        <w:rPr/>
      </w:pPr>
      <w:r>
        <w:rPr>
          <w:rFonts w:ascii="IRNazanin" w:hAnsi="IRNazanin" w:eastAsia="IRNazanin"/>
          <w:color w:val="111111"/>
          <w:sz w:val="28"/>
          <w:sz w:val="28"/>
          <w:szCs w:val="28"/>
          <w:rtl w:val="true"/>
          <w:lang w:bidi="fa-IR"/>
        </w:rPr>
        <w:t>در روایات گسترده ای، مشاهده می نماییم امامان اهل بیت برای مصیبت های وارد شده بر خود، عزا به پا کرده و دعوت به برپایی سوگواری نیز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نگارنده حتی اگر مجرای اخبار من بلغ را در موضوع عزاداری، قبول نداشته باشیم، بازهم از بررسی 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نیازیم چرا که روایات پیرامون عزاداری بر معصومان، به ویژه خامس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حدّ تواتر اجمالی رسیده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تواتر 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پی در پی و پیوسته، یا یکی پس از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ابن منظور،</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اهل حدیث، بیانگر گزارش زیاد یک خبر است، به صورتی که از طریق آن اطمینان به خبر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که از این ویژگی برخوردار است، متواتِر نامیده می شود، گویی این خبر پی درپی آمده است، یا متواتَر خوانده می شود، به این معنا که پی درپی گزارش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متواتر در تعریفی دیگر، روایتی است که سلسله راویان آن تا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طبقه به تعدادی باشد که امکان توافق عمدی آن ها بر نسبت دادن دروغ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عادی محال باشد و خبر آن ها موجب علم و یقین به مضمون حدیث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ثانی، بی تا،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سبحانی،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یقین در متواترات، از نظر همه دانشمندان و محدّثان، مسلّم است و به تعبیر شیخ طوسی، شک ورزیدن نسبت به حصول علم از طریق خبر متواتر مانند شک کردن سوفسطائیان درباره وجود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اندیشمندان، خبر متواتر را به لفظی و معنوی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متواتر لفظی، گزارش گران مضمونی را در قالب یک لفظ گزارش می دهند، اما در متواتر معنوی یک مضمون در قالب کلام های مشابه با الفاظ مختلف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متواتر لفظی، به بخشی از حدیث غدیر و حدیث ثقلین مثال زده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مثال بارز متواتر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میرزای قمی،</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مطلب نیز ضروری است که دلالت خبر متواترِ معنوی گاه تضمّنی و گاه التزامی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دسته بندی دیگر، خبر متواتر به دو قسم تواتر تفصیلی و اجمالی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تفصیلی، همان دو قسمی است که در تواتر لفظی و معنوی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متواتر اجمالی آن است که گاه مجموعه ای از اخبار آحاد نقل می شود که با در نظر گرفتن شرایط گوناگون، علم اجمالی ایجاد می شود به این که به طور عادی نباید همه آن روایت ها دروغ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اول کسی که از این اصطلاح، استفاده نمود، آخوند ملا محمدکاظم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خود، حاشیه رسائل شیخ انصاری، در اثبات حجیت خبر واحد این اصطلاح را به کار برده و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چه اشکال شود بر استدلال به اخبار حجیت خبر واحد به این که این روایات خالی از تواتر لفظی و معنوی اند، در پاسخ می گویم این روایات تواتر اجمالی دارند، به این معنا که زیادی آن ها سبب قطع به صدور </w:t>
      </w:r>
    </w:p>
    <w:p>
      <w:pPr>
        <w:pStyle w:val="BookText"/>
        <w:rPr/>
      </w:pPr>
      <w:r>
        <w:rPr>
          <w:rFonts w:ascii="IRNazanin" w:hAnsi="IRNazanin" w:eastAsia="IRNazanin"/>
          <w:color w:val="111111"/>
          <w:sz w:val="28"/>
          <w:sz w:val="28"/>
          <w:szCs w:val="28"/>
          <w:rtl w:val="true"/>
          <w:lang w:bidi="fa-IR"/>
        </w:rPr>
        <w:t>یکی از آن ها می گردد و همین مقدار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 بی تا</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میرزای قمی، نیز به ارائه فرض های مختلف درباره تواتر معنوی پرداخته که به نظر می رسد برخی از آن فرض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فرض سوم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اصطلاح متواتر اجمالی قابل تطبیق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میرزای قمی،</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رجالی پذیرش اخبار متواتر این است که در این گونه احادیث، بر خلاف سایر روایات، ویژگی های راوی، از جمله ضعف او، مانع از قبول آن نمی گردد و بنابراین ضعف سند برخی از روایات متواتر، اعتبار آن ها را مخدوش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ابوطالب تجلیل، در مصاحبه ای روش رجالی استاد خود، علامه سید محمدحسین بروجردی را این گونه بیان 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بروجردی، برخلاف آنچه فعلا در میان فقها معمول شده است که روایات را می آورند و جرح و تعدیل کرده و برخی را پذیرفته و بعضی را رد می کنند، سبک خاصی در استنباط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همه روایات نظر می کردند و بیشتر بر این نکته تاکید می نمودند که درباره یک مطلب، چندین حدیث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احادیث نسبت به مطلبی، موجب اعتماد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روایات به حد تواتر می رسد که افاده قطع می کند و زمانی به حد تواتر نمی رسد، بلکه موجب وثوق می شود که معیار درحجیت خبر ثقه هم، همان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از هر جا که حاصل شود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 کثرت نقل حدیث به تنهایی افاده وثوق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سبک ایشان این بود که در هر مساله ای روایات را شمارش می کردند و بعد از آن روایات را به همدیگر ارجاع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صافی گلپایگانی،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ابوطالب در ادامه، اقسام تواتر</w:t>
      </w:r>
      <w:r>
        <w:rPr>
          <w:rStyle w:val="FootnoteAnchor"/>
          <w:rtl w:val="true"/>
        </w:rPr>
        <w:footnoteReference w:id="19"/>
      </w:r>
      <w:r>
        <w:rPr>
          <w:rFonts w:ascii="IRNazanin" w:hAnsi="IRNazanin" w:eastAsia="IRNazanin"/>
          <w:color w:val="111111"/>
          <w:sz w:val="28"/>
          <w:sz w:val="28"/>
          <w:szCs w:val="28"/>
          <w:rtl w:val="true"/>
          <w:lang w:bidi="fa-IR"/>
        </w:rPr>
        <w:t xml:space="preserve">را از دیدگاه علامه بروجردی، نقل نموده و در تعریف قسم چهارم آن </w:t>
      </w:r>
    </w:p>
    <w:p>
      <w:pPr>
        <w:pStyle w:val="BookText"/>
        <w:rPr/>
      </w:pPr>
      <w:r>
        <w:rPr>
          <w:rFonts w:ascii="IRNazanin" w:hAnsi="IRNazanin" w:eastAsia="IRNazanin"/>
          <w:color w:val="111111"/>
          <w:sz w:val="28"/>
          <w:sz w:val="28"/>
          <w:szCs w:val="28"/>
          <w:rtl w:val="true"/>
          <w:lang w:bidi="fa-IR"/>
        </w:rPr>
        <w:t>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چهارم، تواتر اجمالی آن است که همه این ها یک معنا هم نیستند و هر کدام معنایی دارند ولیکن وقتی همه این ها را کنار هم می گذاریم یقین حاصل می گردد که بعضی از این ها از امام صادر گردیده است و آن مقدار مشترکشان به تواتر نه خصوصیاتش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سنخ از تواتر را زیاد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بیان شده، شایسته است بدانیم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قمی،</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و یک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بحرانى اصفهانى،</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lang w:bidi="fa-IR"/>
        </w:rPr>
        <w:t>،</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هرباب آن، حاوی چندین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باب سی و چهارم از جلد چهل و چهارم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البكاء على مصیبته و مصائب سائر الأئمة و فیه أدب المأتم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حاوی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فقط در بیان ثواب و فضیلت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پایان نامه ای که بوسیله آقای محمدعلی همتی، به نگارش در آمده، احادیث 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بحارالانوار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سندی و دلایلی شده است كه از مجموع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تعداد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مسند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راوی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موثق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مجهول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عالی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مهمل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همتی،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و کارشناسان روایت و حدیث، به خوبی </w:t>
      </w:r>
      <w:bookmarkStart w:id="156" w:name="pg8930_84769"/>
    </w:p>
    <w:p>
      <w:pPr>
        <w:pStyle w:val="BookText"/>
        <w:rPr/>
      </w:pPr>
      <w:bookmarkEnd w:id="156"/>
      <w:r>
        <w:rPr>
          <w:rFonts w:ascii="IRNazanin" w:hAnsi="IRNazanin" w:eastAsia="IRNazanin"/>
          <w:color w:val="111111"/>
          <w:sz w:val="28"/>
          <w:sz w:val="28"/>
          <w:szCs w:val="28"/>
          <w:rtl w:val="true"/>
          <w:lang w:bidi="fa-IR"/>
        </w:rPr>
        <w:t>می دانند که این روایات چنان گسترده است که جای هیچ گونه انکاری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عنوان تأکید بیشتر، تصریح برخی دانشمندان شیعه، پیرامون تواتر این روایات، ذکر می گردد</w:t>
      </w:r>
      <w:r>
        <w:rPr>
          <w:rFonts w:eastAsia="IRNazanin" w:cs="IRNazanin"/>
          <w:color w:val="111111"/>
          <w:sz w:val="28"/>
          <w:szCs w:val="28"/>
          <w:rtl w:val="true"/>
          <w:lang w:bidi="fa-IR"/>
        </w:rPr>
        <w:t>:</w:t>
      </w:r>
    </w:p>
    <w:p>
      <w:pPr>
        <w:pStyle w:val="Heading5"/>
        <w:numPr>
          <w:ilvl w:val="4"/>
          <w:numId w:val="1"/>
        </w:numPr>
        <w:rPr/>
      </w:pPr>
      <w:bookmarkStart w:id="157" w:name="__RefHeading___Toc1296732_2870459653"/>
      <w:bookmarkStart w:id="158" w:name="_Toc56"/>
      <w:bookmarkEnd w:id="157"/>
      <w:r>
        <w:rPr/>
        <w:t>1</w:t>
      </w:r>
      <w:r>
        <w:rPr>
          <w:rtl w:val="true"/>
        </w:rPr>
        <w:t xml:space="preserve">. </w:t>
      </w:r>
      <w:r>
        <w:rPr>
          <w:rtl w:val="true"/>
        </w:rPr>
        <w:t xml:space="preserve">میرزا ابوالفضل طهرانی </w:t>
      </w:r>
      <w:r>
        <w:rPr>
          <w:rtl w:val="true"/>
        </w:rPr>
        <w:t>(</w:t>
      </w:r>
      <w:r>
        <w:rPr>
          <w:rtl w:val="true"/>
        </w:rPr>
        <w:t xml:space="preserve">متوفی </w:t>
      </w:r>
      <w:r>
        <w:rPr/>
        <w:t>1316</w:t>
      </w:r>
      <w:r>
        <w:rPr>
          <w:rtl w:val="true"/>
        </w:rPr>
        <w:t>ق</w:t>
      </w:r>
      <w:r>
        <w:rPr>
          <w:rtl w:val="true"/>
        </w:rPr>
        <w:t>)</w:t>
      </w:r>
      <w:bookmarkEnd w:id="158"/>
    </w:p>
    <w:p>
      <w:pPr>
        <w:pStyle w:val="BookText"/>
        <w:rPr/>
      </w:pPr>
      <w:r>
        <w:rPr>
          <w:rFonts w:ascii="IRNazanin" w:hAnsi="IRNazanin" w:eastAsia="IRNazanin"/>
          <w:color w:val="111111"/>
          <w:sz w:val="28"/>
          <w:sz w:val="28"/>
          <w:szCs w:val="28"/>
          <w:rtl w:val="true"/>
          <w:lang w:bidi="fa-IR"/>
        </w:rPr>
        <w:t>اخبار متواتر وارد شده در استحباب بکاء بر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 مُصاب او و ابکاء –گریاندن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تباکی یعنی گریه به خود بستن و به جهت اظهار حزن به صورت باکی در 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طهرانی،</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Heading5"/>
        <w:numPr>
          <w:ilvl w:val="4"/>
          <w:numId w:val="1"/>
        </w:numPr>
        <w:rPr/>
      </w:pPr>
      <w:bookmarkStart w:id="159" w:name="__RefHeading___Toc1296734_2870459653"/>
      <w:bookmarkStart w:id="160" w:name="_Toc57"/>
      <w:bookmarkEnd w:id="159"/>
      <w:r>
        <w:rPr/>
        <w:t>2</w:t>
      </w:r>
      <w:r>
        <w:rPr>
          <w:rtl w:val="true"/>
        </w:rPr>
        <w:t xml:space="preserve">. </w:t>
      </w:r>
      <w:r>
        <w:rPr>
          <w:rtl w:val="true"/>
        </w:rPr>
        <w:t xml:space="preserve">خاتم المحدثین حاج شیخ عباس قمی </w:t>
      </w:r>
      <w:r>
        <w:rPr>
          <w:rtl w:val="true"/>
        </w:rPr>
        <w:t>(</w:t>
      </w:r>
      <w:r>
        <w:rPr>
          <w:rtl w:val="true"/>
        </w:rPr>
        <w:t xml:space="preserve">متوفی </w:t>
      </w:r>
      <w:r>
        <w:rPr/>
        <w:t>1359</w:t>
      </w:r>
      <w:r>
        <w:rPr>
          <w:rtl w:val="true"/>
        </w:rPr>
        <w:t>ق</w:t>
      </w:r>
      <w:r>
        <w:rPr>
          <w:rtl w:val="true"/>
        </w:rPr>
        <w:t>)</w:t>
      </w:r>
      <w:bookmarkEnd w:id="160"/>
    </w:p>
    <w:p>
      <w:pPr>
        <w:pStyle w:val="BookText"/>
        <w:rPr/>
      </w:pPr>
      <w:r>
        <w:rPr>
          <w:rFonts w:ascii="IRNazanin" w:hAnsi="IRNazanin" w:eastAsia="IRNazanin"/>
          <w:color w:val="111111"/>
          <w:sz w:val="28"/>
          <w:sz w:val="28"/>
          <w:szCs w:val="28"/>
          <w:rtl w:val="true"/>
          <w:lang w:bidi="fa-IR"/>
        </w:rPr>
        <w:t xml:space="preserve">مخفى نماند كه آن چه متعارف است به حمد اللّه در بلاد شیعه از اقامه تعزیه و ماتم جناب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در مجالس و نشر اعلام و نصب خیام و تعطیل اسواق در روز عاشورا و راه افتادن دسته و نوحه گرى و مرثیه خواندن و بكاء و ابكاء و غیر این ها از آن چه در شرع مطهّر نهى از آن نشده و محذورى ندارد، از عبادات مشروع و راجح است و ثواب هاى جلیل و اجرهاى جمیل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غایت وضوح، محتاج به دلیل نیست و بر متتبّع خبیر و ناقد بصیر اخبار متواتر وارد شده بر استحباب بكاء 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تذكّر مصائب او مكشوف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Heading5"/>
        <w:numPr>
          <w:ilvl w:val="4"/>
          <w:numId w:val="1"/>
        </w:numPr>
        <w:rPr/>
      </w:pPr>
      <w:bookmarkStart w:id="161" w:name="__RefHeading___Toc1296736_2870459653"/>
      <w:bookmarkStart w:id="162" w:name="_Toc58"/>
      <w:bookmarkEnd w:id="161"/>
      <w:r>
        <w:rPr/>
        <w:t>3</w:t>
      </w:r>
      <w:r>
        <w:rPr>
          <w:rtl w:val="true"/>
        </w:rPr>
        <w:t xml:space="preserve">. </w:t>
      </w:r>
      <w:r>
        <w:rPr>
          <w:rtl w:val="true"/>
        </w:rPr>
        <w:t xml:space="preserve">علامه سید عبدالحسین شرف الدین </w:t>
      </w:r>
      <w:r>
        <w:rPr>
          <w:rtl w:val="true"/>
        </w:rPr>
        <w:t>(</w:t>
      </w:r>
      <w:r>
        <w:rPr>
          <w:rtl w:val="true"/>
        </w:rPr>
        <w:t xml:space="preserve">متوفی </w:t>
      </w:r>
      <w:r>
        <w:rPr/>
        <w:t>1377</w:t>
      </w:r>
      <w:r>
        <w:rPr>
          <w:rtl w:val="true"/>
        </w:rPr>
        <w:t>ق</w:t>
      </w:r>
      <w:r>
        <w:rPr>
          <w:rtl w:val="true"/>
        </w:rPr>
        <w:t>)</w:t>
      </w:r>
      <w:bookmarkEnd w:id="162"/>
    </w:p>
    <w:p>
      <w:pPr>
        <w:pStyle w:val="BookText"/>
        <w:rPr/>
      </w:pPr>
      <w:r>
        <w:rPr>
          <w:rFonts w:ascii="IRNazanin" w:hAnsi="IRNazanin" w:eastAsia="IRNazanin"/>
          <w:color w:val="111111"/>
          <w:sz w:val="28"/>
          <w:sz w:val="28"/>
          <w:szCs w:val="28"/>
          <w:rtl w:val="true"/>
          <w:lang w:bidi="fa-IR"/>
        </w:rPr>
        <w:t>وی پس از نقل برخی روایات عزاداری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 دیگری که تواتر معنوی دارد در این زمینه به ما رسیده که دلالت بر رجحان و استحباب عزاداری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 الدین،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5"/>
        <w:numPr>
          <w:ilvl w:val="4"/>
          <w:numId w:val="1"/>
        </w:numPr>
        <w:rPr/>
      </w:pPr>
      <w:bookmarkStart w:id="163" w:name="__RefHeading___Toc1296738_2870459653"/>
      <w:bookmarkStart w:id="164" w:name="_Toc59"/>
      <w:bookmarkEnd w:id="163"/>
      <w:r>
        <w:rPr/>
        <w:t>4</w:t>
      </w:r>
      <w:r>
        <w:rPr>
          <w:rtl w:val="true"/>
        </w:rPr>
        <w:t xml:space="preserve">. </w:t>
      </w:r>
      <w:r>
        <w:rPr>
          <w:rtl w:val="true"/>
        </w:rPr>
        <w:t>مرجع عالیقدر آیت الله صافی گلپایگانی</w:t>
      </w:r>
      <w:bookmarkEnd w:id="16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تعجب از کسانی که درباره استحباب شعائر حسینی، عزاداری، گریه کردن و مانند آن استفتا می کنند، با اشاره به تالیفات مستقل، در این زمینه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کمتر موضوعی پیدا می کنید که این همه روایت درباره آن وارد شده باشد؛ این ها روایاتی است که از زمان اهل بیت، تا حال راویان مورد اطمینان و رجال علم حدیث در همه ی قرن ها، </w:t>
      </w:r>
    </w:p>
    <w:p>
      <w:pPr>
        <w:pStyle w:val="BookText"/>
        <w:rPr/>
      </w:pPr>
      <w:r>
        <w:rPr>
          <w:rFonts w:ascii="IRNazanin" w:hAnsi="IRNazanin" w:eastAsia="IRNazanin"/>
          <w:color w:val="111111"/>
          <w:sz w:val="28"/>
          <w:sz w:val="28"/>
          <w:szCs w:val="28"/>
          <w:rtl w:val="true"/>
          <w:lang w:bidi="fa-IR"/>
        </w:rPr>
        <w:t>نسلی پس از نسل های دیگر همه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حدّ تواتر هم افزون است، گذشته از آن که از طریق اهل تسنن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نیز در کتاب های خود، برخی روایات عزاداری را معتبر دانسته و آن را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نیشابورى، بی تا،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متقی هندی،</w:t>
      </w:r>
      <w:r>
        <w:rPr>
          <w:rFonts w:eastAsia="IRNazanin" w:cs="IRNazanin"/>
          <w:color w:val="111111"/>
          <w:sz w:val="28"/>
          <w:szCs w:val="28"/>
          <w:lang w:bidi="fa-IR"/>
        </w:rPr>
        <w:t>11409</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ابن حجر مكى،</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سند حدیث ریان بن شبیب</w:t>
      </w:r>
    </w:p>
    <w:p>
      <w:pPr>
        <w:pStyle w:val="BookText"/>
        <w:rPr/>
      </w:pPr>
      <w:r>
        <w:rPr>
          <w:rFonts w:ascii="Amiri" w:hAnsi="Amiri" w:eastAsia="Amiri" w:cs="Amiri"/>
          <w:color w:val="111111"/>
          <w:sz w:val="28"/>
          <w:sz w:val="28"/>
          <w:szCs w:val="28"/>
          <w:rtl w:val="true"/>
          <w:lang w:bidi="ar-SA"/>
        </w:rPr>
        <w:t>سند روایت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الصدوق فی عیون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الامالی عن استاذه مُحَمَّدِ بْنِ عَلِیٍّ مَاجِیلَوَیْهِ عن عَلِیِّ بْنِ إِبْرَاهِیمَ عَنْ أَبِیهِ عَنِ الرَّیَّانِ بْنِ شَبِیبٍ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روایت در اقبال الاعمال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وسائل الشیعه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شیخ حر عاملى،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عوالم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بحرانى اصفهانى،</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 وثاقت رجال سند حدیث را مورد واکاوی قرار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ثاقت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برجسته شیخ، آن چنان است كه دانشمندان معروف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نام وى رسیده اند، زبان به مدح او گشوده و او را به بزرگى و با لقب هاى بلند و عبارت هاى پر معنا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طوسى، در كتاب رجال و فهرست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 ، بزرگوار و حافظ احادیث ، ناقد اخبار و نسبت به رجال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دانشمندان قم شخصیتى به قدرت حافظه و زیادى دانش او یافت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الطوسی،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همو،</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6275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شیخ و فقیه ما، چهره معروف شیعیان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جوانى به بغداد سفر كرد و بزرگان آن جا از محضر او استفاده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النجاشی،</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1049</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ادریس، نیز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دانشمندی بزرگوار و مورد </w:t>
      </w:r>
    </w:p>
    <w:p>
      <w:pPr>
        <w:pStyle w:val="BookText"/>
        <w:rPr/>
      </w:pPr>
      <w:r>
        <w:rPr>
          <w:rFonts w:ascii="IRNazanin" w:hAnsi="IRNazanin" w:eastAsia="IRNazanin"/>
          <w:color w:val="111111"/>
          <w:sz w:val="28"/>
          <w:sz w:val="28"/>
          <w:szCs w:val="28"/>
          <w:rtl w:val="true"/>
          <w:lang w:bidi="fa-IR"/>
        </w:rPr>
        <w:t>اطمینان ، متخصص اخبار، ناقد آثار، عالم به رجال و حافظ بزرگ حدیث بود، او استاد پیشواى ما شیخ محمد بن نعمان،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مقدمه؛ به نقل از قمى،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او را این گونه توصیف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ابو جعفر محمد بن على بن بابویه، كسی كه دانش و درست كارى او مورد اتفاق و در گفتار مورد اطمینان كامل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اسد الله شوشترى، در كتاب مقابس الانوار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رئیس محدثین ، زنده كننده اساس دین ، دارنده فضائل و مكارم او و برادرش به دعاى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مامقانى، در كتاب تنقیح المقال نگاشته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على بن بابویه، مردم از فقاهت او و فقها از احادیث او بهره جسته اند و دانشمندان از او یاد كرده و بر او درود فرستاده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توصیف ها اختصاص به عالمان شیعه ندارد، بلكه اندیشمندان اهل سنت نیز زبان به مدح او گشوده اند كه در این مختصر تنها به یك نمونه از آن اشاره مى كنیم؛ خیر الدین زركلى در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على بن حسین ، معروف به شیخ صدوق، مانند او در بین اندیشمندان قم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رى اقامت داشت و در منطقه شرق و خراسان مقام بزرگی داشت در شهر رى وفات کرد و در همان جا به خاك سپرده شد و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تالیف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زركلى،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مَاجِیلَوَیْهِ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های رجال دو شخص به مَاجِیلَوَیْهِ معروفند 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عبیدالله بن عمران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محمد بن عبیدالله بن عمران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اوّلی، عموی دوّمی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مَاجِیلَوَیْهِ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صفات بزرگ اصحاب قمّیین، ثقه، عالم و فقیه تعریف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النجاشی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مَاجِیلَوَیْهِ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رجال، توثیق صریحی نسبت به عمو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می توان از این که جزء مشایخ صدوق، بوده بر وثاقت او استدلال کرد، کما این که آیت الله خویی، نیز به این مطلب اشاره فرموده و بیان داشته که صدوق، از وی کثیر النقل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 درباره وی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 روایات محمد بن على ماجیلویه، جاى تردید نیست، به ویژه با توجه به این كه وى از مشایخ عمده ی صدو بوده و در طریق وى به كتب و روایات بسیارى از راویان واقع است، مهم ترین استاد صدوق، پدرش و پس از وى ابن ولید بوده و از این دو كه بگذریم نوبت به امثال محمد بن على ماجیلویه مى رسد، پس در وثاقت وى تردید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فقه؛ النکاح، درس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سایت رسمی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در رجال وی را ثقه، ثبت، معتمد، صحیح المذهب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النجاشی،</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و ابن داود، نیز از تعابیر نجاشی برای او استفاده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الحلّی،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نیز وی را از مشایخ کلینی، دانسته و برخی از روایاتش را در کتاب کافی ذکر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رجال از قول ابوعمر کشی،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اصحاب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 یونس بن عبدالرحمن بوده و اصحاب شیعه در مورد وی گویند که او اولین کسی بود که حدیث کوفیین را در قم نشر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عالمان و بزرگان او را موثّق دانسته اند و به عدالت او تصریح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عالمان متقدم اسلام، بدان جهت که کلام صریحی در مدح او به دستشان نرسیده است، حدیث او را حسن</w:t>
      </w:r>
      <w:r>
        <w:rPr>
          <w:rStyle w:val="FootnoteAnchor"/>
          <w:rtl w:val="true"/>
        </w:rPr>
        <w:footnoteReference w:id="2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روایتی که در سندش ابراهیم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رُوات الحدیث ثقات بالاتفاق؛ و راویان این حدیث، همگی از موثّقین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قولویه، در اسناد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وثاقت تمام کسانی را که راوی احادیث این کتابند و از جمله آن ها ابراهیم است، گواهی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این مورد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یک از اصحاب را نیافتم که او را مذمت کرده باشد و نیز کسی که به عدالت او تصریح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بسیار است و ارجح قبول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حدیث ابراهیم را از بالاترین و بهترین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طریق روایی او را از بهترین راه ها می 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بهایی، بیان شده که وی از پدر بزرگوارش، نقل کرد که 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 شرم دارم که حدیث ابراهیم را صحیح ندانم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محقّق اردبیلی و محقّق بحرانی نیز بر می آید که ابراهیم را از زمره موثّقین می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آقاجانی، تابستان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روایات او را حسن اما در مرتبه صحیح،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بحرالعلوم،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صحیح تر نزد من آن است که او ثقه و حدیثش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داماد، پس از نقل روایات،قول ابراهیم را از دیدگاه علمای پیشین، نزدیک و تالی درجه ی صحّت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گذشت، معانی بلندی بود که از سوی عالمان شیعی در وصف شخصیت و وثاقت او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با مراجعه به کتاب های رجالی می توان شواهد بسیاری بر صحت روایات و وثاقت ابراهیم بن هاشم به دست آورد، آن شواهد عبارت اند از</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بزرگوار ابراهیم در خطبه تفسیر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نحن ذاکرون و مخبرون بما انتهی الینا و رواه مشایخنا و ثقاتنا عن الذین فرض اللّه طاعتهم و اوجب ولایتهم؛ ما و مشایخ و ثقات ما، ذکر می نماییم، آن چه را که به ما رسیده است، از کسانی که خداوند اطاعت و ولایت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واجب ساخته است، 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که بیش ترینروایات او از پدرش ابراهیم است که در ابتدای کتاب خویش، به وثاقت مشایخ اسناد کتاب، اذعان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پس از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توثیق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توثیق قاطع علمای قبل از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دست نیافتن به اسباب توثیق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ابراهیم در موارد متعددی از جانب فقهای بزرگ شیعه، همانند شهید اول، شهید ثانی و علامه 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رجالیون شیعه بر قبول روایات ابراهیم بن هاشم، متفق هستند، با آن که در حجیّت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مختلفی ابراز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جمعی است بر اعتبار و شایستگی او که با وجود توصیف روایاتش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متقدمین، در قبول روایاتش درنگ نکرده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عالمان بزرگ شیعه، از قبیل کشّی، نجاشی و شیخ طوسی، در شرح حال این راوی فرهیخته نگاشته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اول من نشر احادیث الکوفیین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اولین کسی بود که حدیث کوفیین را در قم نشر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مستقلی است بر وثاقت ابراهیم، چه، حوزه قم که در پذیرش روایات شیوه سخت گیرانه ای داشته است، نمی توانسته نسبت به روایات ابراهیم و انتشار آن ها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عدم رد شدن او از جانب بزرگان قم، دلیل بر نهایت وثاقت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بعد از ذکر برخی دلایل فوق،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ابراهیم بن هاشم، هیچ شک و تردیدی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ابواب فقهی و اخلاقی، از او حدیث نقل شده است و کمتر بابی است که از روایات او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متجاوز از </w:t>
      </w: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روایت کرده و مشایخ و استادانِ او را در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بر مقام شامخ و موقعیت سترگ او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مطالب ذکرشده، نتیجه می گیریم شأن ابراهیم بن هاشم، بزرگ تر از آن است که در وثاقت او شک و تردید روا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شبیب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 شبیب، از محدثان مورد وثوق شیعه و از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گفته نجاشی، 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خلیفه 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کنیزان هارون و مادر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مانند مسعودی در اثبات الوصیة وی را دایی مأمون ذکر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شبیب، در شهر قم اقامت کرد و محدثان آن شهر از او روایت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 از قبیل مسائل صباح بن نصر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جمع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خویی،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 در رجالش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در خلاصه 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داوود، در رجال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توثیق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 پدر علی بن ابراهیم قمی، صاحب کتاب تفسیر قمی از او روایت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از یونس بن عبدالرحمان، نقل روایت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وثاقت تمامی رجال مذکور در سند این حدیث و امامی بودن آن ها، و عدم تصریح خاص به وثاقت ابراهیم بن هاشم قمّی، می توان به این حدیث اعتماد کرده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اقسام چهارگانه حدیث</w:t>
      </w:r>
      <w:r>
        <w:rPr>
          <w:rStyle w:val="FootnoteAnchor"/>
          <w:rtl w:val="true"/>
        </w:rPr>
        <w:footnoteReference w:id="21"/>
      </w:r>
      <w:r>
        <w:rPr>
          <w:rFonts w:ascii="IRNazanin" w:hAnsi="IRNazanin" w:eastAsia="IRNazanin"/>
          <w:color w:val="111111"/>
          <w:sz w:val="28"/>
          <w:sz w:val="28"/>
          <w:szCs w:val="28"/>
          <w:rtl w:val="true"/>
          <w:lang w:bidi="fa-IR"/>
        </w:rPr>
        <w:t>بر آن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شواهد دیگری هم وجود دارد </w:t>
      </w:r>
    </w:p>
    <w:p>
      <w:pPr>
        <w:pStyle w:val="BookText"/>
        <w:rPr/>
      </w:pPr>
      <w:r>
        <w:rPr>
          <w:rFonts w:ascii="IRNazanin" w:hAnsi="IRNazanin" w:eastAsia="IRNazanin"/>
          <w:color w:val="111111"/>
          <w:sz w:val="28"/>
          <w:sz w:val="28"/>
          <w:szCs w:val="28"/>
          <w:rtl w:val="true"/>
          <w:lang w:bidi="fa-IR"/>
        </w:rPr>
        <w:t>که این حدیث را در مرتبه صحیح قرار می دهد که با ذکر مقدمه ای، آن را بیان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 در اعتماد به روایات، فقط به سند آن نگاه نمی کردند، بلکه برخی قرائن را جهت اطمینان از صحّت حدیث به کار می بردند، لذا اگر در کتاب های آنان به راویان ضعیفی بر می خوریم که از آنان روایت کرده اند، اشکالی بثر آنان نیست، زیرا به صحت روایت اعتماد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وثوق صدوری</w:t>
      </w:r>
      <w:r>
        <w:rPr>
          <w:rStyle w:val="FootnoteAnchor"/>
          <w:rtl w:val="true"/>
        </w:rPr>
        <w:footnoteReference w:id="22"/>
      </w:r>
      <w:r>
        <w:rPr>
          <w:rFonts w:ascii="IRNazanin" w:hAnsi="IRNazanin" w:eastAsia="IRNazanin"/>
          <w:color w:val="111111"/>
          <w:sz w:val="28"/>
          <w:sz w:val="28"/>
          <w:szCs w:val="28"/>
          <w:rtl w:val="true"/>
          <w:lang w:bidi="fa-IR"/>
        </w:rPr>
        <w:t>است که قدما و محدثان بزرگ به این روش پایبند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جزائری،</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قراین و شواهدی که قائلان به وثوق صدوری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اثبات صدور یک روایت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 کنند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روایت در یکی از اصول اربعمأة؛ب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یک حدیث در یک اصل به چند سند یا در دو یا چند اصل به یک سند؛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روایت در کتاب هایی که بر امامان، عرضه شده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حدیث در یکی از کتاب های مشهور اصحاب ائمه، که انتساب آن کتاب به نویسنده واضح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روایت بوسیله اصحاب جلیل القدر و اصحاب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65" w:name="pg8930_84777"/>
    </w:p>
    <w:p>
      <w:pPr>
        <w:pStyle w:val="BookText"/>
        <w:rPr/>
      </w:pPr>
      <w:bookmarkEnd w:id="165"/>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فقها و محدثان به یک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ذکر شده، یکی از شواهدی که برقبول روایت دلالت می کند، وجود حدیث در یکی از کتاب های مشهور اصحاب ائمه است که انتساب آن کتاب به نویسنده واضح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مراجعه به رجال نجاشی و فهرست شیخ می یابیم که این دو بزرگوار، از کتاب های ابراهیم بن هاشم،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اند، که جزء کتاب های مشهور نزد قدما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پسر ابراهیم بن هاشم نیز این کتاب را به پدرش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الطوسی،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هاشم این حدیث را از ریان بن شبیب شنیده و در کتابش النوادر درج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پسرش علی بن ابراهیم این کتاب را از پدرش متحمّل شده کما این که ماجیلویه هم این کتاب را از استادش علی بن ابراهیم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مشخص می شود که نزد ماجیلویه نسخه ای از کتاب النوادر ابراهیم بن هاشم بوده که همان نسخه ی علی بن ابراهیم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آثار حدیثی شیخ صدوق مراجعه می کنیم در می یابیم بیش از چهل روایت را از ماجیلویه، علی بن ابراهیم از پدرش نقل می نماید و اعتماد صدوق بر ماجیلویه از این باب بوده است که او تنها پل ارتباط صدوق با کتاب مشهور النوادر بوده است و شیخ صدوق این کتاب را از ماجیلویه اخذ کرده و به آن اعتماد داشته و از آن احادیث بسیاری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روایت نزد فقها و اهل حدیث مشهور بوده چنان که آیت الله وحید خراسانی در سخنرانی روز سوم دی ماه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شهرت متن و صحّت سند این حدیث اشاره و اذعان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رسمی ایشان در تاریخ اول محرم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66" w:name="__RefHeading___Toc1296740_2870459653"/>
      <w:bookmarkStart w:id="167" w:name="_Toc60"/>
      <w:bookmarkEnd w:id="166"/>
      <w:r>
        <w:rPr/>
        <w:t>2</w:t>
      </w:r>
      <w:r>
        <w:rPr>
          <w:rtl w:val="true"/>
        </w:rPr>
        <w:t xml:space="preserve">. </w:t>
      </w:r>
      <w:r>
        <w:rPr>
          <w:rtl w:val="true"/>
        </w:rPr>
        <w:t>بررسی محتوای حدیث ریان بن شبیب</w:t>
      </w:r>
      <w:bookmarkEnd w:id="167"/>
    </w:p>
    <w:p>
      <w:pPr>
        <w:pStyle w:val="Heading5"/>
        <w:numPr>
          <w:ilvl w:val="4"/>
          <w:numId w:val="1"/>
        </w:numPr>
        <w:rPr/>
      </w:pPr>
      <w:bookmarkStart w:id="168" w:name="__RefHeading___Toc1296742_2870459653"/>
      <w:bookmarkStart w:id="169" w:name="_Toc61"/>
      <w:bookmarkEnd w:id="168"/>
      <w:r>
        <w:rPr>
          <w:rtl w:val="true"/>
        </w:rPr>
        <w:t>اشاره</w:t>
      </w:r>
      <w:bookmarkEnd w:id="16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گستردگی روایت، متن آن را به چند فقره تقسیم کرده، همراه با ترجمه و شرح ذکر می نماییم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یَوْمٍ مِنَ الْمُحَرَّمِ فَقَالَ یَا ابْنَ شَبِیبٍ أَ صَائِمٌ أَنْتَ قُلْتُ لَا فَقَالَ إِنَّ هَذَا الْیَوْمَ هُوَ الْیَوْمُ الَّذِی دَعَا فِیهِ زَكَرِیَّا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عَزَّ وَ جَلَّ فَقَالَ رَبِّ هَبْ لِی مِنْ لَدُنْكَ ذُرِّیَّةً طَیِّبَةً إِنَّكَ سَمِیعُ الدُّعاءِ فَاسْتَجَابَ اللَّهُ لَهُ وَ أَمَرَ الْمَلَائِكَةَ فَنَادَتْ زَكَرِیَّا وَ هُوَ قائِمٌ یُصَلِّی فِی الْمِحْرابِ أَنَّ اللَّهَ یُبَشِّرُكَ بِیَحْیى فَمَنْ صَامَ هَذَا الْیَوْمَ ثُمَّ دَعَا اللَّهَ عَزَّ وَ جَلَّ اسْتَجَابَ اللَّهُ لَهُ كَمَا اسْتَجَابَ اللَّهُ لِزَكَرِیَّا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شبیب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 محرّم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هستى؟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زكریّا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لَدُنْكَ ذُرِّیَّةً طَیِّبَةً إِنَّكَ سَمِیعُ الدُّعاءِ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پاك به من مرحمت فرما، همانا تو دعاى بندگان را می شنوى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دعاى او را مستجاب كرد و به ملائكه دستور داد كه به زكریّا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محراب در حال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كه خدا به تو یحیى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مژده مى دهد، پس هر كس این روز را روزه بدارد و سپس دعا كند، خداوند همان طور كه دعاى زكریّا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كرد، دعاى او را نیز مستجاب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مُحرّم یا محرم الحرام نخستین ماه تقویم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مشاهده می نماییم معصومان به عنوان اوّلین روز از سال قمری، ، علاوه بر تشویق به انجام نماز و آداب خاصی از قبیل روزه، رخدادهای مختلف این ماه را نیز متذکر شده اند، عروج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استجابت دعای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 و غرق شدن فرعونیان در نیل و عذاب اصحاب فیل از وقایعی است که طبق بیان اهل بیت در ماه محرم رخ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یَا ابْنَ شَبِیبٍ إِنَّ الْمُحَرَّمَ هُوَ الشَّهْرُ الَّذِی كَانَ أَهْلُ الْجَاهِلِیَّةِ یُحَرِّمُونَ فِیهِ الظُّلْمَ وَ الْقِتَالَ لِحُرْمَتِهِ فَمَا عَرَفَتْ هَذِهِ الْأُمَّةُ حُرْمَةَ شَهْرِهَا وَ لَا حُرْمَةَ نَبِیِّهَا لَقَدْ قَتَلُوا فِی هَذَا الشَّهْرِ ذُرِّیَّتَهُ وَ سَبَوْا نِسَاءَهُ وَ انْتَهَبُوا ثَقَلَهُ فَلَا غَفَرَ اللَّهُ لَهُمْ ذَلِكَ أَبَداً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ماهى است كه اهل جاهلیّت به احترام آن ظلم و جنگ را حرام كرده بودند، ولى این امّت، احترام آن و احترام پیغمبر خود را حفظ نكردند؛ در این ماه اولاد او را كشتند و زنانش را اسیر كردند و وسایلش را غارت نمودند، خداوند </w:t>
      </w:r>
    </w:p>
    <w:p>
      <w:pPr>
        <w:pStyle w:val="BookText"/>
        <w:rPr/>
      </w:pPr>
      <w:r>
        <w:rPr>
          <w:rFonts w:ascii="IRNazanin" w:hAnsi="IRNazanin" w:eastAsia="IRNazanin"/>
          <w:color w:val="111111"/>
          <w:sz w:val="28"/>
          <w:sz w:val="28"/>
          <w:szCs w:val="28"/>
          <w:rtl w:val="true"/>
          <w:lang w:bidi="fa-IR"/>
        </w:rPr>
        <w:t>هرگز این كارشان را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تسمیه این ماه، به محرّم نیز از این جهت است که به اعتقاد مسلمانان، جنگ و خونریزی در این ماه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پیش از ظهور اسلام، در دوران جاهلیت، نیز جنگ و خونریزی در این ماه حرام بوده است و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حرمت را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تأکید، متاسفانه بنی امیه نگذاشتند آغاز سال قمری برای مسلمانان روزهای خوش و شادی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ترین مصیبت عالم به دست بنی امیه با آغاز سال رقم خورد و با کشته شدن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با وفایش سال نوی مسلمانان با اشک و غم توأم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ابْنَ شَبِیبٍ إِنْ كُنْتَ بَاكِیاً لِشَیْ ءٍ فَابْكِ لِلْحُسَیْنِ بْنِ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ذُبِحَ كَمَا یُذْبَحُ الْكَبْش وَ قُتِلَ مَعَهُ مِنْ أَهْلِ بَیْتِهِ ثَمَانِیَةَ عَشَرَ رَجُلًا مَا لَهُمْ فِی الْأَرْضِ شَبِیهُونَ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خواهى گریه كنى، بر حسین بن علىّ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كن، زیرا او را همچون گوسفند ذبح كردند و از بستگانش، هیجده نفر به همراهش شهید شدند كه در روى زمین نظیر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فقره به دو نکته مهم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گریه و سوگواری تنها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همان طور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جزع و گریه ای مکروه است، مگر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eastAsia="IRNazanin" w:cs="IRNazanin"/>
          <w:color w:val="111111"/>
          <w:sz w:val="28"/>
          <w:szCs w:val="28"/>
          <w:lang w:bidi="fa-IR"/>
        </w:rPr>
        <w:t>44/280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توضیح فرمایش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گریه و زاری آن گاه ارزشمند خواهد بود که برای حقیقت و ارزشی فراتر از خود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هر امر دیگری پایین تر از ارزش وجودی انسان مانند امور دنیوی، آدمی را کوچک کرده و به همین دلیل، شایسته و ارزشمند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این گریه و زاری در ارتباط با انسان کامل و امام معصوم باشد که رسالت و آرمان او هدایت همه ی انسان ها و تأمین سعادت و تعالی آن هاست، بی تردید شایسته و ارجمند خواهد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دوّم این که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و مانند نداشتند، همان طور که وجود مبارک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به اصحاب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فَإِنِّی لَا </w:t>
      </w:r>
    </w:p>
    <w:p>
      <w:pPr>
        <w:pStyle w:val="BookText"/>
        <w:rPr/>
      </w:pPr>
      <w:r>
        <w:rPr>
          <w:rFonts w:ascii="Amiri" w:hAnsi="Amiri" w:eastAsia="Amiri" w:cs="Amiri"/>
          <w:color w:val="111111"/>
          <w:sz w:val="28"/>
          <w:sz w:val="28"/>
          <w:szCs w:val="28"/>
          <w:rtl w:val="true"/>
          <w:lang w:bidi="ar-SA"/>
        </w:rPr>
        <w:t>أَعْلَمُ أَصْحَاباً أَوْفَى وَ لَا خَیْراً مِنْ أَصْحَابِی وَ لَا أَهْلَ بَیْتٍ أَبَرَّ وَ لَا أَوْصَلَ مِنْ أَهْلِ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 اصحابی با وفاتر و بهتر از یاران خود سراغ ندارم و خاندانی نیکوکارتر و مهربان تر از خاندان خود ندانم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مفید،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شده که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عده ای از کربلا عبور کردند و این شعر را سرودند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مُنَاخُ رِكَابٍ وَ مَصَارِعُ الشُّهَدَاءِ لَا یَسْبِقُهُمْ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قَبْلَهُمْ وَ لَا یَلْحَقُهُمْ مَنْ أَتَى بَعْدَهُم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قمی،</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بررسی زندگانی و رجزهای شهدای کربلا، به این نتیجه رهنمون می شویم که معرفت و ارتباط عاشقانه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رمز وفاداری و پایمردی آنان در روز عاشورا و اساسی ترین معیار برتری آنان نسبت به سایر اصحاب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بَكَتِ السَّمَاوَاتُ السَّبْعُ وَ الْأَرَضُونَ لِقَتْلِهِ وَ لَقَدْ نَزَلَ إِلَى الْأَرْضِ مِنَ الْمَلَائِكَةِ أَرْبَعَةُ آلَافٍ لِنَصْرِهِ فَلَمْ یُؤْذَنْ لَهُمْ فَهُمْ عِنْدَ قَبْرِهِ شُعْثٌ غُبْرٌ إِلَى أَنْ یَقُومَ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فَیَكُونُونَ مِنْ أَنْصَارِهِ وَ شِعَارُهُمْ یَا لَثَارَاتِ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شَبِیبٍ لَقَدْ حَدَّثَنِی أَبِی عَنْ أَبِیهِ عَنْ جَدِّهِ أَنَّهُ لَمَّا قُتِلَ جَدِّیَ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أَمْطَرَتِ السَّمَاءُ دَماً وَ تُرَاباً أَحْمَرَ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هاى هفت گانه و زمین ها به خاطر شهادتش گریستند و چهار هزار فرشته براى یارى او به زمین آمدند، ولى تقدیر الهى نبود و آن ها تا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قبرش با حالی زار و ژولیده باقى هستند و از یاوران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شعارشان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به من خبر داد كه وقتى 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از آسمان خون و خاك قرمز بارید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ی گریستن فرشتگان و واجنه، و عزدارای و مرثیه آنان بر حسین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شهادت آن بزرگوار بر موجودات در روز شهادت آن جناب و گریستن آسمان و زمین و سایر </w:t>
      </w:r>
    </w:p>
    <w:p>
      <w:pPr>
        <w:pStyle w:val="BookText"/>
        <w:rPr/>
      </w:pPr>
      <w:r>
        <w:rPr>
          <w:rFonts w:ascii="IRNazanin" w:hAnsi="IRNazanin" w:eastAsia="IRNazanin"/>
          <w:color w:val="111111"/>
          <w:sz w:val="28"/>
          <w:sz w:val="28"/>
          <w:szCs w:val="28"/>
          <w:rtl w:val="true"/>
          <w:lang w:bidi="fa-IR"/>
        </w:rPr>
        <w:t>موجودات و پدید آمدن انقلاب و دگرگونی در عالم و وزیدن بادهای مخالف و تغییر هوا و کسوف و خسوف و باریدن خون و خاك قرمز از آسمان و تاریک شدن هوا به طوری که ستاره ها در روز پدیدار شدند و نیز دیده شدن خون تازه زیر هر سنگی که برداشته می شد و پدید آمدن سرخی در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زیادی است که دانشمندان شیعه، ابوابی را با همین عنوان ها در کتب حدیثی خود ایجاد کرده و احادیث را در ذیل آن مطرح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قمی،</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علمای عامه نیز این حوادث را در کتب خود ذکر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جلد امام حسین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سعد،</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جزء امام حسین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مختصر درباره کیفیت گریه آسمان و زمین ذکر شده است از قبیل روایتی که عبدالله بن هلال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شنیدم حضرت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حضرت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یحیى بن زكریّا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بر احدى غیر این دو گریه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چیست و چگونه بوده؟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آسمان درنگ و توقّف نمود، خورشید با رنگى قرمز طلوع نموده و با رنگى سرخ غروب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قمی،</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و حقیقت گریه کائنات بر آن حضرت برای ما به طور کامل آشکار نیست، هم چنان که تسبیح و تمجید موجودات نیز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 لَهُ السَّمَاوَاتُ السَّبْعُ وَالأَرْضُ وَمَن فِیهِنَّ وَإِن مِّن شَیْءٍ إِلاَّ یُسَبِّحُ بِحَمْدَهِ وَلَكِن لاَّ تَفْقَهُونَ تَسْبِیحَهُمْ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آسمان و زمین و هر چه در آن هاست تسبیحش می کنند و هیچ موجودی نیست جز آن که او را می ستاید، ولی شما ذکر تسبیحشان را نمی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نباید گریه ملائکه، سایر موجودات، زمین و آسمان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بلکه با تصدیق فرمایش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پذیریم و با مقایسه این مسأله با تسبیح موجودات که قرآن بر آن تاکید می فرماید، پشتوانه معرفتی و پذیرش منطقی و علمی آن را محکم می کنیم</w:t>
      </w:r>
      <w:r>
        <w:rPr>
          <w:rFonts w:eastAsia="IRNazanin" w:cs="IRNazanin"/>
          <w:color w:val="111111"/>
          <w:sz w:val="28"/>
          <w:szCs w:val="28"/>
          <w:rtl w:val="true"/>
          <w:lang w:bidi="fa-IR"/>
        </w:rPr>
        <w:t xml:space="preserve">. </w:t>
      </w:r>
      <w:bookmarkStart w:id="170" w:name="pg8930_84782"/>
    </w:p>
    <w:p>
      <w:pPr>
        <w:pStyle w:val="BookText"/>
        <w:rPr/>
      </w:pPr>
      <w:bookmarkEnd w:id="17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ابْنَ شَبِیبٍ إِنْ بَكَیْتَ عَلَى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تَصِیرَ دُمُوعُكَ عَلَى خَدَّیْكَ غَفَرَ اللَّهُ لَكَ كُلَّ ذَنْبٍ أَذْنَبْتَهُ صَغِیراً كَانَ أَوْ كَبِیراً قَلِیلًا كَانَ أَوْ كَثِیراً یَا ابْنَ شَبِیبٍ إِنْ سَرَّكَ أَنْ تَلْقَى اللَّهَ عَزَّ وَ جَلَّ وَ لَا ذَنْبَ عَلَیْكَ فَزُرِ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شَبِیبٍ إِنْ سَرَّكَ أَنْ تَسْكُنَ الْغُرَفَ الْمَبْنِیَّةَ فِی الْجَنَّةِ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 قَتَلَةَ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شَبِیبٍ إِنْ سَرَّكَ أَنْ یَكُونَ لَكَ مِنَ الثَّوَابِ مِثْلَ مَا لِمَنِ اسْتُشْهِدَ مَعَ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مَتَى ذَكَرْتَهُ یا لَیْتَنِی كُنْتُ مَعَهُمْ فَأَفُوزَ فَوْزاً عَظِیماً یَا ابْنَ شَبِیبٍ إِنْ سَرَّكَ أَنْ تَكُونَ مَعَنَا فِی الدَّرَجَاتِ الْعُلَى مِنَ الْجِنَانِ فَاحْزَنْ لِحُزْنِنَا وَ افْرَحْ لِفَرَحِنَا وَ عَلَیْكَ بِوَلَایَتِنَا فَلَوْ أَنَّ رَجُلًا أَحَبَّ حَجَراً لَحَشَرَهُ اللَّهُ عَزَّ وَ جَلَّ مَعَهُ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 اى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كنى كه اشك هایت بر گونه هایت جارى شود، خداوند هر گناهى كه مرتكب شده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كوچك، چه بزرگ، چه كم و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پاك و بدون گناه به ملاقات خدا بروى، به زیارت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با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غرفه هاى بهشت همراه باشى، قاتلان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 اى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ثوابى مانند ثواب كسانى كه همراه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داشته باشى، هرگاه به یاد او افتادى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كُنْتُ مَعَهُمْ فَأَفُوزَ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آنان مى بودم و به فوز عظیم 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با ما در درجات عالى بهشت همراه باشى، در اندوه ما اندوهگین و در خوشحالى ما، خوشحال باش، و بر تو باد به ولایت ما، زیرا اگر كسى سنگى را دوست داشته باشد، خداوند در روز قیامت او را با آن سنگ محشور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ثواب بر گریه و نوحه بر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 عمده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مورد نقد و تحلیل قرار می دهیم</w:t>
      </w:r>
      <w:r>
        <w:rPr>
          <w:rFonts w:eastAsia="IRNazanin" w:cs="IRNazanin"/>
          <w:color w:val="111111"/>
          <w:sz w:val="28"/>
          <w:szCs w:val="28"/>
          <w:rtl w:val="true"/>
          <w:lang w:bidi="fa-IR"/>
        </w:rPr>
        <w:t>.</w:t>
      </w:r>
    </w:p>
    <w:p>
      <w:pPr>
        <w:pStyle w:val="Heading5"/>
        <w:numPr>
          <w:ilvl w:val="4"/>
          <w:numId w:val="1"/>
        </w:numPr>
        <w:rPr/>
      </w:pPr>
      <w:bookmarkStart w:id="171" w:name="__RefHeading___Toc1296744_2870459653"/>
      <w:bookmarkStart w:id="172" w:name="_Toc62"/>
      <w:bookmarkEnd w:id="171"/>
      <w:r>
        <w:rPr>
          <w:rtl w:val="true"/>
        </w:rPr>
        <w:t>الف</w:t>
      </w:r>
      <w:r>
        <w:rPr>
          <w:rtl w:val="true"/>
        </w:rPr>
        <w:t xml:space="preserve">) </w:t>
      </w:r>
      <w:r>
        <w:rPr>
          <w:rtl w:val="true"/>
        </w:rPr>
        <w:t>جعلی بودن روایات</w:t>
      </w:r>
      <w:bookmarkEnd w:id="17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معروف حسنی، در کتاب الموضوعات فی الآثار والأخبار ،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امثال این روایات، چه بسا شنونده را نسبت به عمل تحذیر می کند و روح تکیه بر پاداش وعده داده شده را در او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می شنود یک قطره اشک که بیش از یک بال پشه </w:t>
      </w:r>
    </w:p>
    <w:p>
      <w:pPr>
        <w:pStyle w:val="BookText"/>
        <w:rPr/>
      </w:pPr>
      <w:r>
        <w:rPr>
          <w:rFonts w:ascii="IRNazanin" w:hAnsi="IRNazanin" w:eastAsia="IRNazanin"/>
          <w:color w:val="111111"/>
          <w:sz w:val="28"/>
          <w:sz w:val="28"/>
          <w:szCs w:val="28"/>
          <w:rtl w:val="true"/>
          <w:lang w:bidi="fa-IR"/>
        </w:rPr>
        <w:t>نیست، اگر از چشمش با اندوه بر مصائب اهل بیت بیرون آید، خداوند به سبب آن یک قطره، همه گناهانش رامی آمرزد، آن گونه که در روایت علی بن ابراهیم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گرچه به اندازه کف دریا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روایات را در زمره روایات جعلی معرّفی کرده و دلیلش بر جعلی بودن، اشکال سندی نیست بلکه استبعاد وی از ثواب و پاداش بسیاری است که در روایات برای یک قطره گریه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ذکر شده در این موضوع، در حد تواتر اجمالی است و در میان آن ها روایات صحیح از قبیل حدیث ریان بن شبیب وجود دارد؛ بنابراین نمی توان صرف استبعاد، آن روایات را انکار کرد و مردود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عمل های به ظاهر کوچک در شریعت اسلام، ثواب های بزرگی را به خود اختصاص داده اند؛ مانند ثواب شرکت در نماز جماعت که پاداش آن بسیار 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آقای معروف حسنی هم بدان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جوابی که به آن موارد بدهند، مشترک با این مورد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هایی که خداوند بر عمل های بندگان می دهد، همه از روی تفضّل است؛ مانند جایزه هایی که گاه برای یک عمل مختصر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نباید استبعاد کرد که یک عمل ساده، ثواب بزرگی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ترسیم حقایق اُخروی و پاداش آن به امور دنیوی و باطن ارزشمند اعمال دنیوی جز بر این قیاس نمی 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گر محبت به معصومان و عملی جوانحی است، حال اگر این امر ارزشمند در کنار پاکی و صداقت درون باشد، موجب پیوند روح و جان با سالار شهیدان شده و ما را از گناه و معصیت الهی دور می نماید؛ بنابراین جای شگفتی ندارد که مشمول این همه پاداش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باب توبه را باز کرد و یا شفاعت دستگیر مؤمنان در قیامت خواهد شد، این موجب جسارت و جرأت گنهکاران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که شما راه بازگشت به سوی خدا را ببندید تا کسی از راه خدا بر نگردد و به تعبیر دیگر، از هر آموزه دینی می توان </w:t>
      </w:r>
      <w:bookmarkStart w:id="173" w:name="pg8930_84784"/>
    </w:p>
    <w:p>
      <w:pPr>
        <w:pStyle w:val="BookText"/>
        <w:rPr/>
      </w:pPr>
      <w:bookmarkEnd w:id="173"/>
      <w:r>
        <w:rPr>
          <w:rFonts w:ascii="IRNazanin" w:hAnsi="IRNazanin" w:eastAsia="IRNazanin"/>
          <w:color w:val="111111"/>
          <w:sz w:val="28"/>
          <w:sz w:val="28"/>
          <w:szCs w:val="28"/>
          <w:rtl w:val="true"/>
          <w:lang w:bidi="fa-IR"/>
        </w:rPr>
        <w:t>برداشت بدی داشت ولی معنایش این نیست که آن آموزه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توبه، شفاعت و گریه از خوف خدا همه همین طور است، انسان آلوده ای که به حق گریه کند و به حق توبه کند، به آثار والای آن دست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حسینیان قمی،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ش</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5"/>
        <w:numPr>
          <w:ilvl w:val="4"/>
          <w:numId w:val="1"/>
        </w:numPr>
        <w:rPr/>
      </w:pPr>
      <w:bookmarkStart w:id="174" w:name="__RefHeading___Toc1296746_2870459653"/>
      <w:bookmarkStart w:id="175" w:name="_Toc63"/>
      <w:bookmarkEnd w:id="174"/>
      <w:r>
        <w:rPr>
          <w:rtl w:val="true"/>
        </w:rPr>
        <w:t>ب</w:t>
      </w:r>
      <w:r>
        <w:rPr>
          <w:rtl w:val="true"/>
        </w:rPr>
        <w:t xml:space="preserve">) </w:t>
      </w:r>
      <w:r>
        <w:rPr>
          <w:rtl w:val="true"/>
        </w:rPr>
        <w:t>تقیید ثواب روایات در شرایط سخت و زمان بنی امیه</w:t>
      </w:r>
      <w:bookmarkEnd w:id="17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 باقر بهبودی، نظر خود را این گونه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این است که این روایات که هم صحیح و هم حسن و هم ضعیف است در حدّ استفاضه و بلکه متواتر هست و امکان ردّ و تأویل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صدور این روایات در زمانی است که یاد، گریه، زیارت و خواندن شعر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منکر و مجاهده در راه خدا و جنگ با دشمنان خدا ،یعنی؛ بنی امیه ستمگر بود و این یاد و گریه، پایه های حکومت بنی امیه را منهدم می ساخت و موجب تقبیح و منفور ساختن روش کفرآمیز آنان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بر همین اساس بود که امامان شیعه را به شرکت در این جهاد مقدّس با بالا بردن نام و احیای امر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شکل که بود، چه با مرثیه سرایی یا مدیحه سرایی و یا زیارت و گریه ترغیب می نمودند و در برابر اهل بیت بنی امیّه می خواستند تا یاد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ببرند و از زیارت، مرثیه خوانی و 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 و لذا هر کس را می دیدند که به یکی از این اعمال مبادرت می ورزد، او را می گرفتند، تبعید می کردند، می کشتند و خانه اش را خراب می نمودند؛پس هر کس که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یا مرثیه بخواند یا او را در آن شرایط زیارت کند، کار وی تنها اظهار حسرت و عزا و تسلیت نیست؛ بلکه با توجّه به رنج ، بلا ، تبعید و تعذیبی که می بینند، جنگ با دشمنان خدا و جهاد در راه خدا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خداوند است که به مجاهد در راه خود پاداش دهد و او را بی حساب بهشتی سازد، ولی در زمانی که میان اهل بیت و دشمنانشان مانند این زمان ما جنگی نیست؛ دیگرعنوان جهاد بر یاد و 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اکنون با ذاکر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یاد و رفتار نیک برخورد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که برای یاد و گریه مزد هم می گیرد و گریه کننده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است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و به او نوشیدنی و میوه تعارف </w:t>
      </w:r>
      <w:bookmarkStart w:id="176" w:name="pg8930_84785"/>
    </w:p>
    <w:p>
      <w:pPr>
        <w:pStyle w:val="BookText"/>
        <w:rPr/>
      </w:pPr>
      <w:bookmarkEnd w:id="176"/>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جهاد نیست و دیگر وعده بهشت نخواهد داشت و چون شکنجه و رنج و ترس از کشته شدن نیست، دیگر ثواب های آن چنانی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دلالت احادیث بر این است که عمومیت داشته و بر زمان خاصی دلالت نکند، مگر این که قرینه ای اقامه شود که آن را از عمومیت و فراگیر بودنش ساقط کند و صرف احتمال دادن به یک زمان، بدون ذکر دلیل و با یک استحسان ساده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عبادات از ارزش والایی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عبادتی با توجّه به شرایط ویژه ارجمندی خاصی پیدا می کند، ولی معنایش این نیست که در شرایط عادی ،مثلاً؛ نماز از ارزش بیفتد و یا در زمان جوانی و قدرت، روزه بی ارزش گردد و یا با توانایی و مکنت، حج ارجمندی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گریه و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ارجمندی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شرایط سخت ارجمندی اش مضاعف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حسینیان قمی،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ش</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5"/>
        <w:numPr>
          <w:ilvl w:val="4"/>
          <w:numId w:val="1"/>
        </w:numPr>
        <w:rPr/>
      </w:pPr>
      <w:bookmarkStart w:id="177" w:name="__RefHeading___Toc1296748_2870459653"/>
      <w:bookmarkStart w:id="178" w:name="_Toc64"/>
      <w:bookmarkEnd w:id="177"/>
      <w:r>
        <w:rPr>
          <w:rtl w:val="true"/>
        </w:rPr>
        <w:t>ج</w:t>
      </w:r>
      <w:r>
        <w:rPr>
          <w:rtl w:val="true"/>
        </w:rPr>
        <w:t xml:space="preserve">) </w:t>
      </w:r>
      <w:r>
        <w:rPr>
          <w:rtl w:val="true"/>
        </w:rPr>
        <w:t>پذیرش این روایات به طور مطلق و عدم تخصیص آن به شرایط سخت</w:t>
      </w:r>
      <w:bookmarkEnd w:id="178"/>
    </w:p>
    <w:p>
      <w:pPr>
        <w:pStyle w:val="BookText"/>
        <w:rPr/>
      </w:pPr>
      <w:r>
        <w:rPr>
          <w:rFonts w:ascii="IRNazanin" w:hAnsi="IRNazanin" w:eastAsia="IRNazanin"/>
          <w:color w:val="111111"/>
          <w:sz w:val="28"/>
          <w:sz w:val="28"/>
          <w:szCs w:val="28"/>
          <w:rtl w:val="true"/>
          <w:lang w:bidi="fa-IR"/>
        </w:rPr>
        <w:t>به نظر می رسد این نگرش، از سایر نظریه ها مناسب تر است؛ لکن در تکمیل این نظریه شایسته است به نکاتی توجه نماییم تا قبول آن برای دانشمندان و عموم مردم آسان تر گردد؛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عزاداری برای پیشوای مظلومان و هر عمل نیک دیگر، اگر چه ذاتاً اقتضای پاداش بسیار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از حُسن فعلی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آن باید شرایط دیگری برای تأثیر و علیت را برخوردار باشد، یعنی؛ علاوه بر حُسن فعلی باید از حُسن فاعلی، انگیزه صحیح فاعل، پاک و خالص بودن عمل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عزاداری، سوگواری و گریه، علت مقتضی برای پاداش بیکران الهی است، اما علّت تامّه نیست و در کنار دیگر شرایط لازم، علّیت آن تامه می شود، اگرچه گریه و سوگواری به تنهایی ارزش خود را دارد و ثواب و پاداش آن در هر حال باقی است، اما برای رسیدن به آن ثواب های بیکران و ثبت جاودان، باید علیت آن تامّه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وجود شرایط برای تأثیر، باید موانع را نیز بر 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علّیت یک </w:t>
      </w:r>
      <w:bookmarkStart w:id="179" w:name="pg8930_84786"/>
    </w:p>
    <w:p>
      <w:pPr>
        <w:pStyle w:val="BookText"/>
        <w:rPr/>
      </w:pPr>
      <w:bookmarkEnd w:id="179"/>
      <w:r>
        <w:rPr>
          <w:rFonts w:ascii="IRNazanin" w:hAnsi="IRNazanin" w:eastAsia="IRNazanin"/>
          <w:color w:val="111111"/>
          <w:sz w:val="28"/>
          <w:sz w:val="28"/>
          <w:szCs w:val="28"/>
          <w:rtl w:val="true"/>
          <w:lang w:bidi="fa-IR"/>
        </w:rPr>
        <w:t>عمل نیک تمام است و ثواب و پاداش وعده داده شده نیز نصیب شخص خواهد شد، اما در همان زمان یا پس از مدتی، انسان عملی را مرتکب می شود که عمل گذشته خود را باطل می کند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روایت معروفی وارد شده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جمعی حضور داشتند و حضرت در بیان پاداش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تعداد هر ذکر، خداوند برای گوینده، در بهشت درختی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درختان ما در بهشت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مبادا آتشیبفرستید تا درختان را بسوزاند و نابود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حر عاملى،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3"/>
        <w:numPr>
          <w:ilvl w:val="2"/>
          <w:numId w:val="1"/>
        </w:numPr>
        <w:rPr/>
      </w:pPr>
      <w:bookmarkStart w:id="180" w:name="__RefHeading___Toc1296750_2870459653"/>
      <w:bookmarkStart w:id="181" w:name="_Toc65"/>
      <w:bookmarkEnd w:id="180"/>
      <w:r>
        <w:rPr>
          <w:rtl w:val="true"/>
        </w:rPr>
        <w:t>نتیجه</w:t>
      </w:r>
      <w:bookmarkEnd w:id="181"/>
    </w:p>
    <w:p>
      <w:pPr>
        <w:pStyle w:val="BookText"/>
        <w:rPr/>
      </w:pPr>
      <w:r>
        <w:rPr>
          <w:rFonts w:ascii="IRNazanin" w:hAnsi="IRNazanin" w:eastAsia="IRNazanin"/>
          <w:color w:val="111111"/>
          <w:sz w:val="28"/>
          <w:sz w:val="28"/>
          <w:szCs w:val="28"/>
          <w:rtl w:val="true"/>
          <w:lang w:bidi="fa-IR"/>
        </w:rPr>
        <w:t>یکی از مشهورترین احادیث عزاداری، روایت ریّان بن شبیب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 گر سخنان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عظمت ماه محرّم، عاشورا و فضل و ثوابِ گریه و عزاداری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ضرورتی برای کشف وثاقت این روایت وجود ندارد؛ زیرا مفاد احادیث من بلغ در روایات عزاداری نیز قابل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شخصی با توجه به حدیث ریّان بن شبیب، به قصد قربت و رجا عزاداری کند، ثواب آن عمل به او می رسد ولو این که بدون بررسی سند حدیث بوده و حدیث از معصوم صادر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پیرامون عزاداری بر اهل بیت وارد شده آن قدر زیاد است که به حدّ تواتر اجمالی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وقتی همه آن ها را کنار هم می گذاریم یقین حاصل می شود که بعضی از آن ها از امام صادر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وثاقت و عدالت رجال مذکور در سند این حدیث، می توان به این حدیث اعتماد کرد و عدم تصریح خاص به وثاقت ابراهیم بن هاشم قمّی مانع نمی شود که این حدیث در مرتبه صحیح قرار گیرد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صحیح در تحلیل روایات ثواب عزاداری، پذیرش این روایات به طور مطلق است و نظریه جعلی بودن این گونه روایات به جهت استبعاد از ثواب بسیار آن و همچنین نظریه برخی مبنی بر تخصیص این روایت، به موردی که شرایط سخت باشد، قابل دفاع نیست</w:t>
      </w:r>
      <w:r>
        <w:rPr>
          <w:rFonts w:eastAsia="IRNazanin" w:cs="IRNazanin"/>
          <w:color w:val="111111"/>
          <w:sz w:val="28"/>
          <w:szCs w:val="28"/>
          <w:rtl w:val="true"/>
          <w:lang w:bidi="fa-IR"/>
        </w:rPr>
        <w:t xml:space="preserve">. </w:t>
      </w:r>
      <w:bookmarkStart w:id="182" w:name="pg8930_84787"/>
    </w:p>
    <w:p>
      <w:pPr>
        <w:pStyle w:val="Heading3"/>
        <w:numPr>
          <w:ilvl w:val="2"/>
          <w:numId w:val="1"/>
        </w:numPr>
        <w:rPr/>
      </w:pPr>
      <w:bookmarkStart w:id="183" w:name="__RefHeading___Toc1296752_2870459653"/>
      <w:bookmarkStart w:id="184" w:name="_Toc66"/>
      <w:bookmarkEnd w:id="182"/>
      <w:bookmarkEnd w:id="183"/>
      <w:r>
        <w:rPr>
          <w:rtl w:val="true"/>
        </w:rPr>
        <w:t xml:space="preserve">منابع </w:t>
      </w:r>
      <w:r>
        <w:rPr>
          <w:rtl w:val="true"/>
        </w:rPr>
        <w:t>:</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خراسانی، محمدکاظم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کتاب فرائدالاصول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آقاجانی، قناد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کوفی قمی</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آقابزرگ طهرانی، محمد محسن</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مكى، احمد بن محمد</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داود، الحسین بن علی</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محمدصادق آل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 قمی، جعفر بن محمد</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عبدالحسین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حسن</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الغضائری، احمد بن الحسین</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الجلالی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الحلّی، حسن بن یوسف</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البرقی، احمد بن محمد</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طهران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معرفه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الاسترآبادی و السید مهدی الرجایی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مرتضی</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کنگره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بحرانى اصفهانى، عبد الله بن نور الل</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و المعارف والأحوال من الآیات و الأخبار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بهایی، محمدبن حسین</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موفق بن احمد</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ابوالقاسم</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الغطاء، جعفر</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 عن مبهمات الشریعه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عبدالله</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محی الدین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سید علی</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بکری الحیانی و صفوة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نورى، حسین</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8930_84790"/>
      <w:bookmarkStart w:id="186" w:name="pg8930_84790"/>
      <w:bookmarkEnd w:id="186"/>
    </w:p>
    <w:p>
      <w:pPr>
        <w:pStyle w:val="Heading2"/>
        <w:numPr>
          <w:ilvl w:val="1"/>
          <w:numId w:val="1"/>
        </w:numPr>
        <w:rPr/>
      </w:pPr>
      <w:bookmarkStart w:id="187" w:name="pg8930_84790"/>
      <w:bookmarkStart w:id="188" w:name="__RefHeading___Toc1296754_2870459653"/>
      <w:bookmarkStart w:id="189" w:name="_Toc67"/>
      <w:bookmarkEnd w:id="187"/>
      <w:bookmarkEnd w:id="188"/>
      <w:r>
        <w:rPr>
          <w:rtl w:val="true"/>
        </w:rPr>
        <w:t>تقابل ارزش های دینی در گفتمان حسینی و یزیدی</w:t>
      </w:r>
      <w:bookmarkEnd w:id="189"/>
    </w:p>
    <w:p>
      <w:pPr>
        <w:pStyle w:val="Heading3"/>
        <w:numPr>
          <w:ilvl w:val="2"/>
          <w:numId w:val="1"/>
        </w:numPr>
        <w:rPr/>
      </w:pPr>
      <w:bookmarkStart w:id="190" w:name="__RefHeading___Toc1296756_2870459653"/>
      <w:bookmarkStart w:id="191" w:name="_Toc68"/>
      <w:bookmarkEnd w:id="190"/>
      <w:r>
        <w:rPr>
          <w:rtl w:val="true"/>
        </w:rPr>
        <w:t xml:space="preserve">شقایق حمیدی </w:t>
      </w:r>
      <w:r>
        <w:rPr>
          <w:rtl w:val="true"/>
        </w:rPr>
        <w:t xml:space="preserve">- </w:t>
      </w:r>
      <w:r>
        <w:rPr>
          <w:rtl w:val="true"/>
        </w:rPr>
        <w:t>احسان حسنی</w:t>
      </w:r>
      <w:bookmarkEnd w:id="191"/>
    </w:p>
    <w:p>
      <w:pPr>
        <w:pStyle w:val="BookText"/>
        <w:rPr/>
      </w:pPr>
      <w:r>
        <w:rPr>
          <w:rFonts w:ascii="IRNazanin" w:hAnsi="IRNazanin" w:eastAsia="IRNazanin"/>
          <w:color w:val="111111"/>
          <w:sz w:val="28"/>
          <w:sz w:val="28"/>
          <w:szCs w:val="28"/>
          <w:rtl w:val="true"/>
          <w:lang w:bidi="fa-IR"/>
        </w:rPr>
        <w:t>شقایق حمیدی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احسان حسنی</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15/1/1395</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2/4/1395</w:t>
      </w:r>
      <w:r>
        <w:rPr>
          <w:rFonts w:eastAsia="IRNazanin" w:cs="IRNazanin"/>
          <w:color w:val="111111"/>
          <w:sz w:val="28"/>
          <w:szCs w:val="28"/>
          <w:rtl w:val="true"/>
          <w:lang w:bidi="fa-IR"/>
        </w:rPr>
        <w:t>)</w:t>
      </w:r>
    </w:p>
    <w:p>
      <w:pPr>
        <w:pStyle w:val="Heading3"/>
        <w:numPr>
          <w:ilvl w:val="2"/>
          <w:numId w:val="1"/>
        </w:numPr>
        <w:rPr/>
      </w:pPr>
      <w:bookmarkStart w:id="192" w:name="__RefHeading___Toc1296758_2870459653"/>
      <w:bookmarkStart w:id="193" w:name="_Toc69"/>
      <w:bookmarkEnd w:id="192"/>
      <w:r>
        <w:rPr>
          <w:rtl w:val="true"/>
        </w:rPr>
        <w:t>چکیده</w:t>
      </w:r>
      <w:bookmarkEnd w:id="193"/>
    </w:p>
    <w:p>
      <w:pPr>
        <w:pStyle w:val="BookText"/>
        <w:rPr/>
      </w:pPr>
      <w:r>
        <w:rPr>
          <w:rFonts w:ascii="IRNazanin" w:hAnsi="IRNazanin" w:eastAsia="IRNazanin"/>
          <w:color w:val="111111"/>
          <w:sz w:val="28"/>
          <w:sz w:val="28"/>
          <w:szCs w:val="28"/>
          <w:rtl w:val="true"/>
          <w:lang w:bidi="fa-IR"/>
        </w:rPr>
        <w:t>سه خرده گفتمان در عرصه اجتماعی جامعه مرتبط با صدر اسلام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سه لباس اسلام را به تن داشته و در تلاش بودند تا با نزدیک کردن ارزش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های شناور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دال مرکزی گفتمان خویش، ذهنیت جمعی اجتماع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هر یک از این سه گفتمان برای وصول به این مهم، ناچار به تعریف ارزش های اسلامی منطبق با دال مرکزی گفتمان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جابه جایی معروف و منکر در جامعه، ناشی از تعریفی است از این دو که معروف را منکر جلوه داده و منکر را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گفتمان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وَلِیُّكُمُ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نوشتار پیش رو به دنبال پاسخ به این سوال اصلی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گفتمان ولایت چه تعریفی از ارزش های اسلامی ارائه داده است؛ که بوسیله عده ای پذیرفته نشد و منجر به تولید دو گفتمان خلافت و سلطنت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سوال، تخاصم گفتمان ولایی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گفتمان سلطنتی یزید به عنوان مطالعه موردی، تحت بررسی قرار خواهد گرفت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گفتمان، دال، ولایت، گفتمان حسینی، گفتمان یزیدی </w:t>
      </w:r>
      <w:bookmarkStart w:id="194" w:name="pg8930_84791"/>
    </w:p>
    <w:p>
      <w:pPr>
        <w:pStyle w:val="Heading3"/>
        <w:numPr>
          <w:ilvl w:val="2"/>
          <w:numId w:val="1"/>
        </w:numPr>
        <w:rPr/>
      </w:pPr>
      <w:bookmarkStart w:id="195" w:name="__RefHeading___Toc1296760_2870459653"/>
      <w:bookmarkStart w:id="196" w:name="_Toc70"/>
      <w:bookmarkEnd w:id="194"/>
      <w:bookmarkEnd w:id="195"/>
      <w:r>
        <w:rPr>
          <w:rtl w:val="true"/>
        </w:rPr>
        <w:t>بیان مسأله</w:t>
      </w:r>
      <w:bookmarkEnd w:id="196"/>
    </w:p>
    <w:p>
      <w:pPr>
        <w:pStyle w:val="BookText"/>
        <w:rPr/>
      </w:pPr>
      <w:r>
        <w:rPr>
          <w:rFonts w:ascii="IRNazanin" w:hAnsi="IRNazanin" w:eastAsia="IRNazanin"/>
          <w:color w:val="111111"/>
          <w:sz w:val="28"/>
          <w:sz w:val="28"/>
          <w:szCs w:val="28"/>
          <w:rtl w:val="true"/>
          <w:lang w:bidi="fa-IR"/>
        </w:rPr>
        <w:t>قال کلینی فی کتابه عن ابی عبدالله علیه السلام حول طریقة زیارة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 قَبْرَ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عِنْدَ رَأْسِهِ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قَدْ أَقَمْتَ الصَّلَاةَ وَ آتَیْتَ الزَّكَاةَ وَ أَمَرْتَ بِالْمَعْرُوفِ وَ نَهَیْتَ عَنِ الْمُنْكَرِ وَ اتَّبَعْتَ الرَّسُولَ وَ تَلَوْتَ الْكِتَابَ حَقَّ تِلاوَتِهِ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الْجِهَادَ مَعَكَ جِهَادُ وَ أَنَّ الْحَقَّ مَعَکَ وَ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در کتاب خویش، در مورد طریقه زیارت حسین بن علی علیه السلام از امام صادق علیه السلام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زیارت مزار حسین علیه السلام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رأس ایشان بنشین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تو نماز را بپاداشته و زكات را اداء نموده و به معروف امر و از منكر نهى فرموده و رسول را متابعت كرده و كتاب خدا را آن طور كه شایسته است تلاوت نمودی و شهادت می دهم جهاد در معیت تو جهاد است و حق با تو و به سوی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باب بَابُ زِیَارَةِ قَبْرِ أَبِی عَبْدِ اللَّهِ الْحُسَیْنِ بْنِ عَلِیٍّ ع</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گویای اعتقاد شیعه در مورد علت و فلسفه نهضت گفتمانی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تمام دال 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زکات، امر به معروف و نهی از منکر،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زیارت، مواردی نبودند که در جامعه متخاصم با گفتمان حسینی آن انجام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نیز نماز می خواندند، زکات می دادند و قائل به امر به معروف و نهی از منکر بودند، داعیه حق طلبی داشتند و با حکم جهاد و قربه الی الله به جنگ علیه حسین بن علی علیه السلام به پاخاستند؛ چنان که علی بن حسین علیه السلام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ثَلَاثُونَ أَلْفَ رَجُلٍ یَزْعُمُونَ أَنَّهُمْ مِنْ هَذِهِ الْأُمَّةِ كُلٌّ یَتَقَرَّبُ إِلَى اللَّهِ عَزَّ وَ جَلَّ 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هزار نفر كه گمان مى كردند از این امّتند گرداگرد او را گرفتند، هر كدام با خون او به خداى عزّ و جلّ تقرّب مى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تضاد گواه بر وجود تعاریفی متفاوت، از ارزش های اسلامی، بین دو گفتمان متخاصم حسینی و یزیدی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وقتی حسین بن علی علیه السلام برای ادای نماز ظهر از سپاه کوفه مهلت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تقبل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شما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الصلاة زعمت من آل رسول اللّه، و تقبل منك یا 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بن مظاهر در </w:t>
      </w:r>
      <w:bookmarkStart w:id="197" w:name="pg8930_84792"/>
    </w:p>
    <w:p>
      <w:pPr>
        <w:pStyle w:val="BookText"/>
        <w:rPr/>
      </w:pPr>
      <w:bookmarkEnd w:id="197"/>
      <w:r>
        <w:rPr>
          <w:rFonts w:ascii="IRNazanin" w:hAnsi="IRNazanin" w:eastAsia="IRNazanin"/>
          <w:color w:val="111111"/>
          <w:sz w:val="28"/>
          <w:sz w:val="28"/>
          <w:szCs w:val="28"/>
          <w:rtl w:val="true"/>
          <w:lang w:bidi="fa-IR"/>
        </w:rPr>
        <w:t>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که نماز از آل رسول خدا صلی الله علیه وآله وسلم پذیرفته نشود و نماز تو ای احمق نادان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اخطب خوارزم،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حسینی چه تعریفی از ارزش های اسلامی داشته که منجر به شکل گیری چنین نهضت گفتمانیِ بلامشابهِ تاریخ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این تحقیق به دنبال پاسخ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گفتمان حسینی به مقبولیت ارزش های اسلامی، به شرط اقرار مسلمان به ولایت نبی و وصی و تبعیت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است که مورد قبول گفتمان حاکم قرار نگرفت و از این رو در حذف آن کمر همت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پاسخ به این سوال، وصول مسلمان به ملاک سنجش کردارهای خویش است، تا دریابد ارزش های اسلامی که در زندگی خویش عامل به آن است، منطبق با چه گفتمانی است؛ گفتمان حسینی یا یزیدی؟</w:t>
      </w:r>
    </w:p>
    <w:p>
      <w:pPr>
        <w:pStyle w:val="BookText"/>
        <w:rPr/>
      </w:pPr>
      <w:r>
        <w:rPr>
          <w:rFonts w:ascii="IRNazanin" w:hAnsi="IRNazanin" w:eastAsia="IRNazanin"/>
          <w:color w:val="111111"/>
          <w:sz w:val="28"/>
          <w:sz w:val="28"/>
          <w:szCs w:val="28"/>
          <w:rtl w:val="true"/>
          <w:lang w:bidi="fa-IR"/>
        </w:rPr>
        <w:t xml:space="preserve">برای پاسخ به این پرسش، با صرف نظر از مبانی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 تحلیل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لاکلا و موف و فرکلاف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خرده روش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این تحقیق با ادبیات تحلیل گفتمان سابقه ای ندارد، لکن در مورد تفاوت دین داری علوی و اموی، برخی مکالمات شفاهی در مجالس وعظ و مانند آن انجام شده است؛ اما این که پژوهشی علمی در این زمینه مکتوب شده باشد، مطلبی یافت نشد</w:t>
      </w:r>
      <w:r>
        <w:rPr>
          <w:rFonts w:eastAsia="IRNazanin" w:cs="IRNazanin"/>
          <w:color w:val="111111"/>
          <w:sz w:val="28"/>
          <w:szCs w:val="28"/>
          <w:rtl w:val="true"/>
          <w:lang w:bidi="fa-IR"/>
        </w:rPr>
        <w:t>.</w:t>
      </w:r>
    </w:p>
    <w:p>
      <w:pPr>
        <w:pStyle w:val="Heading3"/>
        <w:numPr>
          <w:ilvl w:val="2"/>
          <w:numId w:val="1"/>
        </w:numPr>
        <w:rPr/>
      </w:pPr>
      <w:bookmarkStart w:id="198" w:name="__RefHeading___Toc1296762_2870459653"/>
      <w:bookmarkStart w:id="199" w:name="_Toc71"/>
      <w:bookmarkEnd w:id="198"/>
      <w:r>
        <w:rPr>
          <w:rtl w:val="true"/>
        </w:rPr>
        <w:t>مقدمه</w:t>
      </w:r>
      <w:bookmarkEnd w:id="19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برخلاف نظریه گفتمان که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گفتمانی نمی تواند هرگز کاملاً شکل بگیرد و تثبیت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 گیری خودِ واقعی و کامل در افراد گفتمان ها اسطوره ای بیش نیست، فلسفه ارسال رسل را قرائت صحیح از آیات، نشانه ها و دال های هستی و تعلیم آن در راستای تزکیه افراد و وصول آن ها به کمال و هویت خویش، بعد از عدم آگاهی، ضلالت و حیرانی در حوزه گفتمان گونی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عَلَى الْمُؤْمِنینَ إِذْ بَعَثَ فیهِمْ رَسُولاً مِنْ أَنْفُسِهِمْ یَتْلُوا عَلَیْهِمْ آیاتِهِ وَ یُزَكِّیهِمْ وَ یُعَلِّمُهُمُ الْكِتابَ وَ الْحِكْمَةَ وَ إِنْ كانُوا مِنْ قَبْلُ لَفی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w:t>
      </w:r>
      <w:bookmarkStart w:id="200" w:name="pg8930_84793"/>
    </w:p>
    <w:p>
      <w:pPr>
        <w:pStyle w:val="BookText"/>
        <w:rPr/>
      </w:pPr>
      <w:bookmarkEnd w:id="200"/>
      <w:r>
        <w:rPr>
          <w:rFonts w:ascii="IRNazanin" w:hAnsi="IRNazanin" w:eastAsia="IRNazanin"/>
          <w:color w:val="111111"/>
          <w:sz w:val="28"/>
          <w:sz w:val="28"/>
          <w:szCs w:val="28"/>
          <w:rtl w:val="true"/>
          <w:lang w:bidi="fa-IR"/>
        </w:rPr>
        <w:t xml:space="preserve">است که در طول تاریخ، پیامبران و جانشینان ایشان در عرصه ی کردارهای گفتمانیِ زبانی و غیر زبانی در تقابل با گفتمان های غیر، همواره دو نیروی متعارض بنیادین و پیش راننده تحولات اجتماعی بوده اند؛ که با برجسته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در کسب ذهنیت جمعی اجتماع و شالوده شکنی گفتمان رقیب داشته؛ و بر این اساس تحولات بزرگ اجتماعی را سبب شده اند و تشکیل تمدن های توحیدی و تمدن های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از آن تعبیر به حزب الله و حزب الشیطان کرده را موجب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حِزْبُ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پیامبرانی که منشأ بزرگترین تحولات تاریخی بوده، پیامبر اسلام صلی الله علیه وآله وسلم است که از شروع تبلیغ وی 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تأسیس امپراطوری اموی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توان آرایش خرده گفتمان های حاضر در عرصه اجتماعیِ جامعه مرتبط با اسلام را به سه گروه اصلی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w:t>
      </w:r>
    </w:p>
    <w:p>
      <w:pPr>
        <w:pStyle w:val="Heading3"/>
        <w:numPr>
          <w:ilvl w:val="2"/>
          <w:numId w:val="1"/>
        </w:numPr>
        <w:rPr/>
      </w:pPr>
      <w:bookmarkStart w:id="201" w:name="__RefHeading___Toc1296764_2870459653"/>
      <w:bookmarkStart w:id="202" w:name="_Toc72"/>
      <w:bookmarkEnd w:id="201"/>
      <w:r>
        <w:rPr>
          <w:rtl w:val="true"/>
        </w:rPr>
        <w:t>گفتمان ولایت</w:t>
      </w:r>
      <w:bookmarkEnd w:id="20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 افراد قائل به گفتمان ولایت، دقیقاً در راستا و امتداد اوامر و دستورات پیامبرشان قرارداشت؛ یعنی خود را امت و دنباله رو امام و ولیّ خویش، یعنی؛ پیامبر صلی الله علیه وآله وسلم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خَیْرَ أُمَّةٍ أُخْرِجَتْ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جَعَلْناكُمْ أُمَّةً وَسَطاً لِتَكُونُوا شُهَداءَ عَلَى النَّاسِ وَ یَكُونَ الرَّسُولُ عَلَیْكُمْ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دال اصلی گفتمان ولایت، شخصیت پیامبر به عنوان ولیّ خدا بوده، و نظام معنایی این گفتمان بر پایه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های این گفتمان مانند تقوا، عدالت، نیت خالص، خداخواهی، جهادفی سبیل الله، معرفت الله، معرفت النفس و دیگر ارزش های قرآنی و اسلامی، در زیر سایه نظام ولایت ولی الله ارزش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اسلام آموزششان داده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عبداً عبداللّه عزّو جلّ مثل ماقام نوحٌ فی قومه و کان به مثل احدٍ ذهباً فأنفقه فی سبیل اللّه و مدّ </w:t>
      </w:r>
      <w:bookmarkStart w:id="203" w:name="pg8930_84794"/>
    </w:p>
    <w:p>
      <w:pPr>
        <w:pStyle w:val="BookText"/>
        <w:rPr/>
      </w:pPr>
      <w:bookmarkEnd w:id="203"/>
      <w:r>
        <w:rPr>
          <w:rFonts w:ascii="IRNazanin" w:hAnsi="IRNazanin" w:eastAsia="IRNazanin"/>
          <w:color w:val="111111"/>
          <w:sz w:val="28"/>
          <w:sz w:val="28"/>
          <w:szCs w:val="28"/>
          <w:rtl w:val="true"/>
          <w:lang w:bidi="fa-IR"/>
        </w:rPr>
        <w:t>فی عمره حتی حجّ ألف عامٍ علی قدمیه ثم قتل بین الصفا و المروة قتل مظلوماً ثمّ لم یوالک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یشمّ رائحة الجنّة و لم یدخلها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خدا را به مدت عمر حضرت نوح بندگی کند؛ و مثل کوه احد طلا داشته باشد؛ و در راه خدا انفاق کند، و به قدری عمر کند تا بتواند هزار بار با پای خود حج را به جا آورد؛ و بعد بین صفا و مروه به ناحق کشته شود؛ اما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بوی بهشت به مشام او نمی رسد و داخل بهشت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 خوارزم،بی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وآله وسلم از همان ابتدای دعوت پنهانی تأکید بر مسئله ولایت داشته، و قبل از هر چیزی حکم امامت و ولایت امام علی علیه السلام را بعد از امامت و ولایت خویش تنفیذ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جَمَعَ بَنِی عَبْدِ الْمُطَّلِبِ خَاصَّةً فِیهَا لِلْإِنْذَارِ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أَخِی وَ وَصِیِّی وَ وَزِیرِی وَ وَارِثِی وَ خَلِیفَتِی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یوم الدار كه مخصوصا فرزندان عبد المطلب را گردآورده بود؛ و آنان را از خشم خدا بیم می داد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وصى و وزیر و جانشین پس از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رسالت خویش نیز بارها و بارها بر این مهم تاکید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غدیرخم هم اتمام حجت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لحظات رحلت، قصد وصایت کتبی نمودند که با حاشیه رانی گفتمان غیر، مواجه شده و متهم به هذیان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204" w:name="__RefHeading___Toc1296766_2870459653"/>
      <w:bookmarkStart w:id="205" w:name="_Toc73"/>
      <w:bookmarkEnd w:id="204"/>
      <w:r>
        <w:rPr>
          <w:rtl w:val="true"/>
        </w:rPr>
        <w:t>گفتمان سلطنت</w:t>
      </w:r>
      <w:bookmarkEnd w:id="20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گفتمان ولایت، دو نظام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قائل به گفتمان سلطنت، کسانی بودند که سال های متمادی با گفتمان پیامبر اسلام صلی الله علیه وآله وسلم رقابت کردند؛ اما با وجود نفرات بیشتر و جنگ افزارهای نو و کارآمد و مرکب های زیاد، در مقابل نیروی انسانی و مرکب های بسیار کم اسلام و دست خالی آن ها، مدام شکست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هم به این موضوع اشاره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كَفَرُوا لَنْ تُغْنِیَ عَنْهُمْ أَمْوالُهُمْ وَ لا أَوْلادُهُمْ مِنَ اللَّهِ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ابوسفیان به عنوان یکی از افراد گفتمان سلطنت، 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06" w:name="pg8930_84795"/>
    </w:p>
    <w:p>
      <w:pPr>
        <w:pStyle w:val="BookText"/>
        <w:rPr/>
      </w:pPr>
      <w:bookmarkEnd w:id="206"/>
      <w:r>
        <w:rPr>
          <w:rFonts w:ascii="IRNazanin" w:hAnsi="IRNazanin" w:eastAsia="IRNazanin"/>
          <w:color w:val="111111"/>
          <w:sz w:val="28"/>
          <w:sz w:val="28"/>
          <w:szCs w:val="28"/>
          <w:rtl w:val="true"/>
          <w:lang w:bidi="fa-IR"/>
        </w:rPr>
        <w:t>کردار زبانی ابوسفیان در هنگام فتح مکه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یا أبا الفضل ملكا هكذا قطّ، لا ملك كسرى، و لا ملك بنى الأصفر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این است که در اذهان این بخش از اجتماع، ساختار و نظام معنایی پرستش ماسوی الله به طور کامل فرو ریخت، ولی در مقابل گفتمان پیامبر اسلام نیز در ذهنشان تثبیت نشد؛ بلکه به اصالت طبیعت، قدرت و لذت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دلیل مسلمان شدنشان نیز، نه ارادت به پیامبر اسلام صلی الله علیه وآله وسلم و گفتمان ولایی او بود؛ بلکه ارادت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زورق،</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جامعه مرتبط با اسلام، گفتمان دومی شکل گرفت که دال مرکزی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هنوز فرصت طرح و ظهور پیدا نکرده بود، گفتمانی نهفته ماند و تا زمان تأسیس امپراطوری اموی تبدیل به یک حزب مخفی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زورق،</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207" w:name="__RefHeading___Toc1296768_2870459653"/>
      <w:bookmarkStart w:id="208" w:name="_Toc74"/>
      <w:bookmarkEnd w:id="207"/>
      <w:r>
        <w:rPr>
          <w:rtl w:val="true"/>
        </w:rPr>
        <w:t>گفتمان خلافت</w:t>
      </w:r>
      <w:bookmarkEnd w:id="208"/>
    </w:p>
    <w:p>
      <w:pPr>
        <w:pStyle w:val="BookText"/>
        <w:rPr/>
      </w:pPr>
      <w:r>
        <w:rPr>
          <w:rFonts w:ascii="IRNazanin" w:hAnsi="IRNazanin" w:eastAsia="IRNazanin"/>
          <w:color w:val="111111"/>
          <w:sz w:val="28"/>
          <w:sz w:val="28"/>
          <w:szCs w:val="28"/>
          <w:rtl w:val="true"/>
          <w:lang w:bidi="fa-IR"/>
        </w:rPr>
        <w:t>از آن جا که اینطور نبود که همه ی مردم به محض اسلام آوردن کاملاً تغییر کنند، بلکه طبعاً در هر دو حوزه ی نظر و عمل، تلفیقی از اسلامی گری و اعرابی گری در وجود ایشان شکل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نُؤْمِنُ بِبَعْضٍ وَ نَكْفُرُ بِبَعْضٍ وَ یُریدُونَ أَنْ یَتَّخِذُوا بَیْنَ ذلِكَ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آن ها بر خلاف گفتمان ولایت، به پیامبرشان نه به چشم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نگریستند؛ بلکه وی را در چهارچوب زندگی عربی در حد یک حاکم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گاهی به جای عنوان رسول الله، وی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بَیْنَكُمْ كَدُعاءِ بَعْضِكُمْ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حال اکثریت جامعه این گونه بود، با رحلت پیامبر صلی الله علیه وآله وسلم این طیفِ اکثر، گفتمان ولایت و قائلان به آن را کنار زده و گفتمان دیگری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دالّ مرکزی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نشانه های آن نیز تلفیقی از ارزش های اسلامی و عربی بود، اتخاذ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 الحسین إلا فی یوم السقیفة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جریان سقیفه زمینه ساز و </w:t>
      </w:r>
    </w:p>
    <w:p>
      <w:pPr>
        <w:pStyle w:val="BookText"/>
        <w:rPr/>
      </w:pPr>
      <w:r>
        <w:rPr>
          <w:rFonts w:ascii="IRNazanin" w:hAnsi="IRNazanin" w:eastAsia="IRNazanin"/>
          <w:color w:val="111111"/>
          <w:sz w:val="28"/>
          <w:sz w:val="28"/>
          <w:szCs w:val="28"/>
          <w:rtl w:val="true"/>
          <w:lang w:bidi="fa-IR"/>
        </w:rPr>
        <w:t xml:space="preserve">سرآغاز انحراف ارزش ها از ولایت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تا بدین جا گفته شد، بیانی اجمالی در مورد ریشه تاریخی و تبارشناسانه ی تخاصم گفتمان حسینی و گفتمان یزیدی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حسینی همان گفتمان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اهل بیت علیه السلام قرآن ناطقند و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قرآن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نیز همسانی قرآن با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گویای انطباق کامل این دو با یکدیگر است، پس گفتمان حسینی در حقیقت همان گفتمان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گفتمان دیگر انبیای الهی نیز انطباق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اولاً گفتمان ولایی پیامبر اسلام صلی الله علیه وآله وسلم عینیت یافته بود، یعنی؛ جایگزینی گفتمانی دیگر به جای آن غیر ممکن به نظر می رسید و ثانیاً از آن جا که مردی به نام محمد توانسته بود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قبایل عرب را که دائم با یکدیگر در جنگ و خونریزی بودند، متحد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وحدت و قدرت به دست آمده در بین اعراب از صدقه ی سَر اسلام و گفتمان پیامبر بود، بدیهی است برای حفظ این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قدرت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بایست علت آن نیز حفظ شده و اگر علت از بین می رفت، قطعا معلول نیز کأن لم یکن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سلطنتی ها تمام دال های گفتمان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علنی کنار می گذاشتند، قدرتشان هم از دست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آن ها به اسلام شاهدی بر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خطبه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گفتمان ولایت در صدد کنار زدن پرده اسلام خواهی از چهره قدرت طلب گفتمان سلطنت بود؛ فلذا امام حسین علیه السلام در شرایط بیعت اجباری با گفتمان سلطنت به رهبری یزید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ولید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حسین بیعت نکرده از مدینه برود و اگربیعت نکرد او را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امام حسین علیه السلام از بیعت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لَا یُبَایِعُ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بر علت شد تا گفتمان سلطنت به جهت ضرورت حفظ لباس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حفظ قدرت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تخاصم با گفتمان ولایت و حاشیه رانی آن، در کنار دال اسلام طلبی گفتمان سلطنت، دال قدرت طلبی </w:t>
      </w:r>
    </w:p>
    <w:p>
      <w:pPr>
        <w:pStyle w:val="BookText"/>
        <w:rPr/>
      </w:pPr>
      <w:r>
        <w:rPr>
          <w:rFonts w:ascii="IRNazanin" w:hAnsi="IRNazanin" w:eastAsia="IRNazanin"/>
          <w:color w:val="111111"/>
          <w:sz w:val="28"/>
          <w:sz w:val="28"/>
          <w:szCs w:val="28"/>
          <w:rtl w:val="true"/>
          <w:lang w:bidi="fa-IR"/>
        </w:rPr>
        <w:t xml:space="preserve">گفتمان ولایت را نیز در نظام معنایی خویش مفصل بندی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زورق،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نهضت گفتمانی حسین بن علی علیه السلام نیز در راستای تبیین صورت اسلام خواه نظام ولایت و رسواسازی صورت قدرت طلب نظام سلطنت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این شرایط، در قالب کرداری غیر زبانی از مدینه ای که دشمن به آن مسلط شده بود؛ شبانه و پنهانی راهی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را که روزی پیامبر صلی الله علیه وآله وسلم شبانه و پنهانی از مکه به مدینه هجرت کرده بود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1361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معکوس به این معنا بود که نهضت گفتمانی پیامبر صلی الله علیه وآله وسلم به نقطه ی آغازین خود بازگشته است؛ و کفار سلطنت طلب دوباره به قدرت و لذت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منسوب به امام حسین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دین محمّد لم یستقم الاّ بقتلی فیاسیوف خذینی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محمد صلی الله علیه وآله وسلم جز با کشته شدن من استوار نمی ماند، پس ای شمشیرها مرا در بر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راسم نفیس،</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مدعاست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دست اجباری بیعت با گفتمان سلطنت، تا مکه هم کشیده شد و دیگر حرم امن الهی هم امن نبود، امام حسین علیه السلام با دعوت کوفیان، به سمت کربلا حرکت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مسیر خبر رسید که قلوب ایشان با توست؛ اما شمشیرشان علیه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النَّاسِ مَعَكَ وَ أَسْیَافُهُمْ عَلَیْك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تاریخی نشان از همان طیف اکثریت دارد که آمیزه ای از اسلام و عرب بودند و خود و خدا را با هم می خواستند؛ و اگر این دو مقابل هم قرار می گرفت، خود را بر می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زورق،</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 بن عقیل را تنها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منفرد،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منفرد،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هانی بن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معنی کمر بستن به قتل عام گفتمان ولایت و محکم کردن پایه های گفتمان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معاویه در کرداری زبانی، وعده به حاشیه رانی گفتمان ولایت داده و گفته بود که تا نام محمّد را از بالاى مأذنه ها پائین نیاورم و دفن نكنم از پاى نمى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أخا هاشم یصرخ به فى كلّ یوم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فأىّ عمل یبقى مع هذا؟ لا امّ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إلاّ دفنا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bookmarkStart w:id="209" w:name="pg8930_84798"/>
    </w:p>
    <w:p>
      <w:pPr>
        <w:pStyle w:val="BookText"/>
        <w:rPr/>
      </w:pPr>
      <w:bookmarkEnd w:id="209"/>
      <w:r>
        <w:rPr>
          <w:rFonts w:ascii="IRNazanin" w:hAnsi="IRNazanin" w:eastAsia="IRNazanin"/>
          <w:color w:val="111111"/>
          <w:sz w:val="28"/>
          <w:sz w:val="28"/>
          <w:szCs w:val="28"/>
          <w:rtl w:val="true"/>
          <w:lang w:bidi="fa-IR"/>
        </w:rPr>
        <w:t xml:space="preserve">طهرانی،بی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نیز در این راستا، کمر همت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کفریات او در اشعارش گواه بر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البکاءللحسین،</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هم باید لباس اسلام حفظ می شد تا قدرت ماندگار شود و هم این که همان اسلام با قرائت حسین بن علی علیه السلام مانع وصول سلطنتی ها به مقاصدشان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تنها چاره قتل حسین با شمشیر اسلام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الحسین لم یقتل إلاّ بسیف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به استناد حکم شرعی، حسین بن علی علیه السلام را سر بریدند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حسین بن علی بن ابی طالب لقد شق عصا المسلمین، و خالف امیرالمؤمنین و خرج عن الدین ثبت و حقق عندی قضیت و حكمت بدفعه و قتله حفظا لشریعت سیدالمرسلین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كه حسین بن علی بن ابی طالب، اركان اسلام و مسلمین را شكسته و بر هم ریخته و با امیرالمؤمنین مخالفت كرده و از دین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ثابت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 كنم و حكم می دهم به محاربه و جنگ او و نیز بر قتلش برای حفظ شریعت پیغمبر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برهه از تاریخ بود که دو گفتمان سلطنت و ولایت تمام قد در برابر یکدیگر ایستادند و با دو چهره ی گفتمان حسینی و یزیدی جلوه نمایی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نزاع بر سر تعریف دال های اسلامی و نزدیک کردن آن به دال مرکزی در هر گفتمان موضوع روز جامعه و جدال افراد قرار گرفت که تفصیل آن در ادامه می آید</w:t>
      </w:r>
      <w:r>
        <w:rPr>
          <w:rFonts w:eastAsia="IRNazanin" w:cs="IRNazanin"/>
          <w:color w:val="111111"/>
          <w:sz w:val="28"/>
          <w:szCs w:val="28"/>
          <w:rtl w:val="true"/>
          <w:lang w:bidi="fa-IR"/>
        </w:rPr>
        <w:t>.</w:t>
      </w:r>
    </w:p>
    <w:p>
      <w:pPr>
        <w:pStyle w:val="Heading3"/>
        <w:numPr>
          <w:ilvl w:val="2"/>
          <w:numId w:val="1"/>
        </w:numPr>
        <w:rPr/>
      </w:pPr>
      <w:bookmarkStart w:id="210" w:name="__RefHeading___Toc1296770_2870459653"/>
      <w:bookmarkStart w:id="211" w:name="_Toc75"/>
      <w:bookmarkEnd w:id="210"/>
      <w:r>
        <w:rPr>
          <w:rtl w:val="true"/>
        </w:rPr>
        <w:t>تعریف گفتمان ولایت از ارزش های اسلامی</w:t>
      </w:r>
      <w:bookmarkEnd w:id="21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گذشت، در گفتمان های متخاصم با گفتمان ولایت، سعی در حفظ و رعایت ظواهر اسلام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بدعت می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کتاب صلاه التراویح،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دادن بدعت، از واژگان دینی حرام و حلال وام گرفته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طهرانی،بی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بود که در گفتمان پیامبر صلی الله علیه وآله وسلم با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مرجع، مفسر و مبیّن تعالیم دین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إِلَیْكَ الذِّكْرَ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ودیگران حق </w:t>
      </w:r>
      <w:bookmarkStart w:id="212" w:name="pg8930_84799"/>
    </w:p>
    <w:p>
      <w:pPr>
        <w:pStyle w:val="BookText"/>
        <w:rPr/>
      </w:pPr>
      <w:bookmarkEnd w:id="212"/>
      <w:r>
        <w:rPr>
          <w:rFonts w:ascii="IRNazanin" w:hAnsi="IRNazanin" w:eastAsia="IRNazanin"/>
          <w:color w:val="111111"/>
          <w:sz w:val="28"/>
          <w:sz w:val="28"/>
          <w:szCs w:val="28"/>
          <w:rtl w:val="true"/>
          <w:lang w:bidi="fa-IR"/>
        </w:rPr>
        <w:t>قانون گذاری و تشریع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فلسفه ارسال نبی و انتصاب ولیّ نیز قرائت صحیح از آیات، نشانه ها و دال های هدایت، کمال و هویت یابی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های معنایی گفتمان خلافت و سلطنت برای حفظ ظاهر، بسیاری از ارزش های اسلامی مصادره و مفصل بندی شد؛ و مفسر و معلّم آن به حاشیه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است دال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 و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تاسیس نظام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جزو کردارهای هر دو گفتمان به حساب می آمده و شناور بین هر دو بوده است، با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و از این طریق حد تخاصم آن ها با گفتمان رقیب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 برای مثال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کردارهای هر دو گفتمان بوده است؛ چه تفاوتی بین نماز گفتمان ولایت و سلطنت بوده است که امام حسین علیه السلام برای اقامه نماز قیام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قَدْ اَقَمْتَ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همانا برای اقامه نماز قیام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Heading3"/>
        <w:numPr>
          <w:ilvl w:val="2"/>
          <w:numId w:val="1"/>
        </w:numPr>
        <w:rPr/>
      </w:pPr>
      <w:bookmarkStart w:id="213" w:name="__RefHeading___Toc1296772_2870459653"/>
      <w:bookmarkStart w:id="214" w:name="_Toc76"/>
      <w:bookmarkEnd w:id="213"/>
      <w:r>
        <w:rPr>
          <w:rtl w:val="true"/>
        </w:rPr>
        <w:t>ولی الله محور ارزش های اسلامی</w:t>
      </w:r>
      <w:bookmarkEnd w:id="21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جوادی آملی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اقدس اله در این حدیث قدسی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تَقَرَّبَ إِلَیَّ عَبْدٌ بِشَیْ ءٍ أَحَبَّ إِلَیَّ مِمَّا افْتَرَضْتُ عَلَیْهِ وَ إِنَّهُ لَیَتَقَرَّبُ إِلَیَّ بِالنَّافِلَةِ حَتَّى أُحِبَّهُ فَإِذَا أَحْبَبْتُهُ كُنْتُ سَمْعَهُ الَّذِی یَسْمَعُ بِهِ وَ بَصَرَهُ الَّذِی یُبْصِرُ بِهِ وَ لِسَانَهُ الَّذِی یَنْطِقُ بِهِ وَ یَدَهُ الَّتِی یَبْطِشُ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به چیزى به من تقرب نجوید، كه نزد من محبوب تر از آن چه بر او واجب كرده ام باشد و همانا او به وسیله نماز نافله به من نزدیك شود، تا آن جا كه من او را دوست بدارم، و هنگامى كه او را دوست بدارم گوش او شوم، همان گوشى كه با آن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او گردم، همان چشمى كه با آن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زبانش شوم، همان زبانى كه با آن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او گردم، همان دستى كه با آن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قرب نوافل، قرب فرایض است که مفاد برخی از احادیث و از جمله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الْأَوَّلُ وَ أَنَا الْآخِرُ وَ أَنَا الْبَاطِنُ وَ أَنَا الظَّاهِرُ وَ أَنَا بِكُلِّ شَیْ ءٍ عَلِیمٌ وَ أَنَا عَیْنُ اللَّهِ وَ أَنَا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bookmarkStart w:id="215" w:name="pg8930_84800"/>
    </w:p>
    <w:p>
      <w:pPr>
        <w:pStyle w:val="BookText"/>
        <w:rPr/>
      </w:pPr>
      <w:bookmarkEnd w:id="215"/>
      <w:r>
        <w:rPr>
          <w:rFonts w:ascii="IRNazanin" w:hAnsi="IRNazanin" w:eastAsia="IRNazanin"/>
          <w:color w:val="111111"/>
          <w:sz w:val="28"/>
          <w:sz w:val="28"/>
          <w:szCs w:val="28"/>
          <w:rtl w:val="true"/>
          <w:lang w:bidi="fa-IR"/>
        </w:rPr>
        <w:t>شهرآشوب،</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شریف توحید از علی علیه السلام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عِلْمُ اللَّهِ وَ أَنَا قَلْبُ اللَّهِ الْوَاعِی وَ لِسَانُ اللَّهِ النَّاطِقُ وَ عَیْنُ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علم خدا و منم قلب واعى خدا، یعنى دل خدا كه حافظ و نگاهدارنده است و زبان گویاى خدا و چشم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قرب نوافل، عبد، کلام صحیح را با زبان خدا بیان می کند و دیدنی ها را با دیده ی الهی می بیند؛ در قرب فرایض عبد عین الله، یدالله و قدرت الله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بیانگر قرب فرایض نشان می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مقام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کاری را با مجاری علمی و عملی انسان کامل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او سخن می گوید و به چشم او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Heading3"/>
        <w:numPr>
          <w:ilvl w:val="2"/>
          <w:numId w:val="1"/>
        </w:numPr>
        <w:rPr/>
      </w:pPr>
      <w:bookmarkStart w:id="216" w:name="__RefHeading___Toc1296774_2870459653"/>
      <w:bookmarkStart w:id="217" w:name="_Toc77"/>
      <w:bookmarkEnd w:id="216"/>
      <w:r>
        <w:rPr>
          <w:rtl w:val="true"/>
        </w:rPr>
        <w:t xml:space="preserve">تفاوت تعریف </w:t>
      </w:r>
      <w:r>
        <w:rPr>
          <w:rtl w:val="true"/>
        </w:rPr>
        <w:t>«</w:t>
      </w:r>
      <w:r>
        <w:rPr>
          <w:rtl w:val="true"/>
        </w:rPr>
        <w:t>نماز</w:t>
      </w:r>
      <w:r>
        <w:rPr>
          <w:rtl w:val="true"/>
        </w:rPr>
        <w:t xml:space="preserve">» </w:t>
      </w:r>
      <w:r>
        <w:rPr>
          <w:rtl w:val="true"/>
        </w:rPr>
        <w:t>در دو گفتمان حسینی و یزیدی</w:t>
      </w:r>
      <w:bookmarkEnd w:id="217"/>
    </w:p>
    <w:p>
      <w:pPr>
        <w:pStyle w:val="BookText"/>
        <w:rPr/>
      </w:pPr>
      <w:r>
        <w:rPr>
          <w:rFonts w:ascii="IRNazanin" w:hAnsi="IRNazanin" w:eastAsia="IRNazanin"/>
          <w:color w:val="111111"/>
          <w:sz w:val="28"/>
          <w:sz w:val="28"/>
          <w:szCs w:val="28"/>
          <w:rtl w:val="true"/>
          <w:lang w:bidi="fa-IR"/>
        </w:rPr>
        <w:t xml:space="preserve">عملی که بنده را به خدا نزدیک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کننده ی او نامیده می شود؛ مانند نماز که درباره ی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كُلِّ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بهترین راه تقرّب هر متّقى به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آن چه که گفته شد، اگر کسی در قرب نوافل، می 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الله باشد، می بایست صدای خویش را از مجاری ادراکی و تحریکی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أُذُنُهُ السَّامِعَة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کامل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حق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در این نوع نگاه نه تنها نمازِ گفتمان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ولایت قُربی نخواهد داشت، بلکه ویل الهی بر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صَلَاتهِمْ سَاهُونَ</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کشف می شود که مراد از اقامه نماز در گفتمان حسینی، شکل صوری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مخالفان امام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رعایت حفظ صورت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اقامه نمازی بوده است که ولی الله در اخذ و وصول آن به مقصد و عروج مصلّی به معراج، نقش کانونی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صلات،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مشعر به وصل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نمی شود مگر به وساطت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واصلِ حقیقیِ مصلِّی به مصلَّی، ولایتِ ولی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برخی روایات مستقیماً از وی و ولایت او تعبیر به صلات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صَلَاةُ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أَقَامَ وَلَایَتِی فَقَدْ أَقَامَ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اقامه ولایت مرا كرده باشد، نماز را به پاى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ملاک ارزشمندی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باور، فهم و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وصول صدا و کردار 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طهارت و مقدمات نماز او گرفته تا سلام و تعقیبات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مجاری ادراکی و تحریکی ولی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شفاف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مجرای ادراک و تحریک حق تعالی در استماع نوای همه مصلّین عالم است و اگر مصلّی نداند که باید از چه کانالی خداوند را صدا بزند، قطعا نوای وی واصل نشده و راهیِ بی راهه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وقتی أبو ثمامة الصیداوی از یاران حضرت، در ظهر عاشورا خطاب به ولیّ خدا که در مقام استماع صدای مصلین و کانال وصول نماز آن ها به الله است و قطعا چنین کسی در وقت نماز دچار نسیان نخواهد شد، متذکر وقت نماز می شود، امام در پاسخی کنایی برای وی دعا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 الصلاة جعلك اللّه من المصلّین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یادآوری کردی، خدا تو را از نمازگزاران محسوب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اخطب خوارزم، بی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او علی الظاهر در دایره مصلین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روشن می شود که قرائت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محصور در شکل صوری آن نبوده، بلکه کسی را مصلّی حقیقی می دانسته که باور به وساطت ولی الله در سمع و نظر و وصول عبادتِ عابد به معبود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بالحقیقة حب علی، إن الصلاة هی الصلة باللّه، و لا صلة للعبد بعفو الرب و رحمته و جواره إلّا بحب علی، فمن أقام حب علی فقد أقام الصلاة، و كل صلاة غیرها من المكتوبة المشروعة إذا لم یكن معها الولایة فهی مجاز، لا بل ضلال و وبال، لأنه قد عبد اللّه بغیر ما أمر، فهو ضال فی سلوكه، عاص فی طاعته، معاقب فی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برسی،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باقر </w:t>
      </w:r>
      <w:bookmarkStart w:id="218" w:name="pg8930_84802"/>
    </w:p>
    <w:p>
      <w:pPr>
        <w:pStyle w:val="BookText"/>
        <w:rPr/>
      </w:pPr>
      <w:bookmarkEnd w:id="218"/>
      <w:r>
        <w:rPr>
          <w:rFonts w:ascii="IRNazanin" w:hAnsi="IRNazanin" w:eastAsia="IRNazanin"/>
          <w:color w:val="111111"/>
          <w:sz w:val="28"/>
          <w:sz w:val="28"/>
          <w:szCs w:val="28"/>
          <w:rtl w:val="true"/>
          <w:lang w:bidi="fa-IR"/>
        </w:rPr>
        <w:t>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أَنَّ رَجُلًا قَامَ لَیْلَهُ وَ صَامَ نَهَارَهُ وَ تَصَدَّقَ بِجَمِیعِ مَالِهِ وَ حَجَّ جَمِیعَ دَهْرِهِ وَ لَمْ یَعْرِفْ وَلَایَةَ وَلِیِّ اللَّهِ فَیُوَالِیَهُ وَ یَكُونَ جَمِیعُ أَعْمَالِهِ بِدَلَالَتِهِ إِلَیْهِ مَا كَانَ لَهُ عَلَى اللَّهِ جَلَّ وَ عَزَّ حَقٌّ فِی ثَوَابِهِ وَ لَا كَانَ مِنْ أَهْلِ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اگر مردى شب ها را به عبادت به پا خیزد و روزها را روزه دارد و تمام اموالش را صدقه دهد و در تمام دوران عمرش به حج رود و امر ولایت ولى خدا را نشناسد تا از او پیروى كند و تمام اعمالش با راهنمائى او باشد، براى او از ثواب خداى عز و جل حقى نیست و او از اهل ایمان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حبل اتصال به درستی انتخاب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یا همان واصلِ لقاءالله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اقامه آن را داشت، اقامه باور به واسطه گری ولیّ در رساندن نماز خلق به خالق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فضای گفتمانی قیام نیز ظهور تخاصم مستقیم حکومت با این واسطه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تستحلّون دمی؟ أجابوه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بغضا لأبیك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ریختن خون مرا مباح مى دانید؟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بغض پدرت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خویی،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معنا از اقامه صلات است</w:t>
      </w:r>
      <w:r>
        <w:rPr>
          <w:rFonts w:eastAsia="IRNazanin" w:cs="IRNazanin"/>
          <w:color w:val="111111"/>
          <w:sz w:val="28"/>
          <w:szCs w:val="28"/>
          <w:rtl w:val="true"/>
          <w:lang w:bidi="fa-IR"/>
        </w:rPr>
        <w:t>.</w:t>
      </w:r>
    </w:p>
    <w:p>
      <w:pPr>
        <w:pStyle w:val="Heading3"/>
        <w:numPr>
          <w:ilvl w:val="2"/>
          <w:numId w:val="1"/>
        </w:numPr>
        <w:rPr/>
      </w:pPr>
      <w:bookmarkStart w:id="219" w:name="__RefHeading___Toc1296776_2870459653"/>
      <w:bookmarkStart w:id="220" w:name="_Toc78"/>
      <w:bookmarkEnd w:id="219"/>
      <w:r>
        <w:rPr>
          <w:rtl w:val="true"/>
        </w:rPr>
        <w:t xml:space="preserve">تفاوت تعریف </w:t>
      </w:r>
      <w:r>
        <w:rPr>
          <w:rtl w:val="true"/>
        </w:rPr>
        <w:t>«</w:t>
      </w:r>
      <w:r>
        <w:rPr>
          <w:rtl w:val="true"/>
        </w:rPr>
        <w:t>زکات</w:t>
      </w:r>
      <w:r>
        <w:rPr>
          <w:rtl w:val="true"/>
        </w:rPr>
        <w:t xml:space="preserve">» </w:t>
      </w:r>
      <w:r>
        <w:rPr>
          <w:rtl w:val="true"/>
        </w:rPr>
        <w:t>در دو گفتمان حسینی و یزیدی</w:t>
      </w:r>
      <w:bookmarkEnd w:id="22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قرائت گفتمان ولایت،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الزَّكَاةَ جُعِلَتْ مَعَ الصَّلَاةِ قُرْبَاناً لِأَهْلِ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را نیز مانند نماز وسیله تقرّب مسلمانان به خداوند قرار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منجر به پاکی مال و جان نمی شود، مگر از مجاری ادراکی و تحریکی ولیّ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زیارت نامه حضرت سیدالشهدا علیه 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قَدْ أَقَمْتَ الصَّلَاةَ وَ آتَیْتَ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همانا برای اقامه نماز و زکات قیام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 جامعه آن روز زکات پرداخت می شده است، پس روشن می گردد که تعریف گفتمان حسینی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قصد اقامه آن را داشته، آن زکاتی بوده است که در سایه سار نظام ولایت و با اعتقاد به آن و برای فرّ دولت ولی الله پرداخت شود نه نظام سلطنت؛ که در این صورت نمی توان بر این واریز پول </w:t>
      </w:r>
      <w:bookmarkStart w:id="221" w:name="pg8930_84803"/>
    </w:p>
    <w:p>
      <w:pPr>
        <w:pStyle w:val="BookText"/>
        <w:rPr/>
      </w:pPr>
      <w:bookmarkEnd w:id="221"/>
      <w:r>
        <w:rPr>
          <w:rFonts w:ascii="IRNazanin" w:hAnsi="IRNazanin" w:eastAsia="IRNazanin"/>
          <w:color w:val="111111"/>
          <w:sz w:val="28"/>
          <w:sz w:val="28"/>
          <w:szCs w:val="28"/>
          <w:rtl w:val="true"/>
          <w:lang w:bidi="fa-IR"/>
        </w:rPr>
        <w:t>عنوان زکات را اطلاق نمود</w:t>
      </w:r>
      <w:r>
        <w:rPr>
          <w:rFonts w:eastAsia="IRNazanin" w:cs="IRNazanin"/>
          <w:color w:val="111111"/>
          <w:sz w:val="28"/>
          <w:szCs w:val="28"/>
          <w:rtl w:val="true"/>
          <w:lang w:bidi="fa-IR"/>
        </w:rPr>
        <w:t>.</w:t>
      </w:r>
    </w:p>
    <w:p>
      <w:pPr>
        <w:pStyle w:val="Heading3"/>
        <w:numPr>
          <w:ilvl w:val="2"/>
          <w:numId w:val="1"/>
        </w:numPr>
        <w:rPr/>
      </w:pPr>
      <w:bookmarkStart w:id="222" w:name="__RefHeading___Toc1296778_2870459653"/>
      <w:bookmarkStart w:id="223" w:name="_Toc79"/>
      <w:bookmarkEnd w:id="222"/>
      <w:r>
        <w:rPr>
          <w:rtl w:val="true"/>
        </w:rPr>
        <w:t xml:space="preserve">تفاوت تعریف </w:t>
      </w:r>
      <w:r>
        <w:rPr>
          <w:rtl w:val="true"/>
        </w:rPr>
        <w:t>«</w:t>
      </w:r>
      <w:r>
        <w:rPr>
          <w:rtl w:val="true"/>
        </w:rPr>
        <w:t>معروف</w:t>
      </w:r>
      <w:r>
        <w:rPr>
          <w:rtl w:val="true"/>
        </w:rPr>
        <w:t xml:space="preserve">» </w:t>
      </w:r>
      <w:r>
        <w:rPr>
          <w:rtl w:val="true"/>
        </w:rPr>
        <w:t>در دو گفتمان حسینی و یزیدی</w:t>
      </w:r>
      <w:bookmarkEnd w:id="223"/>
    </w:p>
    <w:p>
      <w:pPr>
        <w:pStyle w:val="BookText"/>
        <w:rPr/>
      </w:pPr>
      <w:r>
        <w:rPr>
          <w:rFonts w:ascii="IRNazanin" w:hAnsi="IRNazanin" w:eastAsia="IRNazanin"/>
          <w:color w:val="111111"/>
          <w:sz w:val="28"/>
          <w:sz w:val="28"/>
          <w:szCs w:val="28"/>
          <w:rtl w:val="true"/>
          <w:lang w:bidi="fa-IR"/>
        </w:rPr>
        <w:t xml:space="preserve">همچنین تعریف ارزش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گفتمان مذکور، مخصوصاً در فضای تخاصم گفتمانی محدوده قیام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در قرائت گفتمان ولایت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و ولایت او در قرائت گفتمان سلطنت است؛ به عنوان نمونه از سیاست های کلی و بنیادی و از مصادیق اعظم امر به معروف در گفتمان سلطنت،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معاویة بن أبی سفیان سعدا فقال ما منعك أن تسب أبا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نیشابوری،مسلم، بی تا، کتاب فضایل الصحابه، باب فضایل علی بن ابی طالب علیه السلام، ح </w:t>
      </w:r>
      <w:r>
        <w:rPr>
          <w:rFonts w:eastAsia="IRNazanin" w:cs="IRNazanin"/>
          <w:color w:val="111111"/>
          <w:sz w:val="28"/>
          <w:szCs w:val="28"/>
          <w:lang w:bidi="fa-IR"/>
        </w:rPr>
        <w:t>2404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ولی الله از دین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حسین بن علی بن ابی طالب لقد شق عصا المسلمین، و خالف امیرالمؤمنین و خرج عن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حسین بن على بن ابى طالب اركان اسلام و مسلمین را شق و شكسته و بر هم ریخته و با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كرده و از دین خارج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ذهنیت اجتماع به ضد ولی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جصّاص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مرا برای تعمیر دارالاماره نزد خود خواند و من سرگرم سفیدکاری بودم که ناگهان فریادهایی را از دور شنیدم، از خدمت کاری که نزد ما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که کوفه را پر از فریاد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سرِ یک خارجی را که بر یزید شوریده است،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نظری منفرد،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ولایت، که امام حسین علیه السلام برای امر به آن قیام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أَنَّكَ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به ولایت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علیه السلام ذیل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یَأْمُرُهُمْ بِالْمَعْرُوفِ وَ یَنْهاهُمْ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انکار فضل امام نموده و قائل به امامت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اقرار به فضل امام نموده و قائل به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در تفسیر البرهان نیز ذیل این آیه از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یَأْمُرُهُمْ بِالْمَعْرُوفِ وَ یَنْهاهُمْ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اکرم امت خود را به تصدیق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به جمیع احکام است، سفارش می کند و مردم را از انکار فضل و برتری او بر دیگران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قرآن در مورد افرادی که قصد قتل ولی الله را داشتند،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یَأْمُرُونَ بِالْمُنْكَرِ وَ یَنْهَوْنَ عَنِ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ساکی،</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معروف و منکر در آموزه های اسلامی، در دیدگاه آنان جابه جا بود و لذا امر و نهی خلاف داشتند ،یعنی؛ امر به مخالفت با ولیّ الله نموده و نقشه قتل وی را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و معیت با ولیّ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گفتمان ولایت، تعبیر کردن ولایت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سنخ تعبیر اخلاق نیکو و صداقت و 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طور نیست که ولایت، بیان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دیگر مصادیق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تعبیر ولایت به معروف، علاوه بر این که از باب نزدیک کردن انسان به ولی الله است، بن مایه و ریشه تمامی نیکی های عالم را نیز صدقه ی سر ولایت دانسته است که اگر در آن نیکی ها خلأ ولایت باشد، نمی توان به آن ها عنوان معروف را اطلاق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اعمال به ظاهر معروف بوسیله خداوند، گواه بر این مدعاست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 اللّه صلّى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یَوْمَ الْقِیَامَةِ أَیْنَ مُحِبُّو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قَوْمٌ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فَیَقُومُونَ مُقْتَصِدُونَ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قَوْمٌ ظَالِمُونَ لِأَنْفُسِهِمْ مُعْتَدُونَ عَلَیْهَا فَیُقَالُ أَیْنَ الْمُبْغِضُونَ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فَیُؤْتَى بِهِمْ جَمٌّ غَفِیرٌ وَ عَدَدٌ عَظِیمٌ كَثِیرٌ فَیُقَالُ أَلَا نَجْعَلُ كُلَّ أَلْفٍ مِنْ هَؤُلَاءِ فِدَاءً لِوَاحِدٍ مِنْ مُحِبِّی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لِیَدْخُلُوا الْجَنَّة فَیُنَجِّی اللَّهُ عَزَّ وَ جَلَّ مُحِبِّیكَ وَ یَجْعَلُ أَعْدَاءَهُمْ فِدَاءَهُمْ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فرا رسد ندا کننده ای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علی علیه السلام کجا هستند؟ گروهی از صالحین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متوسطند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و سئیات آنها مساوی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با ارتکاب معاصی و گناه به خود ظلم کرده اند بر می خیزند، سپس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علی علیه السلام کجا هستند؟ جمعیت بسیاری برخیزند، ندا رسد هر هزار نفر از این ها را در </w:t>
      </w:r>
      <w:bookmarkStart w:id="224" w:name="pg8930_84805"/>
    </w:p>
    <w:p>
      <w:pPr>
        <w:pStyle w:val="BookText"/>
        <w:rPr/>
      </w:pPr>
      <w:bookmarkEnd w:id="224"/>
      <w:r>
        <w:rPr>
          <w:rFonts w:ascii="IRNazanin" w:hAnsi="IRNazanin" w:eastAsia="IRNazanin"/>
          <w:color w:val="111111"/>
          <w:sz w:val="28"/>
          <w:sz w:val="28"/>
          <w:szCs w:val="28"/>
          <w:rtl w:val="true"/>
          <w:lang w:bidi="fa-IR"/>
        </w:rPr>
        <w:t>مقابل یکی از دوستان علی علیه السلام قرار دهید و اعمال خوب آن ها را به اعمال دوستان علی علیه السلام اضافه کنید و وقتی که چنین کنند آن ها از آتش نجات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أَبْغِضْ بَغِیضَ آلِ مُحَمَّدٍ وَ إِنْ كَانَ صَوَّاماً قَوَّاماً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دشمنانآل محمد دشمنى كن، اگر چه روزه دار و نمازگزار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آملی،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اسلام صلی الله علیه وآله وسلم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عَلِیٍّ سَیِّئَةٌ لَا یَنْفَعُ مَعَهَا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رسول اکرم صلی الله علیه وآله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لَوْ عَمِلَ أَحَدُكُمْ عَمَلَ سَبْعِینَ نَبِیّاً لَمْ یَدْخُلِ الْجَنَّةَ حَتَّى یُحِبَّ هَذَا أَخِی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جانم در دست اوست؛ اگر یكى از شما عمل هفتاد پیامبر را انجام دهد داخل بهشت نمی شود؛ مگر این كه دوست داشته باشد این برادرم على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3"/>
        <w:numPr>
          <w:ilvl w:val="2"/>
          <w:numId w:val="1"/>
        </w:numPr>
        <w:rPr/>
      </w:pPr>
      <w:bookmarkStart w:id="225" w:name="__RefHeading___Toc1296780_2870459653"/>
      <w:bookmarkStart w:id="226" w:name="_Toc80"/>
      <w:bookmarkEnd w:id="225"/>
      <w:r>
        <w:rPr>
          <w:rtl w:val="true"/>
        </w:rPr>
        <w:t xml:space="preserve">تفاوت تعریف </w:t>
      </w:r>
      <w:r>
        <w:rPr>
          <w:rtl w:val="true"/>
        </w:rPr>
        <w:t>«</w:t>
      </w:r>
      <w:r>
        <w:rPr>
          <w:rtl w:val="true"/>
        </w:rPr>
        <w:t>منکَر</w:t>
      </w:r>
      <w:r>
        <w:rPr>
          <w:rtl w:val="true"/>
        </w:rPr>
        <w:t xml:space="preserve">» </w:t>
      </w:r>
      <w:r>
        <w:rPr>
          <w:rtl w:val="true"/>
        </w:rPr>
        <w:t>در دو گفتمان حسینی و یزیدی</w:t>
      </w:r>
      <w:bookmarkEnd w:id="22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قرینه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گفتمان حسینی که از آن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أَنَّكَ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های متخاصم با گفتمان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عَدُوُّنَا فِی كِتَابِ اللَّهِ عَزَّ وَ جَلَّ الْفَحْشَاءُ وَ الْمُنْكَرُ وَ الْبَغْیُ وَ الْخَمْرُ وَ الْمَیْسِرُ وَ الْأَنْصَابُ وَ الْأَزْلَامُ وَ الْأَصْنَامُ وَ الْأَوْثَانُ وَ الْجِبْتُ وَ الطَّاغُوتُ وَ الْمَیْتَةُ وَ الدَّمُ وَ لَحْمُ الْخِنْزِیر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ما در قرآن فحشا و منكر یعنى خمر، میسر، انصاب، ازلام، اصنام، اوثان، جبت، طاغوت، مردار، خون و لحم خنزیرند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منکراتند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قرائت، اصل منکر، تخاصم و دوری از ولایت است، یعنی؛ علاوه بر این که وصف گناهان به منکر از باب دور کردن انسان از ولی الله است، ریشه تمامی منکرات نیز خلأ ولایت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مثال بر این ادعا روایتی است از امام علی علیه السلام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عمر نهى عن المتعة ما زنى إلا 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خلیفه دوم از متعه نهی نکرده بود هیچ زن و مردی زنا نمی کرد مگر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پیامبر صلی الله علیه وآله وسلم قبل از رحلتشان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لامّتی اثنا عشر إمام ضلالة كلّهم ضال مضلّ، عشرة من بنی أمیّة و رجلان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جمیع الاثنی عشر و ما أضلّوا فی أعناقهما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دوازده خلیفه و حاكم خواهند داشت كه جملگى گمراه و گمراه كننده اند، ده نفر ایشان از بنی امیّه و دو نفرشان از قریش است، و بار گناه تمامى این ده نفر بر دوش همان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را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است که امر به معروف و نهی از منکرِ امام حسین علیه السلام متوجه نیکوکاران جامعه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نظری منفرد،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 در حالی که آن ها انسان های عابد و زاهد و نیکوکاری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امام از این امر و نهی، نه شکل صوری معروف و منکر، بلکه ستون تحقق ساختمان آن ،یعنی؛ ولایت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شَیْ ءٍ أَسَاسٌ وَ أَسَاسُ الْإِسْلَامِ 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چیزى اساسى دارد و اساس اسلام دوستى ما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بِمُوَالاتِكُمْ تُقْبَلُ الطَّاعَةُ الْمُفْتَرَضَةُ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دوستی و ولایت شما، عبادت واجب در نزد خداوند پذیرفته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خیلی از عابدان و زاهدان و نیکوکاران عصر قیام، به دلیل عدم همراهی با ولی الله مرتکب منکر بودند و برخی از یاران امام حسین علیه السلام که سِبقه ی گناهان کبیره داشتند به دلیل توبه و همراهی با امام عامل به معروف شدند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ارزش های اسلامی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تاسیس نظام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گفتمان حسینی با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مرتبط با ولایت مفصل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 در کتاب تأویل الآیات از داود بن کثیر، برادر رضاعی امام صادق علیه السلام نقل می کند که از امام صادق علیه السلام سوال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الصَّلَاةُ فِی كِتَابِ اللَّهِ عَزَّ وَ جَلَّ وَ أَنْتُمُ الزَّكَاةُ وَ أَنْتُمُ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قرآن نماز هستید و شما زكات و حج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پاسخ ضمن تأیید این مطلب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الصَّلَاةُ فِی كِتَابِ اللَّهِ عَزَّ وَ جَلَّ وَ نَحْنُ الزَّكَاةُ وَ نَحْنُ الصِّیَامُ وَ نَحْنُ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bookmarkStart w:id="227" w:name="pg8930_84807"/>
    </w:p>
    <w:p>
      <w:pPr>
        <w:pStyle w:val="BookText"/>
        <w:rPr/>
      </w:pPr>
      <w:bookmarkEnd w:id="227"/>
      <w:r>
        <w:rPr>
          <w:rFonts w:ascii="IRNazanin" w:hAnsi="IRNazanin" w:eastAsia="IRNazanin"/>
          <w:color w:val="111111"/>
          <w:sz w:val="28"/>
          <w:sz w:val="28"/>
          <w:szCs w:val="28"/>
          <w:rtl w:val="true"/>
          <w:lang w:bidi="fa-IR"/>
        </w:rPr>
        <w:t>قرآن نماز و زكات، روزه و حج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الشَّهْرُ الْحَرَامُ وَ نَحْنُ الْبَلَدُ الْحَرَامُ وَ نَحْنُ كَعْبَةُ اللَّهِ وَ نَحْنُ قِبْلَةُ اللَّهِ وَ نَحْنُ وَجْهُ اللَّهِ قَالَ اللَّهُ تَعَالَى فَأَیْنَما تُوَلُّوا فَثَمَّ وَجْهُ اللَّهِ وَ نَحْنُ الْآیَاتُ وَ نَحْنُ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ماه حرام و شهر حرام و كعبه و قبله و وجه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و بینات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كَنَّى عَنْ أَسْمَائِنَا بِأَحْسَنِ الْأَسْمَاءِ وَ أَحَبِّهَا إِلَیْهِ وَ سَمَّى أَضْدَادَنَا وَ أَعْدَاءَنَا فِی كِتَابِهِ وَ كَنَّى عَنْ أَسْمَائِهِمْ وَ ضَرَبَ لَهُمُ الْأَمْثَالَ فِی كِتَابِهِ فِی أَبْغَضِ الْأَسْمَاءِ إِلَیْهِ وَ إِلَى عِبَادِهِ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كتاب خود نام برد و از نام هاى ما به بهترین چیزها كه دوست داشت كنایه آورد و دشمنانو مخالفین ما را نیز در كتاب خود به كنایه نام برد به نام هاى بدترین چیزها در نزد خودش و نزد بندگان پرهیزگارش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228" w:name="__RefHeading___Toc1296782_2870459653"/>
      <w:bookmarkStart w:id="229" w:name="_Toc81"/>
      <w:bookmarkEnd w:id="228"/>
      <w:r>
        <w:rPr>
          <w:rtl w:val="true"/>
        </w:rPr>
        <w:t>نتیجه</w:t>
      </w:r>
      <w:bookmarkEnd w:id="22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گفتمان ولایت، شخصیت 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یا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دال ارشد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 قوس نزول و صعود را پی نهاده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 دَنَا فَتَدَلىَ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قَابَ قَوْسَینْ ِ أَوْ أَدْنىَ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قرب نهایی باریافته و از این رو چهره باطنی انسان کامل همان مظهر کلی است که وجوب بَحت یا امکان صِرف نبوده، بلکه برزخ جامع وجوب و امکان است؛ یعنی تمام تعیّنات و حقایق وجوبی و امکانی را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عهده دار پیوند و اتصال این دو قوس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کسی که به این مقام رسید؛ همه فیض ها و نعمت ها به مظهریت او نشئت می گیرند و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یُمن او به ماسوا رزق داده می شود و به وجود او آسمان و زمین ثبات 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بِیُمْنِهِ رُزِقَ الْوَرَى وَ بِوُجُودِهِ ثَبَتَتِ الْأَرْضُ 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صراط و حلقه اتصال حقایق کونی به عالم الوهی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صراط مستقیمی است که ملاقات با رب تنها از طریق او حاصل می شود و مانند خط فاصلی است که ربط شمس را با ظلّ آن،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وصول به توحید محقق نمی شود، مگر با تمسک و اقرار به ولایت ولیّ الله و اطاعت از 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حِصْنِی فَمَنْ دَخَلَ حِصْنِی أَمِنَ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عَذَابِی، فَلَمَّا مَرَّتِ الرَّاحِلَةُ، نَادَانَا بِشُرُوطِهَا وَ أَنَا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تمام اعمال و اخلاق و ارزشمندی افکار بدون وصول عامل و متخلق و متفکر به توحید ها لک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تَدْعُ مَعَ اللَّهِ إِلهاً آخَرَ لا إِلهَ إِلاَّ هُوَ كُلُّ شَیْ ءٍ ها لِكٌ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دیگرى را با خدا مخوان كه هیچ معبودى جز او نیست؛ همه چیز جز ذات او فانى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جا که وصول به توحید مشروط به پذیرش ولایت ولیّ الله است، در تعریفی که گفتمان ولایت از ارزش های اسلامی مانند نماز ، زکات ، امر به معروف ، نهی از منکر ، جهاد ، ظلم ستیزی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ارائه داده است، علاوه بر این که ولایت را کانال صعود این دال ها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نباشد، هیچ کدام از اعمال صالح مسلمان، صاعد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کلی حاکم بر ارزش های اسلامی را نیز که بدان ها جان بخشیده، ولایت معرفی کرده است که اگر نباشد این ارزش ها همچون جسم بی جانی خواهند بود که دیگر نمی توان بر آن ها عنوان ارزش اسلامی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نمی توان آن ها را نماز ، زکات ، امر به معروف ،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چنان که امام علی علیه السلام نیز نماز بدون معرفت را نماز ننامیده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سَكِّنُوا فِی أَنْفُسِكُمْ مَعْرِفَةَ مَا تَعْبُدُونَ حَتَّى یَنْفَعَكُمْ مَا تُحَرِّكُونَ مِنَ الْجَوَارِحِ بِعِبَادَةِ مَنْ تَعْرِفُون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معبود را در جان خود ثابت دارید، تا حركت اعضا در عبادت خدا سودتان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معبود هم حاصل نمی شود مگر با شناخت ولیّ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مَعْرِفَتِی بِالنُّورَانِیَّةِ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بدون شناخت امام را نمی توان نماز نامید، بلکه تنها حرکت اعضاست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دال جهاد در متن زیارت امام حسین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الْجِهَادَ مَعَكَ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معیت تو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باب بَابُ زِیَارَةِ قَبْرِ أَبِی عَبْدِ اللَّهِ الْحُسَیْنِ بْنِ عَلِیٍّ ع</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معیت غیر تو، که در این صورت، برعکس، افعالی هستند ضد دین؛ چنان که در قرآن ساخت مسجد را که امری دینی است، در آن مورد که در مقابل ولیّ الله عَلَم شود، امری غیر دینی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اتَّخَذُوا مَسْجِداً ضِراراً وَ كُفْراً وَ تَفْریقاً بَیْنَ الْمُؤْمِنینَ وَ إِرْصاداً لِمَنْ حارَبَ اللَّهَ وَ رَسُولَهُ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تَقُمْ فیهِ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فَانْهارَ بِهِ فی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هستند كه مسجدى ساختند براى </w:t>
      </w:r>
    </w:p>
    <w:p>
      <w:pPr>
        <w:pStyle w:val="BookText"/>
        <w:rPr/>
      </w:pP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تفرقه افكنى میان مؤمنان و كمین گاه براى كسى كه از پیش با خدا و پیامبرش مبارزه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ناگهان در آتش دوزخ فرومى ریزد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مذکور بوسیله خیل عظیمی از جامعه پذیرفته نشد و منجر به تولید دو گفتمان خلافت و سلطنت در تخاصم با گفتمان ولایت گردید، که وقع ما وقع</w:t>
      </w:r>
      <w:r>
        <w:rPr>
          <w:rFonts w:eastAsia="IRNazanin" w:cs="IRNazanin"/>
          <w:color w:val="111111"/>
          <w:sz w:val="28"/>
          <w:szCs w:val="28"/>
          <w:rtl w:val="true"/>
          <w:lang w:bidi="fa-IR"/>
        </w:rPr>
        <w:t xml:space="preserve">. </w:t>
      </w:r>
      <w:bookmarkStart w:id="230" w:name="pg8930_84810"/>
    </w:p>
    <w:p>
      <w:pPr>
        <w:pStyle w:val="Heading3"/>
        <w:numPr>
          <w:ilvl w:val="2"/>
          <w:numId w:val="1"/>
        </w:numPr>
        <w:rPr/>
      </w:pPr>
      <w:bookmarkStart w:id="231" w:name="__RefHeading___Toc1296784_2870459653"/>
      <w:bookmarkStart w:id="232" w:name="_Toc82"/>
      <w:bookmarkEnd w:id="230"/>
      <w:bookmarkEnd w:id="231"/>
      <w:r>
        <w:rPr>
          <w:rtl w:val="true"/>
        </w:rPr>
        <w:t xml:space="preserve">منابع </w:t>
      </w:r>
      <w:r>
        <w:rPr>
          <w:rtl w:val="true"/>
        </w:rPr>
        <w:t>:</w:t>
      </w:r>
      <w:bookmarkEnd w:id="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العربی،محمد</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فی تحقیق مواقف الصحابة بعد وفاة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شاذان،ابوالفضل</w:t>
      </w:r>
      <w:r>
        <w:rPr>
          <w:rFonts w:eastAsia="IRNazanin" w:cs="IRNazanin"/>
          <w:color w:val="111111"/>
          <w:sz w:val="28"/>
          <w:szCs w:val="28"/>
          <w:rtl w:val="true"/>
          <w:lang w:bidi="fa-IR"/>
        </w:rPr>
        <w:t>.(</w:t>
      </w:r>
      <w:r>
        <w:rPr>
          <w:rFonts w:eastAsia="IRNazanin" w:cs="IRNazanin"/>
          <w:color w:val="111111"/>
          <w:sz w:val="28"/>
          <w:szCs w:val="28"/>
          <w:lang w:bidi="fa-IR"/>
        </w:rPr>
        <w:t>13639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حرانى،حسن</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آشوب،محمدبن على</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طاووس،على بن موسى</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على قتلى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اخطب خوارزم،موفق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النشر الاسلامی التابعه لجماعه المدرسین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اربلى،على بن عیسى</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 فی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استرآبادى،على</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 فی فضائل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بحرانى،سید هاشم</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فى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بخاری،محمدبن اسماعیل</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برقى،احمد</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حسین</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 و معرفة احوال صاحب الشریعة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علمى و فرهنگى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آملی،عبدالله</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نضاخ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برسی،رجب</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أنوار الیقین فی أسرار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حجازی،سیدمهدى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الأخبار با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مطاالعات تاریخ و معارف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طهرانی،محمد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دیلمی،حسن</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 إلى الصواب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راسم نفیس،احمد</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خطی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الغدیر للدراسات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رضی،محمد بن حسین</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زورق،محمد حسن</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حرکت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گمشده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ساکی،عبدالصمد</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ولایی قرآن کریم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طوبای محبت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سلطانی،سیدعلی اصغر</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گفتمان به مثابه نظریه و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علوم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باقرالعلوم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صدوق،محمد</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انتشارات اسلامى وابسته به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حسن</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طبری،محمد</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فى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آملى،عماد الدین</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شارة المصطفى لشیعة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المكتبة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المکتبه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فراهیدى،خلیل بن احمد</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کلینی،محمد بن یعقوب</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مجلسى،محمدباقر</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محدثی،جواد</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مفید،محمد</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فی معرفة حجج الله على العباد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 منفرد،علی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جلوه کمال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نعمانی،محمدبن ابراهیم</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الكتب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محمد</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و 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هاشمى خویى،میرزا حبیب الله</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فی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هلالى،سلیم بن قیس</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سلیم بن قیس الهلالی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8930_84814"/>
      <w:bookmarkStart w:id="234" w:name="pg8930_84814"/>
      <w:bookmarkEnd w:id="234"/>
    </w:p>
    <w:p>
      <w:pPr>
        <w:pStyle w:val="Heading2"/>
        <w:numPr>
          <w:ilvl w:val="1"/>
          <w:numId w:val="1"/>
        </w:numPr>
        <w:rPr/>
      </w:pPr>
      <w:bookmarkStart w:id="235" w:name="pg8930_84814"/>
      <w:bookmarkStart w:id="236" w:name="__RefHeading___Toc1296786_2870459653"/>
      <w:bookmarkStart w:id="237" w:name="_Toc83"/>
      <w:bookmarkEnd w:id="235"/>
      <w:bookmarkEnd w:id="236"/>
      <w:r>
        <w:rPr>
          <w:rtl w:val="true"/>
        </w:rPr>
        <w:t xml:space="preserve">عاشورا و امام حسین </w:t>
      </w:r>
      <w:r>
        <w:rPr>
          <w:rtl w:val="true"/>
        </w:rPr>
        <w:t>(</w:t>
      </w:r>
      <w:r>
        <w:rPr>
          <w:rtl w:val="true"/>
        </w:rPr>
        <w:t>علیه السلام</w:t>
      </w:r>
      <w:r>
        <w:rPr>
          <w:rtl w:val="true"/>
        </w:rPr>
        <w:t xml:space="preserve">) </w:t>
      </w:r>
      <w:r>
        <w:rPr>
          <w:rtl w:val="true"/>
        </w:rPr>
        <w:t>در اشعار شاعران فارسی و عربی معاصر</w:t>
      </w:r>
      <w:bookmarkEnd w:id="237"/>
    </w:p>
    <w:p>
      <w:pPr>
        <w:pStyle w:val="Heading3"/>
        <w:numPr>
          <w:ilvl w:val="2"/>
          <w:numId w:val="1"/>
        </w:numPr>
        <w:rPr/>
      </w:pPr>
      <w:bookmarkStart w:id="238" w:name="__RefHeading___Toc1296788_2870459653"/>
      <w:bookmarkStart w:id="239" w:name="_Toc84"/>
      <w:bookmarkEnd w:id="238"/>
      <w:r>
        <w:rPr>
          <w:rtl w:val="true"/>
        </w:rPr>
        <w:t xml:space="preserve">دکتر پیمان صالحی </w:t>
      </w:r>
      <w:r>
        <w:rPr>
          <w:rtl w:val="true"/>
        </w:rPr>
        <w:t xml:space="preserve">- </w:t>
      </w:r>
      <w:r>
        <w:rPr>
          <w:rtl w:val="true"/>
        </w:rPr>
        <w:t>سهراب سهیلی گیلان</w:t>
      </w:r>
      <w:bookmarkEnd w:id="239"/>
    </w:p>
    <w:p>
      <w:pPr>
        <w:pStyle w:val="BookText"/>
        <w:rPr/>
      </w:pPr>
      <w:r>
        <w:rPr>
          <w:rFonts w:ascii="IRNazanin" w:hAnsi="IRNazanin" w:eastAsia="IRNazanin"/>
          <w:color w:val="111111"/>
          <w:sz w:val="28"/>
          <w:sz w:val="28"/>
          <w:szCs w:val="28"/>
          <w:rtl w:val="true"/>
          <w:lang w:bidi="fa-IR"/>
        </w:rPr>
        <w:t>دکتر پیمان صالحی</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سهراب سهیلی گیلان</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w:t>
      </w:r>
      <w:r>
        <w:rPr>
          <w:rFonts w:eastAsia="IRNazanin" w:cs="IRNazanin"/>
          <w:color w:val="111111"/>
          <w:sz w:val="28"/>
          <w:szCs w:val="28"/>
          <w:lang w:bidi="fa-IR"/>
        </w:rPr>
        <w:t>15/2/1395</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lang w:bidi="fa-IR"/>
        </w:rPr>
        <w:t>13/4/1395</w:t>
      </w:r>
      <w:r>
        <w:rPr>
          <w:rFonts w:eastAsia="IRNazanin" w:cs="IRNazanin"/>
          <w:color w:val="111111"/>
          <w:sz w:val="28"/>
          <w:szCs w:val="28"/>
          <w:rtl w:val="true"/>
          <w:lang w:bidi="fa-IR"/>
        </w:rPr>
        <w:t>)</w:t>
      </w:r>
    </w:p>
    <w:p>
      <w:pPr>
        <w:pStyle w:val="Heading3"/>
        <w:numPr>
          <w:ilvl w:val="2"/>
          <w:numId w:val="1"/>
        </w:numPr>
        <w:rPr/>
      </w:pPr>
      <w:bookmarkStart w:id="240" w:name="__RefHeading___Toc1296790_2870459653"/>
      <w:bookmarkStart w:id="241" w:name="_Toc85"/>
      <w:bookmarkEnd w:id="240"/>
      <w:r>
        <w:rPr>
          <w:rtl w:val="true"/>
        </w:rPr>
        <w:t>چکیده</w:t>
      </w:r>
      <w:bookmarkEnd w:id="24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حماسه عاشورا و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ترین رخدادی بوده كه باعث تحوّل مضمونی و معنایی در ادبیات فارسی و عربی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طول تاریخ، نگاه به این واقعه، همیشه یکسان نبوده و در این میان، شرایط سیاسی حاکم بر جوامع تأثیر چشمگیری در زاویه دید شاعران نسبت به جریان عاشورا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فردی و اجتماعی شخصیت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رویکرد شاعران به هر یک از آن ها، از مسائل قابل بررسی در اشعار عاشورایی فارسی 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تعابیر به کار گرفته شده بوسیله آنان، حکایت از حضور ادبیات بُکایی و حماسی در هر دو زبان فارسی و عربی دارد، امری که ناشی از اختلاف در نوع نگاه به عاشورا به عنوان یک تراژدی و یا یک انقلاب و نهضت حیات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 این اشتراکات، اختلافاتی نیز وجود دارد، از جمله آن ها میزان توجّه فراوان شاعران عرب به ذکر نسب و مدح خاندان آن حضرت و بیان صفات مختلف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صفات انتخابی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مؤید این مطلب است که آنان، به دنبال یک الگوی مبارز و برتر در جامعه خویش بوده اند و به نظر می آید حضور رهبران دینی در نهضت مشروطه و پس </w:t>
      </w:r>
      <w:bookmarkStart w:id="242" w:name="pg8930_84815"/>
    </w:p>
    <w:p>
      <w:pPr>
        <w:pStyle w:val="BookText"/>
        <w:rPr/>
      </w:pPr>
      <w:bookmarkEnd w:id="242"/>
      <w:r>
        <w:rPr>
          <w:rFonts w:ascii="IRNazanin" w:hAnsi="IRNazanin" w:eastAsia="IRNazanin"/>
          <w:color w:val="111111"/>
          <w:sz w:val="28"/>
          <w:sz w:val="28"/>
          <w:szCs w:val="28"/>
          <w:rtl w:val="true"/>
          <w:lang w:bidi="fa-IR"/>
        </w:rPr>
        <w:t>از آن، باعث شده این مسأله، کمتر مورد توجّه شاعران ایرانی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عاشورا که از ابتدا پشتوانه فکری انقلاب اسلامی بود، بارزترین الگوی مبارزه شد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ملّت، یادآور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عاشورا که تا پیش از انقلاب، به عنوان یک سوگ بزرگ به آن نگریسته می شد، در سروده های دفاع مقدّس به عنوان یک حماسه مطرح شد که در تاریخچه شعر عاشورایی، فصل تازه ای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مذکور، با رویکردی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مسائل مذکور را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انقلاب اسلامی، جنگ تحمیلی، شعر فارسی و عربی معاصر</w:t>
      </w:r>
      <w:r>
        <w:rPr>
          <w:rFonts w:eastAsia="IRNazanin" w:cs="IRNazanin"/>
          <w:color w:val="111111"/>
          <w:sz w:val="28"/>
          <w:szCs w:val="28"/>
          <w:rtl w:val="true"/>
          <w:lang w:bidi="fa-IR"/>
        </w:rPr>
        <w:t>.</w:t>
      </w:r>
    </w:p>
    <w:p>
      <w:pPr>
        <w:pStyle w:val="Heading3"/>
        <w:numPr>
          <w:ilvl w:val="2"/>
          <w:numId w:val="1"/>
        </w:numPr>
        <w:rPr/>
      </w:pPr>
      <w:bookmarkStart w:id="243" w:name="__RefHeading___Toc1296792_2870459653"/>
      <w:bookmarkStart w:id="244" w:name="_Toc86"/>
      <w:bookmarkEnd w:id="243"/>
      <w:r>
        <w:rPr>
          <w:rtl w:val="true"/>
        </w:rPr>
        <w:t>مقدمه</w:t>
      </w:r>
      <w:bookmarkEnd w:id="244"/>
    </w:p>
    <w:p>
      <w:pPr>
        <w:pStyle w:val="Heading4"/>
        <w:numPr>
          <w:ilvl w:val="3"/>
          <w:numId w:val="1"/>
        </w:numPr>
        <w:rPr/>
      </w:pPr>
      <w:bookmarkStart w:id="245" w:name="__RefHeading___Toc1296794_2870459653"/>
      <w:bookmarkStart w:id="246" w:name="_Toc87"/>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بی تردید حماسه كربلا و قیام سالار شهیدان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رخدادی بوده كه باعث تحوّل مضمونی و معنایی در ادبیات فارسی و عربی شده است و شرح و روایت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ددمنشی دشمن، نه تنها در صدها كتاب و مقتل بیان شده است؛ بلكه شاعران و نویسندگان در طول تاریخ، همواره سعی كرده اند با توجّه به این واقعه به رستاخیزی كلمات كه همان شعر ناب باشد،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اشعار، مرثیه هایی وجود دارندكه گاه انسان را سخت متألّم کرده و گاه با رویكردی اندیشمندانه، تفكّر و اندیشه ای راكه زمینه ساز شكل گیری واقعه عاشورا بوده، معرفی و نقد می كنند و البته گاهی هم با نگاهی زیبایی شناسانه به این واقعه روبرو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روزی تلخ تر از روز عاشورا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دیدیم جز پیشامدی زیبا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سید ضیاء الدّین شفیعی، نقل از بهداروند،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موضوع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واقعه کربلا حادثه ای است که در طول تاریخ، همیشه با یک نگاه، نگریسته نشده و شرایط تاریخی، اجتماعی و اقلیمی موجب شده تا در دوره های گوناگون، یک یا چند جنبه از آن بیشتر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عوامل مؤثر در نگرش به عاشورا، شرایط سیاسی حاکم بر جوامع، تأثیر چشمگیرتری داشته است، یعنی؛ ظهور یا خاموشی این واقعه و نمودهای آن، وابسته به </w:t>
      </w:r>
      <w:bookmarkStart w:id="247" w:name="pg8930_84816"/>
    </w:p>
    <w:p>
      <w:pPr>
        <w:pStyle w:val="BookText"/>
        <w:rPr/>
      </w:pPr>
      <w:bookmarkEnd w:id="247"/>
      <w:r>
        <w:rPr>
          <w:rFonts w:ascii="IRNazanin" w:hAnsi="IRNazanin" w:eastAsia="IRNazanin"/>
          <w:color w:val="111111"/>
          <w:sz w:val="28"/>
          <w:sz w:val="28"/>
          <w:szCs w:val="28"/>
          <w:rtl w:val="true"/>
          <w:lang w:bidi="fa-IR"/>
        </w:rPr>
        <w:t>شرایط سیاسی اعصار مختلف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پررنگ عاشورا در شعر، در روایت ماجرا و قالب نافذ مرثیه در سوگ داشت ماجرا؛ از سویی پیوند دهنده میان عواطف و دل های سوخته و حقیقت ماجرای ظهر عاشوراست و از سوی دیگر به نوبه خود، باعث غنا و اعتلای اشعار و مراثی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مراثی و اشعار عاشورایی عموماً با پرداختن به جنبه تاریخی، روحی و عاطفی ماجرا، با سرودن سوزناک ترین مراثی ظهر عاشورا، عواطف خویش را مصروف سوگواره نگاری و مقتل نگاری منظوم کرده اند و خواننده را با امواجی از عواطف جوشان و داغدار آشنا می کنند که این گونه مراثی، بیشتر در میان اشعار متقدمین شایع است؛ البته استثنائاتی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شاعران ایرانی در ثبت وقایع عاشورا خیلی دیر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نهضت عاشورا در دورانی که مردم در مسجدهای بغداد می نشستند و شب ها برای سید الشهدا عزاداری می کردند تا سده چهارم، در اشعار شاعران ایرانی بازتابی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علتش این بود که حکومت های دست نشانده به مردم فشار می آوردند و مردم هم به دلیل ترس از ثبت و ضبط اموالشان از سرودن شعر درباره قیام عاشورا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تلاش نموده تا ابتدا دوره های شعر عاشورایی فارسی و عربی و خصوصیت های آن ها را به صورت مختصر بیان نماید، سپس نگاه شاعران فارسی و عربی معاصر را به واقعه عاشورا و سیمای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و نقاط اشتراک و اختلاف آن ها را در این زمینه، مشخص نماید و در ادامه چگونگی پیوند شعر دفاع مقدّس را با عاشورای حسینی نشان دهد</w:t>
      </w:r>
      <w:r>
        <w:rPr>
          <w:rFonts w:eastAsia="IRNazanin" w:cs="IRNazanin"/>
          <w:color w:val="111111"/>
          <w:sz w:val="28"/>
          <w:szCs w:val="28"/>
          <w:rtl w:val="true"/>
          <w:lang w:bidi="fa-IR"/>
        </w:rPr>
        <w:t>.</w:t>
      </w:r>
    </w:p>
    <w:p>
      <w:pPr>
        <w:pStyle w:val="Heading4"/>
        <w:numPr>
          <w:ilvl w:val="3"/>
          <w:numId w:val="1"/>
        </w:numPr>
        <w:rPr/>
      </w:pPr>
      <w:bookmarkStart w:id="248" w:name="__RefHeading___Toc1296796_2870459653"/>
      <w:bookmarkStart w:id="249" w:name="_Toc88"/>
      <w:bookmarkEnd w:id="248"/>
      <w:r>
        <w:rPr/>
        <w:t>1</w:t>
      </w:r>
      <w:r>
        <w:rPr>
          <w:rtl w:val="true"/>
        </w:rPr>
        <w:t>.</w:t>
      </w:r>
      <w:r>
        <w:rPr>
          <w:rtl w:val="true"/>
        </w:rPr>
        <w:t>دوره های شعر عاشورایی</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عاشورا به عنوان یکی از مشخصه های اصلی شعر آیینی و شیعی در ادبیات فارسی و عربی پیشینه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عاشورایی که آغاز آن، همپای شعر دری 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شرایط سیاسی تا پایان قرن نهم نمود چندانی ندارد، اگر چه در تمام این دوره شش قرنه حضور داشته است و </w:t>
      </w:r>
    </w:p>
    <w:p>
      <w:pPr>
        <w:pStyle w:val="BookText"/>
        <w:rPr/>
      </w:pPr>
      <w:r>
        <w:rPr>
          <w:rFonts w:ascii="IRNazanin" w:hAnsi="IRNazanin" w:eastAsia="IRNazanin"/>
          <w:color w:val="111111"/>
          <w:sz w:val="28"/>
          <w:sz w:val="28"/>
          <w:szCs w:val="28"/>
          <w:rtl w:val="true"/>
          <w:lang w:bidi="fa-IR"/>
        </w:rPr>
        <w:t>شیعیان و شاعران شیعی با وجود مشکلات و آزار و اذیت بسیار، چراغ آن را روشن نگه داشته اند و رفته رفته در پایان این دوره به فراوانی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های شعر عاشورایی را در زبان فارسی می توان به چهار دوره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چهارم تا قرن نهم؛</w:t>
      </w:r>
    </w:p>
    <w:p>
      <w:pPr>
        <w:pStyle w:val="BookText"/>
        <w:rPr/>
      </w:pPr>
      <w:r>
        <w:rPr>
          <w:rFonts w:ascii="IRNazanin" w:hAnsi="IRNazanin" w:eastAsia="IRNazanin"/>
          <w:color w:val="111111"/>
          <w:sz w:val="28"/>
          <w:sz w:val="28"/>
          <w:szCs w:val="28"/>
          <w:rtl w:val="true"/>
          <w:lang w:bidi="fa-IR"/>
        </w:rPr>
        <w:t>عصر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حکومت صفویه؛</w:t>
      </w:r>
    </w:p>
    <w:p>
      <w:pPr>
        <w:pStyle w:val="BookText"/>
        <w:rPr/>
      </w:pPr>
      <w:r>
        <w:rPr>
          <w:rFonts w:ascii="IRNazanin" w:hAnsi="IRNazanin" w:eastAsia="IRNazanin"/>
          <w:color w:val="111111"/>
          <w:sz w:val="28"/>
          <w:sz w:val="28"/>
          <w:szCs w:val="28"/>
          <w:rtl w:val="true"/>
          <w:lang w:bidi="fa-IR"/>
        </w:rPr>
        <w:t>عصر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حکومت افشاریه، زندیه، قاجاریه؛</w:t>
      </w:r>
    </w:p>
    <w:p>
      <w:pPr>
        <w:pStyle w:val="BookText"/>
        <w:rPr/>
      </w:pPr>
      <w:r>
        <w:rPr>
          <w:rFonts w:ascii="IRNazanin" w:hAnsi="IRNazanin" w:eastAsia="IRNazanin"/>
          <w:color w:val="111111"/>
          <w:sz w:val="28"/>
          <w:sz w:val="28"/>
          <w:szCs w:val="28"/>
          <w:rtl w:val="true"/>
          <w:lang w:bidi="fa-IR"/>
        </w:rPr>
        <w:t>عصر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دوره اول شعر عاشورایی، عصر تلمیح و تلویح است و شعر فخیم عاشورایی مربوط به قرن های پایانی این دوره است که با حضور شاعرانی نظیر عطار و مولانا نگرش عارفانه و با شاعرانی مانند خواجوی کرمانی و ابن حسام، دیدی عاشقانه بدان قابل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دوم دوره فراوانی شعر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جان مایه این عصر،حماسه است و حماسه نامه ها در این دوره شکل گرفته اند و اغراق و خرافه پردازی نیز کم و بیش چهره می نماید و نهایتاً نگاه عاشقانه در شعر شاعرانی نظیر فضولی بغدادی، واعظ قزوینی، بیدل و فیاض لاهیجی ردپایی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و مرثیه بیش از هر چیز در شعر صفویه بسامد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مثنوی های عارفانه با حضور شاعرانی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علی شاه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عمده شعر عاشورایی قاجاریه است، همراه با مردم عصر بیداری و نگاه متفاوت به عاشورا، تعابیر عاشقانه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جوشقانی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قابل توجه است، وی از بهترین مقلّدان محتشم کاشانی بوده و در نگاه عرفانی نیز سرآمد تمام شاعران عاشورایی قبل از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معاصر که با غزل های عاشورایی فؤاد کرمانی شروع می شود و در ادامه به عرفان و شناخت عمیق شاعران انقلاب اسلامی و دفاع مقدّس پیوند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عربی</w:t>
      </w:r>
    </w:p>
    <w:p>
      <w:pPr>
        <w:pStyle w:val="BookText"/>
        <w:rPr/>
      </w:pPr>
      <w:r>
        <w:rPr>
          <w:rFonts w:ascii="IRNazanin" w:hAnsi="IRNazanin" w:eastAsia="IRNazanin"/>
          <w:color w:val="111111"/>
          <w:sz w:val="28"/>
          <w:sz w:val="28"/>
          <w:szCs w:val="28"/>
          <w:rtl w:val="true"/>
          <w:lang w:bidi="fa-IR"/>
        </w:rPr>
        <w:t>شعر عاشورایی را در گستره ادبیات عربی، می توان به چهار دوره مشخص تقسیم نمود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امامان که با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با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bookmarkStart w:id="250" w:name="pg8930_84818"/>
    </w:p>
    <w:p>
      <w:pPr>
        <w:pStyle w:val="BookText"/>
        <w:rPr/>
      </w:pPr>
      <w:bookmarkEnd w:id="250"/>
      <w:r>
        <w:rPr>
          <w:rFonts w:ascii="IRNazanin" w:hAnsi="IRNazanin" w:eastAsia="IRNazanin"/>
          <w:color w:val="111111"/>
          <w:sz w:val="28"/>
          <w:sz w:val="28"/>
          <w:szCs w:val="28"/>
          <w:rtl w:val="true"/>
          <w:lang w:bidi="fa-IR"/>
        </w:rPr>
        <w:t>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پس از غیبت که از اوایل قرن چهارم هجری آغاز و تا پایان قرن ششم هجری ادامه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سوم که از ابتدای قرن ششم شروع و با پایان قرن نهم خاتمه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چهارم از قرن دهم شروع و تا روزگار ما تداوم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شیعی تحت تأثیر رویکرد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اموی و عباسی، به انعکاس شاعرانه این رخداد مکتبی و ابعاد گوناگون آن در آفریده های شعری خود پرداختند و دفاع از حریم ولایت و مقدّسات اسلامی كه به نحو کامل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بود، به شعر شاعران بزرگی همچون سید حمیری، کمیت اسدی، دعبل خزاعی، منصور نمری، دیک الجن و ابن رومی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لهجه و ربط حادثه كربلا به سقیفه، از مشخّصات شعر عاشورایی این دو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سوم، عصر انحطاط ادبی، لفظ پردازی و كم ارزشی محتواست و چنین تنزّلی، در شعر حسینی نیز بی 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خزعلی،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قرن سیزدهم به بعد، با بروز حركت های نو در ادبی عربی؛ شاهد تغییرات زیادی در شعر عاشورایی هستیم كه در این مقاله مورد بررسی قرار می گیرد</w:t>
      </w:r>
      <w:r>
        <w:rPr>
          <w:rFonts w:eastAsia="IRNazanin" w:cs="IRNazanin"/>
          <w:color w:val="111111"/>
          <w:sz w:val="28"/>
          <w:szCs w:val="28"/>
          <w:rtl w:val="true"/>
          <w:lang w:bidi="fa-IR"/>
        </w:rPr>
        <w:t>.</w:t>
      </w:r>
    </w:p>
    <w:p>
      <w:pPr>
        <w:pStyle w:val="Heading4"/>
        <w:numPr>
          <w:ilvl w:val="3"/>
          <w:numId w:val="1"/>
        </w:numPr>
        <w:rPr/>
      </w:pPr>
      <w:bookmarkStart w:id="251" w:name="__RefHeading___Toc1296798_2870459653"/>
      <w:bookmarkStart w:id="252" w:name="_Toc89"/>
      <w:bookmarkEnd w:id="251"/>
      <w:r>
        <w:rPr/>
        <w:t>2</w:t>
      </w:r>
      <w:r>
        <w:rPr>
          <w:rtl w:val="true"/>
        </w:rPr>
        <w:t xml:space="preserve">. </w:t>
      </w:r>
      <w:r>
        <w:rPr>
          <w:rtl w:val="true"/>
        </w:rPr>
        <w:t>نقاط اشتراک و افتراق شعر عاشورایی فارسی و عربی معاصر</w:t>
      </w:r>
      <w:bookmarkEnd w:id="25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فردی و اجتماعی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رویکرد شاعران به هر یک از آن ابعاد، از مسائل قابل بررسی در اشعار عاشورایی فارسی 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چون صداقت، مقاومت، اخلاص، صبر،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شخصیت فردی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صفاتی چون هدایت گری، نجات بخشی، یاری گری، حیات بخشی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تعامل ایشان با جامعه خویش بوده و بُعد اجتماعی شخصیت وی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توصیف صفات ظاهری و جسمی ایشان نیز از نظرها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تعابیر و اصطلاحات و صفات به کار گرفته شده توسط شاعران، حکایت از حضور ادبیات بُکایی و حماسی در هر دو زبان دارد، امری که ناشی از اختلاف در نوع نگاه به جریان </w:t>
      </w:r>
    </w:p>
    <w:p>
      <w:pPr>
        <w:pStyle w:val="BookText"/>
        <w:rPr/>
      </w:pPr>
      <w:r>
        <w:rPr>
          <w:rFonts w:ascii="IRNazanin" w:hAnsi="IRNazanin" w:eastAsia="IRNazanin"/>
          <w:color w:val="111111"/>
          <w:sz w:val="28"/>
          <w:sz w:val="28"/>
          <w:szCs w:val="28"/>
          <w:rtl w:val="true"/>
          <w:lang w:bidi="fa-IR"/>
        </w:rPr>
        <w:t>عاشورا به عنوان یک تراژدی و یا یک انقلاب و نهضت حیات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مورد سبک زبانی اشعار عاشورایی فارسی و عربی در این است که چون شاعران، مرثیه های خود را برای تفوّق و چیرگی بر دیگر شاعران نمی سرودند، بلکه رساندن پیام عاشورا در قالب نافذ شعر به توده مردم، مهم ترین هدفی بود که فکر آنان را به خود مشغول نموده بود؛ از این رو اشعارشان را با الفاظ ساده و روان می سرودند تا نقلش در محافل و انتشارش در میان همگان به آسانی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ورای این اشتراکات، اختلافات قابل ملاحظه ای نیز در شعر عاشورایی دو زبان در پرداختن به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موجب تمایز دو ادبیات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تفاوت ها می توان به میزان توجّه شاعران دو ملّت به ذکر نسب و مدح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اشعار خویش،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تعابیری چون 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بتول، پسر زهرا، فرزند شیر خدا، فرزند علی، تربیت یافته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اشعار عرب نشان می دهد که آنان بیش از شاعران ایرانی به این موضوع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نسب آن حضرت، زمانی به اوج می رسد كه بافضایلی مانند شجاعت، درایت، مردانگی و وفاداری درآمیزد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غضبان شاعر سوری، در این زمینه، می گوید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دانایی را از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اصالت را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 و با دو فضیلت جوانمردی و وفاداری، به نبرد با دل های دوستان و پیروانش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دوستانش را مسخّر خود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وَرِثَ الشُّجاعۀَ والنُّهی عن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والنُّبلَ رَقراقاً عن الزَّهراءِ</w:t>
      </w:r>
    </w:p>
    <w:p>
      <w:pPr>
        <w:pStyle w:val="BookText"/>
        <w:rPr/>
      </w:pPr>
      <w:r>
        <w:rPr>
          <w:rFonts w:ascii="Amiri" w:hAnsi="Amiri" w:eastAsia="Amiri" w:cs="Amiri"/>
          <w:color w:val="111111"/>
          <w:sz w:val="28"/>
          <w:sz w:val="28"/>
          <w:szCs w:val="28"/>
          <w:rtl w:val="true"/>
          <w:lang w:bidi="ar-SA"/>
        </w:rPr>
        <w:t xml:space="preserve">وَغَزا قلوبَ دُعاتِه وعِداتِه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بِفَضیلتینِ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مروءۀٍ ووفاءِ</w:t>
      </w:r>
    </w:p>
    <w:p>
      <w:pPr>
        <w:pStyle w:val="BookText"/>
        <w:rPr/>
      </w:pPr>
      <w:r>
        <w:rPr>
          <w:rFonts w:ascii="IRNazanin" w:hAnsi="IRNazanin" w:eastAsia="IRNazanin"/>
          <w:color w:val="111111"/>
          <w:sz w:val="28"/>
          <w:sz w:val="28"/>
          <w:szCs w:val="28"/>
          <w:rtl w:val="true"/>
          <w:lang w:bidi="fa-IR"/>
        </w:rPr>
        <w:t xml:space="preserve">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مدح نسب و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شعر فارسی وجود دارد هر چند مانند شعر عربی برجسته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فرزند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چهره اش عالم گرفته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253" w:name="pg8930_84820"/>
    </w:p>
    <w:p>
      <w:pPr>
        <w:pStyle w:val="BookText"/>
        <w:rPr/>
      </w:pPr>
      <w:bookmarkEnd w:id="253"/>
      <w:r>
        <w:rPr>
          <w:rFonts w:ascii="IRNazanin" w:hAnsi="IRNazanin" w:eastAsia="IRNazanin"/>
          <w:color w:val="111111"/>
          <w:sz w:val="28"/>
          <w:sz w:val="28"/>
          <w:szCs w:val="28"/>
          <w:rtl w:val="true"/>
          <w:lang w:bidi="fa-IR"/>
        </w:rPr>
        <w:t xml:space="preserve">من از تبار عشق و ایثار و جهادم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سرچشمه گیرد از نهادم</w:t>
      </w:r>
    </w:p>
    <w:p>
      <w:pPr>
        <w:pStyle w:val="BookText"/>
        <w:rPr/>
      </w:pPr>
      <w:r>
        <w:rPr>
          <w:rFonts w:ascii="IRNazanin" w:hAnsi="IRNazanin" w:eastAsia="IRNazanin"/>
          <w:color w:val="111111"/>
          <w:sz w:val="28"/>
          <w:sz w:val="28"/>
          <w:szCs w:val="28"/>
          <w:rtl w:val="true"/>
          <w:lang w:bidi="fa-IR"/>
        </w:rPr>
        <w:t xml:space="preserve">جدّم رسول الله ختم المرسلین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بابم علی یعنی امیر المؤمنین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گاه شاعر در توصیف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گرایش های ملّی تمایل پیدا می کند و ایشان را متعلق به قومیت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دمّوس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فرزند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دنیا و آخرت، مایه افتخار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 فاطمة الزهراء مَفخرةٌ للعُرب ما بین دُنیاه و أخراه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طریحی،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صفات جسمانی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کمی در شعر فارسی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 زیبایش بهشت است و قد موزونش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و خالش رضوان و لبش کوثر اوست</w:t>
      </w:r>
    </w:p>
    <w:p>
      <w:pPr>
        <w:pStyle w:val="BookText"/>
        <w:rPr/>
      </w:pPr>
      <w:r>
        <w:rPr>
          <w:rFonts w:ascii="IRNazanin" w:hAnsi="IRNazanin" w:eastAsia="IRNazanin"/>
          <w:color w:val="111111"/>
          <w:sz w:val="28"/>
          <w:sz w:val="28"/>
          <w:szCs w:val="28"/>
          <w:rtl w:val="true"/>
          <w:lang w:bidi="fa-IR"/>
        </w:rPr>
        <w:t xml:space="preserve">مهر او دار نعیم و کرمش نعمت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او دار جحیم و سخطش آذر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4"/>
        <w:numPr>
          <w:ilvl w:val="3"/>
          <w:numId w:val="1"/>
        </w:numPr>
        <w:rPr/>
      </w:pPr>
      <w:bookmarkStart w:id="254" w:name="__RefHeading___Toc1296800_2870459653"/>
      <w:bookmarkStart w:id="255" w:name="_Toc90"/>
      <w:bookmarkEnd w:id="254"/>
      <w:r>
        <w:rPr/>
        <w:t>3</w:t>
      </w:r>
      <w:r>
        <w:rPr>
          <w:rtl w:val="true"/>
        </w:rPr>
        <w:t xml:space="preserve">. </w:t>
      </w:r>
      <w:r>
        <w:rPr>
          <w:rtl w:val="true"/>
        </w:rPr>
        <w:t xml:space="preserve">خصال برجسته امام حسین </w:t>
      </w:r>
      <w:r>
        <w:rPr>
          <w:rtl w:val="true"/>
        </w:rPr>
        <w:t>(</w:t>
      </w:r>
      <w:r>
        <w:rPr>
          <w:rtl w:val="true"/>
        </w:rPr>
        <w:t>علیه السلام</w:t>
      </w:r>
      <w:r>
        <w:rPr>
          <w:rtl w:val="true"/>
        </w:rPr>
        <w:t xml:space="preserve">) </w:t>
      </w:r>
      <w:r>
        <w:rPr>
          <w:rtl w:val="true"/>
        </w:rPr>
        <w:t>در شعر فارسی و عربی معاصر</w:t>
      </w:r>
      <w:bookmarkEnd w:id="255"/>
    </w:p>
    <w:p>
      <w:pPr>
        <w:pStyle w:val="Heading5"/>
        <w:numPr>
          <w:ilvl w:val="4"/>
          <w:numId w:val="1"/>
        </w:numPr>
        <w:rPr/>
      </w:pPr>
      <w:bookmarkStart w:id="256" w:name="__RefHeading___Toc1296802_2870459653"/>
      <w:bookmarkStart w:id="257" w:name="_Toc91"/>
      <w:bookmarkEnd w:id="256"/>
      <w:r>
        <w:rPr>
          <w:rtl w:val="true"/>
        </w:rPr>
        <w:t>اشاره</w:t>
      </w:r>
      <w:bookmarkEnd w:id="257"/>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1296804_2870459653"/>
      <w:bookmarkStart w:id="259" w:name="_Toc92"/>
      <w:bookmarkEnd w:id="258"/>
      <w:r>
        <w:rPr>
          <w:rtl w:val="true"/>
        </w:rPr>
        <w:t>هدایت گری</w:t>
      </w:r>
      <w:bookmarkEnd w:id="259"/>
    </w:p>
    <w:p>
      <w:pPr>
        <w:pStyle w:val="BookText"/>
        <w:rPr/>
      </w:pPr>
      <w:r>
        <w:rPr>
          <w:rFonts w:ascii="IRNazanin" w:hAnsi="IRNazanin" w:eastAsia="IRNazanin"/>
          <w:color w:val="111111"/>
          <w:sz w:val="28"/>
          <w:sz w:val="28"/>
          <w:szCs w:val="28"/>
          <w:rtl w:val="true"/>
          <w:lang w:bidi="fa-IR"/>
        </w:rPr>
        <w:t xml:space="preserve">نکته قابل توجه این است که شاعران هر دو زبان، از میان صفات آن حضرت، بیشترین اهمیّت را به هدایت گری ایشان داده و با استفاده از تعابیر مختلف، بر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مصباح الهدی و 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زیر چتر بلند سپهر آبی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شب شکنش چل چراغ عرفان بود</w:t>
      </w:r>
    </w:p>
    <w:p>
      <w:pPr>
        <w:pStyle w:val="BookText"/>
        <w:rPr/>
      </w:pPr>
      <w:r>
        <w:rPr>
          <w:rFonts w:ascii="IRNazanin" w:hAnsi="IRNazanin" w:eastAsia="IRNazanin"/>
          <w:color w:val="111111"/>
          <w:sz w:val="28"/>
          <w:sz w:val="28"/>
          <w:szCs w:val="28"/>
          <w:rtl w:val="true"/>
          <w:lang w:bidi="fa-IR"/>
        </w:rPr>
        <w:t xml:space="preserve">شکفته سوره نور هدایتش بر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کشتی دل نوح اهل ایمان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سماوی، شاعر عراقی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شادَ عماد الهدی و أطلَعَه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یُوازی بدرَ السما وَضَحه</w:t>
      </w:r>
    </w:p>
    <w:p>
      <w:pPr>
        <w:pStyle w:val="BookText"/>
        <w:rPr/>
      </w:pPr>
      <w:r>
        <w:rPr>
          <w:rFonts w:ascii="Amiri" w:hAnsi="Amiri" w:eastAsia="Amiri" w:cs="Amiri"/>
          <w:color w:val="111111"/>
          <w:sz w:val="28"/>
          <w:sz w:val="28"/>
          <w:szCs w:val="28"/>
          <w:rtl w:val="true"/>
          <w:lang w:bidi="ar-SA"/>
        </w:rPr>
        <w:t xml:space="preserve">غداً یُشیدُ الهدی و یرفعُ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أبوه النبی قد فَتَحه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شبّر،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هدایت را بنا کرد و آن را چون ماهی تمام، نمودار ساخت که در روشنایی بسان ماه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هدایت را استوار می گرداند و آن چه پدرش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خویش گشوده بود، مرتفع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و دلاوری</w:t>
      </w:r>
    </w:p>
    <w:p>
      <w:pPr>
        <w:pStyle w:val="BookText"/>
        <w:rPr/>
      </w:pPr>
      <w:r>
        <w:rPr>
          <w:rFonts w:ascii="IRNazanin" w:hAnsi="IRNazanin" w:eastAsia="IRNazanin"/>
          <w:color w:val="111111"/>
          <w:sz w:val="28"/>
          <w:sz w:val="28"/>
          <w:szCs w:val="28"/>
          <w:rtl w:val="true"/>
          <w:lang w:bidi="fa-IR"/>
        </w:rPr>
        <w:t>شجاعت و دلاوری یکی دیگر از فضایل بارز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شاعران در بیشتر اشعار خود به توصیف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 علی، بر معرکه با تیغ آبدار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دین خدا کرد کارزار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مشفق کاشانی،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ریزد شجاعت از سر شمشیر تیزم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جهان لشکر به تنهایی ستیزم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گرمارودی در توصیف مقاومت و پایداری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سنگ مانند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باید در راستی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ایستادگی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می شکافد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أرزی شاعر لبنانی،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دلاور مردی توصیف می کند که اراده آهنین وی به صخره های سخت ماند؛ چنان که پهلوانان از رویارویی با او ابا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مُتَصَلِّبٌ بالذّود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صُمِّ الصَّخر صلدا</w:t>
      </w:r>
    </w:p>
    <w:p>
      <w:pPr>
        <w:pStyle w:val="BookText"/>
        <w:rPr/>
      </w:pPr>
      <w:r>
        <w:rPr>
          <w:rFonts w:ascii="Amiri" w:hAnsi="Amiri" w:eastAsia="Amiri" w:cs="Amiri"/>
          <w:color w:val="111111"/>
          <w:sz w:val="28"/>
          <w:sz w:val="28"/>
          <w:szCs w:val="28"/>
          <w:rtl w:val="true"/>
          <w:lang w:bidi="ar-SA"/>
        </w:rPr>
        <w:t xml:space="preserve">بطلٌ تحامته الکماةُ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تحامَی الحُمرُ ورداً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كامل عاملی،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قهرمانی تصوّر می كند كه قصد دارد با ورود به كارزار، مرگی برق آسا به دشمن وارد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رَكِبتَ مُشَمِّراً للحربِ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أَذَقتَ بها العِدا الموتَ الزُّؤاما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نورالدین،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جمال الدین، شاعر عراقی معاصر،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سیل دشمن، </w:t>
      </w:r>
    </w:p>
    <w:p>
      <w:pPr>
        <w:pStyle w:val="BookText"/>
        <w:rPr/>
      </w:pPr>
      <w:r>
        <w:rPr>
          <w:rFonts w:ascii="IRNazanin" w:hAnsi="IRNazanin" w:eastAsia="IRNazanin"/>
          <w:color w:val="111111"/>
          <w:sz w:val="28"/>
          <w:sz w:val="28"/>
          <w:szCs w:val="28"/>
          <w:rtl w:val="true"/>
          <w:lang w:bidi="fa-IR"/>
        </w:rPr>
        <w:t>خروشان و مقاوم به تصویر کشیده که پیروزی و شکست برای وی اهمیّتی ندارد و تنها به دنبال هدف والای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ووقفتَ حیثُ أراحَ غیرُکَ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والحقبُ بینکما یُهیبُ ویرغِبُ</w:t>
      </w:r>
    </w:p>
    <w:p>
      <w:pPr>
        <w:pStyle w:val="BookText"/>
        <w:rPr/>
      </w:pPr>
      <w:r>
        <w:rPr>
          <w:rFonts w:ascii="Amiri" w:hAnsi="Amiri" w:eastAsia="Amiri" w:cs="Amiri"/>
          <w:color w:val="111111"/>
          <w:sz w:val="28"/>
          <w:sz w:val="28"/>
          <w:szCs w:val="28"/>
          <w:rtl w:val="true"/>
          <w:lang w:bidi="ar-SA"/>
        </w:rPr>
        <w:t xml:space="preserve">فصمدتَ للتَّیَّار تشمخُ هادراً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سِیّان أغلبُ موجَه أو أغلَبُ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ستیزی</w:t>
      </w:r>
    </w:p>
    <w:p>
      <w:pPr>
        <w:pStyle w:val="BookText"/>
        <w:rPr/>
      </w:pPr>
      <w:r>
        <w:rPr>
          <w:rFonts w:ascii="IRNazanin" w:hAnsi="IRNazanin" w:eastAsia="IRNazanin"/>
          <w:color w:val="111111"/>
          <w:sz w:val="28"/>
          <w:sz w:val="28"/>
          <w:szCs w:val="28"/>
          <w:rtl w:val="true"/>
          <w:lang w:bidi="fa-IR"/>
        </w:rPr>
        <w:t>گرمارودی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ستم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باغ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دشمنی زیباتر از تو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عبدالقادر ناصری او را بزرگ مردی می داند كه برای برقراری عدالت و از بین رفتن ستم، سازش را نپذیرفت و مرگ را به جان خریدار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أفدیكَ مِن بطلٍ أبی إلاّ الرّدی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یَستقرَّ العدلَ فی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طریحی،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علیرضا قزوه، نماد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بوسه بر زخمی که انسان 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بغضی که ایمان خورده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 مرقص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ادیب سوری،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سپاه بی پایان ایمان می نامد و کربلا را شاهدی بر قوّت ایمان آنان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إیهاً بهم سِبطُ النبیِّ و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جیشٌ من الإیمان لیس بنافذ</w:t>
      </w:r>
    </w:p>
    <w:p>
      <w:pPr>
        <w:pStyle w:val="BookText"/>
        <w:rPr/>
      </w:pPr>
      <w:r>
        <w:rPr>
          <w:rFonts w:ascii="Amiri" w:hAnsi="Amiri" w:eastAsia="Amiri" w:cs="Amiri"/>
          <w:color w:val="111111"/>
          <w:sz w:val="28"/>
          <w:sz w:val="28"/>
          <w:szCs w:val="28"/>
          <w:rtl w:val="true"/>
          <w:lang w:bidi="ar-SA"/>
        </w:rPr>
        <w:t xml:space="preserve">حسبُ الفتی من قوّة إیمانه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لکربلاءَ علیه أصدقُ شاهدِ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از شبّر،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فریادرسی</w:t>
      </w:r>
    </w:p>
    <w:p>
      <w:pPr>
        <w:pStyle w:val="BookText"/>
        <w:rPr/>
      </w:pPr>
      <w:r>
        <w:rPr>
          <w:rFonts w:ascii="IRNazanin" w:hAnsi="IRNazanin" w:eastAsia="IRNazanin"/>
          <w:color w:val="111111"/>
          <w:sz w:val="28"/>
          <w:sz w:val="28"/>
          <w:szCs w:val="28"/>
          <w:rtl w:val="true"/>
          <w:lang w:bidi="fa-IR"/>
        </w:rPr>
        <w:t>و گرمارودی چنین می 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باغ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دشمنی زیباتر از تو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مظلوم، یاوری آشناتر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گرمارودی،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هادی کاشف الغطاء،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فریادرس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یا غوثَ الصَّریخ مَن المُحامِی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فاجأَ الخَطبُ المَهولُ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خاقانی،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 مبارزه</w:t>
      </w:r>
    </w:p>
    <w:p>
      <w:pPr>
        <w:pStyle w:val="BookText"/>
        <w:rPr/>
      </w:pPr>
      <w:r>
        <w:rPr>
          <w:rFonts w:ascii="IRNazanin" w:hAnsi="IRNazanin" w:eastAsia="IRNazanin"/>
          <w:color w:val="111111"/>
          <w:sz w:val="28"/>
          <w:sz w:val="28"/>
          <w:szCs w:val="28"/>
          <w:rtl w:val="true"/>
          <w:lang w:bidi="fa-IR"/>
        </w:rPr>
        <w:t>در دهه های اخیر، شاعران عرب بیش از شاعران ایرانی به بُعد سیاسی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اند و در اشعار خود به تبیین الگو بودن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حاکمان فاسد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عدالتی، سخت گیری های موجود،روحیه سازش پذیری سران، تسلیم و ناامیدی از تحوّلات اساسی در جامعه عرب و فقدان رهبری واحد در میدان مبارزه، باعث گردید تا شاعران با الهام از عاشورا، صفاتی را از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در اشعارشان منعکس کنند که بر خلاف روحیه حاکم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مبارز و پیوند میان قیام کربلا و حوادث جاری جامعه عرب از ویژگی های شعر عاشورایی عربی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دحبور شاعر پرآوازه فلسطینی در قصیده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العوده إلی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کربلا درد دل می کند و چهره حاکمان خائن به فلسطین را رسوا نموده و می گوید همان کسانی که کربلا را فروخته اند، قصد فروش و تقسیم فلسطین را نیز دارند، اما ملّت فلسطین با راهنمایی گرفتن از کربلا در مقابل آنان سر تسلیم فرود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تفور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 باعوک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باعونا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وتقاسمونا فی المزاد فما انقسمنا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فیکِ النهرَ والتحمت بعشبک ضفّتای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فیکِ، کما رأیتِ، أنا هو النهر القتیل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فلیخرج الماء الدفین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الدلیل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دحبور،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اعلام می دارد زمان جانبازی فرا رسیده است چرا که تنها راه رسیدن به کربلا، از خود گذشتگی بوده و نباید در انتظار معجزه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زمان للبطولة أو الجنون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الوصول إلیک معجزة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عبدالأمیر شامی شاعر لبنانی، با مخاطب قرار دادن عاشورا، از دوره طولانی افسردگی و خواب امت اسلامی و طغیان گرانی كه پیوسته در بلاد اسلامی عربده می كشند، شكوه كرده و از وی می خواهد تا مسلمانان را از خواب غفلت بیدار كرده و در </w:t>
      </w:r>
    </w:p>
    <w:p>
      <w:pPr>
        <w:pStyle w:val="BookText"/>
        <w:rPr/>
      </w:pPr>
      <w:r>
        <w:rPr>
          <w:rFonts w:ascii="IRNazanin" w:hAnsi="IRNazanin" w:eastAsia="IRNazanin"/>
          <w:color w:val="111111"/>
          <w:sz w:val="28"/>
          <w:sz w:val="28"/>
          <w:szCs w:val="28"/>
          <w:rtl w:val="true"/>
          <w:lang w:bidi="fa-IR"/>
        </w:rPr>
        <w:t>آنان خیزشی ایجاد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یومَ عاشوراءَ طالَ رُقادُنا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وَمَضَی الطُّغاۀُ یُعَربِدونَ كثیراً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از نورالدین،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آدونیس شاعر برجسته سوری، از زبان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بی حد و مرز و متعلق به تمام زمان ها و مکان ها معرفی می کند که مرزهای او، مرز خورشید و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سرتاسر دنیای بشری را در می نوردد تا مرزها را از میان بردارد و به بشریت خیزش بیاموزد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لایعرف التّخوم، لاتحدّه الشَّطآن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تحدُّه علامتانِ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أطوفُ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أزلزلَ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أُعَلِّمَ الطوفان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آدونیس،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مظفر نوّاب، شاعر برجسته عراقی در قصیده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وتریات 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حادثه کربلا، حاکمان ستمگر عرب را به شدّت مورد نکوهش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رأس الثورة یُحمل فی طبق فی قصر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وهذی البقعة أکثر من یوم سبایاک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لله وللحاکم ورأس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عرب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ویزید علی الشرفة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یستعرض فی أعراض عرایاکم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ویوزعهن کَلَحم الضَّأن لجیش الرَّدة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عرب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فی شکّ من بغداد إلی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عرب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رأس الحسین من المدن الخائنة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مثابه پرچمی برای راهنمای عدالت طلبان و رمز انقلاب و عصیان علیه ستمگران می داند و با توصیف اوضاع کشورهای عربی به آتش زیر خاکستر، اظهار می دارد که مردم مظلوم و گرسنه، منتظر ورود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الرأس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نسیر بلاحیرة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الحیرة مثل القنادیل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نسیر علی أرض کلّ الشوارع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أرض کلّ الشوارع فی مدن الثّورة النائمة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زحفنا، ولمّا فتحنا کتاب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عرفنا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نبض الحدید والتّراب، ونبذر داخله الکائنات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نحزّ الرؤوس ونزرعها عبر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الحسین الممزَّق بین دمشق وبین الخلیج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ونحمله ونستریح عَلَی سورة المومیاء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ویستقبل الجوع رأس الحسین ویفتح باب الحریق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لیدخل رأس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حدّاد،</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عبدالرّحمن شرقاوی، شاعر و رمان نویس برجسته مصری در نمایش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ثائراً و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روایت حادثه خونین کربلا می پردازد، در لابلای حوادث، پیام عمیق آن را به انسان معاصر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 مبارک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پرچمی می داند که مستضعفین علیه مستکبرین عالم برافراشته اند وی از زبان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إیه یا رأس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یا رأس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یا رأس البطل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یا رأس الشّهید کونی رایة المستضعفین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شرقاوی،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شرقاوی از زبان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مقابل ستم، سکوت کنند؛ حادثه کربلا مجدداً تکرار شده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 برند و این امر بارها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فلتذکروا وثأری العظیم لتأخذوا مِن الطّغاة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وبذاک تنتصر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سکتّم بعد ذلک عَلَی الخدیعة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وارتضی الإنسان 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سأُذبَح من جدید وأظلّ أُقتَل من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وأظل أُقتَل کلّ یوم ألف قتلة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نزار قبانی شاعر برجسته سوری نیز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نماد مبارزه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 الأحرار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یبق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زمن السّقوط والدّمار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زمن التَّراجع الثّوری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قبانی،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أمل دنقل شاعر برجسته مصری در قصیده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أوراق ابو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می گوید که اگر سخن و شمشیرها و جلال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از دست باطل نجات نداد پس چگونه باید انتظار داشت تا یاوه گویی شاعران از عهده این کار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تکلّف کلمات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سیوف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دون أن تنقذ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أفتقدر أن تنقذ الحق ثرثرة الشعراء؟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أمل دنقل،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جمیل، شاعر انقلابی عراق از زبان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مردم می خواهد تا در جستجوی وی در شهرهایی که مردمش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سوگواری می کنند، نباشند چرا که او از زمان شهادتش تنها در شهرهایی حضور دارد که نبض حیات و مبارزه در آن زده می شود</w:t>
      </w:r>
      <w:r>
        <w:rPr>
          <w:rFonts w:eastAsia="IRNazanin" w:cs="IRNazanin"/>
          <w:color w:val="111111"/>
          <w:sz w:val="28"/>
          <w:szCs w:val="28"/>
          <w:rtl w:val="true"/>
          <w:lang w:bidi="fa-IR"/>
        </w:rPr>
        <w:t xml:space="preserve">: </w:t>
      </w:r>
      <w:bookmarkStart w:id="260" w:name="pg8930_84826"/>
    </w:p>
    <w:p>
      <w:pPr>
        <w:pStyle w:val="BookText"/>
        <w:rPr/>
      </w:pPr>
      <w:bookmarkEnd w:id="260"/>
      <w:r>
        <w:rPr>
          <w:rFonts w:ascii="IRNazanin" w:hAnsi="IRNazanin" w:eastAsia="IRNazanin"/>
          <w:color w:val="111111"/>
          <w:sz w:val="28"/>
          <w:sz w:val="28"/>
          <w:szCs w:val="28"/>
          <w:rtl w:val="true"/>
          <w:lang w:bidi="fa-IR"/>
        </w:rPr>
        <w:t xml:space="preserve">لاتبحثوا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مدن صخریة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ممطورة بالدّمع والحزن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فإنّنی ما زلتُ منذ رحلتی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مدنٍ مسکونة، دون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بالسِّکاکین و بالسّیوف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 شاکر سیّاب دیگر شاعر نامدار عراقی، با روحیه استکبار ستیزی خویش، خطاب به یزید، از او می خواهد تا شاهد جاودانگی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بشر باشد که چون مشعلی پرنور هرگز به خاموشی نمی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إلی الأجیال یأخذ 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ذاهبٍ ذکری أبی الشهداء</w:t>
      </w:r>
    </w:p>
    <w:p>
      <w:pPr>
        <w:pStyle w:val="BookText"/>
        <w:rPr/>
      </w:pPr>
      <w:r>
        <w:rPr>
          <w:rFonts w:ascii="Amiri" w:hAnsi="Amiri" w:eastAsia="Amiri" w:cs="Amiri"/>
          <w:color w:val="111111"/>
          <w:sz w:val="28"/>
          <w:sz w:val="28"/>
          <w:szCs w:val="28"/>
          <w:rtl w:val="true"/>
          <w:lang w:bidi="ar-SA"/>
        </w:rPr>
        <w:t xml:space="preserve">کالمشعل الوهّاج 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الإله یَجِلُّ عن إطفاء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سیّاب،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مصطفی جمال الدین نیز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شعله ای نورانی در مسیر بشریت و ندایی وجدانی که گام های لغزان و خطاکار را به راه راست رهنمون می شود،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مولای أنت لکلّ جیلٍ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 ینیر له السُّری ویُحبَّبُ</w:t>
      </w:r>
    </w:p>
    <w:p>
      <w:pPr>
        <w:pStyle w:val="BookText"/>
        <w:rPr/>
      </w:pPr>
      <w:r>
        <w:rPr>
          <w:rFonts w:ascii="Amiri" w:hAnsi="Amiri" w:eastAsia="Amiri" w:cs="Amiri"/>
          <w:color w:val="111111"/>
          <w:sz w:val="28"/>
          <w:sz w:val="28"/>
          <w:szCs w:val="28"/>
          <w:rtl w:val="true"/>
          <w:lang w:bidi="ar-SA"/>
        </w:rPr>
        <w:t xml:space="preserve">ولأنت إن زلّت به قدمُ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الضمیر یردُّهُ ویؤَنّّبُ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حضور رهبران و شخصیت های دینی در دوره مشروطه و در دهه های اخیر، شاید دلیلی باشد بر اینکه شاعران ایرانی با وجود حاکمان ظالم و سرسپرده در کشور، چنین نیازی را در خود و جامعه خویش احساس نکرده اند، لذا به این موضوع نپرداخته اند</w:t>
      </w:r>
      <w:r>
        <w:rPr>
          <w:rFonts w:eastAsia="IRNazanin" w:cs="IRNazanin"/>
          <w:color w:val="111111"/>
          <w:sz w:val="28"/>
          <w:szCs w:val="28"/>
          <w:rtl w:val="true"/>
          <w:lang w:bidi="fa-IR"/>
        </w:rPr>
        <w:t>.</w:t>
      </w:r>
    </w:p>
    <w:p>
      <w:pPr>
        <w:pStyle w:val="Heading4"/>
        <w:numPr>
          <w:ilvl w:val="3"/>
          <w:numId w:val="1"/>
        </w:numPr>
        <w:rPr/>
      </w:pPr>
      <w:bookmarkStart w:id="261" w:name="__RefHeading___Toc1296806_2870459653"/>
      <w:bookmarkStart w:id="262" w:name="_Toc93"/>
      <w:bookmarkEnd w:id="261"/>
      <w:r>
        <w:rPr/>
        <w:t>4</w:t>
      </w:r>
      <w:r>
        <w:rPr>
          <w:rtl w:val="true"/>
        </w:rPr>
        <w:t xml:space="preserve">. </w:t>
      </w:r>
      <w:r>
        <w:rPr>
          <w:rtl w:val="true"/>
        </w:rPr>
        <w:t>اشعار عاشورایی فارسی دوره معاصر</w:t>
      </w:r>
      <w:bookmarkEnd w:id="262"/>
    </w:p>
    <w:p>
      <w:pPr>
        <w:pStyle w:val="BookText"/>
        <w:rPr/>
      </w:pPr>
      <w:r>
        <w:rPr>
          <w:rFonts w:ascii="IRNazanin" w:hAnsi="IRNazanin" w:eastAsia="IRNazanin"/>
          <w:color w:val="111111"/>
          <w:sz w:val="28"/>
          <w:sz w:val="28"/>
          <w:szCs w:val="28"/>
          <w:rtl w:val="true"/>
          <w:lang w:bidi="fa-IR"/>
        </w:rPr>
        <w:t>همان طور که اشاره شد شعر عاشورایی دوره معاصر با غزل های عاشورایی فؤاد کرمانی شروع می شود و در ادامه به عرفان و شناخت عمیق شاعران انقلاب اسلامی و دفاع مقدّس پیوند می خورد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اشعار عاشورایی فؤاد،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فؤاد در عصر معارضات سیاسی و دوره بیداری می زیسته است، هرگز اندک تغییری در لحن شعرهای عاشورایی وی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منظر حماسی به واقعه کربلا نگاه کرده و نه با دیدگاه های متداول عصر خود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شعر عاشقانه فؤاد، تأکید بر عشق ورزی امام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نسبت به خداوند است؛ البته از دل دادگی خود نیز نسبت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بود روز حسیبم دیدن رویت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هر روزم ز مشرق سر زدی روز حسیب</w:t>
      </w:r>
    </w:p>
    <w:p>
      <w:pPr>
        <w:pStyle w:val="BookText"/>
        <w:rPr/>
      </w:pPr>
      <w:r>
        <w:rPr>
          <w:rFonts w:ascii="IRNazanin" w:hAnsi="IRNazanin" w:eastAsia="IRNazanin"/>
          <w:color w:val="111111"/>
          <w:sz w:val="28"/>
          <w:sz w:val="28"/>
          <w:szCs w:val="28"/>
          <w:rtl w:val="true"/>
          <w:lang w:bidi="fa-IR"/>
        </w:rPr>
        <w:t xml:space="preserve">گر تو بر درد گنهکاران طبیبی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خوشم با دردمندی که توأم باشی طبیب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بشکافی هنوز قبر شهیدان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از آن کشتگان زمزمه دوست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فؤاد،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فؤاد، تنها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عشق بازی می داند و شاید به همین دلیل است که در شعر خود از دیگران هیچ نامی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کنگره عشق است نیست منزل هر بوالهوس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طایر این آشیان جان حسین است و بس</w:t>
      </w:r>
    </w:p>
    <w:p>
      <w:pPr>
        <w:pStyle w:val="BookText"/>
        <w:rPr/>
      </w:pPr>
      <w:r>
        <w:rPr>
          <w:rFonts w:ascii="IRNazanin" w:hAnsi="IRNazanin" w:eastAsia="IRNazanin"/>
          <w:color w:val="111111"/>
          <w:sz w:val="28"/>
          <w:sz w:val="28"/>
          <w:szCs w:val="28"/>
          <w:rtl w:val="true"/>
          <w:lang w:bidi="fa-IR"/>
        </w:rPr>
        <w:t xml:space="preserve">قله قاف وجود منزل عنقا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آشیان پر نگشاید مگس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آثار عاشورایی فؤاد از مایه تغزل خالی نیست و از این حیث او شاعری کاملاً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ضمیر همراه با درک عمیق عاشقانه، شعر فؤاد را برتر و البته جذاب تر و دل پذیرتر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فؤاد از دیگر شاعرانی که دیدی عاشقانه و عارفانه نسبت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می توان به ریاضی یزدی،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رهروان راه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خدا را شاه عشق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ریاضی یزدی،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در اشعار عاشورایی معاصر،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معرفی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ریشه در ایران باستان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شاه مظلوم، شاه شهید، </w:t>
      </w:r>
    </w:p>
    <w:p>
      <w:pPr>
        <w:pStyle w:val="BookText"/>
        <w:rPr/>
      </w:pPr>
      <w:r>
        <w:rPr>
          <w:rFonts w:ascii="IRNazanin" w:hAnsi="IRNazanin" w:eastAsia="IRNazanin"/>
          <w:color w:val="111111"/>
          <w:sz w:val="28"/>
          <w:sz w:val="28"/>
          <w:szCs w:val="28"/>
          <w:rtl w:val="true"/>
          <w:lang w:bidi="fa-IR"/>
        </w:rPr>
        <w:t>شاه تشنه لب، شهسوار معرکه کربلا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های آغازین معاصر، کاربرد فراوانی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شعر عاشورایی</w:t>
      </w:r>
    </w:p>
    <w:p>
      <w:pPr>
        <w:pStyle w:val="BookText"/>
        <w:rPr/>
      </w:pPr>
      <w:r>
        <w:rPr>
          <w:rFonts w:ascii="IRNazanin" w:hAnsi="IRNazanin" w:eastAsia="IRNazanin"/>
          <w:color w:val="111111"/>
          <w:sz w:val="28"/>
          <w:sz w:val="28"/>
          <w:szCs w:val="28"/>
          <w:rtl w:val="true"/>
          <w:lang w:bidi="fa-IR"/>
        </w:rPr>
        <w:t>قیام عاشورا به عنوان الگویی ارزشمند و کامل از ابتدا پشتوانه فکری انقلاب اسلامی و بارزترین اسوه و الگوی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مفقود عاشورا که هرگز در سروده های شاعران سده های پیشین به کار گرفته نشده بود، در فرهنگ مبارزه و جهاد راه یافت و شعر، آکنده از جملات و اشاراتی شد که ملهم از عاشورای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ملّت، یادآور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طلبی و ظلم ستیزی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کیست که سیمای حسینی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عَلَم فتح حسینی دارد</w:t>
      </w:r>
    </w:p>
    <w:p>
      <w:pPr>
        <w:pStyle w:val="BookText"/>
        <w:rPr/>
      </w:pPr>
      <w:r>
        <w:rPr>
          <w:rFonts w:ascii="IRNazanin" w:hAnsi="IRNazanin" w:eastAsia="IRNazanin"/>
          <w:color w:val="111111"/>
          <w:sz w:val="28"/>
          <w:sz w:val="28"/>
          <w:szCs w:val="28"/>
          <w:rtl w:val="true"/>
          <w:lang w:bidi="fa-IR"/>
        </w:rPr>
        <w:t xml:space="preserve">از هاله رویش رخ مهتاب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است ولی نام خمینی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شهید قنبر زارع، نقل از مردانی،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ثار حسین است نه مولود خمین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 محمد است و سردار حنین</w:t>
      </w:r>
    </w:p>
    <w:p>
      <w:pPr>
        <w:pStyle w:val="BookText"/>
        <w:rPr/>
      </w:pPr>
      <w:r>
        <w:rPr>
          <w:rFonts w:ascii="IRNazanin" w:hAnsi="IRNazanin" w:eastAsia="IRNazanin"/>
          <w:color w:val="111111"/>
          <w:sz w:val="28"/>
          <w:sz w:val="28"/>
          <w:szCs w:val="28"/>
          <w:rtl w:val="true"/>
          <w:lang w:bidi="fa-IR"/>
        </w:rPr>
        <w:t>این قصه ناب نامکرر، حافظ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تکرار حسین است، حسین است،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پیکار یزیدی و حسینی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ما حسین خمینی 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مقدّس و شعر عاشورایی</w:t>
      </w:r>
    </w:p>
    <w:p>
      <w:pPr>
        <w:pStyle w:val="BookText"/>
        <w:rPr/>
      </w:pPr>
      <w:r>
        <w:rPr>
          <w:rFonts w:ascii="IRNazanin" w:hAnsi="IRNazanin" w:eastAsia="IRNazanin"/>
          <w:color w:val="111111"/>
          <w:sz w:val="28"/>
          <w:sz w:val="28"/>
          <w:szCs w:val="28"/>
          <w:rtl w:val="true"/>
          <w:lang w:bidi="fa-IR"/>
        </w:rPr>
        <w:t xml:space="preserve">با وقوع جنگ تحمیلی، ادبیات پایداری در ایران، رنگ و رونق چشمگیری یافت و یکی از نتایج آن،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بخش مهمی از تاریخ ادبیات معاصر ما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جنگ، از لحاظ فرم و محتوا، دارای ویژگی های مخصوص به خود است که حضور ابعاد گوناگون فرهنگ عاشورا یکی از این مشخصه ها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هشت ساله ایران با عراق، مشابهت های بسیاری با نبرد حق علیه باطل در کارزار کربلا داشت و باعث شد تا این دو حادثه، از جهات متعدّد به هم پیوند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عرصه های مختلف جنگ متأثّر از حادثه عاشورا بود، شعر جنگ نیز از آبشخور این فرهنگ غنی سیراب شد و لحظات ناب شاعرانه ای را برای شاعران این دوره </w:t>
      </w:r>
    </w:p>
    <w:p>
      <w:pPr>
        <w:pStyle w:val="BookText"/>
        <w:rPr/>
      </w:pPr>
      <w:r>
        <w:rPr>
          <w:rFonts w:ascii="IRNazanin" w:hAnsi="IRNazanin" w:eastAsia="IRNazanin"/>
          <w:color w:val="111111"/>
          <w:sz w:val="28"/>
          <w:sz w:val="28"/>
          <w:szCs w:val="28"/>
          <w:rtl w:val="true"/>
          <w:lang w:bidi="fa-IR"/>
        </w:rPr>
        <w:t>از ادبیات ایران،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ضرورت دفاع از میهن، ایستادگی بر سر آرمان حفاظت از انقلاب نوپا که با هدف احیای اسلام شکل گرفته بود؛ باعث برجسته شدن ابعاد حماسی عاشورا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 که تا پیش از انقلاب، عمدتاً به عنوان یک سوگ بزرگ به آن نگریسته می شد، در سروده های شاعران دفاع مقدّس به عنوان یک حماسه مطرح شد که این نگاه حماسی به عاشورا، در تاریخچه شعر عاشورایی فصل تازه ای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در شعر دفاع مقدّس آمیزه ای از شهادت، ایثار، ستم ستیزی و آرمان خواهی انسانی است و کربلا، تبلور تمامی این جلوه هاست و شاعر از مضامین عاشورایی و کلمات و ترکیبات عظیم آن، همچون ایثار،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تیغ، شمشیر، خنجر، عَلَم، خون، مقاومت، تشنگی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و شکوه حماسه رزمندگان اسلام را با شکوه حماسه آفرینی شهیدان کربلا پیوند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سرها به نیزه 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خولیان در پناه جوشن ها</w:t>
      </w:r>
    </w:p>
    <w:p>
      <w:pPr>
        <w:pStyle w:val="BookText"/>
        <w:rPr/>
      </w:pPr>
      <w:r>
        <w:rPr>
          <w:rFonts w:ascii="IRNazanin" w:hAnsi="IRNazanin" w:eastAsia="IRNazanin"/>
          <w:color w:val="111111"/>
          <w:sz w:val="28"/>
          <w:sz w:val="28"/>
          <w:szCs w:val="28"/>
          <w:rtl w:val="true"/>
          <w:lang w:bidi="fa-IR"/>
        </w:rPr>
        <w:t xml:space="preserve">هان مبادا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یزیدیان تنها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اسرافیلی،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 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خویش بریده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شنید پای در راه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 و 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به گوش می رسد ناله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پر است از گل و لاله عشق</w:t>
      </w:r>
    </w:p>
    <w:p>
      <w:pPr>
        <w:pStyle w:val="BookText"/>
        <w:rPr/>
      </w:pPr>
      <w:r>
        <w:rPr>
          <w:rFonts w:ascii="IRNazanin" w:hAnsi="IRNazanin" w:eastAsia="IRNazanin"/>
          <w:color w:val="111111"/>
          <w:sz w:val="28"/>
          <w:sz w:val="28"/>
          <w:szCs w:val="28"/>
          <w:rtl w:val="true"/>
          <w:lang w:bidi="fa-IR"/>
        </w:rPr>
        <w:t xml:space="preserve">در خون و حماسه باز تکرار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هزار و چهارصد ساله 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جنگ از آن جا که با واقعیتی عینی در خارج مواجه بود، از نظر مضمون و محتوا، سرشار از روح حماسی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دلاوری ها، مقاومت و پایداری و فداکاری رزمندگان و حضور زن و مرد و پیر و جوان در عرصه نبرد، از جمله مسائلی بود که بهسرعت در شعر راه یافت و از آن جا که این جنگ، برای همگان، مصداق کاملی از جنگ حق علیه باطل بود، مضامین اعتقادی و از جمله فرهنگ عاشورا جزء اصلی ترین درون مایه های شعر این </w:t>
      </w:r>
    </w:p>
    <w:p>
      <w:pPr>
        <w:pStyle w:val="BookText"/>
        <w:rPr/>
      </w:pPr>
      <w:r>
        <w:rPr>
          <w:rFonts w:ascii="IRNazanin" w:hAnsi="IRNazanin" w:eastAsia="IRNazanin"/>
          <w:color w:val="111111"/>
          <w:sz w:val="28"/>
          <w:sz w:val="28"/>
          <w:szCs w:val="28"/>
          <w:rtl w:val="true"/>
          <w:lang w:bidi="fa-IR"/>
        </w:rPr>
        <w:t>دوره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نابرابر که از جهات مختلف به واقعه عاشورا مشابهت داشت، همان تقدّس و همان مظلومیت مشاهده می شود و دفاع از آرمان و عقیده، آن را به یک دفاع مقدّس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این دوره، علاوه بر مظلومیت و سوگ و مرثیه که جزء جدایی ناپذیر هر دو حادثه بود، روح حماسی و حماسه سرایی برجسته تر و پررنگ تر از پیش نمودار شد و شاعران با سلاح قلم، این روحیه را به رزمندگان و نیز مردم منتقل می کردند، تا آن جا که منجر به رواج قالبی در شعر فارسی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به ابوالقاسم حسین جانی از شاعران خوش قریحه و توانمند معاصر كه رویكرد آیینی، جزئی از شناسنامه و هویّت شعری اش به شمار می رود، اشاره کرد و می توان گفت با همین یك بیت در تاریخ ادبیات ایران زمین ماندگار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جاده و اسب مهیّاست؛ بیا تا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منتظر ماست؛ بیا تا برویم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ردیفی كه شاعر برای این غزل انتخاب کرده، باعث شده تا در طول ساختار شعر، همواره حركت به خوبی محسوس باشد و می توان بُعد آن را به كربلا و تاریخچه شكل گیری آن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كه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روشنگری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نكته ای كه در بیت دوم این غزل پیداست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تصویر می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 در خون خدا می شكفد، می بالد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غرق تماشاست بیا تا برویم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خاكی كه آدم از آن آفریده شده است و در هنگام آفرینش آن نیز اعتراض فرشتگان به خداوند را به همراه داشته است امروز و در كربلا این خاك در كالبد روحانی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می بالد و شاعر با هنرمندی، پارادوكس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هم قرار می دهد، آسمان كه نماد اوج و بزرگی است چگونه در تماشای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كربلا محو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تیغ در معركه می افتد و برمی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شمشیر چه زیباست؛ بیا تا برویم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بیت نیز شاعر، لحظه معركه و نبرد را از زاویه دید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می كشد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رایت إلا جمیلا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رقص شمشیر چه زیباست؛ بیا تا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نکات مهم در ارتباط با این غزل این است که از معدود اشعار عاشورایی است كه در آن كمتر سوگ و ماتم وجود دارد و شاعر در شعری كه سراسر پویایی و حركت است، كاملاً به عاشورا از بُعد اندیشه، عرفان و زیبایی نگاه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سراشیبی تردید اگر برگردیم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زیر قدم ماست بیا تا برویم</w:t>
      </w:r>
    </w:p>
    <w:p>
      <w:pPr>
        <w:pStyle w:val="BookText"/>
        <w:rPr/>
      </w:pPr>
      <w:r>
        <w:rPr>
          <w:rFonts w:ascii="IRNazanin" w:hAnsi="IRNazanin" w:eastAsia="IRNazanin"/>
          <w:color w:val="111111"/>
          <w:sz w:val="28"/>
          <w:sz w:val="28"/>
          <w:szCs w:val="28"/>
          <w:rtl w:val="true"/>
          <w:lang w:bidi="fa-IR"/>
        </w:rPr>
        <w:t xml:space="preserve">زره از موج بپوشیم ردا از توفان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از دل دریاست بیا تا برویم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مردانی در ارائه فضای حماسی آمیخته با تغزل، از واژه هایی که مناسب تصویر صحنه های حماسی هستند و از تلفیق گویا و زیبای صحنه های دفاع مقدّس با حماسه خونین بزرگ مردان عاشورا کمک می گیرد و در القای هرچه زیباتر و شکوهمندتر معانی ذهنی خود به مخاطب می کوشد و به حق باید گفت در بسیاری از موارد، موفّق عمل کرده و با قلم تخیل تصویرساز خود، خواننده را مسحور غزل های نغز و باشکوه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زمزمه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بخوان حماسه خونین کربلا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بسط زمین جمله همصدا با ما</w:t>
      </w:r>
    </w:p>
    <w:p>
      <w:pPr>
        <w:pStyle w:val="BookText"/>
        <w:rPr/>
      </w:pPr>
      <w:r>
        <w:rPr>
          <w:rFonts w:ascii="IRNazanin" w:hAnsi="IRNazanin" w:eastAsia="IRNazanin"/>
          <w:color w:val="111111"/>
          <w:sz w:val="28"/>
          <w:sz w:val="28"/>
          <w:szCs w:val="28"/>
          <w:rtl w:val="true"/>
          <w:lang w:bidi="fa-IR"/>
        </w:rPr>
        <w:t xml:space="preserve">سر بریده به میدان عشق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خون شهیدان نینوا با ما</w:t>
      </w:r>
    </w:p>
    <w:p>
      <w:pPr>
        <w:pStyle w:val="BookText"/>
        <w:rPr/>
      </w:pPr>
      <w:r>
        <w:rPr>
          <w:rFonts w:ascii="IRNazanin" w:hAnsi="IRNazanin" w:eastAsia="IRNazanin"/>
          <w:color w:val="111111"/>
          <w:sz w:val="28"/>
          <w:sz w:val="28"/>
          <w:szCs w:val="28"/>
          <w:rtl w:val="true"/>
          <w:lang w:bidi="fa-IR"/>
        </w:rPr>
        <w:t xml:space="preserve">فرات اشک ز چشمان پاک 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سوگواری گل های کربلا با ما</w:t>
      </w:r>
    </w:p>
    <w:p>
      <w:pPr>
        <w:pStyle w:val="BookText"/>
        <w:rPr/>
      </w:pPr>
      <w:r>
        <w:rPr>
          <w:rFonts w:ascii="IRNazanin" w:hAnsi="IRNazanin" w:eastAsia="IRNazanin"/>
          <w:color w:val="111111"/>
          <w:sz w:val="28"/>
          <w:sz w:val="28"/>
          <w:szCs w:val="28"/>
          <w:rtl w:val="true"/>
          <w:lang w:bidi="fa-IR"/>
        </w:rPr>
        <w:t xml:space="preserve">دوباره پیکر صد چاک لاله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کوچه های بهشتی فرشته ها با ما</w:t>
      </w:r>
    </w:p>
    <w:p>
      <w:pPr>
        <w:pStyle w:val="BookText"/>
        <w:rPr/>
      </w:pPr>
      <w:r>
        <w:rPr>
          <w:rFonts w:ascii="IRNazanin" w:hAnsi="IRNazanin" w:eastAsia="IRNazanin"/>
          <w:color w:val="111111"/>
          <w:sz w:val="28"/>
          <w:sz w:val="28"/>
          <w:szCs w:val="28"/>
          <w:rtl w:val="true"/>
          <w:lang w:bidi="fa-IR"/>
        </w:rPr>
        <w:t xml:space="preserve">به دشت های شقایق نشان ما 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سرخ روی چمن می کند صبا با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عاشورایی دفاع مقدّس</w:t>
      </w:r>
    </w:p>
    <w:p>
      <w:pPr>
        <w:pStyle w:val="BookText"/>
        <w:rPr/>
      </w:pPr>
      <w:r>
        <w:rPr>
          <w:rFonts w:ascii="IRNazanin" w:hAnsi="IRNazanin" w:eastAsia="IRNazanin"/>
          <w:color w:val="111111"/>
          <w:sz w:val="28"/>
          <w:sz w:val="28"/>
          <w:szCs w:val="28"/>
          <w:rtl w:val="true"/>
          <w:lang w:bidi="fa-IR"/>
        </w:rPr>
        <w:t>جلوه های حماسی این رویداد بزرگ تاریخی به اشکال متنوع در شعر دفاع مقدّس نمودار شده که به اجمال به بررسی آن 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سازش با ستمگر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 شکوهمند روحیه عزت مداری و سازش نکردن با ظالم در زندگی و شخصیت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دفاع مقدّس نیز انعکاس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ندانی که ما جمله آزاده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شیر از پی رزم آماده ایم</w:t>
      </w:r>
    </w:p>
    <w:p>
      <w:pPr>
        <w:pStyle w:val="BookText"/>
        <w:rPr/>
      </w:pPr>
      <w:r>
        <w:rPr>
          <w:rFonts w:ascii="IRNazanin" w:hAnsi="IRNazanin" w:eastAsia="IRNazanin"/>
          <w:color w:val="111111"/>
          <w:sz w:val="28"/>
          <w:sz w:val="28"/>
          <w:szCs w:val="28"/>
          <w:rtl w:val="true"/>
          <w:lang w:bidi="fa-IR"/>
        </w:rPr>
        <w:t xml:space="preserve">نگهبان این سرزمین خون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گواهیش همین خاک گلگون ماست</w:t>
      </w:r>
    </w:p>
    <w:p>
      <w:pPr>
        <w:pStyle w:val="BookText"/>
        <w:rPr/>
      </w:pPr>
      <w:r>
        <w:rPr>
          <w:rFonts w:ascii="IRNazanin" w:hAnsi="IRNazanin" w:eastAsia="IRNazanin"/>
          <w:color w:val="111111"/>
          <w:sz w:val="28"/>
          <w:sz w:val="28"/>
          <w:szCs w:val="28"/>
          <w:rtl w:val="true"/>
          <w:lang w:bidi="fa-IR"/>
        </w:rPr>
        <w:t xml:space="preserve">هر آن کو که راه حسینی 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نهد سر به حکم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شاهرخی،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چو با خصم بد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وارسته ز قید سازش و ننگ شدیم</w:t>
      </w:r>
    </w:p>
    <w:p>
      <w:pPr>
        <w:pStyle w:val="BookText"/>
        <w:rPr/>
      </w:pPr>
      <w:r>
        <w:rPr>
          <w:rFonts w:ascii="IRNazanin" w:hAnsi="IRNazanin" w:eastAsia="IRNazanin"/>
          <w:color w:val="111111"/>
          <w:sz w:val="28"/>
          <w:sz w:val="28"/>
          <w:szCs w:val="28"/>
          <w:rtl w:val="true"/>
          <w:lang w:bidi="fa-IR"/>
        </w:rPr>
        <w:t xml:space="preserve">با خصم به کارزار و با خود به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حسین، وارد جنگ شدیم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و مقاومت</w:t>
      </w:r>
    </w:p>
    <w:p>
      <w:pPr>
        <w:pStyle w:val="BookText"/>
        <w:rPr/>
      </w:pPr>
      <w:r>
        <w:rPr>
          <w:rFonts w:ascii="IRNazanin" w:hAnsi="IRNazanin" w:eastAsia="IRNazanin"/>
          <w:color w:val="111111"/>
          <w:sz w:val="28"/>
          <w:sz w:val="28"/>
          <w:szCs w:val="28"/>
          <w:rtl w:val="true"/>
          <w:lang w:bidi="fa-IR"/>
        </w:rPr>
        <w:t xml:space="preserve">طاهره صفار زاده در سروده 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ایستادگی و مقاومت رزمندگان را در جبهه با ایستادگی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کرده و آن را ادامه دهنده همان راه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الهام از عبارت معروف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سلم لمن سالمک و حرب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سراید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سرزمین آبی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خویش نمی اندیشد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مرگ و مال نمی اندیشد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صخره و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پای دلیرانی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ارتفاع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ارتفاع ایمان می 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مرز جان چون صخره می 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پروازشان از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بطن آبی رگ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آبی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حنجره های زخمی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فشار ظلم ابر باطل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محاربه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که با حسین در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صلحیم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با حسین در صلح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صفّارزاده،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بازتاب رفتاری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اسوه صبر و شکوه انقلابی ، در مادران و همسران شهدای دفاع مقدّس تجلّی یافته و در شعر حماسی نیز سهمی را به خود اختصاص داده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صبرت پشت دشمن را شکستی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نعش برادر با برادر چون نشستی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پیوند با هر چه جز مهرش گسستی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طلبی</w:t>
      </w:r>
    </w:p>
    <w:p>
      <w:pPr>
        <w:pStyle w:val="BookText"/>
        <w:rPr/>
      </w:pPr>
      <w:r>
        <w:rPr>
          <w:rFonts w:ascii="IRNazanin" w:hAnsi="IRNazanin" w:eastAsia="IRNazanin"/>
          <w:color w:val="111111"/>
          <w:sz w:val="28"/>
          <w:sz w:val="28"/>
          <w:szCs w:val="28"/>
          <w:rtl w:val="true"/>
          <w:lang w:bidi="fa-IR"/>
        </w:rPr>
        <w:t xml:space="preserve">نگاه حماسی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و داشتن روحیه بالای شهادت طلبی، در شعر دفاع مقدّس نیز بسیار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سبزواری در قصید 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نام 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سرشار از روحیه حماسی است، به بیان تفاوت میان مرگ در بستر و شهادت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که در بستر است، مردن بی زیور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نام آوران، بستر بیمار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سرخ در سروده های شاعران دفاع مقدس نمونه های فراوانی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به مرگ سرخ لبخند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حق حسین مانند زدند</w:t>
      </w:r>
    </w:p>
    <w:p>
      <w:pPr>
        <w:pStyle w:val="BookText"/>
        <w:rPr/>
      </w:pPr>
      <w:r>
        <w:rPr>
          <w:rFonts w:ascii="IRNazanin" w:hAnsi="IRNazanin" w:eastAsia="IRNazanin"/>
          <w:color w:val="111111"/>
          <w:sz w:val="28"/>
          <w:sz w:val="28"/>
          <w:szCs w:val="28"/>
          <w:rtl w:val="true"/>
          <w:lang w:bidi="fa-IR"/>
        </w:rPr>
        <w:t xml:space="preserve">با جوشش خود و با سرود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خجسته صبح پیوند زدند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عزّت بهتر از زندگی با ذلّت</w:t>
      </w:r>
    </w:p>
    <w:p>
      <w:pPr>
        <w:pStyle w:val="BookText"/>
        <w:rPr/>
      </w:pPr>
      <w:r>
        <w:rPr>
          <w:rFonts w:ascii="IRNazanin" w:hAnsi="IRNazanin" w:eastAsia="IRNazanin"/>
          <w:color w:val="111111"/>
          <w:sz w:val="28"/>
          <w:sz w:val="28"/>
          <w:szCs w:val="28"/>
          <w:rtl w:val="true"/>
          <w:lang w:bidi="fa-IR"/>
        </w:rPr>
        <w:t>صدای رسای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قرن ها به گوش جان رسیده بود و فرزندانی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اسوه خویش قرار داده بودند، در امتداد قیام او مقابل تجاوزگران، تا پای جان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مشهد مردان خدا خون 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حق، شیوه مردان جنگ است</w:t>
      </w:r>
    </w:p>
    <w:p>
      <w:pPr>
        <w:pStyle w:val="BookText"/>
        <w:rPr/>
      </w:pPr>
      <w:r>
        <w:rPr>
          <w:rFonts w:ascii="IRNazanin" w:hAnsi="IRNazanin" w:eastAsia="IRNazanin"/>
          <w:color w:val="111111"/>
          <w:sz w:val="28"/>
          <w:sz w:val="28"/>
          <w:szCs w:val="28"/>
          <w:rtl w:val="true"/>
          <w:lang w:bidi="fa-IR"/>
        </w:rPr>
        <w:t xml:space="preserve">روزی که جواب ظالمان خاموشی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زیستن، قرین ننگ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دوستی،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حماسی ترین جملات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صورت یک عقیده درآمد و روح رشادت و دلاوری را در جامعه اسلامی و به تبع آن در سروده های شاعران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مبر در پیش مردان نام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از زبونی بر کنار است</w:t>
      </w:r>
    </w:p>
    <w:p>
      <w:pPr>
        <w:pStyle w:val="BookText"/>
        <w:rPr/>
      </w:pPr>
      <w:r>
        <w:rPr>
          <w:rFonts w:ascii="IRNazanin" w:hAnsi="IRNazanin" w:eastAsia="IRNazanin"/>
          <w:color w:val="111111"/>
          <w:sz w:val="28"/>
          <w:sz w:val="28"/>
          <w:szCs w:val="28"/>
          <w:rtl w:val="true"/>
          <w:lang w:bidi="fa-IR"/>
        </w:rPr>
        <w:t xml:space="preserve">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از حسین این یادگار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پیکار علیه ظالمان پیشه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وندر ره دوست مردن اندیشه ماست </w:t>
      </w:r>
    </w:p>
    <w:p>
      <w:pPr>
        <w:pStyle w:val="BookText"/>
        <w:rPr/>
      </w:pPr>
      <w:r>
        <w:rPr>
          <w:rFonts w:ascii="IRNazanin" w:hAnsi="IRNazanin" w:eastAsia="IRNazanin"/>
          <w:color w:val="111111"/>
          <w:sz w:val="28"/>
          <w:sz w:val="28"/>
          <w:szCs w:val="28"/>
          <w:rtl w:val="true"/>
          <w:lang w:bidi="fa-IR"/>
        </w:rPr>
        <w:t xml:space="preserve">هرگز ندهیم تن به ذلّت،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زلال کربلا ریشه 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عبدالملکیان،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رجزهای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القتل أولی من رکوب 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العار أولی من دخول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این شعار حماسی در شعر دفاع مقدس نیز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برآیید ای ستم سوزان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با ستم افتاده کار است</w:t>
      </w:r>
    </w:p>
    <w:p>
      <w:pPr>
        <w:pStyle w:val="BookText"/>
        <w:rPr/>
      </w:pPr>
      <w:r>
        <w:rPr>
          <w:rFonts w:ascii="IRNazanin" w:hAnsi="IRNazanin" w:eastAsia="IRNazanin"/>
          <w:color w:val="111111"/>
          <w:sz w:val="28"/>
          <w:sz w:val="28"/>
          <w:szCs w:val="28"/>
          <w:rtl w:val="true"/>
          <w:lang w:bidi="fa-IR"/>
        </w:rPr>
        <w:t xml:space="preserve">ملامت گری را گو لب فرو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مردن پیش ما بهتر ز عار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عرصه زندگی به ما گردد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غرقه خون شویم در عرصه جنگ</w:t>
      </w:r>
    </w:p>
    <w:p>
      <w:pPr>
        <w:pStyle w:val="BookText"/>
        <w:rPr/>
      </w:pPr>
      <w:r>
        <w:rPr>
          <w:rFonts w:ascii="IRNazanin" w:hAnsi="IRNazanin" w:eastAsia="IRNazanin"/>
          <w:color w:val="111111"/>
          <w:sz w:val="28"/>
          <w:sz w:val="28"/>
          <w:szCs w:val="28"/>
          <w:rtl w:val="true"/>
          <w:lang w:bidi="fa-IR"/>
        </w:rPr>
        <w:t xml:space="preserve">یک نام به خون نوشته بر سینه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ز هزار نام آلوده به ننگ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مردانی به نقل از شاهرخی،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ابزار جنگی میادین جنگ تحمیلی با کارزار عاشورا</w:t>
      </w:r>
    </w:p>
    <w:p>
      <w:pPr>
        <w:pStyle w:val="BookText"/>
        <w:rPr/>
      </w:pPr>
      <w:r>
        <w:rPr>
          <w:rFonts w:ascii="IRNazanin" w:hAnsi="IRNazanin" w:eastAsia="IRNazanin"/>
          <w:color w:val="111111"/>
          <w:sz w:val="28"/>
          <w:sz w:val="28"/>
          <w:szCs w:val="28"/>
          <w:rtl w:val="true"/>
          <w:lang w:bidi="fa-IR"/>
        </w:rPr>
        <w:t>شاعران از ابزار جنگی به کار رفته در قیام کربلا و اصطلاحات جنگی امروزی نیز سود جسته، تصویرگر صحنه های مبارزه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بار دگر نیام خنجر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دوباره سایه گستر شده بود</w:t>
      </w:r>
    </w:p>
    <w:p>
      <w:pPr>
        <w:pStyle w:val="BookText"/>
        <w:rPr/>
      </w:pPr>
      <w:r>
        <w:rPr>
          <w:rFonts w:ascii="IRNazanin" w:hAnsi="IRNazanin" w:eastAsia="IRNazanin"/>
          <w:color w:val="111111"/>
          <w:sz w:val="28"/>
          <w:sz w:val="28"/>
          <w:szCs w:val="28"/>
          <w:rtl w:val="true"/>
          <w:lang w:bidi="fa-IR"/>
        </w:rPr>
        <w:t xml:space="preserve">خورشید سحر سرشک خون می 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کرب و بلا ستاره پرپر شده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پیمان مولا ره می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تا خدا ره می سپارد</w:t>
      </w:r>
    </w:p>
    <w:p>
      <w:pPr>
        <w:pStyle w:val="BookText"/>
        <w:rPr/>
      </w:pPr>
      <w:r>
        <w:rPr>
          <w:rFonts w:ascii="IRNazanin" w:hAnsi="IRNazanin" w:eastAsia="IRNazanin"/>
          <w:color w:val="111111"/>
          <w:sz w:val="28"/>
          <w:sz w:val="28"/>
          <w:szCs w:val="28"/>
          <w:rtl w:val="true"/>
          <w:lang w:bidi="fa-IR"/>
        </w:rPr>
        <w:t xml:space="preserve">در این خیزابه های آتش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کربلا ره می سپارد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حمید سبزواری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تیغ بر آرید تیغ، فرصت گفتار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رزم است، رزم، وقت دگر کار نیست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آلاله خجل ز روی گلفام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گلگونه شفق ز برکت نام تو شد</w:t>
      </w:r>
    </w:p>
    <w:p>
      <w:pPr>
        <w:pStyle w:val="BookText"/>
        <w:rPr/>
      </w:pPr>
      <w:r>
        <w:rPr>
          <w:rFonts w:ascii="IRNazanin" w:hAnsi="IRNazanin" w:eastAsia="IRNazanin"/>
          <w:color w:val="111111"/>
          <w:sz w:val="28"/>
          <w:sz w:val="28"/>
          <w:szCs w:val="28"/>
          <w:rtl w:val="true"/>
          <w:lang w:bidi="fa-IR"/>
        </w:rPr>
        <w:t xml:space="preserve">رفتی به ره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زخم گلوله زیب اندام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محمودی،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در شعر عاشورایی دفاع مقدس</w:t>
      </w:r>
    </w:p>
    <w:p>
      <w:pPr>
        <w:pStyle w:val="BookText"/>
        <w:rPr/>
      </w:pPr>
      <w:r>
        <w:rPr>
          <w:rFonts w:ascii="IRNazanin" w:hAnsi="IRNazanin" w:eastAsia="IRNazanin"/>
          <w:color w:val="111111"/>
          <w:sz w:val="28"/>
          <w:sz w:val="28"/>
          <w:szCs w:val="28"/>
          <w:rtl w:val="true"/>
          <w:lang w:bidi="fa-IR"/>
        </w:rPr>
        <w:t>اصولاً رنگ، نشانه بارز یک بُعد فرهنگی یا اعتقادی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شعر دفاع مقدّس استفاده فراوان از رنگ سرخ که برگرفته از حماسه خونین عاشوراست کاملاً مشهود بوده و شاعران به خوبی از جلوه های گوناگون این رنگ در تصویرسازی های خویش استفاده کرده اند؛ به ویژه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اشعارشان بسیار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خون، باده خون، سجاده خون، خون پاک، ردیف خون، آب خون، شراب خون، خشاب خون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جرعه کشان مست از باده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شهادتند و دلداده خون</w:t>
      </w:r>
    </w:p>
    <w:p>
      <w:pPr>
        <w:pStyle w:val="BookText"/>
        <w:rPr/>
      </w:pPr>
      <w:r>
        <w:rPr>
          <w:rFonts w:ascii="IRNazanin" w:hAnsi="IRNazanin" w:eastAsia="IRNazanin"/>
          <w:color w:val="111111"/>
          <w:sz w:val="28"/>
          <w:sz w:val="28"/>
          <w:szCs w:val="28"/>
          <w:rtl w:val="true"/>
          <w:lang w:bidi="fa-IR"/>
        </w:rPr>
        <w:t xml:space="preserve">با بانگ امام نور قامت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قیام روی سجاده خون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سرخ و واژه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لاله، گلگون، شهادت، شهید که در شعر اکثر شاعران دفاع مقدّس آمده است، با واژه هایی چون کربلا، حسین، سنگر، سلسبیل، نخل، طوفان، آذرخش، برق، حادثه، جزر و مد، موج، باران، آفتاب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 بارز تلفیق و همانند کردن صحنه های حماسه عظیم عاشورا با صحنه های عشق و شور و حماسه هشت سال دفاع مقدّس است و این که رزمندگان اسلام در تمام لحظه های نبرد، الگوی خود 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 او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معراج مردان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زخم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ظهر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امتداد پرسش تاریخی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فوّاره های خون شما بهترین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های متواتر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رگبار مسلسل های متّکی بر عشق شما تفسیر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میان؛ سید علی گرمارودی از شاعران برجسته ای است که از تعامل و تقابل رنگ های سرخ و سبز، برای بیان اشعار عاشورایی خود بهره زیادی برده که به برخی از اغراض آن اشاره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تابیدن نور امید</w:t>
      </w:r>
    </w:p>
    <w:p>
      <w:pPr>
        <w:pStyle w:val="BookText"/>
        <w:rPr/>
      </w:pPr>
      <w:r>
        <w:rPr>
          <w:rFonts w:ascii="IRNazanin" w:hAnsi="IRNazanin" w:eastAsia="IRNazanin"/>
          <w:color w:val="111111"/>
          <w:sz w:val="28"/>
          <w:sz w:val="28"/>
          <w:szCs w:val="28"/>
          <w:rtl w:val="true"/>
          <w:lang w:bidi="fa-IR"/>
        </w:rPr>
        <w:t>گاهی اوقات گرمارودی، از تعامل رنگ های سرخ و سبز با یکدیگر برای تعبیر از زنده شدن و درخشیدن نور امید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ثارَ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باغ مینوی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در صحرای تفته کاشتی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میوه های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نهرهای جاری خوناب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سروهای سبز دلاور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ست که باید با چشم عشق 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جاودانگی</w:t>
      </w:r>
    </w:p>
    <w:p>
      <w:pPr>
        <w:pStyle w:val="BookText"/>
        <w:rPr/>
      </w:pPr>
      <w:r>
        <w:rPr>
          <w:rFonts w:ascii="IRNazanin" w:hAnsi="IRNazanin" w:eastAsia="IRNazanin"/>
          <w:color w:val="111111"/>
          <w:sz w:val="28"/>
          <w:sz w:val="28"/>
          <w:szCs w:val="28"/>
          <w:rtl w:val="true"/>
          <w:lang w:bidi="fa-IR"/>
        </w:rPr>
        <w:t>اکثر شاعران مرگ در راه وطن را با رنگ سرخ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جایی که گرمارودی مرگ سرخ را، مقدّمه ای برای زندگی جاوید می داند، برای تعبیر از این گونه مرگ، رنگ سبز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تقابل رنگ های سرخ و سبز، بیانگر چنین هدفی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که روزی سرخ بمیرم و سبز برآیم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سبز سرخ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گرمارودی، سرخ و سبز را در این ابیات، نمادی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اشاره به حیات جاوید شهید بوده و سرخی، نمادی از شهادت و نشانه ای از سرور و شادابی شهید از رسیدن به آن است، زیرا سرخی چهره، نشان از رضایت کامل انسان در پیشگاه محبوب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اعتراضی به حاکمیت سیاه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نوسروده های گرمارودی، از تنوع محتوایی و کاربرد فراوانی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سار نخل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درخشان دهه شصت و از اسباب شهرت این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آید بیشتر شهرت 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شکنی آن و پیشگامی شاعر در شعر موضوع مند آیینی، بویژه در گرایش عاشورایی و از مشهورترین آنان تا زمان خود در قالب های نوین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شهرت، مرهون نگرش نوین، انقلابی و تاریخی شاعر به واقعه است و بخشی نیز به واسطه بدایع هنری آن، بویژه آغاز و پایان ابتکاری و به خاطر ماندنی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سرخ، با تمام مایه های مثبت دینی </w:t>
      </w:r>
      <w:bookmarkStart w:id="263" w:name="pg8930_84837"/>
    </w:p>
    <w:p>
      <w:pPr>
        <w:pStyle w:val="BookText"/>
        <w:rPr/>
      </w:pPr>
      <w:bookmarkEnd w:id="263"/>
      <w:r>
        <w:rPr>
          <w:rFonts w:ascii="IRNazanin" w:hAnsi="IRNazanin" w:eastAsia="IRNazanin"/>
          <w:color w:val="111111"/>
          <w:sz w:val="28"/>
          <w:sz w:val="28"/>
          <w:szCs w:val="28"/>
          <w:rtl w:val="true"/>
          <w:lang w:bidi="fa-IR"/>
        </w:rPr>
        <w:t xml:space="preserve">خویش، گسترده ترین حوزه نمادین رنگ را در این سروده در بر دارد و رمز ایثار، شهادت، عشق، شادابی، ایمان و گاهی نماد حرکت انسان ساز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گرمارودی در این زمینه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سرخت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نه نام یزید را شکست و کلمه ستم را بی سیرت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فوج کلام را درهم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قرآن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آیه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پوست کشیده صحرا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خوشه های سرخ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قطعه 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واقعه عاشورا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سرخ، نمادی از شهادت و قرآن سرخ، نماد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خوشه های سرخ، رمز شهدای دشت کربلاست، زیرا از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شهادت، سبز و بارور شد</w:t>
      </w:r>
      <w:r>
        <w:rPr>
          <w:rFonts w:eastAsia="IRNazanin" w:cs="IRNazanin"/>
          <w:color w:val="111111"/>
          <w:sz w:val="28"/>
          <w:szCs w:val="28"/>
          <w:rtl w:val="true"/>
          <w:lang w:bidi="fa-IR"/>
        </w:rPr>
        <w:t>.</w:t>
      </w:r>
    </w:p>
    <w:p>
      <w:pPr>
        <w:pStyle w:val="Heading3"/>
        <w:numPr>
          <w:ilvl w:val="2"/>
          <w:numId w:val="1"/>
        </w:numPr>
        <w:rPr/>
      </w:pPr>
      <w:bookmarkStart w:id="264" w:name="__RefHeading___Toc1296808_2870459653"/>
      <w:bookmarkStart w:id="265" w:name="_Toc94"/>
      <w:bookmarkEnd w:id="264"/>
      <w:r>
        <w:rPr>
          <w:rtl w:val="true"/>
        </w:rPr>
        <w:t>نتیجه</w:t>
      </w:r>
      <w:bookmarkEnd w:id="26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حماسه كربلا و قیام سالار شهیدان، مهم ترین رخدادی بوده كه باعث تحوّل مضمونی و معنایی در ادبیات فارسی و عربی شده است، اما موضوع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و واقعه کربلا، حادثه ای است که در طول تاریخ، همیشه با یک نگاه، نگریسته نشده و شرایط تاریخی،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تا در دوره های گوناگون، یک یا چند جنبه از آن، بیشتر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عوامل مؤثر در نگرش به عاشورا، شرایط سیاسی حاکم بر جامعه، تأثیر قابل ملاحظه ای در زاویه دید شاعران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فردی و اجتماعی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رویکرد شاعران به هر یک از آن ابعاد، از مسائل قابل بررسی در اشعار عاشورایی فارسی 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چون صداقت، مقاومت، اخلاص، صبر،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شخصیت فردی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صفاتی چون هدایت گری، نجات بخشی، یاری دیگران، حیات بخشی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تعامل ایشان با جامعه خویش بوده و بُعد اجتماعی شخصیت وی را نشان می دهد، حتّی توصیف صفات ظاهری و جسمی ایشان نیز از نظرها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تعابیر و اصطلاحات به کار گرفته شده بوسیله شاعران، حکایت از حضور </w:t>
      </w:r>
    </w:p>
    <w:p>
      <w:pPr>
        <w:pStyle w:val="BookText"/>
        <w:rPr/>
      </w:pPr>
      <w:r>
        <w:rPr>
          <w:rFonts w:ascii="IRNazanin" w:hAnsi="IRNazanin" w:eastAsia="IRNazanin"/>
          <w:color w:val="111111"/>
          <w:sz w:val="28"/>
          <w:sz w:val="28"/>
          <w:szCs w:val="28"/>
          <w:rtl w:val="true"/>
          <w:lang w:bidi="fa-IR"/>
        </w:rPr>
        <w:t>ادبیات بُکایی و حماسی در هر دو زبان دارد، امری که ناشی از اختلاف در نوع نگاه به جریان عاشورا به عنوان یک تراژدی و یا یک انقلاب و نهضت حیات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ورای این اشتراکات، اختلافات قابل ملاحظه ای نیز در شعر عاشورایی دو زبان وجود دارد که موجب تمایز دو ادبیات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تفاوت ها می توان به میزان توجّه شاعران دو ملّت به ذکر نسب و مدح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اشعار خویش،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تعابیری چون 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تربیت یافته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بتول، پسر حضرت زهرا، فرزند شیر خدا، فرزند 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اجمالی اشعار عرب نشان می دهد که آنان بیش از شاعران ایرانی وارد این عرصه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در دهه های اخیر، شاعران عرب توجّه بیشتری به بعد سیاسی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عدالتی، سختگیری های موجود، روحیه سازش پذیری سران، تسلیم و ناامیدی از تحوّلات اساسی در جامعه عرب و فقدان رهبری واحد در میدان مبارزه، باعث گردید تا شاعران با الهام از عاشورا، صفاتی را از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در اشعارشان منعکس کنند که بر خلاف روحیه حاکم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رهبر انقلابی و مبارز علیه ستمگری حاکمان فاسد از یک طرف و نیاز جامعه معاصر عرب به حضور چنین رهبرانی در جامعه، از طرف دیگر، تبیین کننده علّت گرایش شاعران به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صفات انتخابی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این مطلب است که شاعران عرب در توصیف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 یک الگوی مبارز در جامعه خویش بوده اند به همین دلیل بیش از همه، بر زنده بودن و تداوم حیات ایشان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مبارز در عصر حاضر و پیوند میان قیام کربلا و حوادث جاری جامعه عرب از ویژگی های شعر عاشورایی معاصر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به دلیل حضور رهبران دینی در نهضت مشروطه و پس از آن، این مسأله کمتر مورد توجه شاعران ایرانی بوده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عاشورا که به عنوان الگویی ارزشمند و کامل، از ابتدا پشتوانه فکری انقلاب اسلامی بود، با شروع انقلاب اسلامی، بارزترین اسوه و الگوی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شعارهای مفقود عاشورا که هرگز در سروده های شاعران سده های پیشین به کار گرفته نشده بود، در </w:t>
      </w:r>
    </w:p>
    <w:p>
      <w:pPr>
        <w:pStyle w:val="BookText"/>
        <w:rPr/>
      </w:pPr>
      <w:r>
        <w:rPr>
          <w:rFonts w:ascii="IRNazanin" w:hAnsi="IRNazanin" w:eastAsia="IRNazanin"/>
          <w:color w:val="111111"/>
          <w:sz w:val="28"/>
          <w:sz w:val="28"/>
          <w:szCs w:val="28"/>
          <w:rtl w:val="true"/>
          <w:lang w:bidi="fa-IR"/>
        </w:rPr>
        <w:t>فرهنگ مبارزه و جهاد راه یافت و شعار و شعر آکنده از جملات و اشاراتی شد که ملهم از عاشورای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ملّت، یادآور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طلبی و ظلم ستیزی آن حضرت بود و در شعر شاعران نیز نمادها با نمادهای عاشورایی پیوند خورد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وقوع جنگ تحمیلی که مشابهت های بسیاری با نبرد حق علیه باطل در کارزار کربلا داشت این دو حادثه از جهات متعدد به هم پیوند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 که تا پیش از انقلاب، عمدتاً به عنوان یک سوگ بزرگ به آن نگریسته می شد، درسروده های شاعران دفاع مقدّس به عنوان یک حماسه مطرح شد که این نگاه حماسی به عاشورا، در تاریخچه شعر عاشورایی فصل تازه ای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جنگ، سرشار از روح حماسه و دلاوری است و مضامین برگرفته از واقعه عاشورا، سهم قابل توجّهی در تقویت این روح حماسی دارد</w:t>
      </w:r>
      <w:r>
        <w:rPr>
          <w:rFonts w:eastAsia="IRNazanin" w:cs="IRNazanin"/>
          <w:color w:val="111111"/>
          <w:sz w:val="28"/>
          <w:szCs w:val="28"/>
          <w:rtl w:val="true"/>
          <w:lang w:bidi="fa-IR"/>
        </w:rPr>
        <w:t xml:space="preserve">. </w:t>
      </w:r>
      <w:bookmarkStart w:id="266" w:name="pg8930_84840"/>
    </w:p>
    <w:p>
      <w:pPr>
        <w:pStyle w:val="Heading3"/>
        <w:numPr>
          <w:ilvl w:val="2"/>
          <w:numId w:val="1"/>
        </w:numPr>
        <w:rPr/>
      </w:pPr>
      <w:bookmarkStart w:id="267" w:name="__RefHeading___Toc1296810_2870459653"/>
      <w:bookmarkStart w:id="268" w:name="_Toc95"/>
      <w:bookmarkEnd w:id="266"/>
      <w:bookmarkEnd w:id="267"/>
      <w:r>
        <w:rPr>
          <w:rtl w:val="true"/>
        </w:rPr>
        <w:t xml:space="preserve">منابع </w:t>
      </w:r>
      <w:r>
        <w:rPr>
          <w:rtl w:val="true"/>
        </w:rPr>
        <w:t>:</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ابومخنف، لوط بن یحیی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محمد موسوی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أدونیس، علی احمد سعید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المسرح و المرایا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الأرزی،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مکی السید جاسم و شاکر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اسرافیلی، حسین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در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پور، قیصر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حوزه هنری 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محمد تقی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بهداروند، اكبر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كیهان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ثابت محمودی، سید حسن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حوزه هنری سازمان تبلیغات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 با حلق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سوره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الخاقانی، علی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الغری النجفیات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خزعلی، انیسه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دحبور، أحمد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دنقل، 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الشّعریة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 قاسم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ریاضی یزدی، محمد علی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حمید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حوزه هنری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شاهرخی، محمود و مشفق کاشانی، عباس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جواد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الطف أو شعراء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الشّرقاوی، عبدالرحمن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ثائراً و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بهمن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و 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زاده، طاهره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نوید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الطریحی، محمد سعید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اجراس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عبدالملکیان، محمدرضا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دوستی، همایون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حوزه هنری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فؤاد کرمانی، فتح الله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حسین بهزادی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قبانی، نزار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السیاسیة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نزار قبانی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قزوه، علیرضا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سوره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کرمانی، فؤاد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شمع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مؤید، سیدرضا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مجاهدی، محمد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شعر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سپاه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مردانی، نصرالله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مشفق کاشانی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گزیده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النوّاب، مظفر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الشعریة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حسن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فی الأدب العالمی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وحیدی، سیمین دخت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فصل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حفظ آثار و ارزشهای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ادبیات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8930_84844"/>
      <w:bookmarkStart w:id="270" w:name="pg8930_84844"/>
      <w:bookmarkEnd w:id="270"/>
    </w:p>
    <w:p>
      <w:pPr>
        <w:pStyle w:val="Heading2"/>
        <w:numPr>
          <w:ilvl w:val="1"/>
          <w:numId w:val="1"/>
        </w:numPr>
        <w:rPr/>
      </w:pPr>
      <w:bookmarkStart w:id="271" w:name="pg8930_84844"/>
      <w:bookmarkStart w:id="272" w:name="__RefHeading___Toc1296812_2870459653"/>
      <w:bookmarkStart w:id="273" w:name="_Toc96"/>
      <w:bookmarkEnd w:id="271"/>
      <w:bookmarkEnd w:id="272"/>
      <w:r>
        <w:rPr>
          <w:rtl w:val="true"/>
        </w:rPr>
        <w:t xml:space="preserve">گزارشی از نخستین مقتل مسیحی امام حسین علیه السلام به گزارش سفیر امپراطوری بیزانس </w:t>
      </w:r>
      <w:r>
        <w:rPr>
          <w:rtl w:val="true"/>
        </w:rPr>
        <w:t>(</w:t>
      </w:r>
      <w:r>
        <w:rPr>
          <w:rtl w:val="true"/>
        </w:rPr>
        <w:t>روم</w:t>
      </w:r>
      <w:r>
        <w:rPr>
          <w:rtl w:val="true"/>
        </w:rPr>
        <w:t xml:space="preserve">) </w:t>
      </w:r>
      <w:r>
        <w:rPr>
          <w:rtl w:val="true"/>
        </w:rPr>
        <w:t>در دربار یزید</w:t>
      </w:r>
      <w:bookmarkEnd w:id="273"/>
    </w:p>
    <w:p>
      <w:pPr>
        <w:pStyle w:val="Heading3"/>
        <w:numPr>
          <w:ilvl w:val="2"/>
          <w:numId w:val="1"/>
        </w:numPr>
        <w:rPr/>
      </w:pPr>
      <w:bookmarkStart w:id="274" w:name="__RefHeading___Toc1296814_2870459653"/>
      <w:bookmarkStart w:id="275" w:name="_Toc97"/>
      <w:bookmarkEnd w:id="274"/>
      <w:r>
        <w:rPr>
          <w:rtl w:val="true"/>
        </w:rPr>
        <w:t>دکتر محمدرضا فخر روحانی</w:t>
      </w:r>
      <w:bookmarkEnd w:id="275"/>
    </w:p>
    <w:p>
      <w:pPr>
        <w:pStyle w:val="BookText"/>
        <w:rPr/>
      </w:pPr>
      <w:r>
        <w:rPr>
          <w:rFonts w:ascii="IRNazanin" w:hAnsi="IRNazanin" w:eastAsia="IRNazanin"/>
          <w:color w:val="111111"/>
          <w:sz w:val="28"/>
          <w:sz w:val="28"/>
          <w:szCs w:val="28"/>
          <w:rtl w:val="true"/>
          <w:lang w:bidi="fa-IR"/>
        </w:rPr>
        <w:t>استادیار دانشگاه قم</w:t>
      </w:r>
    </w:p>
    <w:p>
      <w:pPr>
        <w:pStyle w:val="BookText"/>
        <w:rPr/>
      </w:pPr>
      <w:r>
        <w:rPr>
          <w:rFonts w:eastAsia="Times New Roman" w:cs="Times New Roman" w:ascii="Times New Roman" w:hAnsi="Times New Roman"/>
          <w:color w:val="111111"/>
          <w:sz w:val="28"/>
          <w:szCs w:val="28"/>
          <w:lang w:val="en-US" w:bidi="en-US"/>
        </w:rPr>
        <w:t>Abumahdi1061@gmail.com</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دلخراش و ضد بشری جنگ نابرابر و تحمیلی بنی امیه بر علیه امام حسین علیه السلام در روز عاشورا آن چنان رعب آور و دهشتناك بود، كه نه تنها مسلمانان و به ویژه شیعیان، بلكه مسیحیان منصف را هم به عكس العمل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ماجراهای برخورد احترام آمیز راهب مسیحی در دیر، با سر مقدس حضرت امام حسین علیه السلام و اعتراض اهالی مسیحی برخی ازساكنان شهرهای مسیحی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حركت آزادگان سرافراز واقعه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جنایات بنی امیه، تنها بخشی از این عكس العمل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در نظر داشت كه اكثریت مسیحیان منطقه شامات كه قرن ها وابستگی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به امپراطوری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این فضا برایشان ایجاد شده بود كه علاوه بر زبان عربی به زبان های دیگری همچون سریانی و یا گاه لاتین آشنایی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هرچند مورخان درباری ملزم بودند تاریخ را مطابق هوا و هوس حكمرانانشان و به عربی بنویسند، مورخانی هم بودند كه شرح واقعه را به زبانی غیر از عربی می نوشتند كه البته دسته اخیر بیشتر غیر عرب زبان و غالباٌ مسیحی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البته برون رفتی فردی و غالباً كوتاه مدت از چنگال اختناقی بود كه بنی امیه آن را تحمیل و بدان افتخار می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تاریخ رویدادهای پس از عاشورا ثبت و ضبط است، این است كه سفیر روم در دربار یزید كه به مجلس جشن پیروزی وی دعوت شده بود با مشاهده سر مقدس حضرت امام حسین علیه السلام زبان به شماتت یزید گشود و یزید هم، آن گونه كه از وی جز آن انتظار نمی رفت، دستور به قتل سفیر مسیحی روم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شخصی كه احترام خاندان پیامبر را نمی شناسد، نمی تواند به كوچكترین تشریفات سیاسی بین المللی هم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سفیر دولت خارجی یعنی نمونه دیگری از بی خردی و سفاهت بیّن كه ویژگی یزید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قتل سفیر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بیش از به قتل رسیدن شهادتین گفت و مسلمان شد و شهید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حكومت بیزانس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حاكم وقت آن كنستانتین چهارم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حكومت </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نامش به صورت لاتینی </w:t>
      </w:r>
      <w:r>
        <w:rPr>
          <w:rFonts w:eastAsia="Times New Roman" w:cs="Times New Roman" w:ascii="Times New Roman" w:hAnsi="Times New Roman"/>
          <w:color w:val="111111"/>
          <w:sz w:val="28"/>
          <w:szCs w:val="28"/>
          <w:lang w:val="en-US" w:bidi="en-US"/>
        </w:rPr>
        <w:t>Constantinus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ثبت و ضبط شده است، سفیر دیگری به دربار بنی امیه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سفیر دوم را نیز در كتاب ها ثبت و ضبط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 كوتاهی كه وی بعد از ورود به دمشق به دربار دولت متبوعش ارائه كرد این چنین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مشرق زمین جنگ كرد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بهنام كربلا كشته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شمر كه عرب بود كشته شد، اما آن ها وی را ابتدا با تشنگی شكنجه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اكثریت قبیله و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قتل عام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همسران و كودكانشان را به اسارت گرفته و بیش از حد تحمل آن ها را شكنجه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تنها بازمانده در قدرت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فوق تنها یك مورد اشتباه دیده می شود و آن این كه به جای نام یزید، از نام معاویه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آنچه گفته شد، خلاصه ای از همان رویداد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گزارش كتاب زیر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Andrew Palmer (with Sebastian Brock and Robert Hoyland(, The Seventh Century in the West-Syrian Chronicles, including Two Seventh-Century Syriac Apocalyptic Texts (Liverpool: Liverpool University Press, 1993), pp. 185-6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در نظر گرفتن همین یك گزارش به چندین نكته دیگر می توان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كه انعكاس رویداد عاشورا علاوه بر اسناد مسلمانان و به ویژه شیعیان، در اسناد غیر مسلمانان هم از همان زمان ورود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كه شاید با بررسی برخی اسناد قدیمی و برجای مانده از همان روزگاران كه به زبان های مسیحیان آن منطقه یعنی سریانی، لاتین و مندائی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منطقه عراق و شام تحریر شده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گزارش هایی دیگر و گاه جالب تر و با جزئیات بیشتری از ددمنشی امویان و ابراز همدردی مسیحیان حقیقت جو با اهل بیت را بتوان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توسط مسیحیانی می تواند انجام شود كه زبان سریانی می دانند و به اسناد برجای مانده از آن زمان دسترسی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كلی مقتل های حضرت امام حسین علیه السلام، می توان گونه جدیدی از مقتل حضرت امام حسین علیه السلام را تعریف و ارائه كرد و آن مقتل های غیر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مورد بخصوص مقتل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بحث درباره صحت و سقم آنچه در مقتل ها مندرج است نیازمند تفصیلی جداگانه و بسیار دامنه دار است، اما همین نمونه و چند نمونه مشابه، زمینه را برای گشودن فصلی جدید تحت عنوان مقتل های غیر اسلامی و به ویژه مقتل های مسیحی مهیا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باب جدیدی می تواند دستاوردهای جالبی داشته باشد كه به فهم بهتر مسیحیان از حقیقت رویداد كربلا كمك خواهد كرد و نیز برای پژوهشگران شیعی ای كه وجهه اهتمام خود را در تبلیغ از رویداد كربلا در فضاهای غیر اسلامی می كنند روشنگر این معنا است كه چه چیزهایی از رویداد كربلا را باید برای غیر مسلمانان تبیین كرد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جستجو و تطبیق دادن مقتل های حضرت امام حسین علیه السلام به روایت غیر مسلمانان و به ویژه مسیحیان می تواند زمینه را برای ارائه قرائتی سهل الفهم و البته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لزوماً با همه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 كربلا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رویكرد كل گرایانه ای نسبت به مقتل حضرت امام حسین علیه السلام می تواند زمینه را برای ارائه تصویری جهانی از حضرت امام حسین علیه السلام و اهداف آن حضرت درسرتاسر زندگی ایشان به طور اعم و در واقعه كربلا به طور اخص مهیا نماید و این مرحله خود قدمی است مهم در </w:t>
      </w:r>
    </w:p>
    <w:p>
      <w:pPr>
        <w:pStyle w:val="BookText"/>
        <w:rPr/>
      </w:pPr>
      <w:r>
        <w:rPr>
          <w:rFonts w:ascii="IRNazanin" w:hAnsi="IRNazanin" w:eastAsia="IRNazanin"/>
          <w:color w:val="111111"/>
          <w:sz w:val="28"/>
          <w:sz w:val="28"/>
          <w:szCs w:val="28"/>
          <w:rtl w:val="true"/>
          <w:lang w:bidi="fa-IR"/>
        </w:rPr>
        <w:t>جهانی سازی واقعه كربلا در طراز ادبیات های جهان شمول و كلاسیك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وفقنا لما تحب وترضی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كتابی كه در متن ذكر شد ترجمه انگلیسی از اصل سریانی می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این مقاله مراتب تشكر خود را نسبت به پروفسور اندرو پالمر و رابرت هویلند برای ارسال این متن به صورت ایمیل ابراز می دارد</w:t>
      </w:r>
      <w:r>
        <w:rPr>
          <w:rFonts w:eastAsia="IRNazanin" w:cs="IRNazanin"/>
          <w:color w:val="111111"/>
          <w:sz w:val="28"/>
          <w:szCs w:val="28"/>
          <w:rtl w:val="true"/>
          <w:lang w:bidi="fa-IR"/>
        </w:rPr>
        <w:t xml:space="preserve">. </w:t>
      </w:r>
      <w:bookmarkStart w:id="276" w:name="pg8930_84848"/>
    </w:p>
    <w:p>
      <w:pPr>
        <w:pStyle w:val="Heading2"/>
        <w:numPr>
          <w:ilvl w:val="1"/>
          <w:numId w:val="1"/>
        </w:numPr>
        <w:rPr/>
      </w:pPr>
      <w:bookmarkStart w:id="277" w:name="__RefHeading___Toc1296816_2870459653"/>
      <w:bookmarkStart w:id="278" w:name="_Toc98"/>
      <w:bookmarkEnd w:id="276"/>
      <w:bookmarkEnd w:id="277"/>
      <w:r>
        <w:rPr>
          <w:rtl w:val="true"/>
        </w:rPr>
        <w:t>نکته هایی از معارف حسینی</w:t>
      </w:r>
      <w:bookmarkEnd w:id="278"/>
    </w:p>
    <w:p>
      <w:pPr>
        <w:pStyle w:val="Heading3"/>
        <w:numPr>
          <w:ilvl w:val="2"/>
          <w:numId w:val="1"/>
        </w:numPr>
        <w:rPr/>
      </w:pPr>
      <w:bookmarkStart w:id="279" w:name="__RefHeading___Toc1296818_2870459653"/>
      <w:bookmarkStart w:id="280" w:name="_Toc99"/>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کربلا نبرد تصمیمها عقلانی یا احساسی؟</w:t>
      </w:r>
    </w:p>
    <w:p>
      <w:pPr>
        <w:pStyle w:val="Heading3"/>
        <w:numPr>
          <w:ilvl w:val="2"/>
          <w:numId w:val="1"/>
        </w:numPr>
        <w:rPr/>
      </w:pPr>
      <w:bookmarkStart w:id="281" w:name="__RefHeading___Toc1296820_2870459653"/>
      <w:bookmarkStart w:id="282" w:name="_Toc100"/>
      <w:bookmarkEnd w:id="281"/>
      <w:r>
        <w:rPr>
          <w:rtl w:val="true"/>
        </w:rPr>
        <w:t>عباس پسندیده</w:t>
      </w:r>
      <w:bookmarkEnd w:id="282"/>
    </w:p>
    <w:p>
      <w:pPr>
        <w:pStyle w:val="BookText"/>
        <w:rPr/>
      </w:pPr>
      <w:r>
        <w:rPr>
          <w:rFonts w:ascii="IRNazanin" w:hAnsi="IRNazanin" w:eastAsia="IRNazanin"/>
          <w:color w:val="111111"/>
          <w:sz w:val="28"/>
          <w:sz w:val="28"/>
          <w:szCs w:val="28"/>
          <w:rtl w:val="true"/>
          <w:lang w:bidi="fa-IR"/>
        </w:rPr>
        <w:t>عباس پسندیده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آیا پذیرفتنی است نوجوان سیزده ساله ای که باید بماند و از زندگی خود لذت ببرد، کشته شود و فدای عموی خود شود؟ آیا درست است جوان برومندی که می تواند آتیه خوب و موفقی داشته باشد به نبردی وارد شود که سرانجامش تیرو نیزه باشد، و ناکام گردد؟ آیا عقلانی است کسی که میتوانست امیر لشگر بماند و از امتیازات کشوری بهترین استفاده ها را ببرد یک باره مسیر خود را تغییر دهد و به نبردی وارد شود که سرانجامش مرگ است؟ آیا عاقلانه است کسی را که امان می دهند تا نجات یابد، نپذیرد و به کشتن تن دهد؟ آیا نه این است کسانی که کنار کشیدند و همراه نشدند، درست تشخیص داده بودند و خوب عمل کردند؟ آیا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پرسش های مهم در داستان کربلا این است که کاریاران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 بود یا احساسی؟ گروهی از آغاز همراه امام بودند و در ادامه راه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آغاز ترجیح دادند که همراه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از آغاز تا انجام ماندند و گروهی دیگر از آغاز برکنار بودند و در ادامه همراه شدند کدام عقلانی رفتار کردند و کدام، احساسی؟ آیا عقلانی بودن یعنی این که نباید در آن واقعه، شور و احساسی از آنان دیده شود؟ آیا اگر از آنان شور و احساس دیده شد، نشانه احساسی بودن و غیر عقلائی </w:t>
      </w:r>
    </w:p>
    <w:p>
      <w:pPr>
        <w:pStyle w:val="BookText"/>
        <w:rPr/>
      </w:pPr>
      <w:r>
        <w:rPr>
          <w:rFonts w:ascii="IRNazanin" w:hAnsi="IRNazanin" w:eastAsia="IRNazanin"/>
          <w:color w:val="111111"/>
          <w:sz w:val="28"/>
          <w:sz w:val="28"/>
          <w:szCs w:val="28"/>
          <w:rtl w:val="true"/>
          <w:lang w:bidi="fa-IR"/>
        </w:rPr>
        <w:t>بودن است؟ آیا نشانه عقلانی بودن کنار ایستادن و نشانه احساسی بودن، به میدان آمدن است؟ اینها پرسشهایی هستند که در این مجال به صورت مختصر به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نمیتوان کسی یا چیزی را به احساسی بودن و یا ناعاقلانه بودن،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عقلانی یا احساسی بودن باید ملاک و معیار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عقلانی بودن و احساسی بودن چیست؟ در این باره چند الگوی ارزیابی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الگوی سنّ محور است؛ بدین معنا که هر کس جوان بود تصمیمش احساسی است و هرکس میانسال و کهنسال بود تصمیمش عقلانی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برای ارزیابی کاریاران سیدالشدها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 نیست زیرا در سپاه کم تعداد ایشان از پیرمردانی همانند جبیب بن مظاهر تا نوجوانانی همانند قاسم بن حسن داریم الگوی دیگر، الگوی نتیجه محور است؛ بدین معنا که اگر کاری با موفقیت ظاهری همراه بود، عقلانی است و اگر با شکست ظاهری همراه بود غیر عقلانی و احساسی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الگو کار پیروان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به شکست دشمن و تشکیل حکومت نرسید و همه افراد کشته شده و یا به اسارت درآمدند احساسی ،است نه عقلانی اگر چنین است، اولاً باید تقریباً اقدام همه انبیا و اولیای الهی را غیر عقلانی بدانیم و ثانیاً سؤال این است که معیار موفقیت و شکست چیست؟ اینجاست که ریشه ای تر از همه، سؤال اساسی این است که معیار تصمیم عقلانی و احساسی چیست؟</w:t>
      </w:r>
    </w:p>
    <w:p>
      <w:pPr>
        <w:pStyle w:val="BookText"/>
        <w:rPr/>
      </w:pPr>
      <w:r>
        <w:rPr>
          <w:rFonts w:ascii="IRNazanin" w:hAnsi="IRNazanin" w:eastAsia="IRNazanin"/>
          <w:color w:val="111111"/>
          <w:sz w:val="28"/>
          <w:sz w:val="28"/>
          <w:szCs w:val="28"/>
          <w:rtl w:val="true"/>
          <w:lang w:bidi="fa-IR"/>
        </w:rPr>
        <w:t>نشانه عقلانی بودن یک تصمیم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محاسبه سود و زیان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محاسبه عاقبت اندیش است نه حال اندیش؛ و مصلحت گراست نه لذت گرا از این رو منفعت پایدار را برو سود ناپایدار و لذت آنی را بر سرور ناپایدار</w:t>
      </w:r>
    </w:p>
    <w:p>
      <w:pPr>
        <w:pStyle w:val="BookText"/>
        <w:rPr/>
      </w:pPr>
      <w:r>
        <w:rPr>
          <w:rFonts w:ascii="IRNazanin" w:hAnsi="IRNazanin" w:eastAsia="IRNazanin"/>
          <w:color w:val="111111"/>
          <w:sz w:val="28"/>
          <w:sz w:val="28"/>
          <w:szCs w:val="28"/>
          <w:rtl w:val="true"/>
          <w:lang w:bidi="fa-IR"/>
        </w:rPr>
        <w:t>ترجیح می 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سخت پایداری می ورزد و از تغییر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سختی ها و شداید زندگی که گاه مانند زلزله ای زندگی را می لرزانند تصمیم ها محک می خورند؛ کسانی که تصمیم احساسی گرفته باشند دست از تصمیم خود می کشند و کسانی که </w:t>
      </w:r>
    </w:p>
    <w:p>
      <w:pPr>
        <w:pStyle w:val="BookText"/>
        <w:rPr/>
      </w:pPr>
      <w:r>
        <w:rPr>
          <w:rFonts w:ascii="IRNazanin" w:hAnsi="IRNazanin" w:eastAsia="IRNazanin"/>
          <w:color w:val="111111"/>
          <w:sz w:val="28"/>
          <w:sz w:val="28"/>
          <w:szCs w:val="28"/>
          <w:rtl w:val="true"/>
          <w:lang w:bidi="fa-IR"/>
        </w:rPr>
        <w:t>عاقلانه تصمیم گرفته باشند بر عهد خود باقی میمانند به دیگر بیان، اصولاً صحنه کار و زار و زمان جدی شدن جنگ هنگامه ای است که تصمیم ها را محک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درجه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رود و میزان منفعت آن پایین می آید، تصمیم ها محک می خورند و عقل از احساس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بر اساس عقل تصمیم گرفته اند، تا پای جان هم می ایستند و آنان که براساس احساسات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اند، تغییر موضع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مرگ و رنج و بلا مانند زلزله ای است که بنای سست و نامستحکم احساس را ویران میکند و تنها بناهایی در برابر زلزله تاب مقاومت دارند که برپایه های مستحکم عقل بنا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شاخص تشخیص منفعت نزد وی فرمان خداست این بدان جهت است که خداوند متعال، مصلحت واقعی انسان را معیار فرمانهای خود قرار داده است؛ هر آنچه خدا امر کرده باشد مصلحت پایدار و هر آنچه نهی کرده باشد، خسارت پایدار است، هر چند لذت آنی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تصمیم عقلانی آن است که در محاسبه سود و زیان منفعت پایدار را بر منفعت ناپایدار ترجیح می دهد و شاخص درست بودن تصمیم نیز آن است که با فرمانهای خداوند متعال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الگوی مصلحت محور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مشخص میشود که معیار تشخیص عقلانی بودن یا نبودن تصمیم عاشورائیان، نه سن افراد است که بگوییم هر جوانی که در سپاه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احساسی تصمیم گرفته است و نه نتیجه اقدام است که بگوییم آنان که کنار ماندند عاقل، و آنان که به میدان آمدند احساسی بودند؛ بلکه معیار درست، ماهیت تصمیم بر اساس الگوی مصلحت واقعی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این معیار، می توان تصمیم بازیگران صحنه کربلا را ارزیابی 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مانند ابن عباس ها که به نتیجه کار می نگریستند،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کار نهی می کردند و خود نیز همراهی نکردند و راه عافیت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اصطلاح سیاستمدار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بدانیم که در عین دوراندیشی، ما مأمور به وظیفه ایم، نه نتیجه آن گاه خواهیم دانست که این مبنا نیز یک مبنای احساسی و غیر عقلانی </w:t>
      </w:r>
    </w:p>
    <w:p>
      <w:pPr>
        <w:pStyle w:val="BookText"/>
        <w:rPr/>
      </w:pPr>
      <w:r>
        <w:rPr>
          <w:rFonts w:ascii="IRNazanin" w:hAnsi="IRNazanin" w:eastAsia="IRNazanin"/>
          <w:color w:val="111111"/>
          <w:sz w:val="28"/>
          <w:sz w:val="28"/>
          <w:szCs w:val="28"/>
          <w:rtl w:val="true"/>
          <w:lang w:bidi="fa-IR"/>
        </w:rPr>
        <w:t>است؛ زیرا در این گونه تصمیم ها نتیجه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است که باید همیشه پیروز میدان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دینش یاری شود، حتی اگر به قیمت جان من تمام شود؛ البته جان دادنی که حیات جاویدان آخرت را با آن همه نعمت و سرور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نیز منفعت زودگذر را بر منفعت پایدار ترجیح دادند و کاری احساسی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سپاه مقابل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از شام نیامده بودند، کسانی بودند که حضرت را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ایشان را دعوت کردند و امروز به جنگ با ایشان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تغییر موضع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عبیدالله حاکم کوفه شد و بر آنان سخت گرفت، تغییر موضع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اگر تصمیم آنان عقلانی بود تا به آخر، پای آن می ایستادند همان گونه که تعداد انگشت شماری از آنان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اساس احساس های زود گذر تصمیم گرفته بودند و وقتی کار بر آنان سخت شد، از تصمیم خود برگشتند این نشانه احساسی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سپاه کوفه دو گروه بودند گروهی از خواص و افراد تأثیرگذار که به پول و ریاست فریفته شدند و گروهی از عوام که با شمشیر و شکنجه ترسانده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دو، بر اساس لذت 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و عاقبت دور را ندیدند و مصلحت را ملاک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هم افراد جوان بودند و هم افراد میانسال؛ اما هر دو گروه بر یک منطق تصمیم گرفتند و از دعوت خود سرباز زدند پیشتر نیز همین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شست خود فرمود که علت ناهمراهی شما این است که ماندن و زندگی در این دنیا را بر جهاد و شهادت در راه خدا ترجیح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مردم گفتند که میخواهیم بمانیم و زندگی کنیم لذا حضرت مجبور به پذیرش صلح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اینان تصمیمی غیر عقلانی و مبتنی بر هوس و احساس خود گرفتند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افرادی که در مسیر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ایشان پیوسته بودند، وقتی متوجه شدند که ظاهراً از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کسب غنیمت، شهرت و ریاست خبری نیست، کم کم کنار کشیدند و از سپاه حضرت جدا شدند این نشان می دهد که با توجه به معیارهایی که گفته شد همراهی آنان یک اقدام احساسی بوده است، نه عقلانی </w:t>
      </w:r>
    </w:p>
    <w:p>
      <w:pPr>
        <w:pStyle w:val="BookText"/>
        <w:rPr/>
      </w:pPr>
      <w:r>
        <w:rPr>
          <w:rFonts w:ascii="IRNazanin" w:hAnsi="IRNazanin" w:eastAsia="IRNazanin"/>
          <w:color w:val="111111"/>
          <w:sz w:val="28"/>
          <w:sz w:val="28"/>
          <w:szCs w:val="28"/>
          <w:rtl w:val="true"/>
          <w:lang w:bidi="fa-IR"/>
        </w:rPr>
        <w:t>ولذا بر عهد خود پایدار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بررسی دقیق منابع نشان میدهد که بر خلاف آنچه مشهور است، شب عاشورا کسی از سپاه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نشد و همه آنان که تا آن زمان مانده بودند، ایستادند 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تصمیم اینان احساسی باشد باید در این هنگام که خطر مرگ قطعی است، جدا می شدند اما چنین نشد؛ بلکه حتی 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خود را از آنان برداشتند، آنان سرسختانه بر پایداری خود با تا شهادت تأکید کردند و صحنه های شورانگیزی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آنان بر مبنای احساس تصمیم</w:t>
      </w:r>
    </w:p>
    <w:p>
      <w:pPr>
        <w:pStyle w:val="BookText"/>
        <w:rPr/>
      </w:pPr>
      <w:r>
        <w:rPr>
          <w:rFonts w:ascii="IRNazanin" w:hAnsi="IRNazanin" w:eastAsia="IRNazanin"/>
          <w:color w:val="111111"/>
          <w:sz w:val="28"/>
          <w:sz w:val="28"/>
          <w:szCs w:val="28"/>
          <w:rtl w:val="true"/>
          <w:lang w:bidi="fa-IR"/>
        </w:rPr>
        <w:t>نگرفته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مانند حر، نخست در سپاه دشمن بودند اما وقتی تحولات میدانی به نقطه حساس رسید در نبرد تصمیم بین لذت ناپایدار دنیا و لذت پایدار آخرت جانب لذت پایدار را گرفت و لذت حال را فدای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عقلانی کرد، نه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مغلوب احساس خود نشد، اساساً هنگامه جنگ که اوضاع به شدت سخت می شود و لحظه مرگ نزدیک می شود جای این احساس بازیها نیست که فرد جانب مرگ را بگیرد و جبهه خود را تغییر دهد در طرف مقابل کسی مانند عمر بن سعد را داریم که ملک ری را حتی بر کاخهای بهشت با تضمین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و جالب این که به خواسته خود نیز نرسید این اقدام وی کاری نابخردانه و ناشی از احساس و هوس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در این معرکه او پیروز میدان بود میتوان تصمیم او را عاقلانه دانست و تصمیم حرّرا احساسی؟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میان راه خبر از شهادت کاروانیان را به حضرت میدهند، فرزند برومندشان علی اکبر چه واکنشی نشان میدهد؟ او سخن از ترس و فرار نمی کند، می پرسد آیا راه ما بر حق هست؟ برای افرادی مانند علی اکبر مرگ و زندگی مسئله اصلی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یک منطق قوی و مستحکم دارد، نه یک احساس کور علی اکبر خود به تنهایی یک منطق بلند برای جوانان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بودن یا نبودن مسئله علی اکبر نیست مسئله علی اکبراین است حق یا باطل مسئله ما چیست؟ آیا به صرف این که او چند صباحی در این دنیا نماند تا از لذتهای آن بهره مند </w:t>
      </w:r>
    </w:p>
    <w:p>
      <w:pPr>
        <w:pStyle w:val="BookText"/>
        <w:rPr/>
      </w:pPr>
      <w:r>
        <w:rPr>
          <w:rFonts w:ascii="IRNazanin" w:hAnsi="IRNazanin" w:eastAsia="IRNazanin"/>
          <w:color w:val="111111"/>
          <w:sz w:val="28"/>
          <w:sz w:val="28"/>
          <w:szCs w:val="28"/>
          <w:rtl w:val="true"/>
          <w:lang w:bidi="fa-IR"/>
        </w:rPr>
        <w:t>شود، می توان او را ناکام و تصمیم او را احساسی و نابخردانه دانست؟ مگرنه این است که او با شهادت خیلی زود از لذتهای ناب و پایدار اخروی بهره مند گشت؟</w:t>
      </w:r>
    </w:p>
    <w:p>
      <w:pPr>
        <w:pStyle w:val="BookText"/>
        <w:rPr/>
      </w:pPr>
      <w:r>
        <w:rPr>
          <w:rFonts w:ascii="IRNazanin" w:hAnsi="IRNazanin" w:eastAsia="IRNazanin"/>
          <w:color w:val="111111"/>
          <w:sz w:val="28"/>
          <w:sz w:val="28"/>
          <w:szCs w:val="28"/>
          <w:rtl w:val="true"/>
          <w:lang w:bidi="fa-IR"/>
        </w:rPr>
        <w:t>وقتی در روز عاشورا برای حضرت ابوالفضل امان می آورند، از پذیرش آن امتناع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نیز این است که ماندن را به قیمت جدا شدن از امام خود نمی خواهم اگر تصمیم ایشان مبتنی بر احساس می بود، می بایست امان را می پذیرفت و جان به سلامت می برد اما او می داند که جان مانند صفری است که وقتی در کنار عدد امام قرار گیرد،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صلاح دنیا و آخرت او در این راه است و لذا تصمیم عوض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کسب مقام بلندی که اکنون دارد و بهره مندی از نعمتهای بی شمار الهی عاقلانه است یا زنده ماندن در این دنیای پرمشکل؟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مشهور وقتی قاسم از حضرت اجازه جنگ می خواهد، حضرت از او می پرسند مرگ در نظر تو چگونه است؟ و او پاسخ می دهد شیرین تر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منطق قوی و معرفت بالای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چنین سنّی به خوبی فرق انواع مرگ ها را می داند و مرگ برتر را میشناسد و در مقابله دنیا و آخرت می داند که کدامیک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تصمیم عاقلانه است، نه احساسی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داستان عقل و احساس در کربلا همانند داستان جسم و جان است؛ هر دو لازم اند و به هر دو نیازمندیم اما رتبه هر کدام باید شناخته شده و هر یک در جایگاه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باید در جایگاه نخست و احساس باید در جایگاه دوم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اگر تحت فرمان عقل و در راستای تصمیم عقل باشد، هر شور و هیجانی که تولید کند درست است و عقل اگر در خدمت احساس قرار گیرد، هر تصمیمی که بگیرد، نادرست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تصمیم جایگاه محاسبه و سنجش است که کار عقل می باشد و عمل و اقدام جایگاه شور و هیجان است که کار احساس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موفق کسی است که با عقل خود انتخاب و با احساس خود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 حضرت، با شور و احساس خاصی نبرد کردند و شهید شدند اما احساس آنان در راستای تصمیم عاقلانه آنان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به آخرت و حیات جاویدان باور راستین ،ندارد پیروی از راهبران و راهنمایان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را قبول ندارد و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نمی بیند، طبیعی است که این گونه تصمیمها را احساس کور می داند؛ اما باید دانست که این اشکال آنان است که به نزدیک بینی دچارند و برد دید آنان محدود به همین دنیاست و نگاه آنان توان دیدن دور دست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اگر آنان نمیبینند گناه آنان که میبینند و می دانند، چیست؟ عاقلانه، تصمیمی است که ارزیابی و سنجش او مبتنی بر حقایق و واقعیت های زندگی باشد و امور الهی و اخروی که از آنها یاد شد جزء اصلی حیات انسان اند و اگر در سنجش ها مورد توجه قرار نگیرند، تصمیم ها را از عقلانی بودن خارج و به تصمیم های احساسی تبدیل می کند</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8930_84856"/>
      <w:bookmarkStart w:id="284" w:name="pg8930_84856"/>
      <w:bookmarkEnd w:id="284"/>
    </w:p>
    <w:p>
      <w:pPr>
        <w:pStyle w:val="Heading2"/>
        <w:numPr>
          <w:ilvl w:val="1"/>
          <w:numId w:val="1"/>
        </w:numPr>
        <w:rPr/>
      </w:pPr>
      <w:bookmarkStart w:id="285" w:name="pg8930_84856"/>
      <w:bookmarkStart w:id="286" w:name="__RefHeading___Toc1296822_2870459653"/>
      <w:bookmarkStart w:id="287" w:name="_Toc101"/>
      <w:bookmarkEnd w:id="285"/>
      <w:bookmarkEnd w:id="286"/>
      <w:r>
        <w:rPr>
          <w:rtl w:val="true"/>
        </w:rPr>
        <w:t>معرفی کتاب</w:t>
      </w:r>
      <w:bookmarkEnd w:id="287"/>
    </w:p>
    <w:p>
      <w:pPr>
        <w:pStyle w:val="Heading3"/>
        <w:numPr>
          <w:ilvl w:val="2"/>
          <w:numId w:val="1"/>
        </w:numPr>
        <w:rPr/>
      </w:pPr>
      <w:bookmarkStart w:id="288" w:name="__RefHeading___Toc1296824_2870459653"/>
      <w:bookmarkStart w:id="289" w:name="_Toc102"/>
      <w:bookmarkEnd w:id="288"/>
      <w:r>
        <w:rPr>
          <w:rtl w:val="true"/>
        </w:rPr>
        <w:t>مشخصات</w:t>
      </w:r>
      <w:bookmarkEnd w:id="289"/>
    </w:p>
    <w:p>
      <w:pPr>
        <w:pStyle w:val="BookText"/>
        <w:rPr/>
      </w:pPr>
      <w:r>
        <w:rPr>
          <w:rFonts w:ascii="IRNazanin" w:hAnsi="IRNazanin" w:eastAsia="IRNazanin"/>
          <w:color w:val="111111"/>
          <w:sz w:val="28"/>
          <w:sz w:val="28"/>
          <w:szCs w:val="28"/>
          <w:rtl w:val="true"/>
          <w:lang w:bidi="fa-IR"/>
        </w:rPr>
        <w:t>دکتر محمد رضا فخر روحانی مقالات فی الامام الحسین علیه السلام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السادة محمد الحداد، کربلا، العتبة الحسینیة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90" w:name="__RefHeading___Toc1296826_2870459653"/>
      <w:bookmarkStart w:id="291" w:name="_Toc103"/>
      <w:bookmarkEnd w:id="290"/>
      <w:r>
        <w:rPr>
          <w:rtl w:val="true"/>
        </w:rPr>
        <w:t>مقدمه</w:t>
      </w:r>
      <w:bookmarkEnd w:id="29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رویدادهای جهان، کمتر حادثه ای را میتوان یافت که قابل قیاس با واقعه کربلا باشد و این خود دلیل بر تازه ماندن این ماجرا در طول قرنهاست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فرا رسیدن ماه محرم غمی را تازه میکند که گویی نخستین سالگرد بزرگداشت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 و هوا در نویسندگانی ظهور و بروز دارد که برای خاطر سلیمان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دست به قلم میشوند و شاعرانی که اشعار و مراثی متعددی سروده اند باز هوای این سرایش غمگنانه را غنیمت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نخستین بار است که عرض ادب شاعرانه شان را متواضعانه تقدیم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چنین روحیاتی نه تنها بسیار قیمتی است و پربها بلکه اثری دیگر دارد و آن این است که بسیار دشوار است و شاید محال که گروههایی از پژوهشگران ورزیده بخواهند تمامی آنچه را که در طیف وسیع ادبیات حسینی در همه زبانها جای میگیرد را یک به یک 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تدوین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که تعداد واقعی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دلنوشته دلگفته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 xml:space="preserve">, </w:t>
      </w:r>
      <w:bookmarkStart w:id="292" w:name="pg8930_84857"/>
    </w:p>
    <w:p>
      <w:pPr>
        <w:pStyle w:val="BookText"/>
        <w:rPr/>
      </w:pPr>
      <w:bookmarkEnd w:id="292"/>
      <w:r>
        <w:rPr>
          <w:rFonts w:ascii="IRNazanin" w:hAnsi="IRNazanin" w:eastAsia="IRNazanin"/>
          <w:color w:val="111111"/>
          <w:sz w:val="28"/>
          <w:sz w:val="28"/>
          <w:szCs w:val="28"/>
          <w:rtl w:val="true"/>
          <w:lang w:bidi="fa-IR"/>
        </w:rPr>
        <w:t>اشارات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ادبی و عرفانی و مانند آن که برای حضرت ثار الله سلام الله علیه و اصحاب بی همانند ایشان گفته و یا نوشته شده است را فقط معصومین علیهم السلام انبیا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 الهی و خداوند جل جلاله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بعید است آماری که ارایه شود با هر محدودیت پژوهشی دقیق، باز هم بتواند آیینه تمام نمایی از این ادبیات شکوهمند باشد که همواره رو به تزاید است</w:t>
      </w:r>
      <w:r>
        <w:rPr>
          <w:rFonts w:eastAsia="IRNazanin" w:cs="IRNazanin"/>
          <w:color w:val="111111"/>
          <w:sz w:val="28"/>
          <w:szCs w:val="28"/>
          <w:rtl w:val="true"/>
          <w:lang w:bidi="fa-IR"/>
        </w:rPr>
        <w:t>.</w:t>
      </w:r>
    </w:p>
    <w:p>
      <w:pPr>
        <w:pStyle w:val="Heading3"/>
        <w:numPr>
          <w:ilvl w:val="2"/>
          <w:numId w:val="1"/>
        </w:numPr>
        <w:rPr/>
      </w:pPr>
      <w:bookmarkStart w:id="293" w:name="__RefHeading___Toc1296828_2870459653"/>
      <w:bookmarkStart w:id="294" w:name="_Toc104"/>
      <w:bookmarkEnd w:id="293"/>
      <w:r>
        <w:rPr>
          <w:rtl w:val="true"/>
        </w:rPr>
        <w:t>کتاب مورد بررسی</w:t>
      </w:r>
      <w:bookmarkEnd w:id="29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این بررسی بدان اختصاص دارد مجموعه ای از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به زبان عربی است که در خلال سالهای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مجلات و مجموعه مقالات عربی منتشر شده در عراق و گاه دیگر کشورهای عربی مانند لبنان و یا هند به چاپ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مجموعه در ابتدای کتاب تصریح میکند که این تعداد از مقالات آنهایی بوده اند که به نحوی از انحاء از اهمیت ویژه ای برخوردار بوده و در دهه های گذشته به چاپ رسیده اند و دیگر به آسانی در دسترس نیستند از این رو، این کتاب به واقع آرشیوی ارجمند از مقالاتی است که امروزه به آسانی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از مقالات مندرج در این مجموعه تعداد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از کشور عراق بوده که از این تعداد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چاپ نجف،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چاپ کربلا و سایر مقالات عراق به ترتیب اکثریت محل چاپ از بصره العماره کاظمین و بغداد میباشند پس از عراق، از لبنان 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در این مجموعه گنجانده شده است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آن از بیروت و یک مقاله از صیدا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مقاله از هند بدون ذکر نام شهر می باشد و مابقی مقالات هم محل نشرشان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مقالات هم تنوع طلبی جالبی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اکثریت نویسندگان شیعه هستند اعم از ایرانی عراقی و لبنانی ولی آثار برخی از چهره های معروف ادبی عرب مسیحی مانند ابراهیم سلامة و انطوان کرم از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گنجانده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موضوعات مقالات مركز ثقل مقالات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مقالات به جنبه هایی از واقعه عاشورا و کلام حضرت امام حسین علیه السلام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پرداختن به رویدادهای عاشورا و کلام مبارک آن حضرت کاملا طبیعی </w:t>
      </w:r>
      <w:bookmarkStart w:id="295" w:name="pg8930_84858"/>
    </w:p>
    <w:p>
      <w:pPr>
        <w:pStyle w:val="BookText"/>
        <w:rPr/>
      </w:pPr>
      <w:bookmarkEnd w:id="295"/>
      <w:r>
        <w:rPr>
          <w:rFonts w:ascii="IRNazanin" w:hAnsi="IRNazanin" w:eastAsia="IRNazanin"/>
          <w:color w:val="111111"/>
          <w:sz w:val="28"/>
          <w:sz w:val="28"/>
          <w:szCs w:val="28"/>
          <w:rtl w:val="true"/>
          <w:lang w:bidi="fa-IR"/>
        </w:rPr>
        <w:t>است و خود این موضوع کششهای رویداد عاشورا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کلام مبارک آن حضرت در دیگر صحنه ها نیز ابعاد قابل توجهی را داراست که باید به آنها هم پرداخته شود تا تصویر روشن تری از شخصیت و مکانت حضرت ثارالله ترسیم گردد</w:t>
      </w:r>
      <w:r>
        <w:rPr>
          <w:rFonts w:eastAsia="IRNazanin" w:cs="IRNazanin"/>
          <w:color w:val="111111"/>
          <w:sz w:val="28"/>
          <w:szCs w:val="28"/>
          <w:rtl w:val="true"/>
          <w:lang w:bidi="fa-IR"/>
        </w:rPr>
        <w:t>.</w:t>
      </w:r>
    </w:p>
    <w:p>
      <w:pPr>
        <w:pStyle w:val="Heading3"/>
        <w:numPr>
          <w:ilvl w:val="2"/>
          <w:numId w:val="1"/>
        </w:numPr>
        <w:rPr/>
      </w:pPr>
      <w:bookmarkStart w:id="296" w:name="__RefHeading___Toc1296830_2870459653"/>
      <w:bookmarkStart w:id="297" w:name="_Toc105"/>
      <w:bookmarkEnd w:id="296"/>
      <w:r>
        <w:rPr>
          <w:rtl w:val="true"/>
        </w:rPr>
        <w:t>سخن پایانی</w:t>
      </w:r>
      <w:bookmarkEnd w:id="297"/>
    </w:p>
    <w:p>
      <w:pPr>
        <w:pStyle w:val="BookText"/>
        <w:rPr/>
      </w:pPr>
      <w:r>
        <w:rPr>
          <w:rFonts w:ascii="IRNazanin" w:hAnsi="IRNazanin" w:eastAsia="IRNazanin"/>
          <w:color w:val="111111"/>
          <w:sz w:val="28"/>
          <w:sz w:val="28"/>
          <w:szCs w:val="28"/>
          <w:rtl w:val="true"/>
          <w:lang w:bidi="fa-IR"/>
        </w:rPr>
        <w:t>در کنار سودمندی این مجموعه حاضر بسیار شایسته است که نویسندگان عرب زبان به این اهمیت کمر ببندند تا هر آنچه از مقالات و اشعار و قطعات ادبی درباره حضرت امام حسین علیه السلام به وجود آمده است را شناسایی جمع آوری و منتشر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باید در دیگر کشورها و دیگر زبانها هم صورت پذیرد تا اندک اندک بتوان ادعا کرد که پیکرهای قابل توجه از دادههای تولید شده در عرصه و صحنه ادبیات حسینی جمع آوری شده است آنگاه که چنین پیکره عظیمی از مواد مربوطه به ادبیات حسینی فراهم گشت میتوان به جستجوهای گوناگون و استخراج آمارهای گوناگون در آن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ایران هم مجموعه هایی مانند آنچه در بالا گفته شد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کتابها عبارت اند از گفتار عاشورا تهران اتنشار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نو به جریان عاشورا به اهتمام دکتر سید علیرضا واسعى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بازشناسی نهضت عاشورا به اهتمام محمود اصغری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عاشورا نامه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یا جلیل، تقبل منا هذا القلیل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5"/>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176" o:detectmouseclick="t"/>
                <v:stroke color="#3465a4" joinstyle="round" endcap="flat"/>
                <w10:wrap type="none"/>
              </v:shape>
            </w:pict>
          </mc:Fallback>
        </mc:AlternateContent>
      </w:r>
      <w:bookmarkStart w:id="298" w:name="pg8930_84860"/>
    </w:p>
    <w:p>
      <w:pPr>
        <w:pStyle w:val="Heading2"/>
        <w:numPr>
          <w:ilvl w:val="1"/>
          <w:numId w:val="1"/>
        </w:numPr>
        <w:rPr/>
      </w:pPr>
      <w:bookmarkStart w:id="299" w:name="__RefHeading___Toc1296832_2870459653"/>
      <w:bookmarkStart w:id="300" w:name="_Toc106"/>
      <w:bookmarkEnd w:id="298"/>
      <w:bookmarkEnd w:id="299"/>
      <w:r>
        <w:rPr>
          <w:rtl w:val="true"/>
        </w:rPr>
        <w:t>فراخوان نگارش مقاله برای فصلنامه آیت بوستان</w:t>
      </w:r>
      <w:bookmarkEnd w:id="300"/>
    </w:p>
    <w:p>
      <w:pPr>
        <w:pStyle w:val="BookText"/>
        <w:rPr/>
      </w:pPr>
      <w:r>
        <w:rPr>
          <w:rFonts w:ascii="IRNazanin" w:hAnsi="IRNazanin" w:eastAsia="IRNazanin"/>
          <w:color w:val="111111"/>
          <w:sz w:val="28"/>
          <w:sz w:val="28"/>
          <w:szCs w:val="28"/>
          <w:rtl w:val="true"/>
          <w:lang w:bidi="fa-IR"/>
        </w:rPr>
        <w:t>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تاثیر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بشری به ویژه جامعه امروز اسلام، جمعی از دردمندان صاحب قلم و اندیشمند که ترکیبی از اساتید حوزه و دانشگاه می باشند با نیتی الهی و به دور از نگرشهای سیاسی و زودگذر بر آن شدند که انتشار فصلنامه آیت بوستان پژوهش نامه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علمی تخصصی 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ضمن قدردانی از تلاش های صورت گرفته در تبلیغ و ترویج فرهنگ حسینی، در صدد است که در حوزه های ذیل به ترویج و گسترش فرهنگ حسینی بپردازد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و سبک زندگی سیدالشهداء 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نهضت عاشورا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میشود که مقالات علمی خود را بر اساس فرمت تعریف شده ،نشریه به ایمیل فصلنامه ارسال نمایند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متقاضیان حقیقی و حقوقی دریافت فصلنامه درخواست میشود که فرم مربوط به اشتراک را تکمیل نموده و همراه با اصل فیش بانکی به دفتر فصلنامه آیت بوستان ارسال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فصلنامه را به شماره حساب </w:t>
      </w:r>
      <w:r>
        <w:rPr>
          <w:rFonts w:eastAsia="IRNazanin" w:cs="IRNazanin"/>
          <w:color w:val="111111"/>
          <w:sz w:val="28"/>
          <w:szCs w:val="28"/>
          <w:lang w:bidi="fa-IR"/>
        </w:rPr>
        <w:t>5560041220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شماره کارت </w:t>
      </w:r>
      <w:r>
        <w:rPr>
          <w:rFonts w:eastAsia="IRNazanin" w:cs="IRNazanin"/>
          <w:color w:val="111111"/>
          <w:sz w:val="28"/>
          <w:szCs w:val="28"/>
          <w:lang w:bidi="fa-IR"/>
        </w:rPr>
        <w:t>6104337869274975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ملت به نام محمد حسین مردانی نوکنده واریز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پستی مجله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eastAsia="IRNazanin" w:cs="IRNazanin"/>
          <w:color w:val="111111"/>
          <w:sz w:val="28"/>
          <w:szCs w:val="28"/>
          <w:lang w:bidi="fa-IR"/>
        </w:rPr>
        <w:t>49175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آیت بوستان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43858321</w:t>
      </w:r>
      <w:r>
        <w:rPr>
          <w:rFonts w:eastAsia="IRNazanin" w:cs="IRNazanin"/>
          <w:color w:val="111111"/>
          <w:sz w:val="28"/>
          <w:szCs w:val="28"/>
          <w:rtl w:val="true"/>
          <w:lang w:bidi="fa-IR"/>
        </w:rPr>
        <w:t>-</w:t>
      </w:r>
      <w:r>
        <w:rPr>
          <w:rFonts w:eastAsia="IRNazanin" w:cs="IRNazanin"/>
          <w:color w:val="111111"/>
          <w:sz w:val="28"/>
          <w:szCs w:val="28"/>
          <w:lang w:bidi="fa-IR"/>
        </w:rPr>
        <w:t>021</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 اشتراک 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Vol. 1, No.2, summer 2016</w:t>
      </w:r>
    </w:p>
    <w:p>
      <w:pPr>
        <w:pStyle w:val="BookText"/>
        <w:rPr/>
      </w:pPr>
      <w:r>
        <w:rPr>
          <w:rFonts w:eastAsia="Times New Roman" w:cs="Times New Roman" w:ascii="Times New Roman" w:hAnsi="Times New Roman"/>
          <w:color w:val="111111"/>
          <w:sz w:val="28"/>
          <w:szCs w:val="28"/>
          <w:lang w:val="en-US" w:bidi="en-US"/>
        </w:rPr>
        <w:t>Arabic literatures. However, in the present descriptive-analytical work, such a view has been influenced by the dominant political views and atmospheres, leading to a sway in the poets' viewpoints. Hence, Persian and Arab poets' attention to the individual and social character of Imam al-Husayn deserve special attention. Likewise, their recounting and narrations signify the melancholic and epic aspects of this event in both languages. This is indicative of a tragic interpretation of Ashura in contrast to that of a revival revolution. Beyond these common points, there are also some differences, e.g., Arab poets' tendency to the lineage of Imam al-Husayn and praising him. The type of characteristics Arab poets highlight for Imam al-Husayn indicate that they seek a role model for their political struggles. On the other hand, the presence of the religious leaders in the Iranian constitutional movement and after that caused relatively less attention to Imam al-Husayn for a political end. In contrast, Ashura was looked up to as a model for the Islamic revolution of Iran, leading to venerating Imam Khomeini as a portrait of Imam al-Husayn. In effect of this view, Ashura, that was formerly a cause for shedding tears, has come to be viewed as an epic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Ashura, the Islamic revolution, the imposed war, contemporary Arabic and Persian poem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Analytical Account of the First Christian Report of the Martyrdom of Imam al-Husayn</w:t>
      </w:r>
    </w:p>
    <w:p>
      <w:pPr>
        <w:pStyle w:val="BookText"/>
        <w:rPr/>
      </w:pPr>
      <w:r>
        <w:rPr>
          <w:rFonts w:eastAsia="Times New Roman" w:cs="Times New Roman" w:ascii="Times New Roman" w:hAnsi="Times New Roman"/>
          <w:color w:val="111111"/>
          <w:sz w:val="28"/>
          <w:szCs w:val="28"/>
          <w:lang w:val="en-US" w:bidi="en-US"/>
        </w:rPr>
        <w:t>Muhammad-Reza Fakhr-Rohani</w:t>
      </w:r>
    </w:p>
    <w:p>
      <w:pPr>
        <w:pStyle w:val="BookText"/>
        <w:rPr/>
      </w:pPr>
      <w:r>
        <w:rPr>
          <w:rFonts w:eastAsia="Times New Roman" w:cs="Times New Roman" w:ascii="Times New Roman" w:hAnsi="Times New Roman"/>
          <w:color w:val="111111"/>
          <w:sz w:val="28"/>
          <w:szCs w:val="28"/>
          <w:lang w:val="en-US" w:bidi="en-US"/>
        </w:rPr>
        <w:t>The present paper is concerned with analyzing the earliest Christian account of the martyrdom of Imam al-Husayn as reported by the Byzantine ambassador to the Umayyad court of Yazid. Based on an English academic translation of the original Syriac text (published in Liverpool, UK), it shows that the crime of putting Imam al-Husayn to the sword made the Roman ambassador of the Byzantium react against it. However, as the earlier Byzantine ambassador was killed at the behest of Yazid for raising his open objection against him for committing such an utterly grave crime, it seems that the second Byzantine ambassador never showed the slightest reaction in deeds but expressed his disgust and aversion in words, all expressed in a language that the majority of Arab Umayyads were ignorant to decipher or understand</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Ashura, Byzantine sympathy with Imam al- Husayn, Syriac Ashura-oriented documentary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Shiite and Sunni hadiths. In such a context, the hadith of Imam 'Ali al- Rida (Reza), related by Rayyan b. Shabib, is one of the most authoritative accounts that indicate the status of Imam al-Husayn, the month Muharram, the tragedy of Ashura, and the merits of shedding tears in favor of Imam al- Husayn. The present study proves that this hadith is authentic, without any flaw in its signification. This leads to its authority, implying that their nothing fake or fabricated, without any flaw as to the merits of its abundant rewards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Rayyan b. Shabib, lamentation, shedding tears, Imam al- Husayn, hadith signification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Conflict of Religious Values</w:t>
      </w:r>
    </w:p>
    <w:p>
      <w:pPr>
        <w:pStyle w:val="BookText"/>
        <w:rPr/>
      </w:pPr>
      <w:r>
        <w:rPr>
          <w:rFonts w:eastAsia="Times New Roman" w:cs="Times New Roman" w:ascii="Times New Roman" w:hAnsi="Times New Roman"/>
          <w:color w:val="111111"/>
          <w:sz w:val="28"/>
          <w:szCs w:val="28"/>
          <w:lang w:val="en-US" w:bidi="en-US"/>
        </w:rPr>
        <w:t>in the Discourses of Imam al-Husayn v. Yazid</w:t>
      </w:r>
    </w:p>
    <w:p>
      <w:pPr>
        <w:pStyle w:val="BookText"/>
        <w:rPr/>
      </w:pPr>
      <w:r>
        <w:rPr>
          <w:rFonts w:eastAsia="Times New Roman" w:cs="Times New Roman" w:ascii="Times New Roman" w:hAnsi="Times New Roman"/>
          <w:color w:val="111111"/>
          <w:sz w:val="28"/>
          <w:szCs w:val="28"/>
          <w:lang w:val="en-US" w:bidi="en-US"/>
        </w:rPr>
        <w:t>Shaqayeq Hamidi Ehsan Hasani</w:t>
      </w:r>
    </w:p>
    <w:p>
      <w:pPr>
        <w:pStyle w:val="BookText"/>
        <w:rPr/>
      </w:pPr>
      <w:r>
        <w:rPr>
          <w:rFonts w:eastAsia="Times New Roman" w:cs="Times New Roman" w:ascii="Times New Roman" w:hAnsi="Times New Roman"/>
          <w:color w:val="111111"/>
          <w:sz w:val="28"/>
          <w:szCs w:val="28"/>
          <w:lang w:val="en-US" w:bidi="en-US"/>
        </w:rPr>
        <w:t>The early Islamic history witnessed formation of three sub-discourses in the realm of social life. They were framed within the frameworks of Divine vicegerency "wilayah", caliphate and kingdom, where all of them tried to get as close to the Islamic center for obtaining the public mentality and acceptance. To achieve this aim, they had to redefine the major Islamic values according to their own favorite central frameworks. Hence, in certain cases the place of inviting people to accomplish the good was transposed with that of prohibiting people from committing the abominable. Since the framework developed and introduced by the Prophet Muhammad was based on the Divine vicegerency "wilayah", such a framework was not accepted by some people, while others accepted it with alacrity, an experience that led to caliphate and kingdom. To study it in full, the discourses of Imam al- Husayn, based on the Divine vicegerency "wilayah" are contrasted with the kingdom-based discourses of Yazid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Discourse analysis, Divine vicegerency, Husayni discourses, Yazidi discourses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Ashura and Imam al-Husayn</w:t>
      </w:r>
    </w:p>
    <w:p>
      <w:pPr>
        <w:pStyle w:val="BookText"/>
        <w:rPr/>
      </w:pPr>
      <w:r>
        <w:rPr>
          <w:rFonts w:eastAsia="Times New Roman" w:cs="Times New Roman" w:ascii="Times New Roman" w:hAnsi="Times New Roman"/>
          <w:color w:val="111111"/>
          <w:sz w:val="28"/>
          <w:szCs w:val="28"/>
          <w:lang w:val="en-US" w:bidi="en-US"/>
        </w:rPr>
        <w:t>in Contemporary Persian and Arabic Poems</w:t>
      </w:r>
    </w:p>
    <w:p>
      <w:pPr>
        <w:pStyle w:val="BookText"/>
        <w:rPr/>
      </w:pPr>
      <w:r>
        <w:rPr>
          <w:rFonts w:eastAsia="Times New Roman" w:cs="Times New Roman" w:ascii="Times New Roman" w:hAnsi="Times New Roman"/>
          <w:color w:val="111111"/>
          <w:sz w:val="28"/>
          <w:szCs w:val="28"/>
          <w:lang w:val="en-US" w:bidi="en-US"/>
        </w:rPr>
        <w:t>PeymanSalehi SohrabSoleyliGuilan</w:t>
      </w:r>
    </w:p>
    <w:p>
      <w:pPr>
        <w:pStyle w:val="BookText"/>
        <w:rPr/>
      </w:pPr>
      <w:r>
        <w:rPr>
          <w:rFonts w:eastAsia="Times New Roman" w:cs="Times New Roman" w:ascii="Times New Roman" w:hAnsi="Times New Roman"/>
          <w:color w:val="111111"/>
          <w:sz w:val="28"/>
          <w:szCs w:val="28"/>
          <w:lang w:val="en-US" w:bidi="en-US"/>
        </w:rPr>
        <w:t>The event of Ashura and the revolt of Imam al-Husayn were certainly significant events that caused thematic and semantic changes in Persian and</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Abstract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Vol. 1, No.2, summer 2016</w:t>
      </w:r>
    </w:p>
    <w:p>
      <w:pPr>
        <w:pStyle w:val="BookText"/>
        <w:rPr/>
      </w:pPr>
      <w:r>
        <w:rPr>
          <w:rFonts w:eastAsia="Times New Roman" w:cs="Times New Roman" w:ascii="Times New Roman" w:hAnsi="Times New Roman"/>
          <w:color w:val="111111"/>
          <w:sz w:val="28"/>
          <w:szCs w:val="28"/>
          <w:lang w:val="en-US" w:bidi="en-US"/>
        </w:rPr>
        <w:t>in which the latter attempted to cast doubt on Imam al-Husayn's being a descendant of the Prophet Muhammad. However, Yahya b. Ma</w:t>
      </w:r>
      <w:r>
        <w:rPr>
          <w:rFonts w:eastAsia="Consolas" w:cs="Consolas" w:ascii="Consolas" w:hAnsi="Consolas"/>
          <w:color w:val="111111"/>
          <w:sz w:val="28"/>
          <w:szCs w:val="28"/>
          <w:lang w:val="en-US" w:bidi="en-US"/>
        </w:rPr>
        <w:t xml:space="preserve">mar refuted al-Hajjaj's claims based on convincing Quranic proofs and authentic hadiths. The Quranic references are based on the SurasAl </w:t>
      </w:r>
      <w:r>
        <w:rPr>
          <w:rFonts w:eastAsia="Times New Roman" w:cs="Times New Roman" w:ascii="Times New Roman" w:hAnsi="Times New Roman"/>
          <w:color w:val="111111"/>
          <w:sz w:val="28"/>
          <w:szCs w:val="28"/>
          <w:lang w:val="en-US" w:bidi="en-US"/>
        </w:rPr>
        <w:t>Imran [3]: 61, al-Nisaa' [4]: 23, and al-An'am [6]: 84-85 as well as the hadiths in which the Prophet Muhammad maked reference to Imam al-Husayn as a descendant of his own. Keywords: The Prophet Muhammad, Imam al-Husayn, desdendant, Yahya b. Ya</w:t>
      </w:r>
      <w:r>
        <w:rPr>
          <w:rFonts w:eastAsia="Consolas" w:cs="Consolas" w:ascii="Consolas" w:hAnsi="Consolas"/>
          <w:color w:val="111111"/>
          <w:sz w:val="28"/>
          <w:szCs w:val="28"/>
          <w:lang w:val="en-US" w:bidi="en-US"/>
        </w:rPr>
        <w:t xml:space="preserve">mar, al-Hajjaj b. Yusuf, Mustadrak </w:t>
      </w:r>
      <w:r>
        <w:rPr>
          <w:rFonts w:eastAsia="Times New Roman" w:cs="Times New Roman" w:ascii="Times New Roman" w:hAnsi="Times New Roman"/>
          <w:color w:val="111111"/>
          <w:sz w:val="28"/>
          <w:szCs w:val="28"/>
          <w:lang w:val="en-US" w:bidi="en-US"/>
        </w:rPr>
        <w:t>ala al-sayihayn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Demography of the Villages Around the River Euphrates and their Significance in the Time of the Event of Ashura</w:t>
      </w:r>
    </w:p>
    <w:p>
      <w:pPr>
        <w:pStyle w:val="BookText"/>
        <w:rPr/>
      </w:pPr>
      <w:r>
        <w:rPr>
          <w:rFonts w:eastAsia="Times New Roman" w:cs="Times New Roman" w:ascii="Times New Roman" w:hAnsi="Times New Roman"/>
          <w:color w:val="111111"/>
          <w:sz w:val="28"/>
          <w:szCs w:val="28"/>
          <w:lang w:val="en-US" w:bidi="en-US"/>
        </w:rPr>
        <w:t>SharbanuDalibari</w:t>
      </w:r>
    </w:p>
    <w:p>
      <w:pPr>
        <w:pStyle w:val="BookText"/>
        <w:rPr/>
      </w:pPr>
      <w:r>
        <w:rPr>
          <w:rFonts w:eastAsia="Times New Roman" w:cs="Times New Roman" w:ascii="Times New Roman" w:hAnsi="Times New Roman"/>
          <w:color w:val="111111"/>
          <w:sz w:val="28"/>
          <w:szCs w:val="28"/>
          <w:lang w:val="en-US" w:bidi="en-US"/>
        </w:rPr>
        <w:t>A tremendously great event took place around the river Euphrates in 61 AH/ 680. It is important to gain knowledge about the peoples who were residing in that area. This is because the inhabitants of the Iraqi regions were tribally not unanimous, hence this demographic feature played a role in the occurrence of the catastrophic event of Ashura. The present paper deals with a study of the typology of the peoples of the region of the Euphrates and their geographical distribution, and whether their demographical differences made a contributory effect in favor of the Umayyad hegemony and army troops in that region. Since the inhabitants of the regions on both sides of the river Euphrates were composed on immigrant Arab tribes, Persians, mawalis, Kurds, Aramaic nomads, Nestorians, and followers of other offshoots of Christianity, they were not united with one another, a characteristic that has since lasted for several centuries, hence the enemies of Imam al-Husayn made the most of absence of sucha demographic homogeneity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The revolt of Ashura, the inhabitants of the regions of the Euphrates, historical geography of the Euphrates, Iraq, the demography of the Euphrates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Rayyan b. Shabib's hadith on mourning Imam al-Husayn's martyrdom: A study of its authority and arguments</w:t>
      </w:r>
    </w:p>
    <w:p>
      <w:pPr>
        <w:pStyle w:val="BookText"/>
        <w:rPr/>
      </w:pPr>
      <w:r>
        <w:rPr>
          <w:rFonts w:eastAsia="Times New Roman" w:cs="Times New Roman" w:ascii="Times New Roman" w:hAnsi="Times New Roman"/>
          <w:color w:val="111111"/>
          <w:sz w:val="28"/>
          <w:szCs w:val="28"/>
          <w:lang w:val="en-US" w:bidi="en-US"/>
        </w:rPr>
        <w:t>Sayyid Mas'ud `Omrani</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Shedding tears in favor of, and lamenting, the martyrdom of Imam al- Husayn has been profoundly emphasized and regarded as an Islamic ritual in</w:t>
      </w:r>
      <w:r>
        <w:rPr>
          <w:rFonts w:eastAsia="Times New Roman" w:cs="Times New Roman" w:ascii="Times New Roman" w:hAnsi="Times New Roman"/>
          <w:color w:val="111111"/>
          <w:sz w:val="28"/>
          <w:szCs w:val="28"/>
          <w:rtl w:val="true"/>
          <w:lang w:val="en-US" w:bidi="en-US"/>
        </w:rPr>
        <w:t xml:space="preserve"> </w:t>
      </w:r>
      <w:bookmarkStart w:id="301" w:name="pg8930_84867"/>
    </w:p>
    <w:p>
      <w:pPr>
        <w:pStyle w:val="Heading2"/>
        <w:numPr>
          <w:ilvl w:val="1"/>
          <w:numId w:val="1"/>
        </w:numPr>
        <w:rPr/>
      </w:pPr>
      <w:bookmarkStart w:id="302" w:name="__RefHeading___Toc1296834_2870459653"/>
      <w:bookmarkStart w:id="303" w:name="_Toc107"/>
      <w:bookmarkEnd w:id="301"/>
      <w:bookmarkEnd w:id="302"/>
      <w:r>
        <w:rPr/>
        <w:t>ABSTRACTS</w:t>
      </w:r>
      <w:bookmarkEnd w:id="303"/>
    </w:p>
    <w:p>
      <w:pPr>
        <w:pStyle w:val="BookText"/>
        <w:rPr/>
      </w:pPr>
      <w:r>
        <w:rPr>
          <w:rFonts w:eastAsia="Times New Roman" w:cs="Times New Roman" w:ascii="Times New Roman" w:hAnsi="Times New Roman"/>
          <w:color w:val="111111"/>
          <w:sz w:val="28"/>
          <w:szCs w:val="28"/>
          <w:lang w:val="en-US" w:bidi="en-US"/>
        </w:rPr>
        <w:t>Methodology of Imam al-Husayn's Discourses and Argumentation in the Evens of Ashura</w:t>
      </w:r>
    </w:p>
    <w:p>
      <w:pPr>
        <w:pStyle w:val="BookText"/>
        <w:rPr/>
      </w:pPr>
      <w:r>
        <w:rPr>
          <w:rFonts w:eastAsia="Times New Roman" w:cs="Times New Roman" w:ascii="Times New Roman" w:hAnsi="Times New Roman"/>
          <w:color w:val="111111"/>
          <w:sz w:val="28"/>
          <w:szCs w:val="28"/>
          <w:lang w:val="en-US" w:bidi="en-US"/>
        </w:rPr>
        <w:t>Tahereh Attar Muhammad RanjbarHusayni</w:t>
      </w:r>
    </w:p>
    <w:p>
      <w:pPr>
        <w:pStyle w:val="BookText"/>
        <w:rPr/>
      </w:pPr>
      <w:r>
        <w:rPr>
          <w:rFonts w:eastAsia="Times New Roman" w:cs="Times New Roman" w:ascii="Times New Roman" w:hAnsi="Times New Roman"/>
          <w:color w:val="111111"/>
          <w:sz w:val="28"/>
          <w:szCs w:val="28"/>
          <w:lang w:val="en-US" w:bidi="en-US"/>
        </w:rPr>
        <w:t>The movement of Imam al-Husayn has been one of the most outstanding human events in pursuit of the right, hence packed with enormous lessons. Throughout the whole movement, Imam al-Husayn had dialogues with several people from which a certain logic and framework can be discerned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present descriptive-analytical study aims to focus on Imam al- Husayn'sarguments throughout his Ashura movement so as to lay bare the logic of his argumentation. The results are as follows: continuing the debatein a logical manner, obtaining confessions from the enemy with carefully-crafted questions, detailed criticism of the enemy's speech, comparison and contrast, acting as an interrogator, kindling the interlocutor's human instinct, and making use of an inspirational language. Thematically, Imam al-Husayn resorted to the Quran, the Prophetic sunna, and the standards accepted by the opponent groups. Morally, he showed clemency, forbearance, well-wishing for the other party, aversion from animosity, humbleness in speech, respecting the interlocutor, and accepting the interlocutor's excuses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methodology of armentation, Imam al-Husayn, Ashura, logic of structure, logic of the contents, moral principles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Quranic and hadith-based reasons for Imam al-Husayn's being a descendant of the Prophet Muhammad, based on Yahya b. Ya`mar's debate with al-Hajjaj b. Yusuf</w:t>
      </w:r>
    </w:p>
    <w:p>
      <w:pPr>
        <w:pStyle w:val="BookText"/>
        <w:rPr/>
      </w:pPr>
      <w:r>
        <w:rPr>
          <w:rFonts w:eastAsia="Times New Roman" w:cs="Times New Roman" w:ascii="Times New Roman" w:hAnsi="Times New Roman"/>
          <w:color w:val="111111"/>
          <w:sz w:val="28"/>
          <w:szCs w:val="28"/>
          <w:lang w:val="en-US" w:bidi="en-US"/>
        </w:rPr>
        <w:t>Meytham Khalili Javad Faramarzi</w:t>
      </w:r>
    </w:p>
    <w:p>
      <w:pPr>
        <w:pStyle w:val="BookText"/>
        <w:rPr/>
      </w:pPr>
      <w:r>
        <w:rPr>
          <w:rFonts w:eastAsia="Times New Roman" w:cs="Times New Roman" w:ascii="Times New Roman" w:hAnsi="Times New Roman"/>
          <w:color w:val="111111"/>
          <w:sz w:val="28"/>
          <w:szCs w:val="28"/>
          <w:lang w:val="en-US" w:bidi="en-US"/>
        </w:rPr>
        <w:t xml:space="preserve">Al-Hakim al-Nayshaburi's book al-Mustakrak </w:t>
      </w:r>
      <w:r>
        <w:rPr>
          <w:rFonts w:eastAsia="Consolas" w:cs="Consolas" w:ascii="Consolas" w:hAnsi="Consolas"/>
          <w:color w:val="111111"/>
          <w:sz w:val="28"/>
          <w:szCs w:val="28"/>
          <w:lang w:val="en-US" w:bidi="en-US"/>
        </w:rPr>
        <w:t>ala al-sahihayn contains a section on the merits of Imam al-Hasan and Imam al-Husayn. In it, a debate is recorded that took place between Yahya b. Ya</w:t>
      </w:r>
      <w:r>
        <w:rPr>
          <w:rFonts w:eastAsia="Times New Roman" w:cs="Times New Roman" w:ascii="Times New Roman" w:hAnsi="Times New Roman"/>
          <w:color w:val="111111"/>
          <w:sz w:val="28"/>
          <w:szCs w:val="28"/>
          <w:lang w:val="en-US" w:bidi="en-US"/>
        </w:rPr>
        <w:t>mar and al-Hajjaj b. Yusuf</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Abstract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علوم حدیث دانشگاه قرآن و حدیث</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قرآن و حدیث</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جَدِلْهُم بِالَّتىِ هِىَ أَحْسَنُ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امام حسین علیه السلام تصمیم گرفت از مکه به سوی عراق حركت نماید برخاست و خطبه ای ایراد كرد و فرمود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آگاه ساختن مردم کوفه بسیار صبور بود به امید هدایت آنان تا آخرین لحظات حتی در روز عاشورا برای آنان حجت آوردند ردای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دوش و شمشیرعلی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به میان دو سپاه رفته و با آنان گفت وگو کرد تا شاید کسی هدایت 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شریفی، محمود و دیگران، پیشین،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در چند موضع به افرادی که از کوفه خارج شده بودند برخورد کرد و ضمن هدایت آنان خواست که به او و یارانش ملحق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امام با افرادی که امتناع ورزیدند، حاکی از خیرخواهی امام برای آنان است مثلا امام در همان مکانی که عبیدالله بن حر را دید، به عمرو بن قیس مشرقی و پسر عمویش برخورد و از این دو یاری خواست،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پوزش خواستند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انطلقا فلا تسمعا لی واعیة و لا تریا لی سوادا فانه من سمع واعیتنا او تری سوادنا فلم یجبنا او یغثنا کان حقا علی الله عزوجل ان یکبه علی منخریه به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دور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فریاد کمک خواهی مان را نشنوید و ما را نبینید، زیرا آن که ندای یاری طلبیدن ما را بشنود یا ما را ببیند، اما لبیک نگوید و یاریمان نکند، سزاوار است خدای عزوجل او را به صورت درون آتش افکند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در شب عاشورا که دیگر شهادت امام و تمامی همراهان او آشکار گشته بود، به یاران خود چنین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اللیل قَدْ غشیکم، فاتّخذوه جملا، ثُمَّ لیأخذ کل رجل منکم بید رجل من اهل بیتى، و تفرّقوا فِی سوادکم و مدائنکم حَتَّى یفرج اللَّه، فإن القوم إنّما یطلبونی، و لو قَدْ أصابونی لهوا عن طلب غیری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شب شما را فرا گرفته، از مرکب راهوار شب بهره گیرید و هر یک، دست یکی از مردان خاندانم را گرفته و در شهرها و آبادیهای خود پراکنده شوید تا خدا گشایشی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قوم فقط مرا می خواهند و اگر به من دست یابند، کاری به دیگران ندارند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بارزترین جلوه ی این اخلاق امام برخورد ایشان با حر پس از پشیمانی اوست از این که راه را بر امام بست و مانع حرکت ایشان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امام به حر وقتی که نادم و پشیمان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از امام پرسید آیا من بخشیده می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یتوب اللَّه عَلَیْک، و یغفر لک ، مَا اسمک؟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الحرّ کما سمّتک أمّک، أنت الحرّ إِنْ شَاءَ اللَّهُ فِی الدُّنْیَا والآخره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در روز عاشورا که هنوز امید به هدایت سپاه عمر سعد داشتند آنان را موعظه نموده و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مورد خطاب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قبلا در قسمت به کار گیری زبان انگیزشی، به آن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آخرین نامه ای که به کوفیان نوشتند آنان را اینگونه خطاب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 الرَّحْمنِ الرَّحیم مِنَ الْحُسَیْنِ بنِ عَلِیٍّ اِلی اِخْوانِهِ الْمُؤمِنینَ وَ الْمُسْلِمیْنَ، سَلامٌ عَلَیْکُمْ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قُلْتَ فِیمَا تَقُولُ انْظُرْ نَفْسَكَ وَ لِدِینِكَ وَ لِأُمَّةِ مُحَمَّدٍ ص وَ اتَّقِ شَقَّ عَصَا هَذِهِ الْأُمَّةِ وَ أَنْ تَرُدَّهُمْ فِی فِتْنَةٍ فَلَا أَعْرِفُ فِتْنَةً أَعْظَمَ مِنْ وَلَایَتِكَ عَلَیْهَا وَ لَا أَعْلَمُ نَظَراً لِنَفْسِی وَ وُلْدِی وَ أُمَّةِ جَدِّی أَفْضَلَ مِنْ جِهَادِكَ فَإِنْ فَعَلْتُهُ فَهُوَ قُرْبَةٌ إِلَى اللَّهِ عَزَّ وَ جَلَّ وَ إِنْ تَرَكْتُهُ فَأَسْتَغْفِرُ اللَّهَ لِذَنْبِی وَ أَسْأَلُهُ تَوْفِیقِی لِإِرْشَادِ أُمُورِی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احمدبن علی،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علوم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علوم و معارف قرآن کریم، </w:t>
      </w:r>
      <w:r>
        <w:rPr>
          <w:rFonts w:eastAsia="IRNazanin" w:cs="IRNazanin"/>
          <w:b w:val="false"/>
          <w:bCs w:val="false"/>
          <w:i w:val="false"/>
          <w:iCs w:val="false"/>
          <w:color w:val="333333"/>
          <w:sz w:val="20"/>
          <w:szCs w:val="20"/>
        </w:rPr>
        <w:t>meysam.khalili1370@gmail.com</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علوم و معارف قرآن کریم، </w:t>
      </w:r>
      <w:r>
        <w:rPr>
          <w:rFonts w:eastAsia="IRNazanin" w:cs="IRNazanin"/>
          <w:b w:val="false"/>
          <w:bCs w:val="false"/>
          <w:i w:val="false"/>
          <w:iCs w:val="false"/>
          <w:color w:val="333333"/>
          <w:sz w:val="20"/>
          <w:szCs w:val="20"/>
        </w:rPr>
        <w:t>javadfaramarzi70@gmail.com</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مشاهده سایر روایات شیعه پیرامون نزول آیه مباهله در شأن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فرات کوفی،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یعقوبی،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مفید،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طوسی، 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طبرسی،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ابوالفتوح رازی،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ابن شهرآشوب،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حسینی استرآبادی،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گنبادی،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عروسی حویزی،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سایر منابع تفسیری و روایی اهل سنت که آیه مباهله را در شأن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اصحاب کساء می دانند،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نیشابوری، 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ترمذی، 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زمخشری،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حاکم نیشابوری،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ثعلبی،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حسکانی،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ابن عطیه،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قرطبی،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ابن الجوزی،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میبدی،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عساکر،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هیثمی،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سیوطی،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آزاد اسلامی واحد مشهد </w:t>
      </w:r>
      <w:r>
        <w:rPr>
          <w:rFonts w:eastAsia="IRNazanin" w:cs="IRNazanin"/>
          <w:b w:val="false"/>
          <w:bCs w:val="false"/>
          <w:i w:val="false"/>
          <w:iCs w:val="false"/>
          <w:color w:val="333333"/>
          <w:sz w:val="20"/>
          <w:szCs w:val="20"/>
        </w:rPr>
        <w:t>tarikh_2003@yahoo.com</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علوم اسلامی رضوی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seyedmasoudemrani@yahoo.com</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مشهور شدن این قاعده به قاعده من بلغ به دلیل آغاز شدن بسیاری از این احادیث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بلغه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نمونه ای از این احادیث در اصول کافی اشاره می 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مَرْوَانَ قَالَ سَمِعْتُ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مَنْ بَلَغَهُ ثَوَابٌ مِنَ اللَّهِ عَلَی عَمَلٍ فَعَمِلَ ذَلِکَ الْعَمَلَ الْتِمَاسَ ذَلِکَ الثَّوَابِ أُوتِیَهُ وَ إِنْ لَمْ یَکُنِ الْحَدِیثُ کَمَا بَلَغَهُ؛ محمد بن مروان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ثواب بر عملی از خدا به او برسد و آن عمل را به امید آن ثواب انجام دهد، به او می دهند اگر چه حدیث چنان که به او رسیده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احادیث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روایت با مضمون تقریبا مشابه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دو روایت آن در کتاب الکافی، یک روایت در ثواب الأعمال و دو روایت دیگر در المحاسن برقی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روایات در کتاب اقبال الاعمال سیّد بن طاوس، عدّة الداعی ابن فهد حلّی، وسائل الشیعة شیخ حرّ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برخی از این روایات بسیار نیکو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راویان روایت در کافی، ثواب الاعمال و محاسن، همه از ثقات و بزرگان تشیّع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 ش</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اقسام تواتر به نقل از آیت الله 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آنها تواتر لفظی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لفظی، تواتری است که یک لفظ معینی از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جلسه صادر شده باشد؛ مثلا در فلان روز و فلان ساعت در محل غدیرخم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جماعتی حدیث غدیر را افاده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قسم تواتر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دیگر تواتر، باز تواتر لفظی است یک لفظ معینی را متواترا نقل می کنیم اما نه در یک جلسه، آن چه از روایات اهل سنت به دست آورده ام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ثقلین را سه بار در اماکن مختلف با فاصله های زمانی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بار زمانی بود که می خواست با امت وداع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آخرین بار به مسجد تشریف بردند آن جا حدیث ثقلین را باز تکرار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یک سنخ تواتر است، که صدور این حدیث را ولو به طور اجمال از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مسلم در یکی از این سه بار این مطلب را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سوم، تواتر معنوی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معنوی این است که یک حکم را متواترا نه از یک امام، بلکه از امامان مختلف نقل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در جلسات و تواریخ و عبارات و الفاظ مختلف نقل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وقتی همه این ها را در کنار هم می گذاریم اصل صدور مطلب از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چهارم تواتر اجمالی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روایتی است كه واجد تمام شرائط روایت صحیح است به اسثتناى آن كه در میان سلسله راویان نسبت به یك ، یا چند راوى در منابع رجالى تصریح به عدالت نشده و تنها به مدح و ستایش او اكتفا شده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قدما به استناد قراین همراه خبر، روایات را به دو دسته صحیح و ضعیف، یا مقبول و مردود تقسیم مى كردند، اما نخستین بار علامه حسن بن مطهر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سیدبن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در حقیقت ناظر به دوره متاخرین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را به چهار دسته صحیح، حسن، موثق و ضعیف تقسیم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بهاءالدین عاملى در این باره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اصطلاح تقسیم رباعى احادیث میان قدما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با بررسى گفتار آنان هویداست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شده نبوده و میان آنان چنین متعارف بود كه صحیح را بر هر حدیثی اطلاق مى كردند، كه از نظر آنان اقتضای اعتماد داشت ، یا همراه با قرائنى بود كه باعث اطمینان و اعتماد به آن مى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بهایی،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قدما بیشتر به متن روایات بوده و بر اساس موافقت آن ها با کتاب، سنت، عقل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صحیح مى دانستد، حتى اگر در سند روایات ضعف وجود داشته باشد و در صورتى كه روایتی فاقد این قراین مى بود ضعیف و مردود تلقى مى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چون در دوران متأخرین ، همه یا بخشى از این قراِین از دست رفت ، آنان به جاى توجه به متن ، به سند روایات روى آوردند و با توجه به برخوردارى راویان از صفت عدالت ، وثاقت ، و امامی بودن ، روایات را به چهار دسته تقسیم كردند که به تعریف آنها مى پردازیم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روایتی است كه سند آن بوسیله راویان عادل و امامی در تمام طبقات به معصوم متعصل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روایتی است كه واجد تمام شرایط روایت صحیح است به اسثتناى آن كه در میان سلسله راویان نسبت به یك ، یا چند راوى در منابع رجالى تصریح به عدالت نشده و تنها به مدح و ستایش او اكتفا شده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 روایتی است كه به رغم برخوردارى از اتصال سند به معصوم و نیز عدالت یا وثاقت راویان در تمام طبقات ، یك یا چند راوی آن ، غیر امامی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راویان چنین حدیثی در حوزه اخلاق عارى از نقص هستند، اما در حوزه عقیده دچار فسادند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اصطلاح ، كلیه روایاتی كه راویان اهل سنت ، یا شیعیان غیر امامی نقل كرده باشند موثق خواهند بود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حدیثی خواهد بود كه هیچ كدام از این تعاریف بر او صادق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حدیثی كه فاقد اتصال سند، یا راویان آن فاقد صفت عدالت، یا وثاقت باشند، ضعیف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صادر شدن یک روایت و حدیث از معصومین اطمینان پیدا کنیم می گوییم نسبت به آن حدیث وثوق صدوری حاصل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اطمینان می تواند از راه سند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جداگانه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قراین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جداگانه یا به کمک سند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صحت سند یک حدیث، اطمینان حاصل شود، گفته می شود وثوق سندی نسبت به آن حاصل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حدیث شناسی از این دو – به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وثوق خبری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وثوق و اطمینان به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وثوق مُخبری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اطمینان از وثاقت افراد موجود در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یاد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جزائری،</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پیاده شدن سواران و بر زمین افتادن شهیدانی است که از گذشتگان کسی از آن ها جلو نیفتاده، و از آیندگان کسی به مقام آن ها نخواهد رسید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الهیات گرایش علوم قرآن و حدیث ، </w:t>
      </w:r>
      <w:r>
        <w:rPr>
          <w:rFonts w:eastAsia="IRNazanin" w:cs="IRNazanin"/>
          <w:b w:val="false"/>
          <w:bCs w:val="false"/>
          <w:i w:val="false"/>
          <w:iCs w:val="false"/>
          <w:color w:val="333333"/>
          <w:sz w:val="20"/>
          <w:szCs w:val="20"/>
        </w:rPr>
        <w:t>aashuraa72@gmail.com</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علوم قرآن و حدیث مقطع کارشناسی ارشد ، </w:t>
      </w:r>
      <w:r>
        <w:rPr>
          <w:rFonts w:eastAsia="IRNazanin" w:cs="IRNazanin"/>
          <w:b w:val="false"/>
          <w:bCs w:val="false"/>
          <w:i w:val="false"/>
          <w:iCs w:val="false"/>
          <w:color w:val="333333"/>
          <w:sz w:val="20"/>
          <w:szCs w:val="20"/>
        </w:rPr>
        <w:t>a131135@gmail.con</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پدرانشان ذیل آیه اول این سوره مبارکه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رَءَیْتَ الَّذِى یُكَذِّبُ بِالدِّین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مراد از دین در این آیه ولایت امیر 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قَوْلِهِ عَزَّ وَ جَلَ أَرَأَیْتَ الَّذِی یُكَذِّبُ بِالدِّینِ قَالَ بِوَلَایَةِ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استرآبادی،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قرینه روشن می شود که ویل الهی به مصلینی است که تکذیب کننده ولایت ولیّ الله هستند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زبان و ادبیات عرب دانشگاه ایلام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salehi@ilam.ac.ir</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رشته زبان و ادبیات عرب</w:t>
      </w:r>
      <w:r>
        <w:rPr>
          <w:rFonts w:eastAsia="IRNazanin" w:cs="IRNazanin"/>
          <w:b w:val="false"/>
          <w:bCs w:val="false"/>
          <w:i w:val="false"/>
          <w:iCs w:val="false"/>
          <w:color w:val="333333"/>
          <w:sz w:val="20"/>
          <w:szCs w:val="20"/>
        </w:rPr>
        <w:t>sohrabsohaili@yahoo.com</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دانشگاه قرآن و حدیث </w:t>
      </w:r>
      <w:r>
        <w:rPr>
          <w:rFonts w:eastAsia="IRNazanin" w:cs="IRNazanin"/>
          <w:b w:val="false"/>
          <w:bCs w:val="false"/>
          <w:i w:val="false"/>
          <w:iCs w:val="false"/>
          <w:color w:val="333333"/>
          <w:sz w:val="20"/>
          <w:szCs w:val="20"/>
        </w:rPr>
        <w:t>pasandide@hadith.ir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image" Target="media/image4.jpeg"/><Relationship Id="rId176" Type="http://schemas.openxmlformats.org/officeDocument/2006/relationships/image" Target="media/image4.jpeg"/><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77.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52232</Words>
  <Characters>204578</Characters>
  <CharactersWithSpaces>255470</CharactersWithSpaces>
  <Paragraphs>1515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2026-08-20T07:21:24Z</dcterms:created>
  <dc:creator>ghaemiyeh.com</dc:creator>
  <dc:description/>
  <dc:language>en-US</dc:language>
  <cp:lastModifiedBy/>
  <dcterms:modified xsi:type="dcterms:W3CDTF">2026-08-20T10:51:29Z</dcterms:modified>
  <cp:revision>1</cp:revision>
  <dc:subject/>
  <dc:title>پژوهش نامه معارف حسینی 2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