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29</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2558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32560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32562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3032564_653776707">
            <w:r>
              <w:rPr>
                <w:webHidden/>
                <w:rStyle w:val="IndexLink"/>
                <w:rtl w:val="true"/>
              </w:rPr>
              <w:t xml:space="preserve">چگونگی شهادت حضرت علی اکبر </w:t>
            </w:r>
            <w:r>
              <w:rPr>
                <w:rStyle w:val="IndexLink"/>
                <w:rtl w:val="true"/>
              </w:rPr>
              <w:t>(</w:t>
            </w:r>
            <w:r>
              <w:rPr>
                <w:rStyle w:val="IndexLink"/>
                <w:rtl w:val="true"/>
              </w:rPr>
              <w:t>علیه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3032566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032568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3032570_653776707">
            <w:r>
              <w:rPr>
                <w:webHidden/>
                <w:rStyle w:val="IndexLink"/>
                <w:rtl w:val="true"/>
              </w:rPr>
              <w:t xml:space="preserve">زندگینامه حضرت علی اکبر </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3032572_653776707">
            <w:r>
              <w:rPr>
                <w:webHidden/>
                <w:rStyle w:val="IndexLink"/>
                <w:rtl w:val="true"/>
              </w:rPr>
              <w:t xml:space="preserve">علی اکبر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بزرگ تر از امام سجاد </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3032574_653776707">
            <w:r>
              <w:rPr>
                <w:webHidden/>
                <w:rStyle w:val="IndexLink"/>
                <w:rtl w:val="true"/>
              </w:rPr>
              <w:t xml:space="preserve">علی اکبر </w:t>
            </w:r>
            <w:r>
              <w:rPr>
                <w:rStyle w:val="IndexLink"/>
                <w:rtl w:val="true"/>
              </w:rPr>
              <w:t>(</w:t>
            </w:r>
            <w:r>
              <w:rPr>
                <w:rStyle w:val="IndexLink"/>
                <w:rtl w:val="true"/>
              </w:rPr>
              <w:t>علیه السلام</w:t>
            </w:r>
            <w:r>
              <w:rPr>
                <w:rStyle w:val="IndexLink"/>
                <w:rtl w:val="true"/>
              </w:rPr>
              <w:t xml:space="preserve">) </w:t>
            </w:r>
            <w:r>
              <w:rPr>
                <w:rStyle w:val="IndexLink"/>
                <w:rtl w:val="true"/>
              </w:rPr>
              <w:t>اولین شهید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کربلا</w:t>
            </w:r>
            <w:r>
              <w:rPr>
                <w:rStyle w:val="IndexLink"/>
                <w:rtl w:val="true"/>
              </w:rPr>
              <w:tab/>
            </w:r>
            <w:r>
              <w:rPr>
                <w:rStyle w:val="IndexLink"/>
              </w:rPr>
              <w:t>16</w:t>
            </w:r>
          </w:hyperlink>
        </w:p>
        <w:p>
          <w:pPr>
            <w:pStyle w:val="Contents3"/>
            <w:tabs>
              <w:tab w:val="clear" w:pos="8459"/>
              <w:tab w:val="right" w:pos="9026" w:leader="dot"/>
            </w:tabs>
            <w:rPr/>
          </w:pPr>
          <w:hyperlink w:anchor="__RefHeading___Toc3032576_653776707">
            <w:r>
              <w:rPr>
                <w:webHidden/>
                <w:rStyle w:val="IndexLink"/>
                <w:rtl w:val="true"/>
              </w:rPr>
              <w:t xml:space="preserve">صحنه میدان رفتن علی اکبر </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3032578_653776707">
            <w:r>
              <w:rPr>
                <w:webHidden/>
                <w:rStyle w:val="IndexLink"/>
                <w:rtl w:val="true"/>
              </w:rPr>
              <w:t xml:space="preserve">تشنگی علی اکبر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3032580_653776707">
            <w:r>
              <w:rPr>
                <w:webHidden/>
                <w:rStyle w:val="IndexLink"/>
                <w:rtl w:val="true"/>
              </w:rPr>
              <w:t xml:space="preserve">چگونگی شهادت علی اکبر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3032582_653776707">
            <w:r>
              <w:rPr>
                <w:webHidden/>
                <w:rStyle w:val="IndexLink"/>
                <w:rtl w:val="true"/>
              </w:rPr>
              <w:t xml:space="preserve">آمدن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زینب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بر بالین علی اکبر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3032584_653776707">
            <w:r>
              <w:rPr>
                <w:webHidden/>
                <w:rStyle w:val="IndexLink"/>
                <w:rtl w:val="true"/>
              </w:rPr>
              <w:t>نتیجه</w:t>
            </w:r>
            <w:r>
              <w:rPr>
                <w:rStyle w:val="IndexLink"/>
                <w:rtl w:val="true"/>
              </w:rPr>
              <w:tab/>
            </w:r>
            <w:r>
              <w:rPr>
                <w:rStyle w:val="IndexLink"/>
              </w:rPr>
              <w:t>20</w:t>
            </w:r>
          </w:hyperlink>
        </w:p>
        <w:p>
          <w:pPr>
            <w:pStyle w:val="Contents3"/>
            <w:tabs>
              <w:tab w:val="clear" w:pos="8459"/>
              <w:tab w:val="right" w:pos="9026" w:leader="dot"/>
            </w:tabs>
            <w:rPr/>
          </w:pPr>
          <w:hyperlink w:anchor="__RefHeading___Toc3032586_653776707">
            <w:r>
              <w:rPr>
                <w:webHidden/>
                <w:rStyle w:val="IndexLink"/>
                <w:rtl w:val="true"/>
              </w:rPr>
              <w:t>منابع</w:t>
            </w:r>
            <w:r>
              <w:rPr>
                <w:rStyle w:val="IndexLink"/>
                <w:rtl w:val="true"/>
              </w:rPr>
              <w:tab/>
            </w:r>
            <w:r>
              <w:rPr>
                <w:rStyle w:val="IndexLink"/>
              </w:rPr>
              <w:t>21</w:t>
            </w:r>
          </w:hyperlink>
        </w:p>
        <w:p>
          <w:pPr>
            <w:pStyle w:val="Contents2"/>
            <w:tabs>
              <w:tab w:val="clear" w:pos="8743"/>
              <w:tab w:val="right" w:pos="9026" w:leader="dot"/>
            </w:tabs>
            <w:rPr/>
          </w:pPr>
          <w:hyperlink w:anchor="__RefHeading___Toc3032588_653776707">
            <w:r>
              <w:rPr>
                <w:webHidden/>
                <w:rStyle w:val="IndexLink"/>
                <w:rtl w:val="true"/>
              </w:rPr>
              <w:t>لایه های سبکی اشعار عاشورایی پس از انقلاب اسلامی</w:t>
            </w:r>
            <w:r>
              <w:rPr>
                <w:rStyle w:val="IndexLink"/>
                <w:rtl w:val="true"/>
              </w:rPr>
              <w:tab/>
            </w:r>
            <w:r>
              <w:rPr>
                <w:rStyle w:val="IndexLink"/>
              </w:rPr>
              <w:t>26</w:t>
            </w:r>
          </w:hyperlink>
        </w:p>
        <w:p>
          <w:pPr>
            <w:pStyle w:val="Contents3"/>
            <w:tabs>
              <w:tab w:val="clear" w:pos="8459"/>
              <w:tab w:val="right" w:pos="9026" w:leader="dot"/>
            </w:tabs>
            <w:rPr/>
          </w:pPr>
          <w:hyperlink w:anchor="__RefHeading___Toc3032590_653776707">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032592_653776707">
            <w:r>
              <w:rPr>
                <w:webHidden/>
                <w:rStyle w:val="IndexLink"/>
                <w:rtl w:val="true"/>
              </w:rPr>
              <w:t>مقدمه</w:t>
            </w:r>
            <w:r>
              <w:rPr>
                <w:rStyle w:val="IndexLink"/>
                <w:rtl w:val="true"/>
              </w:rPr>
              <w:tab/>
            </w:r>
            <w:r>
              <w:rPr>
                <w:rStyle w:val="IndexLink"/>
              </w:rPr>
              <w:t>27</w:t>
            </w:r>
          </w:hyperlink>
        </w:p>
        <w:p>
          <w:pPr>
            <w:pStyle w:val="Contents3"/>
            <w:tabs>
              <w:tab w:val="clear" w:pos="8459"/>
              <w:tab w:val="right" w:pos="9026" w:leader="dot"/>
            </w:tabs>
            <w:rPr/>
          </w:pPr>
          <w:hyperlink w:anchor="__RefHeading___Toc3032594_653776707">
            <w:r>
              <w:rPr>
                <w:webHidden/>
                <w:rStyle w:val="IndexLink"/>
                <w:rtl w:val="true"/>
              </w:rPr>
              <w:t>بیان مسئله</w:t>
            </w:r>
            <w:r>
              <w:rPr>
                <w:rStyle w:val="IndexLink"/>
                <w:rtl w:val="true"/>
              </w:rPr>
              <w:tab/>
            </w:r>
            <w:r>
              <w:rPr>
                <w:rStyle w:val="IndexLink"/>
              </w:rPr>
              <w:t>28</w:t>
            </w:r>
          </w:hyperlink>
        </w:p>
        <w:p>
          <w:pPr>
            <w:pStyle w:val="Contents3"/>
            <w:tabs>
              <w:tab w:val="clear" w:pos="8459"/>
              <w:tab w:val="right" w:pos="9026" w:leader="dot"/>
            </w:tabs>
            <w:rPr/>
          </w:pPr>
          <w:hyperlink w:anchor="__RefHeading___Toc3032596_653776707">
            <w:r>
              <w:rPr>
                <w:webHidden/>
                <w:rStyle w:val="IndexLink"/>
                <w:rtl w:val="true"/>
              </w:rPr>
              <w:t>پیشینه پژوهش</w:t>
            </w:r>
            <w:r>
              <w:rPr>
                <w:rStyle w:val="IndexLink"/>
                <w:rtl w:val="true"/>
              </w:rPr>
              <w:tab/>
            </w:r>
            <w:r>
              <w:rPr>
                <w:rStyle w:val="IndexLink"/>
              </w:rPr>
              <w:t>28</w:t>
            </w:r>
          </w:hyperlink>
        </w:p>
        <w:p>
          <w:pPr>
            <w:pStyle w:val="Contents3"/>
            <w:tabs>
              <w:tab w:val="clear" w:pos="8459"/>
              <w:tab w:val="right" w:pos="9026" w:leader="dot"/>
            </w:tabs>
            <w:rPr/>
          </w:pPr>
          <w:hyperlink w:anchor="__RefHeading___Toc3032598_653776707">
            <w:r>
              <w:rPr>
                <w:webHidden/>
                <w:rStyle w:val="IndexLink"/>
                <w:rtl w:val="true"/>
              </w:rPr>
              <w:t>ضرورت و اهمیت پژوهش</w:t>
            </w:r>
            <w:r>
              <w:rPr>
                <w:rStyle w:val="IndexLink"/>
                <w:rtl w:val="true"/>
              </w:rPr>
              <w:tab/>
            </w:r>
            <w:r>
              <w:rPr>
                <w:rStyle w:val="IndexLink"/>
              </w:rPr>
              <w:t>29</w:t>
            </w:r>
          </w:hyperlink>
        </w:p>
        <w:p>
          <w:pPr>
            <w:pStyle w:val="Contents3"/>
            <w:tabs>
              <w:tab w:val="clear" w:pos="8459"/>
              <w:tab w:val="right" w:pos="9026" w:leader="dot"/>
            </w:tabs>
            <w:rPr/>
          </w:pPr>
          <w:hyperlink w:anchor="__RefHeading___Toc3032600_653776707">
            <w:r>
              <w:rPr>
                <w:webHidden/>
                <w:rStyle w:val="IndexLink"/>
                <w:rtl w:val="true"/>
              </w:rPr>
              <w:t>سبک شناسی</w:t>
            </w:r>
            <w:r>
              <w:rPr>
                <w:rStyle w:val="IndexLink"/>
                <w:rtl w:val="true"/>
              </w:rPr>
              <w:tab/>
            </w:r>
            <w:r>
              <w:rPr>
                <w:rStyle w:val="IndexLink"/>
              </w:rPr>
              <w:t>30</w:t>
            </w:r>
          </w:hyperlink>
        </w:p>
        <w:p>
          <w:pPr>
            <w:pStyle w:val="Contents3"/>
            <w:tabs>
              <w:tab w:val="clear" w:pos="8459"/>
              <w:tab w:val="right" w:pos="9026" w:leader="dot"/>
            </w:tabs>
            <w:rPr/>
          </w:pPr>
          <w:hyperlink w:anchor="__RefHeading___Toc3032602_653776707">
            <w:r>
              <w:rPr>
                <w:webHidden/>
                <w:rStyle w:val="IndexLink"/>
                <w:rtl w:val="true"/>
              </w:rPr>
              <w:t>سبک شناسی لایه ای</w:t>
            </w:r>
            <w:r>
              <w:rPr>
                <w:rStyle w:val="IndexLink"/>
                <w:rtl w:val="true"/>
              </w:rPr>
              <w:tab/>
            </w:r>
            <w:r>
              <w:rPr>
                <w:rStyle w:val="IndexLink"/>
              </w:rPr>
              <w:t>30</w:t>
            </w:r>
          </w:hyperlink>
        </w:p>
        <w:p>
          <w:pPr>
            <w:pStyle w:val="Contents3"/>
            <w:tabs>
              <w:tab w:val="clear" w:pos="8459"/>
              <w:tab w:val="right" w:pos="9026" w:leader="dot"/>
            </w:tabs>
            <w:rPr/>
          </w:pPr>
          <w:hyperlink w:anchor="__RefHeading___Toc3032604_653776707">
            <w:r>
              <w:rPr>
                <w:webHidden/>
                <w:rStyle w:val="IndexLink"/>
                <w:rtl w:val="true"/>
              </w:rPr>
              <w:t>لایه آوایی</w:t>
            </w:r>
            <w:r>
              <w:rPr>
                <w:rStyle w:val="IndexLink"/>
                <w:rtl w:val="true"/>
              </w:rPr>
              <w:tab/>
            </w:r>
            <w:r>
              <w:rPr>
                <w:rStyle w:val="IndexLink"/>
              </w:rPr>
              <w:t>31</w:t>
            </w:r>
          </w:hyperlink>
        </w:p>
        <w:p>
          <w:pPr>
            <w:pStyle w:val="Contents3"/>
            <w:tabs>
              <w:tab w:val="clear" w:pos="8459"/>
              <w:tab w:val="right" w:pos="9026" w:leader="dot"/>
            </w:tabs>
            <w:rPr/>
          </w:pPr>
          <w:hyperlink w:anchor="__RefHeading___Toc3032606_653776707">
            <w:r>
              <w:rPr>
                <w:webHidden/>
                <w:rStyle w:val="IndexLink"/>
                <w:rtl w:val="true"/>
              </w:rPr>
              <w:t>تکرار</w:t>
            </w:r>
            <w:r>
              <w:rPr>
                <w:rStyle w:val="IndexLink"/>
                <w:rtl w:val="true"/>
              </w:rPr>
              <w:tab/>
            </w:r>
            <w:r>
              <w:rPr>
                <w:rStyle w:val="IndexLink"/>
              </w:rPr>
              <w:t>31</w:t>
            </w:r>
          </w:hyperlink>
        </w:p>
        <w:p>
          <w:pPr>
            <w:pStyle w:val="Contents3"/>
            <w:tabs>
              <w:tab w:val="clear" w:pos="8459"/>
              <w:tab w:val="right" w:pos="9026" w:leader="dot"/>
            </w:tabs>
            <w:rPr/>
          </w:pPr>
          <w:hyperlink w:anchor="__RefHeading___Toc3032608_653776707">
            <w:r>
              <w:rPr>
                <w:webHidden/>
                <w:rStyle w:val="IndexLink"/>
                <w:rtl w:val="true"/>
              </w:rPr>
              <w:t>لایه واژگانی</w:t>
            </w:r>
            <w:r>
              <w:rPr>
                <w:rStyle w:val="IndexLink"/>
                <w:rtl w:val="true"/>
              </w:rPr>
              <w:tab/>
            </w:r>
            <w:r>
              <w:rPr>
                <w:rStyle w:val="IndexLink"/>
              </w:rPr>
              <w:t>34</w:t>
            </w:r>
          </w:hyperlink>
        </w:p>
        <w:p>
          <w:pPr>
            <w:pStyle w:val="Contents3"/>
            <w:tabs>
              <w:tab w:val="clear" w:pos="8459"/>
              <w:tab w:val="right" w:pos="9026" w:leader="dot"/>
            </w:tabs>
            <w:rPr/>
          </w:pPr>
          <w:hyperlink w:anchor="__RefHeading___Toc3032610_653776707">
            <w:r>
              <w:rPr>
                <w:webHidden/>
                <w:rStyle w:val="IndexLink"/>
                <w:rtl w:val="true"/>
              </w:rPr>
              <w:t>عینی و ذهنی</w:t>
            </w:r>
            <w:r>
              <w:rPr>
                <w:rStyle w:val="IndexLink"/>
                <w:rtl w:val="true"/>
              </w:rPr>
              <w:tab/>
            </w:r>
            <w:r>
              <w:rPr>
                <w:rStyle w:val="IndexLink"/>
              </w:rPr>
              <w:t>35</w:t>
            </w:r>
          </w:hyperlink>
        </w:p>
        <w:p>
          <w:pPr>
            <w:pStyle w:val="Contents3"/>
            <w:tabs>
              <w:tab w:val="clear" w:pos="8459"/>
              <w:tab w:val="right" w:pos="9026" w:leader="dot"/>
            </w:tabs>
            <w:rPr/>
          </w:pPr>
          <w:hyperlink w:anchor="__RefHeading___Toc3032612_653776707">
            <w:r>
              <w:rPr>
                <w:webHidden/>
                <w:rStyle w:val="IndexLink"/>
                <w:rtl w:val="true"/>
              </w:rPr>
              <w:t>عام و خاص بودن واژه ها</w:t>
            </w:r>
            <w:r>
              <w:rPr>
                <w:rStyle w:val="IndexLink"/>
                <w:rtl w:val="true"/>
              </w:rPr>
              <w:tab/>
            </w:r>
            <w:r>
              <w:rPr>
                <w:rStyle w:val="IndexLink"/>
              </w:rPr>
              <w:t>36</w:t>
            </w:r>
          </w:hyperlink>
        </w:p>
        <w:p>
          <w:pPr>
            <w:pStyle w:val="Contents3"/>
            <w:tabs>
              <w:tab w:val="clear" w:pos="8459"/>
              <w:tab w:val="right" w:pos="9026" w:leader="dot"/>
            </w:tabs>
            <w:rPr/>
          </w:pPr>
          <w:hyperlink w:anchor="__RefHeading___Toc3032614_653776707">
            <w:r>
              <w:rPr>
                <w:webHidden/>
                <w:rStyle w:val="IndexLink"/>
                <w:rtl w:val="true"/>
              </w:rPr>
              <w:t>واژگان نشان دار</w:t>
            </w:r>
            <w:r>
              <w:rPr>
                <w:rStyle w:val="IndexLink"/>
                <w:rtl w:val="true"/>
              </w:rPr>
              <w:tab/>
            </w:r>
            <w:r>
              <w:rPr>
                <w:rStyle w:val="IndexLink"/>
              </w:rPr>
              <w:t>36</w:t>
            </w:r>
          </w:hyperlink>
        </w:p>
        <w:p>
          <w:pPr>
            <w:pStyle w:val="Contents3"/>
            <w:tabs>
              <w:tab w:val="clear" w:pos="8459"/>
              <w:tab w:val="right" w:pos="9026" w:leader="dot"/>
            </w:tabs>
            <w:rPr/>
          </w:pPr>
          <w:hyperlink w:anchor="__RefHeading___Toc3032616_653776707">
            <w:r>
              <w:rPr>
                <w:webHidden/>
                <w:rStyle w:val="IndexLink"/>
                <w:rtl w:val="true"/>
              </w:rPr>
              <w:t>لایه نحوی</w:t>
            </w:r>
            <w:r>
              <w:rPr>
                <w:rStyle w:val="IndexLink"/>
                <w:rtl w:val="true"/>
              </w:rPr>
              <w:tab/>
            </w:r>
            <w:r>
              <w:rPr>
                <w:rStyle w:val="IndexLink"/>
              </w:rPr>
              <w:t>38</w:t>
            </w:r>
          </w:hyperlink>
        </w:p>
        <w:p>
          <w:pPr>
            <w:pStyle w:val="Contents3"/>
            <w:tabs>
              <w:tab w:val="clear" w:pos="8459"/>
              <w:tab w:val="right" w:pos="9026" w:leader="dot"/>
            </w:tabs>
            <w:rPr/>
          </w:pPr>
          <w:hyperlink w:anchor="__RefHeading___Toc3032618_653776707">
            <w:r>
              <w:rPr>
                <w:webHidden/>
                <w:rStyle w:val="IndexLink"/>
                <w:rtl w:val="true"/>
              </w:rPr>
              <w:t>ساختمان جمله ها</w:t>
            </w:r>
            <w:r>
              <w:rPr>
                <w:rStyle w:val="IndexLink"/>
                <w:rtl w:val="true"/>
              </w:rPr>
              <w:tab/>
            </w:r>
            <w:r>
              <w:rPr>
                <w:rStyle w:val="IndexLink"/>
              </w:rPr>
              <w:t>38</w:t>
            </w:r>
          </w:hyperlink>
        </w:p>
        <w:p>
          <w:pPr>
            <w:pStyle w:val="Contents3"/>
            <w:tabs>
              <w:tab w:val="clear" w:pos="8459"/>
              <w:tab w:val="right" w:pos="9026" w:leader="dot"/>
            </w:tabs>
            <w:rPr/>
          </w:pPr>
          <w:hyperlink w:anchor="__RefHeading___Toc3032620_653776707">
            <w:r>
              <w:rPr>
                <w:webHidden/>
                <w:rStyle w:val="IndexLink"/>
                <w:rtl w:val="true"/>
              </w:rPr>
              <w:t xml:space="preserve">پیوستار بلاغی جمله ها </w:t>
            </w:r>
            <w:r>
              <w:rPr>
                <w:rStyle w:val="IndexLink"/>
                <w:rtl w:val="true"/>
              </w:rPr>
              <w:t>(</w:t>
            </w:r>
            <w:r>
              <w:rPr>
                <w:rStyle w:val="IndexLink"/>
                <w:rtl w:val="true"/>
              </w:rPr>
              <w:t>انسجام نحوی</w:t>
            </w:r>
            <w:r>
              <w:rPr>
                <w:rStyle w:val="IndexLink"/>
                <w:rtl w:val="true"/>
              </w:rPr>
              <w:t>)</w:t>
              <w:tab/>
            </w:r>
            <w:r>
              <w:rPr>
                <w:rStyle w:val="IndexLink"/>
              </w:rPr>
              <w:t>39</w:t>
            </w:r>
          </w:hyperlink>
        </w:p>
        <w:p>
          <w:pPr>
            <w:pStyle w:val="Contents3"/>
            <w:tabs>
              <w:tab w:val="clear" w:pos="8459"/>
              <w:tab w:val="right" w:pos="9026" w:leader="dot"/>
            </w:tabs>
            <w:rPr/>
          </w:pPr>
          <w:hyperlink w:anchor="__RefHeading___Toc3032622_653776707">
            <w:r>
              <w:rPr>
                <w:webHidden/>
                <w:rStyle w:val="IndexLink"/>
                <w:rtl w:val="true"/>
              </w:rPr>
              <w:t>وجهیت در فعل جمله</w:t>
            </w:r>
            <w:r>
              <w:rPr>
                <w:rStyle w:val="IndexLink"/>
                <w:rtl w:val="true"/>
              </w:rPr>
              <w:tab/>
            </w:r>
            <w:r>
              <w:rPr>
                <w:rStyle w:val="IndexLink"/>
              </w:rPr>
              <w:t>40</w:t>
            </w:r>
          </w:hyperlink>
        </w:p>
        <w:p>
          <w:pPr>
            <w:pStyle w:val="Contents3"/>
            <w:tabs>
              <w:tab w:val="clear" w:pos="8459"/>
              <w:tab w:val="right" w:pos="9026" w:leader="dot"/>
            </w:tabs>
            <w:rPr/>
          </w:pPr>
          <w:hyperlink w:anchor="__RefHeading___Toc3032624_653776707">
            <w:r>
              <w:rPr>
                <w:webHidden/>
                <w:rStyle w:val="IndexLink"/>
                <w:rtl w:val="true"/>
              </w:rPr>
              <w:t>لایه بلاغی</w:t>
            </w:r>
            <w:r>
              <w:rPr>
                <w:rStyle w:val="IndexLink"/>
                <w:rtl w:val="true"/>
              </w:rPr>
              <w:tab/>
            </w:r>
            <w:r>
              <w:rPr>
                <w:rStyle w:val="IndexLink"/>
              </w:rPr>
              <w:t>40</w:t>
            </w:r>
          </w:hyperlink>
        </w:p>
        <w:p>
          <w:pPr>
            <w:pStyle w:val="Contents4"/>
            <w:tabs>
              <w:tab w:val="clear" w:pos="8176"/>
              <w:tab w:val="right" w:pos="9026" w:leader="dot"/>
            </w:tabs>
            <w:rPr/>
          </w:pPr>
          <w:hyperlink w:anchor="__RefHeading___Toc3032626_653776707">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3032628_653776707">
            <w:r>
              <w:rPr>
                <w:webHidden/>
                <w:rStyle w:val="IndexLink"/>
                <w:rtl w:val="true"/>
              </w:rPr>
              <w:t>الف</w:t>
            </w:r>
            <w:r>
              <w:rPr>
                <w:rStyle w:val="IndexLink"/>
                <w:rtl w:val="true"/>
              </w:rPr>
              <w:t xml:space="preserve">) </w:t>
            </w:r>
            <w:r>
              <w:rPr>
                <w:rStyle w:val="IndexLink"/>
                <w:rtl w:val="true"/>
              </w:rPr>
              <w:t>تشبیه</w:t>
            </w:r>
            <w:r>
              <w:rPr>
                <w:rStyle w:val="IndexLink"/>
                <w:rtl w:val="true"/>
              </w:rPr>
              <w:tab/>
            </w:r>
            <w:r>
              <w:rPr>
                <w:rStyle w:val="IndexLink"/>
              </w:rPr>
              <w:t>41</w:t>
            </w:r>
          </w:hyperlink>
        </w:p>
        <w:p>
          <w:pPr>
            <w:pStyle w:val="Contents4"/>
            <w:tabs>
              <w:tab w:val="clear" w:pos="8176"/>
              <w:tab w:val="right" w:pos="9026" w:leader="dot"/>
            </w:tabs>
            <w:rPr/>
          </w:pPr>
          <w:hyperlink w:anchor="__RefHeading___Toc3032630_653776707">
            <w:r>
              <w:rPr>
                <w:webHidden/>
                <w:rStyle w:val="IndexLink"/>
                <w:rtl w:val="true"/>
              </w:rPr>
              <w:t>ب</w:t>
            </w:r>
            <w:r>
              <w:rPr>
                <w:rStyle w:val="IndexLink"/>
                <w:rtl w:val="true"/>
              </w:rPr>
              <w:t xml:space="preserve">) </w:t>
            </w:r>
            <w:r>
              <w:rPr>
                <w:rStyle w:val="IndexLink"/>
                <w:rtl w:val="true"/>
              </w:rPr>
              <w:t>استعاره</w:t>
            </w:r>
            <w:r>
              <w:rPr>
                <w:rStyle w:val="IndexLink"/>
                <w:rtl w:val="true"/>
              </w:rPr>
              <w:tab/>
            </w:r>
            <w:r>
              <w:rPr>
                <w:rStyle w:val="IndexLink"/>
              </w:rPr>
              <w:t>42</w:t>
            </w:r>
          </w:hyperlink>
        </w:p>
        <w:p>
          <w:pPr>
            <w:pStyle w:val="Contents4"/>
            <w:tabs>
              <w:tab w:val="clear" w:pos="8176"/>
              <w:tab w:val="right" w:pos="9026" w:leader="dot"/>
            </w:tabs>
            <w:rPr/>
          </w:pPr>
          <w:hyperlink w:anchor="__RefHeading___Toc3032632_653776707">
            <w:r>
              <w:rPr>
                <w:webHidden/>
                <w:rStyle w:val="IndexLink"/>
                <w:rtl w:val="true"/>
              </w:rPr>
              <w:t>ج</w:t>
            </w:r>
            <w:r>
              <w:rPr>
                <w:rStyle w:val="IndexLink"/>
                <w:rtl w:val="true"/>
              </w:rPr>
              <w:t xml:space="preserve">) </w:t>
            </w:r>
            <w:r>
              <w:rPr>
                <w:rStyle w:val="IndexLink"/>
                <w:rtl w:val="true"/>
              </w:rPr>
              <w:t>شخصیت بخشی</w:t>
            </w:r>
            <w:r>
              <w:rPr>
                <w:rStyle w:val="IndexLink"/>
                <w:rtl w:val="true"/>
              </w:rPr>
              <w:tab/>
            </w:r>
            <w:r>
              <w:rPr>
                <w:rStyle w:val="IndexLink"/>
              </w:rPr>
              <w:t>43</w:t>
            </w:r>
          </w:hyperlink>
        </w:p>
        <w:p>
          <w:pPr>
            <w:pStyle w:val="Contents3"/>
            <w:tabs>
              <w:tab w:val="clear" w:pos="8459"/>
              <w:tab w:val="right" w:pos="9026" w:leader="dot"/>
            </w:tabs>
            <w:rPr/>
          </w:pPr>
          <w:hyperlink w:anchor="__RefHeading___Toc3032634_653776707">
            <w:r>
              <w:rPr>
                <w:webHidden/>
                <w:rStyle w:val="IndexLink"/>
                <w:rtl w:val="true"/>
              </w:rPr>
              <w:t>ایدئولوژی</w:t>
            </w:r>
            <w:r>
              <w:rPr>
                <w:rStyle w:val="IndexLink"/>
                <w:rtl w:val="true"/>
              </w:rPr>
              <w:tab/>
            </w:r>
            <w:r>
              <w:rPr>
                <w:rStyle w:val="IndexLink"/>
              </w:rPr>
              <w:t>44</w:t>
            </w:r>
          </w:hyperlink>
        </w:p>
        <w:p>
          <w:pPr>
            <w:pStyle w:val="Contents3"/>
            <w:tabs>
              <w:tab w:val="clear" w:pos="8459"/>
              <w:tab w:val="right" w:pos="9026" w:leader="dot"/>
            </w:tabs>
            <w:rPr/>
          </w:pPr>
          <w:hyperlink w:anchor="__RefHeading___Toc3032636_653776707">
            <w:r>
              <w:rPr>
                <w:webHidden/>
                <w:rStyle w:val="IndexLink"/>
                <w:rtl w:val="true"/>
              </w:rPr>
              <w:t>نتیجه</w:t>
            </w:r>
            <w:r>
              <w:rPr>
                <w:rStyle w:val="IndexLink"/>
                <w:rtl w:val="true"/>
              </w:rPr>
              <w:tab/>
            </w:r>
            <w:r>
              <w:rPr>
                <w:rStyle w:val="IndexLink"/>
              </w:rPr>
              <w:t>46</w:t>
            </w:r>
          </w:hyperlink>
        </w:p>
        <w:p>
          <w:pPr>
            <w:pStyle w:val="Contents3"/>
            <w:tabs>
              <w:tab w:val="clear" w:pos="8459"/>
              <w:tab w:val="right" w:pos="9026" w:leader="dot"/>
            </w:tabs>
            <w:rPr/>
          </w:pPr>
          <w:hyperlink w:anchor="__RefHeading___Toc3032638_653776707">
            <w:r>
              <w:rPr>
                <w:webHidden/>
                <w:rStyle w:val="IndexLink"/>
                <w:rtl w:val="true"/>
              </w:rPr>
              <w:t>منابع</w:t>
            </w:r>
            <w:r>
              <w:rPr>
                <w:rStyle w:val="IndexLink"/>
                <w:rtl w:val="true"/>
              </w:rPr>
              <w:tab/>
            </w:r>
            <w:r>
              <w:rPr>
                <w:rStyle w:val="IndexLink"/>
              </w:rPr>
              <w:t>47</w:t>
            </w:r>
          </w:hyperlink>
        </w:p>
        <w:p>
          <w:pPr>
            <w:pStyle w:val="Contents2"/>
            <w:tabs>
              <w:tab w:val="clear" w:pos="8743"/>
              <w:tab w:val="right" w:pos="9026" w:leader="dot"/>
            </w:tabs>
            <w:rPr/>
          </w:pPr>
          <w:hyperlink w:anchor="__RefHeading___Toc3032640_653776707">
            <w:r>
              <w:rPr>
                <w:webHidden/>
                <w:rStyle w:val="IndexLink"/>
                <w:rtl w:val="true"/>
              </w:rPr>
              <w:t>جون، غلام با بصیرت و خوش بوی کربلا</w:t>
            </w:r>
            <w:r>
              <w:rPr>
                <w:rStyle w:val="IndexLink"/>
                <w:rtl w:val="true"/>
              </w:rPr>
              <w:tab/>
            </w:r>
            <w:r>
              <w:rPr>
                <w:rStyle w:val="IndexLink"/>
              </w:rPr>
              <w:t>48</w:t>
            </w:r>
          </w:hyperlink>
        </w:p>
        <w:p>
          <w:pPr>
            <w:pStyle w:val="Contents3"/>
            <w:tabs>
              <w:tab w:val="clear" w:pos="8459"/>
              <w:tab w:val="right" w:pos="9026" w:leader="dot"/>
            </w:tabs>
            <w:rPr/>
          </w:pPr>
          <w:hyperlink w:anchor="__RefHeading___Toc3032642_653776707">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032644_653776707">
            <w:r>
              <w:rPr>
                <w:webHidden/>
                <w:rStyle w:val="IndexLink"/>
                <w:rtl w:val="true"/>
              </w:rPr>
              <w:t>مقدمه</w:t>
            </w:r>
            <w:r>
              <w:rPr>
                <w:rStyle w:val="IndexLink"/>
                <w:rtl w:val="true"/>
              </w:rPr>
              <w:tab/>
            </w:r>
            <w:r>
              <w:rPr>
                <w:rStyle w:val="IndexLink"/>
              </w:rPr>
              <w:t>48</w:t>
            </w:r>
          </w:hyperlink>
        </w:p>
        <w:p>
          <w:pPr>
            <w:pStyle w:val="Contents3"/>
            <w:tabs>
              <w:tab w:val="clear" w:pos="8459"/>
              <w:tab w:val="right" w:pos="9026" w:leader="dot"/>
            </w:tabs>
            <w:rPr/>
          </w:pPr>
          <w:hyperlink w:anchor="__RefHeading___Toc3032646_653776707">
            <w:r>
              <w:rPr>
                <w:webHidden/>
                <w:rStyle w:val="IndexLink"/>
                <w:rtl w:val="true"/>
              </w:rPr>
              <w:t>مفهوم شناسی</w:t>
            </w:r>
            <w:r>
              <w:rPr>
                <w:rStyle w:val="IndexLink"/>
                <w:rtl w:val="true"/>
              </w:rPr>
              <w:tab/>
            </w:r>
            <w:r>
              <w:rPr>
                <w:rStyle w:val="IndexLink"/>
              </w:rPr>
              <w:t>49</w:t>
            </w:r>
          </w:hyperlink>
        </w:p>
        <w:p>
          <w:pPr>
            <w:pStyle w:val="Contents3"/>
            <w:tabs>
              <w:tab w:val="clear" w:pos="8459"/>
              <w:tab w:val="right" w:pos="9026" w:leader="dot"/>
            </w:tabs>
            <w:rPr/>
          </w:pPr>
          <w:hyperlink w:anchor="__RefHeading___Toc3032648_653776707">
            <w:r>
              <w:rPr>
                <w:webHidden/>
                <w:rStyle w:val="IndexLink"/>
                <w:rtl w:val="true"/>
              </w:rPr>
              <w:t>تبارشناسی</w:t>
            </w:r>
            <w:r>
              <w:rPr>
                <w:rStyle w:val="IndexLink"/>
                <w:rtl w:val="true"/>
              </w:rPr>
              <w:tab/>
            </w:r>
            <w:r>
              <w:rPr>
                <w:rStyle w:val="IndexLink"/>
              </w:rPr>
              <w:t>50</w:t>
            </w:r>
          </w:hyperlink>
        </w:p>
        <w:p>
          <w:pPr>
            <w:pStyle w:val="Contents3"/>
            <w:tabs>
              <w:tab w:val="clear" w:pos="8459"/>
              <w:tab w:val="right" w:pos="9026" w:leader="dot"/>
            </w:tabs>
            <w:rPr/>
          </w:pPr>
          <w:hyperlink w:anchor="__RefHeading___Toc3032650_653776707">
            <w:r>
              <w:rPr>
                <w:webHidden/>
                <w:rStyle w:val="IndexLink"/>
                <w:rtl w:val="true"/>
              </w:rPr>
              <w:t>آشنایی با ابوذر غفاری</w:t>
            </w:r>
            <w:r>
              <w:rPr>
                <w:rStyle w:val="IndexLink"/>
                <w:rtl w:val="true"/>
              </w:rPr>
              <w:tab/>
            </w:r>
            <w:r>
              <w:rPr>
                <w:rStyle w:val="IndexLink"/>
              </w:rPr>
              <w:t>52</w:t>
            </w:r>
          </w:hyperlink>
        </w:p>
        <w:p>
          <w:pPr>
            <w:pStyle w:val="Contents3"/>
            <w:tabs>
              <w:tab w:val="clear" w:pos="8459"/>
              <w:tab w:val="right" w:pos="9026" w:leader="dot"/>
            </w:tabs>
            <w:rPr/>
          </w:pPr>
          <w:hyperlink w:anchor="__RefHeading___Toc3032652_653776707">
            <w:r>
              <w:rPr>
                <w:webHidden/>
                <w:rStyle w:val="IndexLink"/>
                <w:rtl w:val="true"/>
              </w:rPr>
              <w:t>در خدمت اهل بیت</w:t>
            </w:r>
            <w:r>
              <w:rPr>
                <w:rStyle w:val="IndexLink"/>
                <w:rtl w:val="true"/>
              </w:rPr>
              <w:t>(</w:t>
            </w:r>
            <w:r>
              <w:rPr>
                <w:rStyle w:val="IndexLink"/>
                <w:rtl w:val="true"/>
              </w:rPr>
              <w:t>علیهم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3032654_653776707">
            <w:r>
              <w:rPr>
                <w:webHidden/>
                <w:rStyle w:val="IndexLink"/>
                <w:rtl w:val="true"/>
              </w:rPr>
              <w:t>نقش جون در کربلا</w:t>
            </w:r>
            <w:r>
              <w:rPr>
                <w:rStyle w:val="IndexLink"/>
                <w:rtl w:val="true"/>
              </w:rPr>
              <w:tab/>
            </w:r>
            <w:r>
              <w:rPr>
                <w:rStyle w:val="IndexLink"/>
              </w:rPr>
              <w:t>54</w:t>
            </w:r>
          </w:hyperlink>
        </w:p>
        <w:p>
          <w:pPr>
            <w:pStyle w:val="Contents3"/>
            <w:tabs>
              <w:tab w:val="clear" w:pos="8459"/>
              <w:tab w:val="right" w:pos="9026" w:leader="dot"/>
            </w:tabs>
            <w:rPr/>
          </w:pPr>
          <w:hyperlink w:anchor="__RefHeading___Toc3032656_653776707">
            <w:r>
              <w:rPr>
                <w:webHidden/>
                <w:rStyle w:val="IndexLink"/>
                <w:rtl w:val="true"/>
              </w:rPr>
              <w:t>اذن میدان</w:t>
            </w:r>
            <w:r>
              <w:rPr>
                <w:rStyle w:val="IndexLink"/>
                <w:rtl w:val="true"/>
              </w:rPr>
              <w:tab/>
            </w:r>
            <w:r>
              <w:rPr>
                <w:rStyle w:val="IndexLink"/>
              </w:rPr>
              <w:t>55</w:t>
            </w:r>
          </w:hyperlink>
        </w:p>
        <w:p>
          <w:pPr>
            <w:pStyle w:val="Contents3"/>
            <w:tabs>
              <w:tab w:val="clear" w:pos="8459"/>
              <w:tab w:val="right" w:pos="9026" w:leader="dot"/>
            </w:tabs>
            <w:rPr/>
          </w:pPr>
          <w:hyperlink w:anchor="__RefHeading___Toc3032658_653776707">
            <w:r>
              <w:rPr>
                <w:webHidden/>
                <w:rStyle w:val="IndexLink"/>
                <w:rtl w:val="true"/>
              </w:rPr>
              <w:t>جهاد در راه خدا</w:t>
            </w:r>
            <w:r>
              <w:rPr>
                <w:rStyle w:val="IndexLink"/>
                <w:rtl w:val="true"/>
              </w:rPr>
              <w:tab/>
            </w:r>
            <w:r>
              <w:rPr>
                <w:rStyle w:val="IndexLink"/>
              </w:rPr>
              <w:t>56</w:t>
            </w:r>
          </w:hyperlink>
        </w:p>
        <w:p>
          <w:pPr>
            <w:pStyle w:val="Contents3"/>
            <w:tabs>
              <w:tab w:val="clear" w:pos="8459"/>
              <w:tab w:val="right" w:pos="9026" w:leader="dot"/>
            </w:tabs>
            <w:rPr/>
          </w:pPr>
          <w:hyperlink w:anchor="__RefHeading___Toc3032660_653776707">
            <w:r>
              <w:rPr>
                <w:webHidden/>
                <w:rStyle w:val="IndexLink"/>
                <w:rtl w:val="true"/>
              </w:rPr>
              <w:t>شهادت</w:t>
            </w:r>
            <w:r>
              <w:rPr>
                <w:rStyle w:val="IndexLink"/>
                <w:rtl w:val="true"/>
              </w:rPr>
              <w:tab/>
            </w:r>
            <w:r>
              <w:rPr>
                <w:rStyle w:val="IndexLink"/>
              </w:rPr>
              <w:t>57</w:t>
            </w:r>
          </w:hyperlink>
        </w:p>
        <w:p>
          <w:pPr>
            <w:pStyle w:val="Contents3"/>
            <w:tabs>
              <w:tab w:val="clear" w:pos="8459"/>
              <w:tab w:val="right" w:pos="9026" w:leader="dot"/>
            </w:tabs>
            <w:rPr/>
          </w:pPr>
          <w:hyperlink w:anchor="__RefHeading___Toc3032662_653776707">
            <w:r>
              <w:rPr>
                <w:webHidden/>
                <w:rStyle w:val="IndexLink"/>
                <w:rtl w:val="true"/>
              </w:rPr>
              <w:t xml:space="preserve">معجزه امام </w:t>
            </w:r>
            <w:r>
              <w:rPr>
                <w:rStyle w:val="IndexLink"/>
                <w:rtl w:val="true"/>
              </w:rPr>
              <w:t>(</w:t>
            </w:r>
            <w:r>
              <w:rPr>
                <w:rStyle w:val="IndexLink"/>
                <w:rtl w:val="true"/>
              </w:rPr>
              <w:t>علیه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3032664_653776707">
            <w:r>
              <w:rPr>
                <w:webHidden/>
                <w:rStyle w:val="IndexLink"/>
                <w:rtl w:val="true"/>
              </w:rPr>
              <w:t>نتیجه</w:t>
            </w:r>
            <w:r>
              <w:rPr>
                <w:rStyle w:val="IndexLink"/>
                <w:rtl w:val="true"/>
              </w:rPr>
              <w:tab/>
            </w:r>
            <w:r>
              <w:rPr>
                <w:rStyle w:val="IndexLink"/>
              </w:rPr>
              <w:t>58</w:t>
            </w:r>
          </w:hyperlink>
        </w:p>
        <w:p>
          <w:pPr>
            <w:pStyle w:val="Contents3"/>
            <w:tabs>
              <w:tab w:val="clear" w:pos="8459"/>
              <w:tab w:val="right" w:pos="9026" w:leader="dot"/>
            </w:tabs>
            <w:rPr/>
          </w:pPr>
          <w:hyperlink w:anchor="__RefHeading___Toc3032666_653776707">
            <w:r>
              <w:rPr>
                <w:webHidden/>
                <w:rStyle w:val="IndexLink"/>
                <w:rtl w:val="true"/>
              </w:rPr>
              <w:t>منابع</w:t>
            </w:r>
            <w:r>
              <w:rPr>
                <w:rStyle w:val="IndexLink"/>
                <w:rtl w:val="true"/>
              </w:rPr>
              <w:tab/>
            </w:r>
            <w:r>
              <w:rPr>
                <w:rStyle w:val="IndexLink"/>
              </w:rPr>
              <w:t>59</w:t>
            </w:r>
          </w:hyperlink>
        </w:p>
        <w:p>
          <w:pPr>
            <w:pStyle w:val="Contents2"/>
            <w:tabs>
              <w:tab w:val="clear" w:pos="8743"/>
              <w:tab w:val="right" w:pos="9026" w:leader="dot"/>
            </w:tabs>
            <w:rPr/>
          </w:pPr>
          <w:hyperlink w:anchor="__RefHeading___Toc3032668_653776707">
            <w:r>
              <w:rPr>
                <w:webHidden/>
                <w:rStyle w:val="IndexLink"/>
                <w:rtl w:val="true"/>
              </w:rPr>
              <w:t>تبلور حقیقت حسینی در شعر جواهری</w:t>
            </w:r>
            <w:r>
              <w:rPr>
                <w:rStyle w:val="IndexLink"/>
                <w:rtl w:val="true"/>
              </w:rPr>
              <w:tab/>
            </w:r>
            <w:r>
              <w:rPr>
                <w:rStyle w:val="IndexLink"/>
              </w:rPr>
              <w:t>64</w:t>
            </w:r>
          </w:hyperlink>
        </w:p>
        <w:p>
          <w:pPr>
            <w:pStyle w:val="Contents3"/>
            <w:tabs>
              <w:tab w:val="clear" w:pos="8459"/>
              <w:tab w:val="right" w:pos="9026" w:leader="dot"/>
            </w:tabs>
            <w:rPr/>
          </w:pPr>
          <w:hyperlink w:anchor="__RefHeading___Toc3032670_653776707">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032672_653776707">
            <w:r>
              <w:rPr>
                <w:webHidden/>
                <w:rStyle w:val="IndexLink"/>
                <w:rtl w:val="true"/>
              </w:rPr>
              <w:t>مقدمه</w:t>
            </w:r>
            <w:r>
              <w:rPr>
                <w:rStyle w:val="IndexLink"/>
                <w:rtl w:val="true"/>
              </w:rPr>
              <w:tab/>
            </w:r>
            <w:r>
              <w:rPr>
                <w:rStyle w:val="IndexLink"/>
              </w:rPr>
              <w:t>65</w:t>
            </w:r>
          </w:hyperlink>
        </w:p>
        <w:p>
          <w:pPr>
            <w:pStyle w:val="Contents3"/>
            <w:tabs>
              <w:tab w:val="clear" w:pos="8459"/>
              <w:tab w:val="right" w:pos="9026" w:leader="dot"/>
            </w:tabs>
            <w:rPr/>
          </w:pPr>
          <w:hyperlink w:anchor="__RefHeading___Toc3032674_653776707">
            <w:r>
              <w:rPr>
                <w:webHidden/>
                <w:rStyle w:val="IndexLink"/>
                <w:rtl w:val="true"/>
              </w:rPr>
              <w:t>پیشینه پژوهش</w:t>
            </w:r>
            <w:r>
              <w:rPr>
                <w:rStyle w:val="IndexLink"/>
                <w:rtl w:val="true"/>
              </w:rPr>
              <w:tab/>
            </w:r>
            <w:r>
              <w:rPr>
                <w:rStyle w:val="IndexLink"/>
              </w:rPr>
              <w:t>65</w:t>
            </w:r>
          </w:hyperlink>
        </w:p>
        <w:p>
          <w:pPr>
            <w:pStyle w:val="Contents3"/>
            <w:tabs>
              <w:tab w:val="clear" w:pos="8459"/>
              <w:tab w:val="right" w:pos="9026" w:leader="dot"/>
            </w:tabs>
            <w:rPr/>
          </w:pPr>
          <w:hyperlink w:anchor="__RefHeading___Toc3032676_653776707">
            <w:r>
              <w:rPr>
                <w:webHidden/>
                <w:rStyle w:val="IndexLink"/>
                <w:rtl w:val="true"/>
              </w:rPr>
              <w:t>زندگینامه جواهری</w:t>
            </w:r>
            <w:r>
              <w:rPr>
                <w:rStyle w:val="IndexLink"/>
                <w:rtl w:val="true"/>
              </w:rPr>
              <w:tab/>
            </w:r>
            <w:r>
              <w:rPr>
                <w:rStyle w:val="IndexLink"/>
              </w:rPr>
              <w:t>66</w:t>
            </w:r>
          </w:hyperlink>
        </w:p>
        <w:p>
          <w:pPr>
            <w:pStyle w:val="Contents3"/>
            <w:tabs>
              <w:tab w:val="clear" w:pos="8459"/>
              <w:tab w:val="right" w:pos="9026" w:leader="dot"/>
            </w:tabs>
            <w:rPr/>
          </w:pPr>
          <w:hyperlink w:anchor="__RefHeading___Toc3032678_653776707">
            <w:r>
              <w:rPr>
                <w:webHidden/>
                <w:rStyle w:val="IndexLink"/>
                <w:rtl w:val="true"/>
              </w:rPr>
              <w:t>هنر شعری جواهری</w:t>
            </w:r>
            <w:r>
              <w:rPr>
                <w:rStyle w:val="IndexLink"/>
                <w:rtl w:val="true"/>
              </w:rPr>
              <w:tab/>
            </w:r>
            <w:r>
              <w:rPr>
                <w:rStyle w:val="IndexLink"/>
              </w:rPr>
              <w:t>69</w:t>
            </w:r>
          </w:hyperlink>
        </w:p>
        <w:p>
          <w:pPr>
            <w:pStyle w:val="Contents3"/>
            <w:tabs>
              <w:tab w:val="clear" w:pos="8459"/>
              <w:tab w:val="right" w:pos="9026" w:leader="dot"/>
            </w:tabs>
            <w:rPr/>
          </w:pPr>
          <w:hyperlink w:anchor="__RefHeading___Toc3032680_653776707">
            <w:r>
              <w:rPr>
                <w:webHidden/>
                <w:rStyle w:val="IndexLink"/>
                <w:rtl w:val="true"/>
              </w:rPr>
              <w:t>اغراض شعری</w:t>
            </w:r>
            <w:r>
              <w:rPr>
                <w:rStyle w:val="IndexLink"/>
                <w:rtl w:val="true"/>
              </w:rPr>
              <w:tab/>
            </w:r>
            <w:r>
              <w:rPr>
                <w:rStyle w:val="IndexLink"/>
              </w:rPr>
              <w:t>70</w:t>
            </w:r>
          </w:hyperlink>
        </w:p>
        <w:p>
          <w:pPr>
            <w:pStyle w:val="Contents3"/>
            <w:tabs>
              <w:tab w:val="clear" w:pos="8459"/>
              <w:tab w:val="right" w:pos="9026" w:leader="dot"/>
            </w:tabs>
            <w:rPr/>
          </w:pPr>
          <w:hyperlink w:anchor="__RefHeading___Toc3032682_653776707">
            <w:r>
              <w:rPr>
                <w:webHidden/>
                <w:rStyle w:val="IndexLink"/>
                <w:rtl w:val="true"/>
              </w:rPr>
              <w:t>قصیده عينيه جواهری</w:t>
            </w:r>
            <w:r>
              <w:rPr>
                <w:rStyle w:val="IndexLink"/>
                <w:rtl w:val="true"/>
              </w:rPr>
              <w:tab/>
            </w:r>
            <w:r>
              <w:rPr>
                <w:rStyle w:val="IndexLink"/>
              </w:rPr>
              <w:t>77</w:t>
            </w:r>
          </w:hyperlink>
        </w:p>
        <w:p>
          <w:pPr>
            <w:pStyle w:val="Contents4"/>
            <w:tabs>
              <w:tab w:val="clear" w:pos="8176"/>
              <w:tab w:val="right" w:pos="9026" w:leader="dot"/>
            </w:tabs>
            <w:rPr/>
          </w:pPr>
          <w:hyperlink w:anchor="__RefHeading___Toc3032684_653776707">
            <w:r>
              <w:rPr>
                <w:webHidden/>
                <w:rStyle w:val="IndexLink"/>
                <w:rtl w:val="true"/>
              </w:rPr>
              <w:t>الف</w:t>
            </w:r>
            <w:r>
              <w:rPr>
                <w:rStyle w:val="IndexLink"/>
                <w:rtl w:val="true"/>
              </w:rPr>
              <w:t xml:space="preserve">) </w:t>
            </w:r>
            <w:r>
              <w:rPr>
                <w:rStyle w:val="IndexLink"/>
                <w:rtl w:val="true"/>
              </w:rPr>
              <w:t>معرفی</w:t>
            </w:r>
            <w:r>
              <w:rPr>
                <w:rStyle w:val="IndexLink"/>
                <w:rtl w:val="true"/>
              </w:rPr>
              <w:tab/>
            </w:r>
            <w:r>
              <w:rPr>
                <w:rStyle w:val="IndexLink"/>
              </w:rPr>
              <w:t>77</w:t>
            </w:r>
          </w:hyperlink>
        </w:p>
        <w:p>
          <w:pPr>
            <w:pStyle w:val="Contents4"/>
            <w:tabs>
              <w:tab w:val="clear" w:pos="8176"/>
              <w:tab w:val="right" w:pos="9026" w:leader="dot"/>
            </w:tabs>
            <w:rPr/>
          </w:pPr>
          <w:hyperlink w:anchor="__RefHeading___Toc3032686_653776707">
            <w:r>
              <w:rPr>
                <w:webHidden/>
                <w:rStyle w:val="IndexLink"/>
                <w:rtl w:val="true"/>
              </w:rPr>
              <w:t>ب</w:t>
            </w:r>
            <w:r>
              <w:rPr>
                <w:rStyle w:val="IndexLink"/>
                <w:rtl w:val="true"/>
              </w:rPr>
              <w:t xml:space="preserve">) </w:t>
            </w:r>
            <w:r>
              <w:rPr>
                <w:rStyle w:val="IndexLink"/>
                <w:rtl w:val="true"/>
              </w:rPr>
              <w:t>شک تا یقین</w:t>
            </w:r>
            <w:r>
              <w:rPr>
                <w:rStyle w:val="IndexLink"/>
                <w:rtl w:val="true"/>
              </w:rPr>
              <w:tab/>
            </w:r>
            <w:r>
              <w:rPr>
                <w:rStyle w:val="IndexLink"/>
              </w:rPr>
              <w:t>82</w:t>
            </w:r>
          </w:hyperlink>
        </w:p>
        <w:p>
          <w:pPr>
            <w:pStyle w:val="Contents3"/>
            <w:tabs>
              <w:tab w:val="clear" w:pos="8459"/>
              <w:tab w:val="right" w:pos="9026" w:leader="dot"/>
            </w:tabs>
            <w:rPr/>
          </w:pPr>
          <w:hyperlink w:anchor="__RefHeading___Toc3032688_653776707">
            <w:r>
              <w:rPr>
                <w:webHidden/>
                <w:rStyle w:val="IndexLink"/>
                <w:rtl w:val="true"/>
              </w:rPr>
              <w:t>نتیجه</w:t>
            </w:r>
            <w:r>
              <w:rPr>
                <w:rStyle w:val="IndexLink"/>
                <w:rtl w:val="true"/>
              </w:rPr>
              <w:tab/>
            </w:r>
            <w:r>
              <w:rPr>
                <w:rStyle w:val="IndexLink"/>
              </w:rPr>
              <w:t>87</w:t>
            </w:r>
          </w:hyperlink>
        </w:p>
        <w:p>
          <w:pPr>
            <w:pStyle w:val="Contents3"/>
            <w:tabs>
              <w:tab w:val="clear" w:pos="8459"/>
              <w:tab w:val="right" w:pos="9026" w:leader="dot"/>
            </w:tabs>
            <w:rPr/>
          </w:pPr>
          <w:hyperlink w:anchor="__RefHeading___Toc3032690_653776707">
            <w:r>
              <w:rPr>
                <w:webHidden/>
                <w:rStyle w:val="IndexLink"/>
                <w:rtl w:val="true"/>
              </w:rPr>
              <w:t>منابع</w:t>
            </w:r>
            <w:r>
              <w:rPr>
                <w:rStyle w:val="IndexLink"/>
                <w:rtl w:val="true"/>
              </w:rPr>
              <w:tab/>
            </w:r>
            <w:r>
              <w:rPr>
                <w:rStyle w:val="IndexLink"/>
              </w:rPr>
              <w:t>88</w:t>
            </w:r>
          </w:hyperlink>
        </w:p>
        <w:p>
          <w:pPr>
            <w:pStyle w:val="Contents2"/>
            <w:tabs>
              <w:tab w:val="clear" w:pos="8743"/>
              <w:tab w:val="right" w:pos="9026" w:leader="dot"/>
            </w:tabs>
            <w:rPr/>
          </w:pPr>
          <w:hyperlink w:anchor="__RefHeading___Toc3032692_653776707">
            <w:r>
              <w:rPr>
                <w:webHidden/>
                <w:rStyle w:val="IndexLink"/>
                <w:rtl w:val="true"/>
              </w:rPr>
              <w:t>به کارگیری تشبیهات غیرمتعارف توسط برخی از محبان اهل بیت</w:t>
            </w:r>
            <w:r>
              <w:rPr>
                <w:rStyle w:val="IndexLink"/>
                <w:rtl w:val="true"/>
              </w:rPr>
              <w:t>(</w:t>
            </w:r>
            <w:r>
              <w:rPr>
                <w:rStyle w:val="IndexLink"/>
                <w:rtl w:val="true"/>
              </w:rPr>
              <w:t>علیهم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3032694_653776707">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3032696_653776707">
            <w:r>
              <w:rPr>
                <w:webHidden/>
                <w:rStyle w:val="IndexLink"/>
                <w:rtl w:val="true"/>
              </w:rPr>
              <w:t>مقدمه</w:t>
            </w:r>
            <w:r>
              <w:rPr>
                <w:rStyle w:val="IndexLink"/>
                <w:rtl w:val="true"/>
              </w:rPr>
              <w:tab/>
            </w:r>
            <w:r>
              <w:rPr>
                <w:rStyle w:val="IndexLink"/>
              </w:rPr>
              <w:t>91</w:t>
            </w:r>
          </w:hyperlink>
        </w:p>
        <w:p>
          <w:pPr>
            <w:pStyle w:val="Contents3"/>
            <w:tabs>
              <w:tab w:val="clear" w:pos="8459"/>
              <w:tab w:val="right" w:pos="9026" w:leader="dot"/>
            </w:tabs>
            <w:rPr/>
          </w:pPr>
          <w:hyperlink w:anchor="__RefHeading___Toc3032698_653776707">
            <w:r>
              <w:rPr>
                <w:webHidden/>
                <w:rStyle w:val="IndexLink"/>
              </w:rPr>
              <w:t>1</w:t>
            </w:r>
            <w:r>
              <w:rPr>
                <w:rStyle w:val="IndexLink"/>
                <w:rtl w:val="true"/>
              </w:rPr>
              <w:t xml:space="preserve">. </w:t>
            </w:r>
            <w:r>
              <w:rPr>
                <w:rStyle w:val="IndexLink"/>
                <w:rtl w:val="true"/>
              </w:rPr>
              <w:t>ادله ناصحیح بودن تشبیهات نامتعارف توسط دوستداران اهل بیت</w:t>
            </w:r>
            <w:r>
              <w:rPr>
                <w:rStyle w:val="IndexLink"/>
                <w:rtl w:val="true"/>
              </w:rPr>
              <w:t>(</w:t>
            </w:r>
            <w:r>
              <w:rPr>
                <w:rStyle w:val="IndexLink"/>
                <w:rtl w:val="true"/>
              </w:rPr>
              <w:t>علیهم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3032700_65377670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032702_653776707">
            <w:r>
              <w:rPr>
                <w:webHidden/>
                <w:rStyle w:val="IndexLink"/>
              </w:rPr>
              <w:t>1.1</w:t>
            </w:r>
            <w:r>
              <w:rPr>
                <w:rStyle w:val="IndexLink"/>
                <w:rtl w:val="true"/>
              </w:rPr>
              <w:t xml:space="preserve">. </w:t>
            </w:r>
            <w:r>
              <w:rPr>
                <w:rStyle w:val="IndexLink"/>
                <w:rtl w:val="true"/>
              </w:rPr>
              <w:t>تاریخچه موضوع</w:t>
            </w:r>
            <w:r>
              <w:rPr>
                <w:rStyle w:val="IndexLink"/>
                <w:rtl w:val="true"/>
              </w:rPr>
              <w:tab/>
            </w:r>
            <w:r>
              <w:rPr>
                <w:rStyle w:val="IndexLink"/>
              </w:rPr>
              <w:t>92</w:t>
            </w:r>
          </w:hyperlink>
        </w:p>
        <w:p>
          <w:pPr>
            <w:pStyle w:val="Contents4"/>
            <w:tabs>
              <w:tab w:val="clear" w:pos="8176"/>
              <w:tab w:val="right" w:pos="9026" w:leader="dot"/>
            </w:tabs>
            <w:rPr/>
          </w:pPr>
          <w:hyperlink w:anchor="__RefHeading___Toc3032704_653776707">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خودتحقیری و توهین به خود</w:t>
            </w:r>
            <w:r>
              <w:rPr>
                <w:rStyle w:val="IndexLink"/>
                <w:rtl w:val="true"/>
              </w:rPr>
              <w:tab/>
            </w:r>
            <w:r>
              <w:rPr>
                <w:rStyle w:val="IndexLink"/>
              </w:rPr>
              <w:t>92</w:t>
            </w:r>
          </w:hyperlink>
        </w:p>
        <w:p>
          <w:pPr>
            <w:pStyle w:val="Contents4"/>
            <w:tabs>
              <w:tab w:val="clear" w:pos="8176"/>
              <w:tab w:val="right" w:pos="9026" w:leader="dot"/>
            </w:tabs>
            <w:rPr/>
          </w:pPr>
          <w:hyperlink w:anchor="__RefHeading___Toc3032706_653776707">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منفی بودن معنا و ذهنیت سگ در نصوص شرعی</w:t>
            </w:r>
            <w:r>
              <w:rPr>
                <w:rStyle w:val="IndexLink"/>
                <w:rtl w:val="true"/>
              </w:rPr>
              <w:tab/>
            </w:r>
            <w:r>
              <w:rPr>
                <w:rStyle w:val="IndexLink"/>
              </w:rPr>
              <w:t>94</w:t>
            </w:r>
          </w:hyperlink>
        </w:p>
        <w:p>
          <w:pPr>
            <w:pStyle w:val="Contents4"/>
            <w:tabs>
              <w:tab w:val="clear" w:pos="8176"/>
              <w:tab w:val="right" w:pos="9026" w:leader="dot"/>
            </w:tabs>
            <w:rPr/>
          </w:pPr>
          <w:hyperlink w:anchor="__RefHeading___Toc3032708_653776707">
            <w:r>
              <w:rPr>
                <w:webHidden/>
                <w:rStyle w:val="IndexLink"/>
              </w:rPr>
              <w:t>1.4</w:t>
            </w:r>
            <w:r>
              <w:rPr>
                <w:rStyle w:val="IndexLink"/>
                <w:rtl w:val="true"/>
              </w:rPr>
              <w:t xml:space="preserve">. </w:t>
            </w:r>
            <w:r>
              <w:rPr>
                <w:rStyle w:val="IndexLink"/>
                <w:rtl w:val="true"/>
              </w:rPr>
              <w:t>مخالفت بزرگان دین با این عمل</w:t>
            </w:r>
            <w:r>
              <w:rPr>
                <w:rStyle w:val="IndexLink"/>
                <w:rtl w:val="true"/>
              </w:rPr>
              <w:tab/>
            </w:r>
            <w:r>
              <w:rPr>
                <w:rStyle w:val="IndexLink"/>
              </w:rPr>
              <w:t>98</w:t>
            </w:r>
          </w:hyperlink>
        </w:p>
        <w:p>
          <w:pPr>
            <w:pStyle w:val="Contents4"/>
            <w:tabs>
              <w:tab w:val="clear" w:pos="8176"/>
              <w:tab w:val="right" w:pos="9026" w:leader="dot"/>
            </w:tabs>
            <w:rPr/>
          </w:pPr>
          <w:hyperlink w:anchor="__RefHeading___Toc3032710_653776707">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بدنام شدن دین و مذهب</w:t>
            </w:r>
            <w:r>
              <w:rPr>
                <w:rStyle w:val="IndexLink"/>
                <w:rtl w:val="true"/>
              </w:rPr>
              <w:tab/>
            </w:r>
            <w:r>
              <w:rPr>
                <w:rStyle w:val="IndexLink"/>
              </w:rPr>
              <w:t>99</w:t>
            </w:r>
          </w:hyperlink>
        </w:p>
        <w:p>
          <w:pPr>
            <w:pStyle w:val="Contents4"/>
            <w:tabs>
              <w:tab w:val="clear" w:pos="8176"/>
              <w:tab w:val="right" w:pos="9026" w:leader="dot"/>
            </w:tabs>
            <w:rPr/>
          </w:pPr>
          <w:hyperlink w:anchor="__RefHeading___Toc3032712_653776707">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ارزشمند بودن ذاتی انسان</w:t>
            </w:r>
            <w:r>
              <w:rPr>
                <w:rStyle w:val="IndexLink"/>
                <w:rtl w:val="true"/>
              </w:rPr>
              <w:tab/>
            </w:r>
            <w:r>
              <w:rPr>
                <w:rStyle w:val="IndexLink"/>
              </w:rPr>
              <w:t>100</w:t>
            </w:r>
          </w:hyperlink>
        </w:p>
        <w:p>
          <w:pPr>
            <w:pStyle w:val="Contents4"/>
            <w:tabs>
              <w:tab w:val="clear" w:pos="8176"/>
              <w:tab w:val="right" w:pos="9026" w:leader="dot"/>
            </w:tabs>
            <w:rPr/>
          </w:pPr>
          <w:hyperlink w:anchor="__RefHeading___Toc3032714_653776707">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پست بودن جایگاه سگ در ادیان و فرهنگ های غیراسلامی</w:t>
            </w:r>
            <w:r>
              <w:rPr>
                <w:rStyle w:val="IndexLink"/>
                <w:rtl w:val="true"/>
              </w:rPr>
              <w:tab/>
            </w:r>
            <w:r>
              <w:rPr>
                <w:rStyle w:val="IndexLink"/>
              </w:rPr>
              <w:t>101</w:t>
            </w:r>
          </w:hyperlink>
        </w:p>
        <w:p>
          <w:pPr>
            <w:pStyle w:val="Contents3"/>
            <w:tabs>
              <w:tab w:val="clear" w:pos="8459"/>
              <w:tab w:val="right" w:pos="9026" w:leader="dot"/>
            </w:tabs>
            <w:rPr/>
          </w:pPr>
          <w:hyperlink w:anchor="__RefHeading___Toc3032716_653776707">
            <w:r>
              <w:rPr>
                <w:webHidden/>
                <w:rStyle w:val="IndexLink"/>
              </w:rPr>
              <w:t>2</w:t>
            </w:r>
            <w:r>
              <w:rPr>
                <w:rStyle w:val="IndexLink"/>
                <w:rtl w:val="true"/>
              </w:rPr>
              <w:t xml:space="preserve">. </w:t>
            </w:r>
            <w:r>
              <w:rPr>
                <w:rStyle w:val="IndexLink"/>
                <w:rtl w:val="true"/>
              </w:rPr>
              <w:t>دلایل موافقان و بررسی آنها</w:t>
            </w:r>
            <w:r>
              <w:rPr>
                <w:rStyle w:val="IndexLink"/>
                <w:rtl w:val="true"/>
              </w:rPr>
              <w:tab/>
            </w:r>
            <w:r>
              <w:rPr>
                <w:rStyle w:val="IndexLink"/>
              </w:rPr>
              <w:t>102</w:t>
            </w:r>
          </w:hyperlink>
        </w:p>
        <w:p>
          <w:pPr>
            <w:pStyle w:val="Contents4"/>
            <w:tabs>
              <w:tab w:val="clear" w:pos="8176"/>
              <w:tab w:val="right" w:pos="9026" w:leader="dot"/>
            </w:tabs>
            <w:rPr/>
          </w:pPr>
          <w:hyperlink w:anchor="__RefHeading___Toc3032718_65377670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032720_653776707">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استناد به چند روایت</w:t>
            </w:r>
            <w:r>
              <w:rPr>
                <w:rStyle w:val="IndexLink"/>
                <w:rtl w:val="true"/>
              </w:rPr>
              <w:tab/>
            </w:r>
            <w:r>
              <w:rPr>
                <w:rStyle w:val="IndexLink"/>
              </w:rPr>
              <w:t>102</w:t>
            </w:r>
          </w:hyperlink>
        </w:p>
        <w:p>
          <w:pPr>
            <w:pStyle w:val="Contents4"/>
            <w:tabs>
              <w:tab w:val="clear" w:pos="8176"/>
              <w:tab w:val="right" w:pos="9026" w:leader="dot"/>
            </w:tabs>
            <w:rPr/>
          </w:pPr>
          <w:hyperlink w:anchor="__RefHeading___Toc3032722_653776707">
            <w:r>
              <w:rPr>
                <w:webHidden/>
                <w:rStyle w:val="IndexLink"/>
              </w:rPr>
              <w:t>2.2</w:t>
            </w:r>
            <w:r>
              <w:rPr>
                <w:rStyle w:val="IndexLink"/>
                <w:rtl w:val="true"/>
              </w:rPr>
              <w:t xml:space="preserve">. </w:t>
            </w:r>
            <w:r>
              <w:rPr>
                <w:rStyle w:val="IndexLink"/>
                <w:rtl w:val="true"/>
              </w:rPr>
              <w:t>استفاده از نام سگ در اسامی اعراب جاهلی</w:t>
            </w:r>
            <w:r>
              <w:rPr>
                <w:rStyle w:val="IndexLink"/>
                <w:rtl w:val="true"/>
              </w:rPr>
              <w:tab/>
            </w:r>
            <w:r>
              <w:rPr>
                <w:rStyle w:val="IndexLink"/>
              </w:rPr>
              <w:t>105</w:t>
            </w:r>
          </w:hyperlink>
        </w:p>
        <w:p>
          <w:pPr>
            <w:pStyle w:val="Contents4"/>
            <w:tabs>
              <w:tab w:val="clear" w:pos="8176"/>
              <w:tab w:val="right" w:pos="9026" w:leader="dot"/>
            </w:tabs>
            <w:rPr/>
          </w:pPr>
          <w:hyperlink w:anchor="__RefHeading___Toc3032724_653776707">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کاربرد عامیانه از عنوان سگ</w:t>
            </w:r>
            <w:r>
              <w:rPr>
                <w:rStyle w:val="IndexLink"/>
                <w:rtl w:val="true"/>
              </w:rPr>
              <w:tab/>
            </w:r>
            <w:r>
              <w:rPr>
                <w:rStyle w:val="IndexLink"/>
              </w:rPr>
              <w:t>107</w:t>
            </w:r>
          </w:hyperlink>
        </w:p>
        <w:p>
          <w:pPr>
            <w:pStyle w:val="Contents4"/>
            <w:tabs>
              <w:tab w:val="clear" w:pos="8176"/>
              <w:tab w:val="right" w:pos="9026" w:leader="dot"/>
            </w:tabs>
            <w:rPr/>
          </w:pPr>
          <w:hyperlink w:anchor="__RefHeading___Toc3032726_653776707">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استناد به عمل کرد برخی محبان اهل بیت</w:t>
            </w:r>
            <w:r>
              <w:rPr>
                <w:rStyle w:val="IndexLink"/>
                <w:rtl w:val="true"/>
              </w:rPr>
              <w:t>(</w:t>
            </w:r>
            <w:r>
              <w:rPr>
                <w:rStyle w:val="IndexLink"/>
                <w:rtl w:val="true"/>
              </w:rPr>
              <w:t>علیهم السلام</w:t>
            </w:r>
            <w:r>
              <w:rPr>
                <w:rStyle w:val="IndexLink"/>
                <w:rtl w:val="true"/>
              </w:rPr>
              <w:t>)</w:t>
              <w:tab/>
            </w:r>
            <w:r>
              <w:rPr>
                <w:rStyle w:val="IndexLink"/>
              </w:rPr>
              <w:t>109</w:t>
            </w:r>
          </w:hyperlink>
        </w:p>
        <w:p>
          <w:pPr>
            <w:pStyle w:val="Contents4"/>
            <w:tabs>
              <w:tab w:val="clear" w:pos="8176"/>
              <w:tab w:val="right" w:pos="9026" w:leader="dot"/>
            </w:tabs>
            <w:rPr/>
          </w:pPr>
          <w:hyperlink w:anchor="__RefHeading___Toc3032728_653776707">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استفاده ادبی و ذوقی از عنوان سگ</w:t>
            </w:r>
            <w:r>
              <w:rPr>
                <w:rStyle w:val="IndexLink"/>
                <w:rtl w:val="true"/>
              </w:rPr>
              <w:tab/>
            </w:r>
            <w:r>
              <w:rPr>
                <w:rStyle w:val="IndexLink"/>
              </w:rPr>
              <w:t>111</w:t>
            </w:r>
          </w:hyperlink>
        </w:p>
        <w:p>
          <w:pPr>
            <w:pStyle w:val="Contents4"/>
            <w:tabs>
              <w:tab w:val="clear" w:pos="8176"/>
              <w:tab w:val="right" w:pos="9026" w:leader="dot"/>
            </w:tabs>
            <w:rPr/>
          </w:pPr>
          <w:hyperlink w:anchor="__RefHeading___Toc3032730_653776707">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متفاوت بودن وجه شبه</w:t>
            </w:r>
            <w:r>
              <w:rPr>
                <w:rStyle w:val="IndexLink"/>
                <w:rtl w:val="true"/>
              </w:rPr>
              <w:tab/>
            </w:r>
            <w:r>
              <w:rPr>
                <w:rStyle w:val="IndexLink"/>
              </w:rPr>
              <w:t>112</w:t>
            </w:r>
          </w:hyperlink>
        </w:p>
        <w:p>
          <w:pPr>
            <w:pStyle w:val="Contents4"/>
            <w:tabs>
              <w:tab w:val="clear" w:pos="8176"/>
              <w:tab w:val="right" w:pos="9026" w:leader="dot"/>
            </w:tabs>
            <w:rPr/>
          </w:pPr>
          <w:hyperlink w:anchor="__RefHeading___Toc3032732_653776707">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شخصی بودن علقه های مذهبی و ارتباط گیری با اهل بیت</w:t>
            </w:r>
            <w:r>
              <w:rPr>
                <w:rStyle w:val="IndexLink"/>
                <w:rtl w:val="true"/>
              </w:rPr>
              <w:t>(</w:t>
            </w:r>
            <w:r>
              <w:rPr>
                <w:rStyle w:val="IndexLink"/>
                <w:rtl w:val="true"/>
              </w:rPr>
              <w:t>علیهم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3032734_653776707">
            <w:r>
              <w:rPr>
                <w:webHidden/>
                <w:rStyle w:val="IndexLink"/>
                <w:rtl w:val="true"/>
              </w:rPr>
              <w:t>نتیجه</w:t>
            </w:r>
            <w:r>
              <w:rPr>
                <w:rStyle w:val="IndexLink"/>
                <w:rtl w:val="true"/>
              </w:rPr>
              <w:tab/>
            </w:r>
            <w:r>
              <w:rPr>
                <w:rStyle w:val="IndexLink"/>
              </w:rPr>
              <w:t>114</w:t>
            </w:r>
          </w:hyperlink>
        </w:p>
        <w:p>
          <w:pPr>
            <w:pStyle w:val="Contents3"/>
            <w:tabs>
              <w:tab w:val="clear" w:pos="8459"/>
              <w:tab w:val="right" w:pos="9026" w:leader="dot"/>
            </w:tabs>
            <w:rPr/>
          </w:pPr>
          <w:hyperlink w:anchor="__RefHeading___Toc3032736_653776707">
            <w:r>
              <w:rPr>
                <w:webHidden/>
                <w:rStyle w:val="IndexLink"/>
                <w:rtl w:val="true"/>
              </w:rPr>
              <w:t>منابع</w:t>
            </w:r>
            <w:r>
              <w:rPr>
                <w:rStyle w:val="IndexLink"/>
                <w:rtl w:val="true"/>
              </w:rPr>
              <w:tab/>
            </w:r>
            <w:r>
              <w:rPr>
                <w:rStyle w:val="IndexLink"/>
              </w:rPr>
              <w:t>115</w:t>
            </w:r>
          </w:hyperlink>
        </w:p>
        <w:p>
          <w:pPr>
            <w:pStyle w:val="Contents2"/>
            <w:tabs>
              <w:tab w:val="clear" w:pos="8743"/>
              <w:tab w:val="right" w:pos="9026" w:leader="dot"/>
            </w:tabs>
            <w:rPr/>
          </w:pPr>
          <w:hyperlink w:anchor="__RefHeading___Toc3032738_653776707">
            <w:r>
              <w:rPr>
                <w:webHidden/>
                <w:rStyle w:val="IndexLink"/>
                <w:rtl w:val="true"/>
              </w:rPr>
              <w:t xml:space="preserve">مردم نگاری آیین های عزاداری ماه محرم در شرایط همه گیری کرونا </w:t>
            </w:r>
            <w:r>
              <w:rPr>
                <w:rStyle w:val="IndexLink"/>
                <w:rtl w:val="true"/>
              </w:rPr>
              <w:t>(</w:t>
            </w:r>
            <w:r>
              <w:rPr>
                <w:rStyle w:val="IndexLink"/>
                <w:rtl w:val="true"/>
              </w:rPr>
              <w:t xml:space="preserve">سال </w:t>
            </w:r>
            <w:r>
              <w:rPr>
                <w:rStyle w:val="IndexLink"/>
              </w:rPr>
              <w:t>1399</w:t>
            </w:r>
            <w:r>
              <w:rPr>
                <w:rStyle w:val="IndexLink"/>
                <w:rtl w:val="true"/>
              </w:rPr>
              <w:t xml:space="preserve">ش، </w:t>
            </w:r>
            <w:r>
              <w:rPr>
                <w:rStyle w:val="IndexLink"/>
              </w:rPr>
              <w:t>1442</w:t>
            </w:r>
            <w:r>
              <w:rPr>
                <w:rStyle w:val="IndexLink"/>
                <w:rtl w:val="true"/>
              </w:rPr>
              <w:t>ق</w:t>
            </w:r>
            <w:r>
              <w:rPr>
                <w:rStyle w:val="IndexLink"/>
                <w:rtl w:val="true"/>
              </w:rPr>
              <w:t>)</w:t>
              <w:tab/>
            </w:r>
            <w:r>
              <w:rPr>
                <w:rStyle w:val="IndexLink"/>
              </w:rPr>
              <w:t>120</w:t>
            </w:r>
          </w:hyperlink>
        </w:p>
        <w:p>
          <w:pPr>
            <w:pStyle w:val="Contents3"/>
            <w:tabs>
              <w:tab w:val="clear" w:pos="8459"/>
              <w:tab w:val="right" w:pos="9026" w:leader="dot"/>
            </w:tabs>
            <w:rPr/>
          </w:pPr>
          <w:hyperlink w:anchor="__RefHeading___Toc3032740_653776707">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3032742_653776707">
            <w:r>
              <w:rPr>
                <w:webHidden/>
                <w:rStyle w:val="IndexLink"/>
                <w:rtl w:val="true"/>
              </w:rPr>
              <w:t>مقدمه</w:t>
            </w:r>
            <w:r>
              <w:rPr>
                <w:rStyle w:val="IndexLink"/>
                <w:rtl w:val="true"/>
              </w:rPr>
              <w:tab/>
            </w:r>
            <w:r>
              <w:rPr>
                <w:rStyle w:val="IndexLink"/>
              </w:rPr>
              <w:t>121</w:t>
            </w:r>
          </w:hyperlink>
        </w:p>
        <w:p>
          <w:pPr>
            <w:pStyle w:val="Contents3"/>
            <w:tabs>
              <w:tab w:val="clear" w:pos="8459"/>
              <w:tab w:val="right" w:pos="9026" w:leader="dot"/>
            </w:tabs>
            <w:rPr/>
          </w:pPr>
          <w:hyperlink w:anchor="__RefHeading___Toc3032744_653776707">
            <w:r>
              <w:rPr>
                <w:webHidden/>
                <w:rStyle w:val="IndexLink"/>
                <w:rtl w:val="true"/>
              </w:rPr>
              <w:t>پیشینه پژوهش</w:t>
            </w:r>
            <w:r>
              <w:rPr>
                <w:rStyle w:val="IndexLink"/>
                <w:rtl w:val="true"/>
              </w:rPr>
              <w:tab/>
            </w:r>
            <w:r>
              <w:rPr>
                <w:rStyle w:val="IndexLink"/>
              </w:rPr>
              <w:t>122</w:t>
            </w:r>
          </w:hyperlink>
        </w:p>
        <w:p>
          <w:pPr>
            <w:pStyle w:val="Contents3"/>
            <w:tabs>
              <w:tab w:val="clear" w:pos="8459"/>
              <w:tab w:val="right" w:pos="9026" w:leader="dot"/>
            </w:tabs>
            <w:rPr/>
          </w:pPr>
          <w:hyperlink w:anchor="__RefHeading___Toc3032746_653776707">
            <w:r>
              <w:rPr>
                <w:webHidden/>
                <w:rStyle w:val="IndexLink"/>
                <w:rtl w:val="true"/>
              </w:rPr>
              <w:t>روش پژوهش</w:t>
            </w:r>
            <w:r>
              <w:rPr>
                <w:rStyle w:val="IndexLink"/>
                <w:rtl w:val="true"/>
              </w:rPr>
              <w:tab/>
            </w:r>
            <w:r>
              <w:rPr>
                <w:rStyle w:val="IndexLink"/>
              </w:rPr>
              <w:t>123</w:t>
            </w:r>
          </w:hyperlink>
        </w:p>
        <w:p>
          <w:pPr>
            <w:pStyle w:val="Contents3"/>
            <w:tabs>
              <w:tab w:val="clear" w:pos="8459"/>
              <w:tab w:val="right" w:pos="9026" w:leader="dot"/>
            </w:tabs>
            <w:rPr/>
          </w:pPr>
          <w:hyperlink w:anchor="__RefHeading___Toc3032748_653776707">
            <w:r>
              <w:rPr>
                <w:webHidden/>
                <w:rStyle w:val="IndexLink"/>
                <w:rtl w:val="true"/>
              </w:rPr>
              <w:t>آیین عزاداری محرم در جماعت شیعی و منطق عملکردی آن</w:t>
            </w:r>
            <w:r>
              <w:rPr>
                <w:rStyle w:val="IndexLink"/>
                <w:rtl w:val="true"/>
              </w:rPr>
              <w:tab/>
            </w:r>
            <w:r>
              <w:rPr>
                <w:rStyle w:val="IndexLink"/>
              </w:rPr>
              <w:t>124</w:t>
            </w:r>
          </w:hyperlink>
        </w:p>
        <w:p>
          <w:pPr>
            <w:pStyle w:val="Contents3"/>
            <w:tabs>
              <w:tab w:val="clear" w:pos="8459"/>
              <w:tab w:val="right" w:pos="9026" w:leader="dot"/>
            </w:tabs>
            <w:rPr/>
          </w:pPr>
          <w:hyperlink w:anchor="__RefHeading___Toc3032750_653776707">
            <w:r>
              <w:rPr>
                <w:webHidden/>
                <w:rStyle w:val="IndexLink"/>
                <w:rtl w:val="true"/>
              </w:rPr>
              <w:t>آیین عزاداری ماه محرم در جامعه ایرانی</w:t>
            </w:r>
            <w:r>
              <w:rPr>
                <w:rStyle w:val="IndexLink"/>
                <w:rtl w:val="true"/>
              </w:rPr>
              <w:tab/>
            </w:r>
            <w:r>
              <w:rPr>
                <w:rStyle w:val="IndexLink"/>
              </w:rPr>
              <w:t>126</w:t>
            </w:r>
          </w:hyperlink>
        </w:p>
        <w:p>
          <w:pPr>
            <w:pStyle w:val="Contents3"/>
            <w:tabs>
              <w:tab w:val="clear" w:pos="8459"/>
              <w:tab w:val="right" w:pos="9026" w:leader="dot"/>
            </w:tabs>
            <w:rPr/>
          </w:pPr>
          <w:hyperlink w:anchor="__RefHeading___Toc3032752_653776707">
            <w:r>
              <w:rPr>
                <w:webHidden/>
                <w:rStyle w:val="IndexLink"/>
                <w:rtl w:val="true"/>
              </w:rPr>
              <w:t>بروز و ظهور پاندومی بیماری کرونا</w:t>
            </w:r>
            <w:r>
              <w:rPr>
                <w:rStyle w:val="IndexLink"/>
                <w:rtl w:val="true"/>
              </w:rPr>
              <w:tab/>
            </w:r>
            <w:r>
              <w:rPr>
                <w:rStyle w:val="IndexLink"/>
              </w:rPr>
              <w:t>127</w:t>
            </w:r>
          </w:hyperlink>
        </w:p>
        <w:p>
          <w:pPr>
            <w:pStyle w:val="Contents3"/>
            <w:tabs>
              <w:tab w:val="clear" w:pos="8459"/>
              <w:tab w:val="right" w:pos="9026" w:leader="dot"/>
            </w:tabs>
            <w:rPr/>
          </w:pPr>
          <w:hyperlink w:anchor="__RefHeading___Toc3032754_653776707">
            <w:r>
              <w:rPr>
                <w:webHidden/>
                <w:rStyle w:val="IndexLink"/>
                <w:rtl w:val="true"/>
              </w:rPr>
              <w:t>مواجهه مناسک مذهبی با بیماری کرونا</w:t>
            </w:r>
            <w:r>
              <w:rPr>
                <w:rStyle w:val="IndexLink"/>
                <w:rtl w:val="true"/>
              </w:rPr>
              <w:tab/>
            </w:r>
            <w:r>
              <w:rPr>
                <w:rStyle w:val="IndexLink"/>
              </w:rPr>
              <w:t>128</w:t>
            </w:r>
          </w:hyperlink>
        </w:p>
        <w:p>
          <w:pPr>
            <w:pStyle w:val="Contents3"/>
            <w:tabs>
              <w:tab w:val="clear" w:pos="8459"/>
              <w:tab w:val="right" w:pos="9026" w:leader="dot"/>
            </w:tabs>
            <w:rPr/>
          </w:pPr>
          <w:hyperlink w:anchor="__RefHeading___Toc3032756_653776707">
            <w:r>
              <w:rPr>
                <w:webHidden/>
                <w:rStyle w:val="IndexLink"/>
                <w:rtl w:val="true"/>
              </w:rPr>
              <w:t xml:space="preserve">مقررات و شرایط ویژه برگزاری مراسمات عزاداری با وجود احتمال شیوع بیماری کرونا در محرم </w:t>
            </w:r>
            <w:r>
              <w:rPr>
                <w:rStyle w:val="IndexLink"/>
              </w:rPr>
              <w:t>1399</w:t>
            </w:r>
            <w:r>
              <w:rPr>
                <w:rStyle w:val="IndexLink"/>
                <w:rtl w:val="true"/>
              </w:rPr>
              <w:t>ش</w:t>
            </w:r>
            <w:r>
              <w:rPr>
                <w:rStyle w:val="IndexLink"/>
                <w:rtl w:val="true"/>
              </w:rPr>
              <w:t>/</w:t>
            </w:r>
            <w:r>
              <w:rPr>
                <w:rStyle w:val="IndexLink"/>
              </w:rPr>
              <w:t>1442</w:t>
            </w:r>
            <w:r>
              <w:rPr>
                <w:rStyle w:val="IndexLink"/>
                <w:rtl w:val="true"/>
              </w:rPr>
              <w:t>ق</w:t>
            </w:r>
            <w:r>
              <w:rPr>
                <w:rStyle w:val="IndexLink"/>
                <w:rtl w:val="true"/>
              </w:rPr>
              <w:tab/>
            </w:r>
            <w:r>
              <w:rPr>
                <w:rStyle w:val="IndexLink"/>
              </w:rPr>
              <w:t>130</w:t>
            </w:r>
          </w:hyperlink>
        </w:p>
        <w:p>
          <w:pPr>
            <w:pStyle w:val="Contents3"/>
            <w:tabs>
              <w:tab w:val="clear" w:pos="8459"/>
              <w:tab w:val="right" w:pos="9026" w:leader="dot"/>
            </w:tabs>
            <w:rPr/>
          </w:pPr>
          <w:hyperlink w:anchor="__RefHeading___Toc3032758_653776707">
            <w:r>
              <w:rPr>
                <w:webHidden/>
                <w:rStyle w:val="IndexLink"/>
                <w:rtl w:val="true"/>
              </w:rPr>
              <w:t>ماسک و وسایل متناسب بیماری کرونا با نمادهای عزداری محرم</w:t>
            </w:r>
            <w:r>
              <w:rPr>
                <w:rStyle w:val="IndexLink"/>
                <w:rtl w:val="true"/>
              </w:rPr>
              <w:tab/>
            </w:r>
            <w:r>
              <w:rPr>
                <w:rStyle w:val="IndexLink"/>
              </w:rPr>
              <w:t>131</w:t>
            </w:r>
          </w:hyperlink>
        </w:p>
        <w:p>
          <w:pPr>
            <w:pStyle w:val="Contents3"/>
            <w:tabs>
              <w:tab w:val="clear" w:pos="8459"/>
              <w:tab w:val="right" w:pos="9026" w:leader="dot"/>
            </w:tabs>
            <w:rPr/>
          </w:pPr>
          <w:hyperlink w:anchor="__RefHeading___Toc3032760_653776707">
            <w:r>
              <w:rPr>
                <w:webHidden/>
                <w:rStyle w:val="IndexLink"/>
                <w:rtl w:val="true"/>
              </w:rPr>
              <w:t>تابلو و بنرهایی با توصیه های بهداشتی</w:t>
            </w:r>
            <w:r>
              <w:rPr>
                <w:rStyle w:val="IndexLink"/>
                <w:rtl w:val="true"/>
              </w:rPr>
              <w:tab/>
            </w:r>
            <w:r>
              <w:rPr>
                <w:rStyle w:val="IndexLink"/>
              </w:rPr>
              <w:t>132</w:t>
            </w:r>
          </w:hyperlink>
        </w:p>
        <w:p>
          <w:pPr>
            <w:pStyle w:val="Contents3"/>
            <w:tabs>
              <w:tab w:val="clear" w:pos="8459"/>
              <w:tab w:val="right" w:pos="9026" w:leader="dot"/>
            </w:tabs>
            <w:rPr/>
          </w:pPr>
          <w:hyperlink w:anchor="__RefHeading___Toc3032762_653776707">
            <w:r>
              <w:rPr>
                <w:webHidden/>
                <w:rStyle w:val="IndexLink"/>
                <w:rtl w:val="true"/>
              </w:rPr>
              <w:t>انجام اعمال بهداشتی ویژه به هنگام ورود به مراسم</w:t>
            </w:r>
            <w:r>
              <w:rPr>
                <w:rStyle w:val="IndexLink"/>
                <w:rtl w:val="true"/>
              </w:rPr>
              <w:tab/>
            </w:r>
            <w:r>
              <w:rPr>
                <w:rStyle w:val="IndexLink"/>
              </w:rPr>
              <w:t>135</w:t>
            </w:r>
          </w:hyperlink>
        </w:p>
        <w:p>
          <w:pPr>
            <w:pStyle w:val="Contents3"/>
            <w:tabs>
              <w:tab w:val="clear" w:pos="8459"/>
              <w:tab w:val="right" w:pos="9026" w:leader="dot"/>
            </w:tabs>
            <w:rPr/>
          </w:pPr>
          <w:hyperlink w:anchor="__RefHeading___Toc3032764_653776707">
            <w:r>
              <w:rPr>
                <w:webHidden/>
                <w:rStyle w:val="IndexLink"/>
                <w:rtl w:val="true"/>
              </w:rPr>
              <w:t>نشستن با فاصله و زدن ماسک توسط عزاداران</w:t>
            </w:r>
            <w:r>
              <w:rPr>
                <w:rStyle w:val="IndexLink"/>
                <w:rtl w:val="true"/>
              </w:rPr>
              <w:tab/>
            </w:r>
            <w:r>
              <w:rPr>
                <w:rStyle w:val="IndexLink"/>
              </w:rPr>
              <w:t>135</w:t>
            </w:r>
          </w:hyperlink>
        </w:p>
        <w:p>
          <w:pPr>
            <w:pStyle w:val="Contents3"/>
            <w:tabs>
              <w:tab w:val="clear" w:pos="8459"/>
              <w:tab w:val="right" w:pos="9026" w:leader="dot"/>
            </w:tabs>
            <w:rPr/>
          </w:pPr>
          <w:hyperlink w:anchor="__RefHeading___Toc3032766_653776707">
            <w:r>
              <w:rPr>
                <w:webHidden/>
                <w:rStyle w:val="IndexLink"/>
                <w:rtl w:val="true"/>
              </w:rPr>
              <w:t>برگزاری مراسم در فضاهای باز</w:t>
            </w:r>
            <w:r>
              <w:rPr>
                <w:rStyle w:val="IndexLink"/>
                <w:rtl w:val="true"/>
              </w:rPr>
              <w:tab/>
            </w:r>
            <w:r>
              <w:rPr>
                <w:rStyle w:val="IndexLink"/>
              </w:rPr>
              <w:t>136</w:t>
            </w:r>
          </w:hyperlink>
        </w:p>
        <w:p>
          <w:pPr>
            <w:pStyle w:val="Contents3"/>
            <w:tabs>
              <w:tab w:val="clear" w:pos="8459"/>
              <w:tab w:val="right" w:pos="9026" w:leader="dot"/>
            </w:tabs>
            <w:rPr/>
          </w:pPr>
          <w:hyperlink w:anchor="__RefHeading___Toc3032768_653776707">
            <w:r>
              <w:rPr>
                <w:webHidden/>
                <w:rStyle w:val="IndexLink"/>
                <w:rtl w:val="true"/>
              </w:rPr>
              <w:t>انواع راهبردها در برگزاری هیات های عزاداری</w:t>
            </w:r>
            <w:r>
              <w:rPr>
                <w:rStyle w:val="IndexLink"/>
                <w:rtl w:val="true"/>
              </w:rPr>
              <w:tab/>
            </w:r>
            <w:r>
              <w:rPr>
                <w:rStyle w:val="IndexLink"/>
              </w:rPr>
              <w:t>138</w:t>
            </w:r>
          </w:hyperlink>
        </w:p>
        <w:p>
          <w:pPr>
            <w:pStyle w:val="Contents4"/>
            <w:tabs>
              <w:tab w:val="clear" w:pos="8176"/>
              <w:tab w:val="right" w:pos="9026" w:leader="dot"/>
            </w:tabs>
            <w:rPr/>
          </w:pPr>
          <w:hyperlink w:anchor="__RefHeading___Toc3032770_653776707">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032772_653776707">
            <w:r>
              <w:rPr>
                <w:webHidden/>
                <w:rStyle w:val="IndexLink"/>
              </w:rPr>
              <w:t>1</w:t>
            </w:r>
            <w:r>
              <w:rPr>
                <w:rStyle w:val="IndexLink"/>
                <w:rtl w:val="true"/>
              </w:rPr>
              <w:t>-</w:t>
            </w:r>
            <w:r>
              <w:rPr>
                <w:rStyle w:val="IndexLink"/>
                <w:rtl w:val="true"/>
              </w:rPr>
              <w:t>اتخاذ راهبرد تغییر برای هیات های عزاداری در ایام کرونا؛ برگزاری مجالس روضه در جمع های کم تعداد و در پشت بام منازل، کوی و برزن ها</w:t>
            </w:r>
            <w:r>
              <w:rPr>
                <w:rStyle w:val="IndexLink"/>
                <w:rtl w:val="true"/>
              </w:rPr>
              <w:tab/>
            </w:r>
            <w:r>
              <w:rPr>
                <w:rStyle w:val="IndexLink"/>
              </w:rPr>
              <w:t>138</w:t>
            </w:r>
          </w:hyperlink>
        </w:p>
        <w:p>
          <w:pPr>
            <w:pStyle w:val="Contents5"/>
            <w:tabs>
              <w:tab w:val="clear" w:pos="7892"/>
              <w:tab w:val="right" w:pos="9026" w:leader="dot"/>
            </w:tabs>
            <w:rPr/>
          </w:pPr>
          <w:hyperlink w:anchor="__RefHeading___Toc3032774_653776707">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3032776_653776707">
            <w:r>
              <w:rPr>
                <w:webHidden/>
                <w:rStyle w:val="IndexLink"/>
              </w:rPr>
              <w:t>2-1</w:t>
            </w:r>
            <w:r>
              <w:rPr>
                <w:rStyle w:val="IndexLink"/>
                <w:rtl w:val="true"/>
              </w:rPr>
              <w:t xml:space="preserve">- </w:t>
            </w:r>
            <w:r>
              <w:rPr>
                <w:rStyle w:val="IndexLink"/>
                <w:rtl w:val="true"/>
              </w:rPr>
              <w:t xml:space="preserve">برگزاری هیات ها و روضه های خانگی </w:t>
            </w:r>
            <w:r>
              <w:rPr>
                <w:rStyle w:val="IndexLink"/>
                <w:rtl w:val="true"/>
              </w:rPr>
              <w:t>(</w:t>
            </w:r>
            <w:r>
              <w:rPr>
                <w:rStyle w:val="IndexLink"/>
                <w:rtl w:val="true"/>
              </w:rPr>
              <w:t>خانوادگی</w:t>
            </w:r>
            <w:r>
              <w:rPr>
                <w:rStyle w:val="IndexLink"/>
                <w:rtl w:val="true"/>
              </w:rPr>
              <w:t>)</w:t>
            </w:r>
            <w:r>
              <w:rPr>
                <w:rStyle w:val="IndexLink"/>
                <w:rtl w:val="true"/>
              </w:rPr>
              <w:t>، با عنوان هر خانه یک حسینیه</w:t>
            </w:r>
            <w:r>
              <w:rPr>
                <w:rStyle w:val="IndexLink"/>
                <w:rtl w:val="true"/>
              </w:rPr>
              <w:tab/>
            </w:r>
            <w:r>
              <w:rPr>
                <w:rStyle w:val="IndexLink"/>
              </w:rPr>
              <w:t>138</w:t>
            </w:r>
          </w:hyperlink>
        </w:p>
        <w:p>
          <w:pPr>
            <w:pStyle w:val="Contents5"/>
            <w:tabs>
              <w:tab w:val="clear" w:pos="7892"/>
              <w:tab w:val="right" w:pos="9026" w:leader="dot"/>
            </w:tabs>
            <w:rPr/>
          </w:pPr>
          <w:hyperlink w:anchor="__RefHeading___Toc3032778_653776707">
            <w:r>
              <w:rPr>
                <w:webHidden/>
                <w:rStyle w:val="IndexLink"/>
              </w:rPr>
              <w:t>3-1</w:t>
            </w:r>
            <w:r>
              <w:rPr>
                <w:rStyle w:val="IndexLink"/>
                <w:rtl w:val="true"/>
              </w:rPr>
              <w:t xml:space="preserve">- </w:t>
            </w:r>
            <w:r>
              <w:rPr>
                <w:rStyle w:val="IndexLink"/>
                <w:rtl w:val="true"/>
              </w:rPr>
              <w:t>برگزاری هیات و روضه های مجازی</w:t>
            </w:r>
            <w:r>
              <w:rPr>
                <w:rStyle w:val="IndexLink"/>
                <w:rtl w:val="true"/>
              </w:rPr>
              <w:tab/>
            </w:r>
            <w:r>
              <w:rPr>
                <w:rStyle w:val="IndexLink"/>
              </w:rPr>
              <w:t>139</w:t>
            </w:r>
          </w:hyperlink>
        </w:p>
        <w:p>
          <w:pPr>
            <w:pStyle w:val="Contents5"/>
            <w:tabs>
              <w:tab w:val="clear" w:pos="7892"/>
              <w:tab w:val="right" w:pos="9026" w:leader="dot"/>
            </w:tabs>
            <w:rPr/>
          </w:pPr>
          <w:hyperlink w:anchor="__RefHeading___Toc3032780_653776707">
            <w:r>
              <w:rPr>
                <w:webHidden/>
                <w:rStyle w:val="IndexLink"/>
              </w:rPr>
              <w:t>4-1</w:t>
            </w:r>
            <w:r>
              <w:rPr>
                <w:rStyle w:val="IndexLink"/>
                <w:rtl w:val="true"/>
              </w:rPr>
              <w:t xml:space="preserve">- </w:t>
            </w:r>
            <w:r>
              <w:rPr>
                <w:rStyle w:val="IndexLink"/>
                <w:rtl w:val="true"/>
              </w:rPr>
              <w:t>برگزاریی هیات های ماشینی</w:t>
            </w:r>
            <w:r>
              <w:rPr>
                <w:rStyle w:val="IndexLink"/>
                <w:rtl w:val="true"/>
              </w:rPr>
              <w:tab/>
            </w:r>
            <w:r>
              <w:rPr>
                <w:rStyle w:val="IndexLink"/>
              </w:rPr>
              <w:t>140</w:t>
            </w:r>
          </w:hyperlink>
        </w:p>
        <w:p>
          <w:pPr>
            <w:pStyle w:val="Contents5"/>
            <w:tabs>
              <w:tab w:val="clear" w:pos="7892"/>
              <w:tab w:val="right" w:pos="9026" w:leader="dot"/>
            </w:tabs>
            <w:rPr/>
          </w:pPr>
          <w:hyperlink w:anchor="__RefHeading___Toc3032782_653776707">
            <w:r>
              <w:rPr>
                <w:webHidden/>
                <w:rStyle w:val="IndexLink"/>
              </w:rPr>
              <w:t>5-1</w:t>
            </w:r>
            <w:r>
              <w:rPr>
                <w:rStyle w:val="IndexLink"/>
                <w:rtl w:val="true"/>
              </w:rPr>
              <w:t xml:space="preserve">- </w:t>
            </w:r>
            <w:r>
              <w:rPr>
                <w:rStyle w:val="IndexLink"/>
                <w:rtl w:val="true"/>
              </w:rPr>
              <w:t xml:space="preserve">برگزاری دسته های عزاداری بدون جمعیت </w:t>
            </w:r>
            <w:r>
              <w:rPr>
                <w:rStyle w:val="IndexLink"/>
                <w:rtl w:val="true"/>
              </w:rPr>
              <w:t>(</w:t>
            </w:r>
            <w:r>
              <w:rPr>
                <w:rStyle w:val="IndexLink"/>
                <w:rtl w:val="true"/>
              </w:rPr>
              <w:t>حسینیه های سیار</w:t>
            </w:r>
            <w:r>
              <w:rPr>
                <w:rStyle w:val="IndexLink"/>
                <w:rtl w:val="true"/>
              </w:rPr>
              <w:t>)</w:t>
              <w:tab/>
            </w:r>
            <w:r>
              <w:rPr>
                <w:rStyle w:val="IndexLink"/>
              </w:rPr>
              <w:t>142</w:t>
            </w:r>
          </w:hyperlink>
        </w:p>
        <w:p>
          <w:pPr>
            <w:pStyle w:val="Contents4"/>
            <w:tabs>
              <w:tab w:val="clear" w:pos="8176"/>
              <w:tab w:val="right" w:pos="9026" w:leader="dot"/>
            </w:tabs>
            <w:rPr/>
          </w:pPr>
          <w:hyperlink w:anchor="__RefHeading___Toc3032784_653776707">
            <w:r>
              <w:rPr>
                <w:webHidden/>
                <w:rStyle w:val="IndexLink"/>
              </w:rPr>
              <w:t>2</w:t>
            </w:r>
            <w:r>
              <w:rPr>
                <w:rStyle w:val="IndexLink"/>
                <w:rtl w:val="true"/>
              </w:rPr>
              <w:t xml:space="preserve">- </w:t>
            </w:r>
            <w:r>
              <w:rPr>
                <w:rStyle w:val="IndexLink"/>
                <w:rtl w:val="true"/>
              </w:rPr>
              <w:t>اتخاذ راهبرد تحدید برای هیات ها در ایام کرونا</w:t>
            </w:r>
            <w:r>
              <w:rPr>
                <w:rStyle w:val="IndexLink"/>
                <w:rtl w:val="true"/>
              </w:rPr>
              <w:tab/>
            </w:r>
            <w:r>
              <w:rPr>
                <w:rStyle w:val="IndexLink"/>
              </w:rPr>
              <w:t>144</w:t>
            </w:r>
          </w:hyperlink>
        </w:p>
        <w:p>
          <w:pPr>
            <w:pStyle w:val="Contents4"/>
            <w:tabs>
              <w:tab w:val="clear" w:pos="8176"/>
              <w:tab w:val="right" w:pos="9026" w:leader="dot"/>
            </w:tabs>
            <w:rPr/>
          </w:pPr>
          <w:hyperlink w:anchor="__RefHeading___Toc3032786_653776707">
            <w:r>
              <w:rPr>
                <w:webHidden/>
                <w:rStyle w:val="IndexLink"/>
              </w:rPr>
              <w:t>3</w:t>
            </w:r>
            <w:r>
              <w:rPr>
                <w:rStyle w:val="IndexLink"/>
                <w:rtl w:val="true"/>
              </w:rPr>
              <w:t xml:space="preserve">- </w:t>
            </w:r>
            <w:r>
              <w:rPr>
                <w:rStyle w:val="IndexLink"/>
                <w:rtl w:val="true"/>
              </w:rPr>
              <w:t>اتخاذ راهبرد تعلیق برای هیات ها در ایام کرونا</w:t>
            </w:r>
            <w:r>
              <w:rPr>
                <w:rStyle w:val="IndexLink"/>
                <w:rtl w:val="true"/>
              </w:rPr>
              <w:tab/>
            </w:r>
            <w:r>
              <w:rPr>
                <w:rStyle w:val="IndexLink"/>
              </w:rPr>
              <w:t>145</w:t>
            </w:r>
          </w:hyperlink>
        </w:p>
        <w:p>
          <w:pPr>
            <w:pStyle w:val="Contents3"/>
            <w:tabs>
              <w:tab w:val="clear" w:pos="8459"/>
              <w:tab w:val="right" w:pos="9026" w:leader="dot"/>
            </w:tabs>
            <w:rPr/>
          </w:pPr>
          <w:hyperlink w:anchor="__RefHeading___Toc3032788_653776707">
            <w:r>
              <w:rPr>
                <w:webHidden/>
                <w:rStyle w:val="IndexLink"/>
                <w:rtl w:val="true"/>
              </w:rPr>
              <w:t>مروری بر رخدادهای مهمِ مرتبط با چگونگی برگزاری مجالس و آیین های عزاداری ماه محرم در اولین سال مواجهه با شرایط پاندومی ویروس کرونا</w:t>
            </w:r>
            <w:r>
              <w:rPr>
                <w:rStyle w:val="IndexLink"/>
                <w:rtl w:val="true"/>
              </w:rPr>
              <w:tab/>
            </w:r>
            <w:r>
              <w:rPr>
                <w:rStyle w:val="IndexLink"/>
              </w:rPr>
              <w:t>146</w:t>
            </w:r>
          </w:hyperlink>
        </w:p>
        <w:p>
          <w:pPr>
            <w:pStyle w:val="Contents3"/>
            <w:tabs>
              <w:tab w:val="clear" w:pos="8459"/>
              <w:tab w:val="right" w:pos="9026" w:leader="dot"/>
            </w:tabs>
            <w:rPr/>
          </w:pPr>
          <w:hyperlink w:anchor="__RefHeading___Toc3032790_653776707">
            <w:r>
              <w:rPr>
                <w:webHidden/>
                <w:rStyle w:val="IndexLink"/>
                <w:rtl w:val="true"/>
              </w:rPr>
              <w:t>نتیجه</w:t>
            </w:r>
            <w:r>
              <w:rPr>
                <w:rStyle w:val="IndexLink"/>
                <w:rtl w:val="true"/>
              </w:rPr>
              <w:tab/>
            </w:r>
            <w:r>
              <w:rPr>
                <w:rStyle w:val="IndexLink"/>
              </w:rPr>
              <w:t>152</w:t>
            </w:r>
          </w:hyperlink>
        </w:p>
        <w:p>
          <w:pPr>
            <w:pStyle w:val="Contents3"/>
            <w:tabs>
              <w:tab w:val="clear" w:pos="8459"/>
              <w:tab w:val="right" w:pos="9026" w:leader="dot"/>
            </w:tabs>
            <w:rPr/>
          </w:pPr>
          <w:hyperlink w:anchor="__RefHeading___Toc3032792_653776707">
            <w:r>
              <w:rPr>
                <w:webHidden/>
                <w:rStyle w:val="IndexLink"/>
                <w:rtl w:val="true"/>
              </w:rPr>
              <w:t>منابع</w:t>
            </w:r>
            <w:r>
              <w:rPr>
                <w:rStyle w:val="IndexLink"/>
                <w:rtl w:val="true"/>
              </w:rPr>
              <w:tab/>
            </w:r>
            <w:r>
              <w:rPr>
                <w:rStyle w:val="IndexLink"/>
              </w:rPr>
              <w:t>152</w:t>
            </w:r>
          </w:hyperlink>
        </w:p>
        <w:p>
          <w:pPr>
            <w:pStyle w:val="Contents4"/>
            <w:tabs>
              <w:tab w:val="clear" w:pos="8176"/>
              <w:tab w:val="right" w:pos="9026" w:leader="dot"/>
            </w:tabs>
            <w:rPr/>
          </w:pPr>
          <w:hyperlink w:anchor="__RefHeading___Toc3032794_653776707">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3032796_653776707">
            <w:r>
              <w:rPr>
                <w:webHidden/>
                <w:rStyle w:val="IndexLink"/>
                <w:rtl w:val="true"/>
              </w:rPr>
              <w:t>سایت ها</w:t>
            </w:r>
            <w:r>
              <w:rPr>
                <w:rStyle w:val="IndexLink"/>
                <w:rtl w:val="true"/>
              </w:rPr>
              <w:tab/>
            </w:r>
            <w:r>
              <w:rPr>
                <w:rStyle w:val="IndexLink"/>
              </w:rPr>
              <w:t>153</w:t>
            </w:r>
          </w:hyperlink>
        </w:p>
        <w:p>
          <w:pPr>
            <w:pStyle w:val="Contents2"/>
            <w:tabs>
              <w:tab w:val="clear" w:pos="8743"/>
              <w:tab w:val="right" w:pos="9026" w:leader="dot"/>
            </w:tabs>
            <w:rPr/>
          </w:pPr>
          <w:hyperlink w:anchor="__RefHeading___Toc3032798_653776707">
            <w:r>
              <w:rPr>
                <w:webHidden/>
                <w:rStyle w:val="IndexLink"/>
                <w:rtl w:val="true"/>
              </w:rPr>
              <w:t>نکته هایی از معارف حسینی</w:t>
            </w:r>
            <w:r>
              <w:rPr>
                <w:rStyle w:val="IndexLink"/>
                <w:rtl w:val="true"/>
              </w:rPr>
              <w:tab/>
            </w:r>
            <w:r>
              <w:rPr>
                <w:rStyle w:val="IndexLink"/>
              </w:rPr>
              <w:t>156</w:t>
            </w:r>
          </w:hyperlink>
        </w:p>
        <w:p>
          <w:pPr>
            <w:pStyle w:val="Contents3"/>
            <w:tabs>
              <w:tab w:val="clear" w:pos="8459"/>
              <w:tab w:val="right" w:pos="9026" w:leader="dot"/>
            </w:tabs>
            <w:rPr/>
          </w:pPr>
          <w:hyperlink w:anchor="__RefHeading___Toc3032800_653776707">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3032802_653776707">
            <w:r>
              <w:rPr>
                <w:webHidden/>
                <w:rStyle w:val="IndexLink"/>
                <w:rtl w:val="true"/>
              </w:rPr>
              <w:t>دوست خدا</w:t>
            </w:r>
            <w:r>
              <w:rPr>
                <w:rStyle w:val="IndexLink"/>
                <w:rtl w:val="true"/>
              </w:rPr>
              <w:tab/>
            </w:r>
            <w:r>
              <w:rPr>
                <w:rStyle w:val="IndexLink"/>
              </w:rPr>
              <w:t>156</w:t>
            </w:r>
          </w:hyperlink>
        </w:p>
        <w:p>
          <w:pPr>
            <w:pStyle w:val="Contents3"/>
            <w:tabs>
              <w:tab w:val="clear" w:pos="8459"/>
              <w:tab w:val="right" w:pos="9026" w:leader="dot"/>
            </w:tabs>
            <w:rPr/>
          </w:pPr>
          <w:hyperlink w:anchor="__RefHeading___Toc3032804_653776707">
            <w:r>
              <w:rPr>
                <w:webHidden/>
                <w:rStyle w:val="IndexLink"/>
                <w:rtl w:val="true"/>
              </w:rPr>
              <w:t xml:space="preserve">عطای پیامبر </w:t>
            </w:r>
            <w:r>
              <w:rPr>
                <w:rStyle w:val="IndexLink"/>
                <w:rtl w:val="true"/>
              </w:rPr>
              <w:t>(</w:t>
            </w:r>
            <w:r>
              <w:rPr>
                <w:rStyle w:val="IndexLink"/>
                <w:rtl w:val="true"/>
              </w:rPr>
              <w:t>صلی الله علیه و آله و سلم</w:t>
            </w:r>
            <w:r>
              <w:rPr>
                <w:rStyle w:val="IndexLink"/>
                <w:rtl w:val="true"/>
              </w:rPr>
              <w:t>)</w:t>
              <w:tab/>
            </w:r>
            <w:r>
              <w:rPr>
                <w:rStyle w:val="IndexLink"/>
              </w:rPr>
              <w:t>156</w:t>
            </w:r>
          </w:hyperlink>
        </w:p>
        <w:p>
          <w:pPr>
            <w:pStyle w:val="Contents3"/>
            <w:tabs>
              <w:tab w:val="clear" w:pos="8459"/>
              <w:tab w:val="right" w:pos="9026" w:leader="dot"/>
            </w:tabs>
            <w:rPr/>
          </w:pPr>
          <w:hyperlink w:anchor="__RefHeading___Toc3032806_653776707">
            <w:r>
              <w:rPr>
                <w:webHidden/>
                <w:rStyle w:val="IndexLink"/>
                <w:rtl w:val="true"/>
              </w:rPr>
              <w:t xml:space="preserve">یاد پیامبر </w:t>
            </w:r>
            <w:r>
              <w:rPr>
                <w:rStyle w:val="IndexLink"/>
                <w:rtl w:val="true"/>
              </w:rPr>
              <w:t>(</w:t>
            </w:r>
            <w:r>
              <w:rPr>
                <w:rStyle w:val="IndexLink"/>
                <w:rtl w:val="true"/>
              </w:rPr>
              <w:t>صلی الله علیه و آله و سلم</w:t>
            </w:r>
            <w:r>
              <w:rPr>
                <w:rStyle w:val="IndexLink"/>
                <w:rtl w:val="true"/>
              </w:rPr>
              <w:t>)</w:t>
              <w:tab/>
            </w:r>
            <w:r>
              <w:rPr>
                <w:rStyle w:val="IndexLink"/>
              </w:rPr>
              <w:t>156</w:t>
            </w:r>
          </w:hyperlink>
        </w:p>
        <w:p>
          <w:pPr>
            <w:pStyle w:val="Contents3"/>
            <w:tabs>
              <w:tab w:val="clear" w:pos="8459"/>
              <w:tab w:val="right" w:pos="9026" w:leader="dot"/>
            </w:tabs>
            <w:rPr/>
          </w:pPr>
          <w:hyperlink w:anchor="__RefHeading___Toc3032808_653776707">
            <w:r>
              <w:rPr>
                <w:webHidden/>
                <w:rStyle w:val="IndexLink"/>
                <w:rtl w:val="true"/>
              </w:rPr>
              <w:t xml:space="preserve">دوستی حسین </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3032810_653776707">
            <w:r>
              <w:rPr>
                <w:webHidden/>
                <w:rStyle w:val="IndexLink"/>
                <w:rtl w:val="true"/>
              </w:rPr>
              <w:t xml:space="preserve">همنشینان پیامبر </w:t>
            </w:r>
            <w:r>
              <w:rPr>
                <w:rStyle w:val="IndexLink"/>
                <w:rtl w:val="true"/>
              </w:rPr>
              <w:t>(</w:t>
            </w:r>
            <w:r>
              <w:rPr>
                <w:rStyle w:val="IndexLink"/>
                <w:rtl w:val="true"/>
              </w:rPr>
              <w:t>صلی الله علیه و آله و سلم</w:t>
            </w:r>
            <w:r>
              <w:rPr>
                <w:rStyle w:val="IndexLink"/>
                <w:rtl w:val="true"/>
              </w:rPr>
              <w:t>)</w:t>
              <w:tab/>
            </w:r>
            <w:r>
              <w:rPr>
                <w:rStyle w:val="IndexLink"/>
              </w:rPr>
              <w:t>157</w:t>
            </w:r>
          </w:hyperlink>
        </w:p>
        <w:p>
          <w:pPr>
            <w:pStyle w:val="Contents3"/>
            <w:tabs>
              <w:tab w:val="clear" w:pos="8459"/>
              <w:tab w:val="right" w:pos="9026" w:leader="dot"/>
            </w:tabs>
            <w:rPr/>
          </w:pPr>
          <w:hyperlink w:anchor="__RefHeading___Toc3032812_653776707">
            <w:r>
              <w:rPr>
                <w:webHidden/>
                <w:rStyle w:val="IndexLink"/>
                <w:rtl w:val="true"/>
              </w:rPr>
              <w:t xml:space="preserve">زیر عبای پیامبر </w:t>
            </w:r>
            <w:r>
              <w:rPr>
                <w:rStyle w:val="IndexLink"/>
                <w:rtl w:val="true"/>
              </w:rPr>
              <w:t>(</w:t>
            </w:r>
            <w:r>
              <w:rPr>
                <w:rStyle w:val="IndexLink"/>
                <w:rtl w:val="true"/>
              </w:rPr>
              <w:t>صلی الله علیه و آله و سلم</w:t>
            </w:r>
            <w:r>
              <w:rPr>
                <w:rStyle w:val="IndexLink"/>
                <w:rtl w:val="true"/>
              </w:rPr>
              <w:t>)</w:t>
              <w:tab/>
            </w:r>
            <w:r>
              <w:rPr>
                <w:rStyle w:val="IndexLink"/>
              </w:rPr>
              <w:t>157</w:t>
            </w:r>
          </w:hyperlink>
        </w:p>
        <w:p>
          <w:pPr>
            <w:pStyle w:val="Contents3"/>
            <w:tabs>
              <w:tab w:val="clear" w:pos="8459"/>
              <w:tab w:val="right" w:pos="9026" w:leader="dot"/>
            </w:tabs>
            <w:rPr/>
          </w:pPr>
          <w:hyperlink w:anchor="__RefHeading___Toc3032814_653776707">
            <w:r>
              <w:rPr>
                <w:webHidden/>
                <w:rStyle w:val="IndexLink"/>
                <w:rtl w:val="true"/>
              </w:rPr>
              <w:t>کودک پاک</w:t>
            </w:r>
            <w:r>
              <w:rPr>
                <w:rStyle w:val="IndexLink"/>
                <w:rtl w:val="true"/>
              </w:rPr>
              <w:tab/>
            </w:r>
            <w:r>
              <w:rPr>
                <w:rStyle w:val="IndexLink"/>
              </w:rPr>
              <w:t>157</w:t>
            </w:r>
          </w:hyperlink>
        </w:p>
        <w:p>
          <w:pPr>
            <w:pStyle w:val="Contents3"/>
            <w:tabs>
              <w:tab w:val="clear" w:pos="8459"/>
              <w:tab w:val="right" w:pos="9026" w:leader="dot"/>
            </w:tabs>
            <w:rPr/>
          </w:pPr>
          <w:hyperlink w:anchor="__RefHeading___Toc3032816_653776707">
            <w:r>
              <w:rPr>
                <w:webHidden/>
                <w:rStyle w:val="IndexLink"/>
                <w:rtl w:val="true"/>
              </w:rPr>
              <w:t xml:space="preserve">دوست دوست حسین </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3032818_653776707">
            <w:r>
              <w:rPr>
                <w:webHidden/>
                <w:rStyle w:val="IndexLink"/>
                <w:rtl w:val="true"/>
              </w:rPr>
              <w:t>تشویق</w:t>
            </w:r>
            <w:r>
              <w:rPr>
                <w:rStyle w:val="IndexLink"/>
                <w:rtl w:val="true"/>
              </w:rPr>
              <w:tab/>
            </w:r>
            <w:r>
              <w:rPr>
                <w:rStyle w:val="IndexLink"/>
              </w:rPr>
              <w:t>158</w:t>
            </w:r>
          </w:hyperlink>
        </w:p>
        <w:p>
          <w:pPr>
            <w:pStyle w:val="Contents2"/>
            <w:tabs>
              <w:tab w:val="clear" w:pos="8743"/>
              <w:tab w:val="right" w:pos="9026" w:leader="dot"/>
            </w:tabs>
            <w:rPr/>
          </w:pPr>
          <w:hyperlink w:anchor="__RefHeading___Toc3032820_653776707">
            <w:r>
              <w:rPr>
                <w:webHidden/>
                <w:rStyle w:val="IndexLink"/>
                <w:rtl w:val="true"/>
              </w:rPr>
              <w:t>معرفی کتاب</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14_82450"/>
      <w:bookmarkStart w:id="1" w:name="pg8714_82450"/>
      <w:bookmarkEnd w:id="1"/>
    </w:p>
    <w:p>
      <w:pPr>
        <w:pStyle w:val="Heading2"/>
        <w:numPr>
          <w:ilvl w:val="1"/>
          <w:numId w:val="1"/>
        </w:numPr>
        <w:rPr/>
      </w:pPr>
      <w:bookmarkStart w:id="2" w:name="pg8714_82450"/>
      <w:bookmarkStart w:id="3" w:name="__RefHeading___Toc303255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هشتم،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2560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تمرکز بر 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عرصه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اولیور شاربروت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بیرمنگهام انگلیس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714_82454"/>
    </w:p>
    <w:p>
      <w:pPr>
        <w:pStyle w:val="Heading2"/>
        <w:numPr>
          <w:ilvl w:val="1"/>
          <w:numId w:val="1"/>
        </w:numPr>
        <w:rPr/>
      </w:pPr>
      <w:bookmarkStart w:id="8" w:name="__RefHeading___Toc3032562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چگونگی شهادت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محمد سالم محسنی</w:t>
      </w:r>
    </w:p>
    <w:p>
      <w:pPr>
        <w:pStyle w:val="BookText"/>
        <w:rPr/>
      </w:pPr>
      <w:r>
        <w:rPr>
          <w:rFonts w:ascii="IRNazanin" w:hAnsi="IRNazanin" w:eastAsia="IRNazanin"/>
          <w:color w:val="111111"/>
          <w:sz w:val="28"/>
          <w:sz w:val="28"/>
          <w:szCs w:val="28"/>
          <w:rtl w:val="true"/>
          <w:lang w:bidi="fa-IR"/>
        </w:rPr>
        <w:t>لایه های سبکی اشعار عاشورایی پس از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سکینه مهدوی کلاته نو، دکتر محمود فیروزی مقدم، دکتر مهیار علوی مقدم، دکتر علی صادقی منش</w:t>
      </w:r>
    </w:p>
    <w:p>
      <w:pPr>
        <w:pStyle w:val="BookText"/>
        <w:rPr/>
      </w:pPr>
      <w:r>
        <w:rPr>
          <w:rFonts w:ascii="IRNazanin" w:hAnsi="IRNazanin" w:eastAsia="IRNazanin"/>
          <w:color w:val="111111"/>
          <w:sz w:val="28"/>
          <w:sz w:val="28"/>
          <w:szCs w:val="28"/>
          <w:rtl w:val="true"/>
          <w:lang w:bidi="fa-IR"/>
        </w:rPr>
        <w:t>جون، غلام با بصیرت و خوش بوی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دکتر علی فارسی مدان</w:t>
      </w:r>
    </w:p>
    <w:p>
      <w:pPr>
        <w:pStyle w:val="BookText"/>
        <w:rPr/>
      </w:pPr>
      <w:r>
        <w:rPr>
          <w:rFonts w:ascii="IRNazanin" w:hAnsi="IRNazanin" w:eastAsia="IRNazanin"/>
          <w:color w:val="111111"/>
          <w:sz w:val="28"/>
          <w:sz w:val="28"/>
          <w:szCs w:val="28"/>
          <w:rtl w:val="true"/>
          <w:lang w:bidi="fa-IR"/>
        </w:rPr>
        <w:t>تبلور حقیقت حسینی در شعر جواهری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دکتر رضا عرب بافرانی، احمدمحمدیان</w:t>
      </w:r>
    </w:p>
    <w:p>
      <w:pPr>
        <w:pStyle w:val="BookText"/>
        <w:rPr/>
      </w:pPr>
      <w:r>
        <w:rPr>
          <w:rFonts w:ascii="IRNazanin" w:hAnsi="IRNazanin" w:eastAsia="IRNazanin"/>
          <w:color w:val="111111"/>
          <w:sz w:val="28"/>
          <w:sz w:val="28"/>
          <w:szCs w:val="28"/>
          <w:rtl w:val="true"/>
          <w:lang w:bidi="fa-IR"/>
        </w:rPr>
        <w:t>به کارگیری تشبیهات غیرمتعارف توسط برخی از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محمدجعفر میلان نورانی، مجید کیهان فر</w:t>
      </w:r>
    </w:p>
    <w:p>
      <w:pPr>
        <w:pStyle w:val="BookText"/>
        <w:rPr/>
      </w:pPr>
      <w:r>
        <w:rPr>
          <w:rFonts w:ascii="IRNazanin" w:hAnsi="IRNazanin" w:eastAsia="IRNazanin"/>
          <w:color w:val="111111"/>
          <w:sz w:val="28"/>
          <w:sz w:val="28"/>
          <w:szCs w:val="28"/>
          <w:rtl w:val="true"/>
          <w:lang w:bidi="fa-IR"/>
        </w:rPr>
        <w:t xml:space="preserve">مردم نگاری آیین های عزاداری ماه محرم در شرایط همه گیری کرونا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اکرم گروسی، دکتر سعید طاووسی مسرور</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714_82456"/>
      <w:bookmarkStart w:id="11" w:name="pg8714_82456"/>
      <w:bookmarkEnd w:id="11"/>
    </w:p>
    <w:p>
      <w:pPr>
        <w:pStyle w:val="Heading2"/>
        <w:numPr>
          <w:ilvl w:val="1"/>
          <w:numId w:val="1"/>
        </w:numPr>
        <w:rPr/>
      </w:pPr>
      <w:bookmarkStart w:id="12" w:name="pg8714_82456"/>
      <w:bookmarkStart w:id="13" w:name="__RefHeading___Toc3032564_653776707"/>
      <w:bookmarkStart w:id="14" w:name="_Toc4"/>
      <w:bookmarkEnd w:id="12"/>
      <w:bookmarkEnd w:id="13"/>
      <w:r>
        <w:rPr>
          <w:rtl w:val="true"/>
        </w:rPr>
        <w:t xml:space="preserve">چگونگی شهادت حضرت علی اکبر </w:t>
      </w:r>
      <w:r>
        <w:rPr>
          <w:rtl w:val="true"/>
        </w:rPr>
        <w:t>(</w:t>
      </w:r>
      <w:r>
        <w:rPr>
          <w:rtl w:val="true"/>
        </w:rPr>
        <w:t>علیه السلام</w:t>
      </w:r>
      <w:r>
        <w:rPr>
          <w:rtl w:val="true"/>
        </w:rPr>
        <w:t>)</w:t>
      </w:r>
      <w:bookmarkEnd w:id="14"/>
    </w:p>
    <w:p>
      <w:pPr>
        <w:pStyle w:val="Heading3"/>
        <w:numPr>
          <w:ilvl w:val="2"/>
          <w:numId w:val="1"/>
        </w:numPr>
        <w:rPr/>
      </w:pPr>
      <w:bookmarkStart w:id="15" w:name="__RefHeading___Toc3032566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دکتر محمد سالم محسنی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22/07/1401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30/10/1401</w:t>
      </w:r>
    </w:p>
    <w:p>
      <w:pPr>
        <w:pStyle w:val="BookText"/>
        <w:rPr/>
      </w:pPr>
      <w:r>
        <w:rPr>
          <w:rFonts w:ascii="IRNazanin" w:hAnsi="IRNazanin" w:eastAsia="IRNazanin"/>
          <w:color w:val="111111"/>
          <w:sz w:val="28"/>
          <w:sz w:val="28"/>
          <w:szCs w:val="28"/>
          <w:rtl w:val="true"/>
          <w:lang w:bidi="fa-IR"/>
        </w:rPr>
        <w:t>چکیده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تا آخرین لحظات عمر در کنار پدر بزرگوار خویش ایستادگی کرد و از آن حضرت دفاع نمود تا در نهایت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رویکرد تاریخی و روش توصیفی به مطالعه و بررسی چگونگی شهادت حضرت علی اکبر پرداخته و به این نتیجه دست یافت که آن حضرت پسر بزرگ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جوانان بنی هاشم، نخستین کسی بود که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میدان خواست و به جنگ رفت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در میدان نبرد، چنان مبارزه می کرد که دشمن را در تنگنا قرار داد تا سرانجام فردی به نام مُرّة بن مُنقِذ عبدی بر او حمله و ضربتی وارد کرد و حضرت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افراد دشمن بر او هجوم آوردند و بدنش را با شمشیر قطعه قطعه کردند تا جایی که برخی در چگونگی شهادت آن حضرت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bookmarkStart w:id="17" w:name="pg8714_82457"/>
    </w:p>
    <w:p>
      <w:pPr>
        <w:pStyle w:val="BookText"/>
        <w:rPr/>
      </w:pPr>
      <w:bookmarkEnd w:id="17"/>
      <w:r>
        <w:rPr>
          <w:rFonts w:ascii="IRNazanin" w:hAnsi="IRNazanin" w:eastAsia="IRNazanin"/>
          <w:color w:val="111111"/>
          <w:sz w:val="28"/>
          <w:sz w:val="28"/>
          <w:szCs w:val="28"/>
          <w:rtl w:val="true"/>
          <w:lang w:bidi="fa-IR"/>
        </w:rPr>
        <w:t>کاربرده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علی اکبر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بنی هاشم دستور داد که بدن پاره پاره علی اکبر را به خیمه ها ببرند و کنار دیگر شهیدان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 اِرباً، عاشورا،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مُرّة بن مُنقِذ عبدی</w:t>
      </w:r>
      <w:r>
        <w:rPr>
          <w:rFonts w:eastAsia="IRNazanin" w:cs="IRNazanin"/>
          <w:color w:val="111111"/>
          <w:sz w:val="28"/>
          <w:szCs w:val="28"/>
          <w:rtl w:val="true"/>
          <w:lang w:bidi="fa-IR"/>
        </w:rPr>
        <w:t>.</w:t>
      </w:r>
    </w:p>
    <w:p>
      <w:pPr>
        <w:pStyle w:val="Heading3"/>
        <w:numPr>
          <w:ilvl w:val="2"/>
          <w:numId w:val="1"/>
        </w:numPr>
        <w:rPr/>
      </w:pPr>
      <w:bookmarkStart w:id="18" w:name="__RefHeading___Toc3032568_653776707"/>
      <w:bookmarkStart w:id="19" w:name="_Toc6"/>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در حادثه عاشورا اصحاب و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میدان نبرد و دفاع از آن حضرت از یکدیگر سبقت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زنده بودند، اجازه ندادند که جوانان اهل بیت به میدان جنگ بروند اما پس از شهادت آن بزرگواران نوبت به جوانان بنی هاشم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حضرت علی اکبر نخستین کسی بود که از خاندان بنی هاشم به میدان جنگ شتافته و در راه دفاع از سیدالشهداء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به دنبال آن است که چگونگی شهادت حضرت علی اکبر را در منابع متقدم و معتبر بررسی و گزارش مستندی از آن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روش توصیفی به مطالعه و بررسی اسناد و منابع تاریخی تا قرن هفتم هجری پرداخته و سعی می کند نخست حضرت علی اکبر را به صورت مختصر معرفی و پس از آن، حضور آن حضرت را در کربلا و صحنه مبارزه و نبرد و چگونگی شهادت وی را گزارش کند</w:t>
      </w:r>
      <w:r>
        <w:rPr>
          <w:rFonts w:eastAsia="IRNazanin" w:cs="IRNazanin"/>
          <w:color w:val="111111"/>
          <w:sz w:val="28"/>
          <w:szCs w:val="28"/>
          <w:rtl w:val="true"/>
          <w:lang w:bidi="fa-IR"/>
        </w:rPr>
        <w:t>.</w:t>
      </w:r>
    </w:p>
    <w:p>
      <w:pPr>
        <w:pStyle w:val="Heading3"/>
        <w:numPr>
          <w:ilvl w:val="2"/>
          <w:numId w:val="1"/>
        </w:numPr>
        <w:rPr/>
      </w:pPr>
      <w:bookmarkStart w:id="20" w:name="__RefHeading___Toc3032570_653776707"/>
      <w:bookmarkStart w:id="21" w:name="_Toc7"/>
      <w:bookmarkEnd w:id="20"/>
      <w:r>
        <w:rPr>
          <w:rtl w:val="true"/>
        </w:rPr>
        <w:t xml:space="preserve">زندگینامه حضرت علی اکبر </w:t>
      </w:r>
      <w:r>
        <w:rPr>
          <w:rtl w:val="true"/>
        </w:rPr>
        <w:t>(</w:t>
      </w:r>
      <w:r>
        <w:rPr>
          <w:rtl w:val="true"/>
        </w:rPr>
        <w:t>علیه السلام</w:t>
      </w:r>
      <w:r>
        <w:rPr>
          <w:rtl w:val="true"/>
        </w:rPr>
        <w:t>)</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 مشهور به علی اکبر، فرزند بزرگ سیدالشهداء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علاقه شدیدی که به نام پدرش علی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11/369</w:t>
      </w:r>
      <w:r>
        <w:rPr>
          <w:rFonts w:ascii="IRNazanin" w:hAnsi="IRNazanin" w:eastAsia="IRNazanin"/>
          <w:color w:val="111111"/>
          <w:sz w:val="28"/>
          <w:sz w:val="28"/>
          <w:szCs w:val="28"/>
          <w:rtl w:val="true"/>
          <w:lang w:bidi="fa-IR"/>
        </w:rPr>
        <w:t>؛ ابن شهرآشوب،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برخی گزارش ها، اسم سه پسر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که به ترتیب به علی اکبر، علی اوسط و علی اصغر معروف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صغیر،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ابن شهرآشوب،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شافعی نصیبی،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22" w:name="pg8714_82458"/>
    </w:p>
    <w:p>
      <w:pPr>
        <w:pStyle w:val="BookText"/>
        <w:rPr/>
      </w:pPr>
      <w:bookmarkEnd w:id="22"/>
      <w:r>
        <w:rPr>
          <w:rFonts w:ascii="IRNazanin" w:hAnsi="IRNazanin" w:eastAsia="IRNazanin"/>
          <w:color w:val="111111"/>
          <w:sz w:val="28"/>
          <w:sz w:val="28"/>
          <w:szCs w:val="28"/>
          <w:rtl w:val="true"/>
          <w:lang w:bidi="fa-IR"/>
        </w:rPr>
        <w:t>درباره سن علی اکبر گزارش 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آن حضرت را در هنگام شهادت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5/114</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ابن شهرآشوب،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مقتل های متأخر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نیز برای آن حضرت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گفتند که آن حضرت در زمان خلافت عثمان متولد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ابن ادریس،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تنها به این نکته اشاره کرده اند که او بیشتر از ده سال سن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ابن نمای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اینکه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مشهور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2/512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کربلا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ابن عنبه،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سوی دیگر چنان که خواهد آمد، علی اکبر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بوده است، بنابراین، گزارش هایی که سن حضرت علی اکبر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بیشتر می دانند، به واقع نزدیک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مطالعه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قیام،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2/624</w:t>
      </w:r>
      <w:r>
        <w:rPr>
          <w:rFonts w:eastAsia="IRNazanin" w:cs="IRNazanin"/>
          <w:color w:val="111111"/>
          <w:sz w:val="28"/>
          <w:szCs w:val="28"/>
          <w:rtl w:val="true"/>
          <w:lang w:bidi="fa-IR"/>
        </w:rPr>
        <w:t>-</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عمرانی،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لیلا دختر ابی مُرّة بن عُروه بن مسعود ثقفی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بن زُبیر،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سبط ابن جوزی،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از طرف مادر به بنی امیه منسوب است؛ چون مادرش میمونه دختر ابوسفیان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بن زُبیر،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5/468</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مغربی،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سبط ابن جوزی،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2/240</w:t>
      </w:r>
      <w:r>
        <w:rPr>
          <w:rFonts w:eastAsia="IRNazanin" w:cs="IRNazanin"/>
          <w:color w:val="111111"/>
          <w:sz w:val="28"/>
          <w:szCs w:val="28"/>
          <w:rtl w:val="true"/>
          <w:lang w:bidi="fa-IR"/>
        </w:rPr>
        <w:t>).</w:t>
      </w:r>
    </w:p>
    <w:p>
      <w:pPr>
        <w:pStyle w:val="Heading3"/>
        <w:numPr>
          <w:ilvl w:val="2"/>
          <w:numId w:val="1"/>
        </w:numPr>
        <w:rPr/>
      </w:pPr>
      <w:bookmarkStart w:id="23" w:name="__RefHeading___Toc3032572_653776707"/>
      <w:bookmarkStart w:id="24" w:name="_Toc8"/>
      <w:bookmarkEnd w:id="23"/>
      <w:r>
        <w:rPr>
          <w:rtl w:val="true"/>
        </w:rPr>
        <w:t xml:space="preserve">علی اکبر </w:t>
      </w:r>
      <w:r>
        <w:rPr>
          <w:rtl w:val="true"/>
        </w:rPr>
        <w:t>(</w:t>
      </w:r>
      <w:r>
        <w:rPr>
          <w:rtl w:val="true"/>
        </w:rPr>
        <w:t>علیه السلام</w:t>
      </w:r>
      <w:r>
        <w:rPr>
          <w:rtl w:val="true"/>
        </w:rPr>
        <w:t xml:space="preserve">) </w:t>
      </w:r>
      <w:r>
        <w:rPr>
          <w:rtl w:val="true"/>
        </w:rPr>
        <w:t xml:space="preserve">بزرگ تر از امام سجاد </w:t>
      </w:r>
      <w:r>
        <w:rPr>
          <w:rtl w:val="true"/>
        </w:rPr>
        <w:t>(</w:t>
      </w:r>
      <w:r>
        <w:rPr>
          <w:rtl w:val="true"/>
        </w:rPr>
        <w:t>علیه السلام</w:t>
      </w:r>
      <w:r>
        <w:rPr>
          <w:rtl w:val="true"/>
        </w:rPr>
        <w:t>)</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علی بن الحسین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پسر بزرگ سیدالشهداء بوده و </w:t>
      </w:r>
    </w:p>
    <w:p>
      <w:pPr>
        <w:pStyle w:val="BookText"/>
        <w:rPr/>
      </w:pPr>
      <w:r>
        <w:rPr>
          <w:rFonts w:ascii="IRNazanin" w:hAnsi="IRNazanin" w:eastAsia="IRNazanin"/>
          <w:color w:val="111111"/>
          <w:sz w:val="28"/>
          <w:sz w:val="28"/>
          <w:szCs w:val="28"/>
          <w:rtl w:val="true"/>
          <w:lang w:bidi="fa-IR"/>
        </w:rPr>
        <w:t xml:space="preserve">بزرگ تر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این مسئله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اول برخی مورخان،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 بزرگ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اطلاق کرده اند و علی شهید را که مادرش لیلا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و از کودکی به نام علی اصغر نام نبرده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2/135</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ابن داود حلی،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دیدگاهدوم حاکی از آن است که اکثر منابع تاریخی و کتاب های سیره و نسب شناسی، علی شهید در کربلا را علی بزرگ تر خوانده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اطلاق کرده اند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 دوم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میان طرف داران این دیدگاه، درباره اینکه آیا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یا کودکی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علی شهید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و از کودکی به نام علی اصغر نام نبرده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بن زُبیر،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زُبیری،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مغربی،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علوی عمری،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شجری،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ابن فُندُق،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سبط ابن جوزی،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دیگر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اند که آخرین آنها کودک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حتی تصریح کرده اند که علی پسر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صغیر،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ابن خشاب،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ابن شهرآشوب،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شافعی نصیبی،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دید بیشتر منابع تاریخی و کتاب های تراجم و اَنساب، علی شهید در کربلا علی اکبر است و امروزه نیز همین دیدگاه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حلی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bookmarkStart w:id="25" w:name="pg8714_82460"/>
    </w:p>
    <w:p>
      <w:pPr>
        <w:pStyle w:val="BookText"/>
        <w:rPr/>
      </w:pPr>
      <w:bookmarkEnd w:id="25"/>
      <w:r>
        <w:rPr>
          <w:rFonts w:eastAsia="IRNazanin" w:cs="IRNazanin"/>
          <w:color w:val="111111"/>
          <w:sz w:val="28"/>
          <w:szCs w:val="28"/>
          <w:lang w:bidi="fa-IR"/>
        </w:rPr>
        <w:t>1/655-656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شیخ مفید علی شهید را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 دانسته ولی در این مسئله باید به اهل فن مراجعه کرد که تاریخ نگاران، سیره نویسان و نسب شناسان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می گوید مطابق گزارش آنان، علی شهید بزرگ تر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چگونه بر خلاف گزارش مشهور، عالمان بزرگی چون شیخ مفید، شیخ طوسی و طبرسی،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تر دانسته اند؟ برخی این مسئله را چنین توجیه کرده اند که دیدگاه آنان به خاطر ملاحظه روایتی است که می گوید فرزند بزرگ امام باید جانشین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این توجیه نیز گفته شده که کوچک بودن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اکبر، در امامت آن حضرت اشکالی وارد نمی کند؛ زیرا منظور از فرزند بزرگ در روایت، بزرگ بودن هنگام فوت امام است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سیدالشهداء پسر بزرگ بود، چون علی اکبر شهید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7/420</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3"/>
        <w:numPr>
          <w:ilvl w:val="2"/>
          <w:numId w:val="1"/>
        </w:numPr>
        <w:rPr/>
      </w:pPr>
      <w:bookmarkStart w:id="26" w:name="__RefHeading___Toc3032574_653776707"/>
      <w:bookmarkStart w:id="27" w:name="_Toc9"/>
      <w:bookmarkEnd w:id="26"/>
      <w:r>
        <w:rPr>
          <w:rtl w:val="true"/>
        </w:rPr>
        <w:t xml:space="preserve">علی اکبر </w:t>
      </w:r>
      <w:r>
        <w:rPr>
          <w:rtl w:val="true"/>
        </w:rPr>
        <w:t>(</w:t>
      </w:r>
      <w:r>
        <w:rPr>
          <w:rtl w:val="true"/>
        </w:rPr>
        <w:t>علیه السلام</w:t>
      </w:r>
      <w:r>
        <w:rPr>
          <w:rtl w:val="true"/>
        </w:rPr>
        <w:t xml:space="preserve">) </w:t>
      </w:r>
      <w:r>
        <w:rPr>
          <w:rtl w:val="true"/>
        </w:rPr>
        <w:t>اولین شهید اهل بیت</w:t>
      </w:r>
      <w:r>
        <w:rPr>
          <w:rtl w:val="true"/>
        </w:rPr>
        <w:t>(</w:t>
      </w:r>
      <w:r>
        <w:rPr>
          <w:rtl w:val="true"/>
        </w:rPr>
        <w:t>علیهم السلام</w:t>
      </w:r>
      <w:r>
        <w:rPr>
          <w:rtl w:val="true"/>
        </w:rPr>
        <w:t xml:space="preserve">) </w:t>
      </w:r>
      <w:r>
        <w:rPr>
          <w:rtl w:val="true"/>
        </w:rPr>
        <w:t>در کربلا</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سیدالشهداء هرکدام در رفتن به میدان جنگ از دیگری سبقت می گرفتند و با اشتیاق به شهادت،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3/404</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ascii="IRNazanin" w:hAnsi="IRNazanin" w:eastAsia="IRNazanin"/>
          <w:color w:val="111111"/>
          <w:sz w:val="28"/>
          <w:sz w:val="28"/>
          <w:szCs w:val="28"/>
          <w:rtl w:val="true"/>
          <w:lang w:bidi="fa-IR"/>
        </w:rPr>
        <w:t xml:space="preserve">؛ ابن نمای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از ورود جوانان اهل بیت، وارد میدان جنگ شدند تا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جوانان اهل بیت وارد عرصه نبرد شده و در دفاع از سیدالشهداءجان خود را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جوانان اهل بیت، برخی عبدالله بن مسلم بن عقیل را اولین شهید معرفی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5/110</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ابن شهرآشوب،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عباس بن علی را اولین شهید خاندان ابی طالب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مطابق نظر مشهور، علی اکبر، اولین کسی بود که از خاندان اهل بیت و فرزندان ابی طالب به میدان جنگ رفت و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3/406</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ابن ادریس،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bookmarkStart w:id="28" w:name="pg8714_82461"/>
    </w:p>
    <w:p>
      <w:pPr>
        <w:pStyle w:val="BookText"/>
        <w:rPr/>
      </w:pPr>
      <w:bookmarkEnd w:id="28"/>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29" w:name="__RefHeading___Toc3032576_653776707"/>
      <w:bookmarkStart w:id="30" w:name="_Toc10"/>
      <w:bookmarkEnd w:id="29"/>
      <w:r>
        <w:rPr>
          <w:rtl w:val="true"/>
        </w:rPr>
        <w:t xml:space="preserve">صحنه میدان رفتن علی اکبر </w:t>
      </w:r>
      <w:r>
        <w:rPr>
          <w:rtl w:val="true"/>
        </w:rPr>
        <w:t>(</w:t>
      </w:r>
      <w:r>
        <w:rPr>
          <w:rtl w:val="true"/>
        </w:rPr>
        <w:t>علیه السلام</w:t>
      </w:r>
      <w:r>
        <w:rPr>
          <w:rtl w:val="true"/>
        </w:rPr>
        <w:t>)</w:t>
      </w:r>
      <w:bookmarkEnd w:id="30"/>
    </w:p>
    <w:p>
      <w:pPr>
        <w:pStyle w:val="BookText"/>
        <w:rPr/>
      </w:pPr>
      <w:r>
        <w:rPr>
          <w:rFonts w:ascii="IRNazanin" w:hAnsi="IRNazanin" w:eastAsia="IRNazanin"/>
          <w:color w:val="111111"/>
          <w:sz w:val="28"/>
          <w:sz w:val="28"/>
          <w:szCs w:val="28"/>
          <w:rtl w:val="true"/>
          <w:lang w:bidi="fa-IR"/>
        </w:rPr>
        <w:t>حضرت علی اکبر وقتی دید از اصحاب و یاران کسی باقی نمانده و همه شهید شدند، نزد پدر آمد و از او اجازه خواست تا به میدان جنگ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درنگ به او اجازه داد اما نگاهی ناباورانه به جوانش انداخت و اشک از دیدگانش جاری شد و گریه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نمای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فَقَدْ بَرَزَ إِلَيْهِمْ غُلاَمٌ أَشْبَهُ النَّاسِ خَلْقاً وَ خُلُقاً وَ مَنْطِقاً بِرَسُولِکَ صَلَّى اللَّهُ عَلَيْهِ وَ آلِهِ وَ کُنَّا إِذَا اشْتَقْنَا إِلَى نَبِيِّکَ نَظَرْنَا إِلَيْهِ، پروردگارا گواه باش که جوانی را به جنگ آنان فرستادم که از نظر جمال و خُلق و خوی و منطق و سخن گفتن، شبیه ترین مردم به رسول و فرستادۀ تو بود و ما هر وقت مشتاق دیدار پیامبرت می شدیم، به صورت او نظر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سَعْدٍ قَطَعَ اللَّهُ رَحِمَکَ کَمَا قَطَعْتَ رَحِمِي؛ فرزند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نسل تو را قطع کند همین طور کهنسل من را قطع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5/114</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هنگامی که علی اکبر به سوی میدان جنگ می رفت،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pStyle w:val="BookText"/>
        <w:rPr/>
      </w:pPr>
      <w:r>
        <w:rPr>
          <w:rFonts w:ascii="Amiri" w:hAnsi="Amiri" w:eastAsia="Amiri" w:cs="Amiri"/>
          <w:color w:val="111111"/>
          <w:sz w:val="28"/>
          <w:sz w:val="28"/>
          <w:szCs w:val="28"/>
          <w:rtl w:val="true"/>
          <w:lang w:bidi="ar-SA"/>
        </w:rPr>
        <w:t xml:space="preserve">تَاللَّهِ لاَ يَحْکُمُ فِينَا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بِالسَّيْفِ أُحَامِي عَنْ أَبِي</w:t>
      </w:r>
    </w:p>
    <w:p>
      <w:pPr>
        <w:pStyle w:val="BookText"/>
        <w:rPr/>
      </w:pPr>
      <w:r>
        <w:rPr>
          <w:rFonts w:ascii="Amiri" w:hAnsi="Amiri" w:eastAsia="Amiri" w:cs="Amiri"/>
          <w:color w:val="111111"/>
          <w:sz w:val="28"/>
          <w:sz w:val="28"/>
          <w:szCs w:val="28"/>
          <w:rtl w:val="true"/>
          <w:lang w:bidi="ar-SA"/>
        </w:rPr>
        <w:t>ضَرْبَ غُلاَمٍ هَاشِمِيٍّ قُرَشِي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علی فرزند حسین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کعبه که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سزاوارتر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فرزند فرومایه نمی تواند بر ما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حمایت از پدرم با شمشیر ضربت می زنم ضربت زدن جوان هاشمی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صدوق،</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مغربی،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3/153</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Style w:val="FootnoteAnchor"/>
          <w:rtl w:val="true"/>
        </w:rPr>
        <w:footnoteReference w:id="5"/>
      </w:r>
      <w:bookmarkStart w:id="31" w:name="pg8714_82462"/>
    </w:p>
    <w:p>
      <w:pPr>
        <w:pStyle w:val="Heading3"/>
        <w:numPr>
          <w:ilvl w:val="2"/>
          <w:numId w:val="1"/>
        </w:numPr>
        <w:rPr/>
      </w:pPr>
      <w:bookmarkStart w:id="32" w:name="__RefHeading___Toc3032578_653776707"/>
      <w:bookmarkStart w:id="33" w:name="_Toc11"/>
      <w:bookmarkEnd w:id="31"/>
      <w:bookmarkEnd w:id="32"/>
      <w:r>
        <w:rPr>
          <w:rtl w:val="true"/>
        </w:rPr>
        <w:t xml:space="preserve">تشنگی علی اکبر </w:t>
      </w:r>
      <w:r>
        <w:rPr>
          <w:rtl w:val="true"/>
        </w:rPr>
        <w:t>(</w:t>
      </w:r>
      <w:r>
        <w:rPr>
          <w:rtl w:val="true"/>
        </w:rPr>
        <w:t>علیه السلام</w:t>
      </w:r>
      <w:r>
        <w:rPr>
          <w:rtl w:val="true"/>
        </w:rPr>
        <w:t>)</w:t>
      </w:r>
      <w:bookmarkEnd w:id="33"/>
    </w:p>
    <w:p>
      <w:pPr>
        <w:pStyle w:val="BookText"/>
        <w:rPr/>
      </w:pPr>
      <w:r>
        <w:rPr>
          <w:rFonts w:ascii="IRNazanin" w:hAnsi="IRNazanin" w:eastAsia="IRNazanin"/>
          <w:color w:val="111111"/>
          <w:sz w:val="28"/>
          <w:sz w:val="28"/>
          <w:szCs w:val="28"/>
          <w:rtl w:val="true"/>
          <w:lang w:bidi="fa-IR"/>
        </w:rPr>
        <w:t>حضرت علی اکبر جنگ سختی کرد و عده ای زیادی را کشت و خود نیز جراحات فراوان برداشت؛ اما تشنگی بر او غلبه کرد و به سوی پدر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الْعَطَشُ قَدْ قَتَلَنِي وَ ثِقْلُ الْحَدِيدِ قَدْ أَجْهَدَنِي فَهَلْ إِلَى شَرْبَةٍ مِنَ الْمَاءِ سَبِيل؟؛ پدر جان تشنگی من را کشت و سنگینی سلاح من را به زحمت انداخته است، آیا جرعه آبی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حبیبمن صبر پیشه کن، زود است که از دست جدّت رسول خدا سیراب شوی به گونه ای که بعد از آن هرگز احساس تشنگی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دوباره به میدان نبرد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5/115</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مغربی،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3/153</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ابن شهرآشوب،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r>
        <w:rPr>
          <w:rFonts w:ascii="IRNazanin" w:hAnsi="IRNazanin" w:eastAsia="IRNazanin"/>
          <w:color w:val="111111"/>
          <w:sz w:val="28"/>
          <w:sz w:val="28"/>
          <w:szCs w:val="28"/>
          <w:rtl w:val="true"/>
          <w:lang w:bidi="fa-IR"/>
        </w:rPr>
        <w:t xml:space="preserve">؛ ابن نمای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4" w:name="__RefHeading___Toc3032580_653776707"/>
      <w:bookmarkStart w:id="35" w:name="_Toc12"/>
      <w:bookmarkEnd w:id="34"/>
      <w:r>
        <w:rPr>
          <w:rtl w:val="true"/>
        </w:rPr>
        <w:t xml:space="preserve">چگونگی شهادت علی اکبر </w:t>
      </w:r>
      <w:r>
        <w:rPr>
          <w:rtl w:val="true"/>
        </w:rPr>
        <w:t>(</w:t>
      </w:r>
      <w:r>
        <w:rPr>
          <w:rtl w:val="true"/>
        </w:rPr>
        <w:t>علیه السلام</w:t>
      </w:r>
      <w:r>
        <w:rPr>
          <w:rtl w:val="true"/>
        </w:rPr>
        <w:t>)</w:t>
      </w:r>
      <w:bookmarkEnd w:id="3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چنان مبارزه می کرد که کار را بر سپاه دشمن سخت کرده بود اما مُرّة بن مُنقِذ عبدی</w:t>
      </w:r>
      <w:r>
        <w:rPr>
          <w:rStyle w:val="FootnoteAnchor"/>
          <w:rtl w:val="true"/>
        </w:rPr>
        <w:footnoteReference w:id="7"/>
      </w:r>
      <w:r>
        <w:rPr>
          <w:rFonts w:ascii="IRNazanin" w:hAnsi="IRNazanin" w:eastAsia="IRNazanin"/>
          <w:color w:val="111111"/>
          <w:sz w:val="28"/>
          <w:sz w:val="28"/>
          <w:szCs w:val="28"/>
          <w:rtl w:val="true"/>
          <w:lang w:bidi="fa-IR"/>
        </w:rPr>
        <w:t>وقتی دید لشکر از کشتن او خودداری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عرب بر گردن من اگر این جوان به دست من بیفتد و او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این بار وقتی به سپاه دشمن حمله کرد، او سر راهش را گرفت و با نیزه به علی اکبر زد تا از اسب به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لشکریان عمر سعد دور او را احاطه و بدنش را با شمشیرهای خود قطعه قطعه</w:t>
      </w:r>
      <w:r>
        <w:rPr>
          <w:rStyle w:val="FootnoteAnchor"/>
          <w:rtl w:val="true"/>
        </w:rPr>
        <w:footnoteReference w:id="8"/>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36" w:name="pg8714_82463"/>
    </w:p>
    <w:p>
      <w:pPr>
        <w:pStyle w:val="BookText"/>
        <w:rPr/>
      </w:pPr>
      <w:bookmarkEnd w:id="36"/>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ابن نمای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از جملهکسانی است که در هنگام شهادت بدنش قطعه قطعه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مقاتل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 اِرباً</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کاربرده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فَقَطَعُوهُ بِأَسْیَافِهِم اِرباً اِرباً، او را با شمشیرهایشان عضو عضو و پاره پاره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مورخان نقل کرده اند مُرّة بن مُنقِذ عبدی تیری به سوی علی اکبر پرتاب کرد و یا ضربه ای بر سر آن حضرت زد که توان خود را از دست داد و به زمین افتاد، آن گاه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عَلَيْکَ مِنِّی السَّلاَمُ هَذَا جَدِّي يُقْرِؤُکَ السَّلاَمَ وَ يَقُولُ لَکَ عَجِّلِ الْقَدُومَ عَلَيْنَا ثُمَّ شَهَقَ شَهْقَةً فَمَاتَ؛ پدر جان از من به تو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 من است که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آمدنت به سوی ما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فریادی زد و جان را به حق تسلیم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مغربی،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3/153</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3"/>
        <w:numPr>
          <w:ilvl w:val="2"/>
          <w:numId w:val="1"/>
        </w:numPr>
        <w:rPr/>
      </w:pPr>
      <w:bookmarkStart w:id="37" w:name="__RefHeading___Toc3032582_653776707"/>
      <w:bookmarkStart w:id="38" w:name="_Toc13"/>
      <w:bookmarkEnd w:id="37"/>
      <w:r>
        <w:rPr>
          <w:rtl w:val="true"/>
        </w:rPr>
        <w:t xml:space="preserve">آمدن حسین </w:t>
      </w:r>
      <w:r>
        <w:rPr>
          <w:rtl w:val="true"/>
        </w:rPr>
        <w:t>(</w:t>
      </w:r>
      <w:r>
        <w:rPr>
          <w:rtl w:val="true"/>
        </w:rPr>
        <w:t>علیه السلام</w:t>
      </w:r>
      <w:r>
        <w:rPr>
          <w:rtl w:val="true"/>
        </w:rPr>
        <w:t xml:space="preserve">) </w:t>
      </w:r>
      <w:r>
        <w:rPr>
          <w:rtl w:val="true"/>
        </w:rPr>
        <w:t xml:space="preserve">و زینب </w:t>
      </w:r>
      <w:r>
        <w:rPr>
          <w:rtl w:val="true"/>
        </w:rPr>
        <w:t>(</w:t>
      </w:r>
      <w:r>
        <w:rPr>
          <w:rtl w:val="true"/>
        </w:rPr>
        <w:t>علیها السلام</w:t>
      </w:r>
      <w:r>
        <w:rPr>
          <w:rtl w:val="true"/>
        </w:rPr>
        <w:t xml:space="preserve">) </w:t>
      </w:r>
      <w:r>
        <w:rPr>
          <w:rtl w:val="true"/>
        </w:rPr>
        <w:t xml:space="preserve">بر بالین علی اکبر </w:t>
      </w:r>
      <w:r>
        <w:rPr>
          <w:rtl w:val="true"/>
        </w:rPr>
        <w:t>(</w:t>
      </w:r>
      <w:r>
        <w:rPr>
          <w:rtl w:val="true"/>
        </w:rPr>
        <w:t>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صدای علی اکبر را شنید و از شهادت آن حضرت باخبر شد، خود را بر بالین او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خَدَّهُ عَلَى خَدِّه وَ قَالَ قَتَلَ اللَّهُ قَوْماً قَتَلُوکَ مَا أَجْرَأَهُمْ عَلَى اللَّهِ وَ عَلَى انْتِهَاکِ حُرْمَةِ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بَعْدَکَ الْعَفَاءُ؛ صورتش را به صورت علی اکبر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مردمی را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خدا گستاخی نمودند و حرمت رسول خدا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این دنیا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ابن مشهدی،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ابن نمای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خیمه بیرون آمد و مانند خورشیدِ به هنگام طلوع، به سرعت </w:t>
      </w:r>
      <w:bookmarkStart w:id="39" w:name="pg8714_82464"/>
    </w:p>
    <w:p>
      <w:pPr>
        <w:pStyle w:val="BookText"/>
        <w:rPr/>
      </w:pPr>
      <w:bookmarkEnd w:id="39"/>
      <w:r>
        <w:rPr>
          <w:rFonts w:ascii="IRNazanin" w:hAnsi="IRNazanin" w:eastAsia="IRNazanin"/>
          <w:color w:val="111111"/>
          <w:sz w:val="28"/>
          <w:sz w:val="28"/>
          <w:szCs w:val="28"/>
          <w:rtl w:val="true"/>
          <w:lang w:bidi="fa-IR"/>
        </w:rPr>
        <w:t>سوی میدان دوید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حَبِيبَاه يَا ابْنَ أَخَاه وَ جَاءَتْ فَأَکَبَّتْ عَلَيْهِ فَجَاءَ الْحُسَيْنُ عَلَيْهِ السَّلاَمُ فَأَخَذَهَا وَ رَدَّهَا إِلَى الفُسْطَاطِ؛ ای حبیب من، 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خود را به روی جسد علی اکبر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زیر بغل زینب را گرفت و به سوی خیمه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ابن نمای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اهل بیت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اِحْمِلُوا اَخَاکُمْ؛ برادرتان را بردارید 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بدن علی اکبر را از قتلگاه برداشته به خیمه گاه بردند و پیش خیمه ای که مقابل آن می جنگیدند، کنار دیگر کشتگان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5/447</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2/107</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3"/>
        <w:numPr>
          <w:ilvl w:val="2"/>
          <w:numId w:val="1"/>
        </w:numPr>
        <w:rPr/>
      </w:pPr>
      <w:bookmarkStart w:id="40" w:name="__RefHeading___Toc3032584_653776707"/>
      <w:bookmarkStart w:id="41" w:name="_Toc14"/>
      <w:bookmarkEnd w:id="40"/>
      <w:r>
        <w:rPr>
          <w:rtl w:val="true"/>
        </w:rPr>
        <w:t>نتیجه</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و بررسی منابع متقدم درباره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شهادت وی به این نتیجه انجامید که آن حضرت پسر بزرگ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 سن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روز عاشورا نخستینشهید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اصحاب و یاران سیدالشهداء، نزد پدر آمد و اجازه میدان خواست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درنگ به آن حضرت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 سخت مبارزه کرد اما یک بار در هنگامه جنگ به خیمه بازگشت و از فشار تشنگی با پدر سخن گفت و سپس به میدان نبرد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سرانجام توسط ضربت نیزه مُرّة بن مُنقِذ عبدی به زمین افتاد و دشمن هجوم آورده بدن او را با شمشیر قطعه قطعه و عضو عضو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چگونگی شهادت آن حضرت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بسیار سخت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بزرگوار به بالین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بدن پاره پاره فرزند رشیدش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تو خاک بر سر این دنیا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خود را روی بدن علی اکبر انداخته، ندا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جوانان بنی هاشم دستور داد تا بدن علی اکبر را به </w:t>
      </w:r>
      <w:bookmarkStart w:id="42" w:name="pg8714_82465"/>
    </w:p>
    <w:p>
      <w:pPr>
        <w:pStyle w:val="BookText"/>
        <w:rPr/>
      </w:pPr>
      <w:bookmarkEnd w:id="42"/>
      <w:r>
        <w:rPr>
          <w:rFonts w:ascii="IRNazanin" w:hAnsi="IRNazanin" w:eastAsia="IRNazanin"/>
          <w:color w:val="111111"/>
          <w:sz w:val="28"/>
          <w:sz w:val="28"/>
          <w:szCs w:val="28"/>
          <w:rtl w:val="true"/>
          <w:lang w:bidi="fa-IR"/>
        </w:rPr>
        <w:t>خیمه ها ببرند و آنها بدن حضرت را برداشته به خیمه بردند و کنار دیگر شهیدان گذاشتند</w:t>
      </w:r>
      <w:r>
        <w:rPr>
          <w:rFonts w:eastAsia="IRNazanin" w:cs="IRNazanin"/>
          <w:color w:val="111111"/>
          <w:sz w:val="28"/>
          <w:szCs w:val="28"/>
          <w:rtl w:val="true"/>
          <w:lang w:bidi="fa-IR"/>
        </w:rPr>
        <w:t>.</w:t>
      </w:r>
    </w:p>
    <w:p>
      <w:pPr>
        <w:pStyle w:val="Heading3"/>
        <w:numPr>
          <w:ilvl w:val="2"/>
          <w:numId w:val="1"/>
        </w:numPr>
        <w:rPr/>
      </w:pPr>
      <w:bookmarkStart w:id="43" w:name="__RefHeading___Toc3032586_653776707"/>
      <w:bookmarkStart w:id="44" w:name="_Toc15"/>
      <w:bookmarkEnd w:id="43"/>
      <w:r>
        <w:rPr>
          <w:rtl w:val="true"/>
        </w:rPr>
        <w:t>منابع</w:t>
      </w:r>
      <w:bookmarkEnd w:id="4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ادریس حلی، محمد بن منصور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السرائر الحاوی لتحریر الفتاوی، قم،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محمد بن علی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 علی شیری،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جوزی، عبدالرحمان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المنتظم فی تاریخ الأمم و الملوک، تحقیق محمد عبدالقادر عطا و مصطفی عبدالقادر عطا، بیروت، دارالکتب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خشاب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موالید الأئمه، در مجموعه نفیسه فی تاریخ الأئمه،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دار القاری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داود حلی، حسن بن علی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الرجال،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الطبقه الخامسه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بن صامل السلمی، طایف، مکتبه 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هاشم رسولی و محمد حسین آشتیانی، قم، انتشارات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سید علی بن موسی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الإقبال بالأعمال الحسنه، تحقیق جواد قیومی اصفهانی،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علیرضا رجالی تهرانی، قم، انتشارات نبوغ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عنبه، احمد بن 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عمده الطالب فی أنساب آل ابی طالب، تحقیق سید مهدی رجایی، قم، کتابخانه آیت الله مرعشی نجفی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فُندُق بیهقی، علی بن زید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لباب الأنساب و الألقاب و الأعقاب، مقدمه شهاب الدین مرعشی، تحقیق مهدی رجایی، قم، کتابخانه آیت الله العظمی مرعشی </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دمشقی،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 النهایه،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مشهدی، محمد بن جعفر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الکبیر، تحقیق جواد قیومی اصفهانی، قم،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تحقیق جمال الدین میردامادی، بیروت، دار الفکر للطباعه و النشر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نمای حلی،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الاحزان، قم، مدرسه امام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فی معرفه الأئمه، مقدمه سید احمد حسینی،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اصفهانی، ابوالفرج علی بن 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تحقیق و شرح احمد صقر، بیروت، مؤسسه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بخاری، ابی نصر سهل بن عبدالله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السّلسلة العلویّة فی أنساب الساده العلویه، تحقیق سید مهدی رجایی، قم، کتابخانه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أنساب الأشراف، تحقیق سهیل زکار و ریاض زرکلی،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تاریخ قیام و مقتل جامع سیدالشهداء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تاریخ پژوهان، زیر نظر مهدی پیشوایی، قم، مؤسسه آموزشی و پژوهشی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تُستری، محمدتقی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الرجال، قم، مؤسسة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بن احمد اخطب خوارزم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تحقیق محمد سماوی، قم، 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احمد بن داود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الأخبار الطُوال، تصحیح جمال الدین شیال، تحقیق محمد عبدالمنعم عامر،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زُبیری، مُصعب بن عبدالله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قریش، تحقیق لیفی بروف نسال، قاهره، دار المعارف</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ابن جوزی، یوسف بن قزاوغلی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تذکره الخواص من الأمه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بذکر خصائص </w:t>
      </w:r>
    </w:p>
    <w:p>
      <w:pPr>
        <w:pStyle w:val="BookText"/>
        <w:rPr/>
      </w:pPr>
      <w:r>
        <w:rPr>
          <w:rFonts w:ascii="IRNazanin" w:hAnsi="IRNazanin" w:eastAsia="IRNazanin"/>
          <w:color w:val="111111"/>
          <w:sz w:val="28"/>
          <w:sz w:val="28"/>
          <w:szCs w:val="28"/>
          <w:rtl w:val="true"/>
          <w:lang w:bidi="fa-IR"/>
        </w:rPr>
        <w:t>الأئمه، تحقیق حسین تقی زاده، قم، المجمع العالمی لأهل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شافعی نصیبی، محمد بن طلحه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السَئُول فی مناقب آل الرسول، تصحیح عبدالعزیز طباطبایی، بیروت، مؤسسه البلاغ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شجری، یحیی بن حسین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الخمیسیه، تحقیق محمدحسن اسماعیل شافعی،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تهران،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الوری بأعلام الهدی، تهران، دار 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الموالید فی موالید الأئمه و وفیّاتهم، بیروت، دار القاری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صغیر، محمد بن جریر بن رستم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الإمامه، قم،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ابوالفضل ابراهیم، بیروت، دار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الطوسی، تصحیح جواد قیومی اصفهانی، قم، مؤسسة النشر الاسلامی التابعه لجماعه المدرسین بقم المشرفه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علوی عمری، علی بن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المَجدی فی أنساب الطالبیین، تحقیق احمد مهدوی دامغانی، قم، کتابخانه آیت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عمرانی، سید مسعود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واکاوی تاریخ ولادت و سن شریف علی اکبر در منابع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نامه معارف حسینی، سال سوم،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بهار، 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فُضیل بن زُبیر اسدی کوفی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تسمیة من قُتل مع الحسین، تحقیق محمدرضا حسینی جلالی، قم، مؤسسه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قم،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امام حسین بر پایه قرآن، حدیث و تاریخ،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طباطبایی نژاد، سید روح الله سیدطبایی، قم، سازمان چاپ و نشر دارالحدیث</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و معادن الجوهر، تحقیق یوسف </w:t>
      </w:r>
    </w:p>
    <w:p>
      <w:pPr>
        <w:pStyle w:val="BookText"/>
        <w:rPr/>
      </w:pPr>
      <w:r>
        <w:rPr>
          <w:rFonts w:ascii="Amiri" w:hAnsi="Amiri" w:eastAsia="Amiri" w:cs="Amiri"/>
          <w:color w:val="111111"/>
          <w:sz w:val="28"/>
          <w:sz w:val="28"/>
          <w:szCs w:val="28"/>
          <w:rtl w:val="true"/>
          <w:lang w:bidi="ar-SA"/>
        </w:rPr>
        <w:t>اسعد داغر، قم، مؤسسة دارالهجره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مغربی، قاضی نعمان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الاخبار فی فضائل الائمة الاطهار، تحقیق محمد حسینی جلالی، قم،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علی العباد، تحقیق مؤسسة آل البیت لاحیاء التراث، قم، المؤتمر العالمی لالفیه الشیخ المفید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بیروت، مؤسسه الخرسان للمطبوعات</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8714_82470"/>
      <w:bookmarkStart w:id="46" w:name="pg8714_82470"/>
      <w:bookmarkEnd w:id="46"/>
    </w:p>
    <w:p>
      <w:pPr>
        <w:pStyle w:val="Heading2"/>
        <w:numPr>
          <w:ilvl w:val="1"/>
          <w:numId w:val="1"/>
        </w:numPr>
        <w:rPr/>
      </w:pPr>
      <w:bookmarkStart w:id="47" w:name="pg8714_82470"/>
      <w:bookmarkStart w:id="48" w:name="__RefHeading___Toc3032588_653776707"/>
      <w:bookmarkStart w:id="49" w:name="_Toc16"/>
      <w:bookmarkEnd w:id="47"/>
      <w:bookmarkEnd w:id="48"/>
      <w:r>
        <w:rPr>
          <w:rtl w:val="true"/>
        </w:rPr>
        <w:t>لایه های سبکی اشعار عاشورایی پس از انقلاب اسلامی</w:t>
      </w:r>
      <w:bookmarkEnd w:id="49"/>
    </w:p>
    <w:p>
      <w:pPr>
        <w:pStyle w:val="Heading3"/>
        <w:numPr>
          <w:ilvl w:val="2"/>
          <w:numId w:val="1"/>
        </w:numPr>
        <w:rPr/>
      </w:pPr>
      <w:bookmarkStart w:id="50" w:name="__RefHeading___Toc3032590_653776707"/>
      <w:bookmarkStart w:id="51" w:name="_Toc17"/>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سکینه مهدوی کلاته نو</w:t>
      </w:r>
      <w:r>
        <w:rPr>
          <w:rStyle w:val="FootnoteAnchor"/>
          <w:rtl w:val="true"/>
        </w:rPr>
        <w:footnoteReference w:id="11"/>
      </w:r>
      <w:r>
        <w:rPr>
          <w:rFonts w:ascii="IRNazanin" w:hAnsi="IRNazanin" w:eastAsia="IRNazanin"/>
          <w:color w:val="111111"/>
          <w:sz w:val="28"/>
          <w:sz w:val="28"/>
          <w:szCs w:val="28"/>
          <w:rtl w:val="true"/>
          <w:lang w:bidi="fa-IR"/>
        </w:rPr>
        <w:t>دکتر محمود فیروزی مقدم</w:t>
      </w:r>
      <w:r>
        <w:rPr>
          <w:rStyle w:val="FootnoteAnchor"/>
          <w:rtl w:val="true"/>
        </w:rPr>
        <w:footnoteReference w:id="12"/>
      </w:r>
      <w:r>
        <w:rPr>
          <w:rFonts w:ascii="IRNazanin" w:hAnsi="IRNazanin" w:eastAsia="IRNazanin"/>
          <w:color w:val="111111"/>
          <w:sz w:val="28"/>
          <w:sz w:val="28"/>
          <w:szCs w:val="28"/>
          <w:rtl w:val="true"/>
          <w:lang w:bidi="fa-IR"/>
        </w:rPr>
        <w:t>دکتر مهیار علوی مقدم</w:t>
      </w:r>
      <w:r>
        <w:rPr>
          <w:rStyle w:val="FootnoteAnchor"/>
          <w:rtl w:val="true"/>
        </w:rPr>
        <w:footnoteReference w:id="13"/>
      </w:r>
      <w:r>
        <w:rPr>
          <w:rFonts w:ascii="IRNazanin" w:hAnsi="IRNazanin" w:eastAsia="IRNazanin"/>
          <w:color w:val="111111"/>
          <w:sz w:val="28"/>
          <w:sz w:val="28"/>
          <w:szCs w:val="28"/>
          <w:rtl w:val="true"/>
          <w:lang w:bidi="fa-IR"/>
        </w:rPr>
        <w:t>دکتر علی صادقی منش</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22/07/1401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30/11/1401</w:t>
      </w:r>
    </w:p>
    <w:p>
      <w:pPr>
        <w:pStyle w:val="BookText"/>
        <w:rPr/>
      </w:pPr>
      <w:r>
        <w:rPr>
          <w:rFonts w:ascii="IRNazanin" w:hAnsi="IRNazanin" w:eastAsia="IRNazanin"/>
          <w:color w:val="111111"/>
          <w:sz w:val="28"/>
          <w:sz w:val="28"/>
          <w:szCs w:val="28"/>
          <w:rtl w:val="true"/>
          <w:lang w:bidi="fa-IR"/>
        </w:rPr>
        <w:t>چکیده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عاشورایی، از گسترده ترین شاخه های شعرآیینی است که به روایت رویدادها و توصیف شخصیت های مرتبط با واقعه عاشورا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پس از پیروزی انقلاب اسلامی ایران و به ویژه دوران جنگ ایران و عراق رونق بیشتری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شخصیت های عاشورایی به سان الگوهای متعالی مبارزه با ظلم، ایثار و صبر، انگیزه بخش مخاطبان در دوران انقلاب و جنگ بود؛ </w:t>
      </w:r>
      <w:bookmarkStart w:id="52" w:name="pg8714_82471"/>
    </w:p>
    <w:p>
      <w:pPr>
        <w:pStyle w:val="BookText"/>
        <w:rPr/>
      </w:pPr>
      <w:bookmarkEnd w:id="52"/>
      <w:r>
        <w:rPr>
          <w:rFonts w:ascii="IRNazanin" w:hAnsi="IRNazanin" w:eastAsia="IRNazanin"/>
          <w:color w:val="111111"/>
          <w:sz w:val="28"/>
          <w:sz w:val="28"/>
          <w:szCs w:val="28"/>
          <w:rtl w:val="true"/>
          <w:lang w:bidi="fa-IR"/>
        </w:rPr>
        <w:t>دورانی که در آن مردم نیازمند حفظ روحیه پایداری و مقاومت در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ضمن شناسایی لایه های سبکی و پیوند مسائل زبانی با محتوا ما را به درک و دریافت دقیق تری از این نوع شعر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واژگان عینی و نشان دار، تکرار واژه ها و هم حروفی آنها و همچنین وجود تشبیهات و استعاراتِ گرفته شده از طبیعت، از ویژگی های این نوع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شیوه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لایه های سبکی اشعار عاشورایی بعد از انقلاب اسلامی می پردازد و تکامل اشعار را در چهار لایه آوایی، واژگانی، نحوی و بلاغی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یافته های پژوهش این اشعار در حوزه واژگان و تصاویر نوآورانه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سبک شناسی، شعر آیینی، شعرعاشورایی</w:t>
      </w:r>
      <w:r>
        <w:rPr>
          <w:rFonts w:eastAsia="IRNazanin" w:cs="IRNazanin"/>
          <w:color w:val="111111"/>
          <w:sz w:val="28"/>
          <w:szCs w:val="28"/>
          <w:rtl w:val="true"/>
          <w:lang w:bidi="fa-IR"/>
        </w:rPr>
        <w:t>.</w:t>
      </w:r>
    </w:p>
    <w:p>
      <w:pPr>
        <w:pStyle w:val="Heading3"/>
        <w:numPr>
          <w:ilvl w:val="2"/>
          <w:numId w:val="1"/>
        </w:numPr>
        <w:rPr/>
      </w:pPr>
      <w:bookmarkStart w:id="53" w:name="__RefHeading___Toc3032592_653776707"/>
      <w:bookmarkStart w:id="54" w:name="_Toc18"/>
      <w:bookmarkEnd w:id="53"/>
      <w:r>
        <w:rPr>
          <w:rtl w:val="true"/>
        </w:rPr>
        <w:t>مقدمه</w:t>
      </w:r>
      <w:bookmarkEnd w:id="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آیینی عاشورایی به جهت پیوند با روح فرهنگ و اندیشه ایرانی از اعتبار و اهمیت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واقعه کربلا و توصیف شخصیت ها و مناسک آیینی عاشورا از محورهای اصلی این نوع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واقعه عاشورا از دیر باز در عرصه ادبیات فارسی وجود داشته است، چنان که نمونه های آن را در آثار شاعران و نویسندگانی چون ابوالفضل بیهقی، کسایی، سنایی، عطار، مولوی و ابن یمین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از قرن هشتم و نهم به این سو به علت تغییر شرایط سیاسیاجتماعی شعر عاشورایی تجلی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ذهنیت ادبی فارسی زبانان با ادبیات و فرهنگ عاشورایی پیوند خورده است؛ تا جایی که می توان ادعا کرد مکتب عاشورا به شعر انقلابی و آیینی حیات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سرا و زمان احمدی،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انقلاب اسلامی عصر تحولات فرهنگی، سیاسی، اجتماعی و اقتصادی است که بازتاب ناگزیر آن را در عرصه ادب و هنر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هر انقلاب، بر باورها، نظرها و اندیشه هایی مبتنی است که بدان هویت و شخصیت می بخشد و به همین دلیل، هر خیزش و انقلاب موجی وسیع </w:t>
      </w:r>
      <w:bookmarkStart w:id="55" w:name="pg8714_82472"/>
    </w:p>
    <w:p>
      <w:pPr>
        <w:pStyle w:val="BookText"/>
        <w:rPr/>
      </w:pPr>
      <w:bookmarkEnd w:id="55"/>
      <w:r>
        <w:rPr>
          <w:rFonts w:ascii="IRNazanin" w:hAnsi="IRNazanin" w:eastAsia="IRNazanin"/>
          <w:color w:val="111111"/>
          <w:sz w:val="28"/>
          <w:sz w:val="28"/>
          <w:szCs w:val="28"/>
          <w:rtl w:val="true"/>
          <w:lang w:bidi="fa-IR"/>
        </w:rPr>
        <w:t>و گسترده از مضامین و واژه ها را با خویش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مفاهیم قرآنی، نمادهای روشن و مشخص شیعی و در بیانی کلی تر فرهنگ اسلام را به فراخنای شعر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پس از انقلاب اسلامی شاعران بیشتری به سرودن اشعار عاشورایی پرداختند که با توجه به نقش این نوع شعر در پیروزی انقلاب و دفاع مقدس وسعت و اهمیت زیادی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دقیق و بهتر این نوع شعر با استفاده از روش سبک شناسی لایه ای ما را در راه تعالی و پیشرفت آن یاری خواهد کرد و برجستگی های زبانی، زیبایی، آسیب ها و مشکلات آن شناسایی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تأثیر تحولات سیاسی، اجتماعی و فرهنگی بر عوامل زبانی مشخص خواهد شد</w:t>
      </w:r>
      <w:r>
        <w:rPr>
          <w:rFonts w:eastAsia="IRNazanin" w:cs="IRNazanin"/>
          <w:color w:val="111111"/>
          <w:sz w:val="28"/>
          <w:szCs w:val="28"/>
          <w:rtl w:val="true"/>
          <w:lang w:bidi="fa-IR"/>
        </w:rPr>
        <w:t>.</w:t>
      </w:r>
    </w:p>
    <w:p>
      <w:pPr>
        <w:pStyle w:val="Heading3"/>
        <w:numPr>
          <w:ilvl w:val="2"/>
          <w:numId w:val="1"/>
        </w:numPr>
        <w:rPr/>
      </w:pPr>
      <w:bookmarkStart w:id="56" w:name="__RefHeading___Toc3032594_653776707"/>
      <w:bookmarkStart w:id="57" w:name="_Toc19"/>
      <w:bookmarkEnd w:id="56"/>
      <w:r>
        <w:rPr>
          <w:rtl w:val="true"/>
        </w:rPr>
        <w:t>بیان مسئله</w:t>
      </w:r>
      <w:bookmarkEnd w:id="57"/>
    </w:p>
    <w:p>
      <w:pPr>
        <w:pStyle w:val="BookText"/>
        <w:rPr/>
      </w:pPr>
      <w:r>
        <w:rPr>
          <w:rFonts w:ascii="IRNazanin" w:hAnsi="IRNazanin" w:eastAsia="IRNazanin"/>
          <w:color w:val="111111"/>
          <w:sz w:val="28"/>
          <w:sz w:val="28"/>
          <w:szCs w:val="28"/>
          <w:rtl w:val="true"/>
          <w:lang w:bidi="fa-IR"/>
        </w:rPr>
        <w:t>برای بررسی آثارهنری، دیدگاه 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لایه های سبکی شعر عاشورایی رویکردی نو در شناخت این شعر،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سبک شناسی این نوع شعر مشخص خواهد شد کدام ویژگی های زبانی نقش مهم تری در فهم و تفسیر متن دارند و چه مشترکات و چه تحولات فکری در طول زمان و در بین شعرای مختلف از اینمنظر وجود دارد که منجر به تحولات زبانی شده است</w:t>
      </w:r>
      <w:r>
        <w:rPr>
          <w:rFonts w:eastAsia="IRNazanin" w:cs="IRNazanin"/>
          <w:color w:val="111111"/>
          <w:sz w:val="28"/>
          <w:szCs w:val="28"/>
          <w:rtl w:val="true"/>
          <w:lang w:bidi="fa-IR"/>
        </w:rPr>
        <w:t>.</w:t>
      </w:r>
    </w:p>
    <w:p>
      <w:pPr>
        <w:pStyle w:val="Heading3"/>
        <w:numPr>
          <w:ilvl w:val="2"/>
          <w:numId w:val="1"/>
        </w:numPr>
        <w:rPr/>
      </w:pPr>
      <w:bookmarkStart w:id="58" w:name="__RefHeading___Toc3032596_653776707"/>
      <w:bookmarkStart w:id="59" w:name="_Toc20"/>
      <w:bookmarkEnd w:id="58"/>
      <w:r>
        <w:rPr>
          <w:rtl w:val="true"/>
        </w:rPr>
        <w:t>پیشینه پژوهش</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اشعار عاشورایی پژوهش های فراوانی انجام شده است که محتوا محور بوده و به سیر تحول مفاهیم و شناخت بیشتر در این زمینه توجه شده است، اما با توجه به دیدگاه های جدید تحلیلی در حوزه زبان شناسی، نقد ادبی و سبک شناسی این موقعیت به وجود آمده تا آثار، از دیدگاه های نوین مورد بررسی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های آیینی از جمله اشعار عاشورایی دارای بستری مناسب و غنی برای این نوع تحقیقات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پیرامون سبک شناسی و شعر عاشورایی با رویکرد سبک شناسی لایه ای پژوهشی مستقل و در خور توجه صورت نگرفته است، اما می توان از منابعی یاد کرد که محتوای آنها تا حدودی با این مقوله پیوند دارند؛ از جمله پژوهش های انجام شده می توان به موارد زیر اشاره کرد</w:t>
      </w:r>
      <w:r>
        <w:rPr>
          <w:rFonts w:eastAsia="IRNazanin" w:cs="IRNazanin"/>
          <w:color w:val="111111"/>
          <w:sz w:val="28"/>
          <w:szCs w:val="28"/>
          <w:rtl w:val="true"/>
          <w:lang w:bidi="fa-IR"/>
        </w:rPr>
        <w:t xml:space="preserve">. </w:t>
      </w:r>
      <w:bookmarkStart w:id="60" w:name="pg8714_82473"/>
    </w:p>
    <w:p>
      <w:pPr>
        <w:pStyle w:val="BookText"/>
        <w:rPr/>
      </w:pPr>
      <w:bookmarkEnd w:id="60"/>
      <w:r>
        <w:rPr>
          <w:rFonts w:ascii="IRNazanin" w:hAnsi="IRNazanin" w:eastAsia="IRNazanin"/>
          <w:color w:val="111111"/>
          <w:sz w:val="28"/>
          <w:sz w:val="28"/>
          <w:szCs w:val="28"/>
          <w:rtl w:val="true"/>
          <w:lang w:bidi="fa-IR"/>
        </w:rPr>
        <w:t xml:space="preserve">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رویکردهای شاعران انقلاب اسلامی به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محمدباقرتقوی زیروانی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پژوهش ابعاد و رویکردهای اشعار عاشورایی بعد از انقلاب اسلامی مورد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اذعان می دارد که ولایت مداری، نگاه تحلیلی به واقعه عاشورا، پیوند حماسه و عرفان، پیروزی خون بر شمشیر و استمرار عاشورا از ویژگی های مهم شعر عاشورایی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محمدزاده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اشعار عاشورایی عصر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 تا دوره های شعر عاشورایی، ویژگی های این گونه شعر در عصر انقلاب و عناصر موجود در آن را مورد بحث و بررسی قرار دهد و همچنین اشاره ای به قالب ها و تحریفات آنکرده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سرا و زمان احمدی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زیبا شناختی شعر آیینی عاشورایی قیصر امین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زیباشناختی شعرهای عاشورایی قیصر امین پور در سه محور نوگرایی، تصویرپردازی و گفتمان علمی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مقالات متعدد دیگری نیز در این زمینه نوشته شده که بیشتر آنها جنبه معنا گرایانه و محتوا محور داشته است و یا پژوهشگران حوزه سبک شناسی بیشتر به بررسی یک لایه سبکی و یا یک شاعر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سبک شناسی لایه ای اشعار عاشورایی را مورد بررسی قرار داده که از این منظر بدیع است</w:t>
      </w:r>
      <w:r>
        <w:rPr>
          <w:rFonts w:eastAsia="IRNazanin" w:cs="IRNazanin"/>
          <w:color w:val="111111"/>
          <w:sz w:val="28"/>
          <w:szCs w:val="28"/>
          <w:rtl w:val="true"/>
          <w:lang w:bidi="fa-IR"/>
        </w:rPr>
        <w:t>.</w:t>
      </w:r>
    </w:p>
    <w:p>
      <w:pPr>
        <w:pStyle w:val="Heading3"/>
        <w:numPr>
          <w:ilvl w:val="2"/>
          <w:numId w:val="1"/>
        </w:numPr>
        <w:rPr/>
      </w:pPr>
      <w:bookmarkStart w:id="61" w:name="__RefHeading___Toc3032598_653776707"/>
      <w:bookmarkStart w:id="62" w:name="_Toc21"/>
      <w:bookmarkEnd w:id="61"/>
      <w:r>
        <w:rPr>
          <w:rtl w:val="true"/>
        </w:rPr>
        <w:t>ضرورت و اهمیت پژوهش</w:t>
      </w:r>
      <w:bookmarkEnd w:id="6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لایه های زبانی، دانشی است که از جامع ترین شیوه ها در بررسی متون بهره می گیرد؛ بدین معنی که از کوچک ترین سازه های زبان؛ یعنی آواها آغاز می کند و تا واژگان و انواع و کیفیت کاربرد آنها، تعابیر و ترکیبات، نحو و ساختار جمله ها، بلاغت و کاربرد اندیشه و ایدئولوژی هنرمند به تجزیه و تحلیل می پردازد و در نهایت از مجموع کلیت ساختاری اثر به اهداف هنری سخنور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در ساختار زبانی شعر عاشورایی و چگونگی پیوند زبان با موضوع دینی و آیینی از مهم ترین موضوعات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موضوع پژوهشی حاضر از آن جهت است که ادبیات آیینی، ادبیاتی معناگرا است و به ویژگی های لفظی و ساختاری آن کمتر توجه شده، اما با درنگ در این آثار </w:t>
      </w:r>
      <w:bookmarkStart w:id="63" w:name="pg8714_82474"/>
    </w:p>
    <w:p>
      <w:pPr>
        <w:pStyle w:val="BookText"/>
        <w:rPr/>
      </w:pPr>
      <w:bookmarkEnd w:id="63"/>
      <w:r>
        <w:rPr>
          <w:rFonts w:ascii="IRNazanin" w:hAnsi="IRNazanin" w:eastAsia="IRNazanin"/>
          <w:color w:val="111111"/>
          <w:sz w:val="28"/>
          <w:sz w:val="28"/>
          <w:szCs w:val="28"/>
          <w:rtl w:val="true"/>
          <w:lang w:bidi="fa-IR"/>
        </w:rPr>
        <w:t>می توان ویژگی ها و برجستگی های لفظی و ساختاری گوناگون در آن را مشخص کرده و نوآوری های شاعران و تصرفات آنها را در لایه های آوایی، واژگانی و تصویری مورد تجزیه و تحلیل قرارداد</w:t>
      </w:r>
      <w:r>
        <w:rPr>
          <w:rFonts w:eastAsia="IRNazanin" w:cs="IRNazanin"/>
          <w:color w:val="111111"/>
          <w:sz w:val="28"/>
          <w:szCs w:val="28"/>
          <w:rtl w:val="true"/>
          <w:lang w:bidi="fa-IR"/>
        </w:rPr>
        <w:t>.</w:t>
      </w:r>
    </w:p>
    <w:p>
      <w:pPr>
        <w:pStyle w:val="Heading3"/>
        <w:numPr>
          <w:ilvl w:val="2"/>
          <w:numId w:val="1"/>
        </w:numPr>
        <w:rPr/>
      </w:pPr>
      <w:bookmarkStart w:id="64" w:name="__RefHeading___Toc3032600_653776707"/>
      <w:bookmarkStart w:id="65" w:name="_Toc22"/>
      <w:bookmarkEnd w:id="64"/>
      <w:r>
        <w:rPr>
          <w:rtl w:val="true"/>
        </w:rPr>
        <w:t>سبک شناسی</w:t>
      </w:r>
      <w:bookmarkEnd w:id="65"/>
    </w:p>
    <w:p>
      <w:pPr>
        <w:pStyle w:val="BookText"/>
        <w:rPr/>
      </w:pPr>
      <w:r>
        <w:rPr>
          <w:rFonts w:ascii="IRNazanin" w:hAnsi="IRNazanin" w:eastAsia="IRNazanin"/>
          <w:color w:val="111111"/>
          <w:sz w:val="28"/>
          <w:sz w:val="28"/>
          <w:szCs w:val="28"/>
          <w:rtl w:val="true"/>
          <w:lang w:bidi="fa-IR"/>
        </w:rPr>
        <w:t>سبک در معنای عام و در رایج ترین مفهوم، عبارت از شیوه خاص انجام یک کار است و در معنای اصطلاحی در زبان شناسی و ادبیات بر شیوه رفتارهای زبانی افراد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در تعریف زبان شناسان عبارت از شیوه کاربرد زبان در یک بافت معین، به وسیله شخص معین، برای هدفی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لیچ به نقل از فتوحی،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سبک شناسی، دانش شناسایی شیوه کاربرد زبان در سخن یک فرد، یک گروه یا در یک متن یا گروهی از متن ها است که بنیاد کار این دانش بر تمایز، گوناگونی وگزینش زبانی در لایه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آوایی، واژگانی، نحوی، معنایی و 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علم سبک شناسی را از بسیاری از رویکردهای نقد ادبی متمایز می کند، تکیه آن بر امور عینی و واقعی موجود در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انگیزه های روش شناختی و نظری کاملا عینیت گرای این دانش مشخص می کند در یک متن کدام ویژگی های زبانی، کلیدهای راه گشای فهم، تفسیر و ارزیابی هستند و کدام عناصر در تحلیل سبک و محتوای اثر ارزش چندانی ندارند و باید به کناری نهاده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3"/>
        <w:numPr>
          <w:ilvl w:val="2"/>
          <w:numId w:val="1"/>
        </w:numPr>
        <w:rPr/>
      </w:pPr>
      <w:bookmarkStart w:id="66" w:name="__RefHeading___Toc3032602_653776707"/>
      <w:bookmarkStart w:id="67" w:name="_Toc23"/>
      <w:bookmarkEnd w:id="66"/>
      <w:r>
        <w:rPr>
          <w:rtl w:val="true"/>
        </w:rPr>
        <w:t>سبک شناسی لایه ای</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شناسی لایه ای یکی از روش های نوین است که با ارائه الگوی زبان شناختی به تجزیه و تحلیل ویژگی های سبکی متن و چگونگی شکل گیری مفاهیم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سبک شناسی لایه ای مبانی سبک ساز در پنج لایه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آوایی، واژگانی، نحوی، بلاغی و ایدئولوژیک</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بررسی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فتوحی،</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روش لایه ای در آن است که با بهره گیری از روش های متنوع، سهم هر لایه در برجسته سازی متن، جداگانه مشخص </w:t>
      </w:r>
      <w:bookmarkStart w:id="68" w:name="pg8714_82475"/>
    </w:p>
    <w:p>
      <w:pPr>
        <w:pStyle w:val="BookText"/>
        <w:rPr/>
      </w:pPr>
      <w:bookmarkEnd w:id="68"/>
      <w:r>
        <w:rPr>
          <w:rFonts w:ascii="IRNazanin" w:hAnsi="IRNazanin" w:eastAsia="IRNazanin"/>
          <w:color w:val="111111"/>
          <w:sz w:val="28"/>
          <w:sz w:val="28"/>
          <w:szCs w:val="28"/>
          <w:rtl w:val="true"/>
          <w:lang w:bidi="fa-IR"/>
        </w:rPr>
        <w:t xml:space="preserve">می شود و مشخصه های ویژه سبک و نقش و ارزش آنها را در هر لایه جداگانه روشن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3"/>
        <w:numPr>
          <w:ilvl w:val="2"/>
          <w:numId w:val="1"/>
        </w:numPr>
        <w:rPr/>
      </w:pPr>
      <w:bookmarkStart w:id="69" w:name="__RefHeading___Toc3032604_653776707"/>
      <w:bookmarkStart w:id="70" w:name="_Toc24"/>
      <w:bookmarkEnd w:id="69"/>
      <w:r>
        <w:rPr>
          <w:rtl w:val="true"/>
        </w:rPr>
        <w:t>لایه آوایی</w:t>
      </w:r>
      <w:bookmarkEnd w:id="70"/>
    </w:p>
    <w:p>
      <w:pPr>
        <w:pStyle w:val="BookText"/>
        <w:rPr/>
      </w:pPr>
      <w:r>
        <w:rPr>
          <w:rFonts w:ascii="IRNazanin" w:hAnsi="IRNazanin" w:eastAsia="IRNazanin"/>
          <w:color w:val="111111"/>
          <w:sz w:val="28"/>
          <w:sz w:val="28"/>
          <w:szCs w:val="28"/>
          <w:rtl w:val="true"/>
          <w:lang w:bidi="fa-IR"/>
        </w:rPr>
        <w:t xml:space="preserve">تحلیل آوایی سبک به الگوهای صوتی و شیوه تلفظ در زبان گفتار و نوشتار نظر دارد و در پی پاسخ به این پرسش است که کاربرد خاص الگوهای آوایی و واجی تا چه اندازه می تواند گفتار یک شخص را برجسته کند و به آن شکل خاصی بدهد به گونه ای که با شکل های عادی سخن و زبان معیار متفاوت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71" w:name="__RefHeading___Toc3032606_653776707"/>
      <w:bookmarkStart w:id="72" w:name="_Toc25"/>
      <w:bookmarkEnd w:id="71"/>
      <w:r>
        <w:rPr>
          <w:rtl w:val="true"/>
        </w:rPr>
        <w:t>تکرار</w:t>
      </w:r>
      <w:bookmarkEnd w:id="72"/>
    </w:p>
    <w:p>
      <w:pPr>
        <w:pStyle w:val="BookText"/>
        <w:rPr/>
      </w:pPr>
      <w:r>
        <w:rPr>
          <w:rFonts w:ascii="IRNazanin" w:hAnsi="IRNazanin" w:eastAsia="IRNazanin"/>
          <w:color w:val="111111"/>
          <w:sz w:val="28"/>
          <w:sz w:val="28"/>
          <w:szCs w:val="28"/>
          <w:rtl w:val="true"/>
          <w:lang w:bidi="fa-IR"/>
        </w:rPr>
        <w:t>یکی از شاخصه های مهم سبکی، تکرار و تداوم رفتارهای زبانی خاص در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زمانی هویت پیدا می کند که تکرار و تداوم عناصر صوری و محتوایی در سخن گوینده محسوس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سطح آوایی می توان سطح موسیقیایی متن نیز گفت؛ زیرا در این مرحله متن را به لحاظ ابزار موسیقی آفرین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درونی متن به وسیله صنایع بدیع لفظی از قبیل انواع سجع، انواع جناس و انواع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حروفی، هم صدایی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شمیسا،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برای عینیت بخشیدن به عواطف شدید، شگردها و ویژگی های خاص خود را دارد؛ از جمله این شگردها، تکرار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وحیدیان کامیار،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تکرار، تکرار در سطح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آواهایی که دریک متن دیده می شود، می تواند القاکننده مفاهیم خاصی باشد و سبب آهنگین شدن کلام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لایه آوایی اشعار عاشورایی تکرار حرف، واژه و عبارت به فراوانی وجود دارد که با ذکر نمونه هایی به بررسی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 ها به پای شما آتشم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برای شما آتشم زدند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برقعی،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شعر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بیشتری دارد که احساس عمیق شاعر و عشق و شور او را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تشنگان چشمۀ احلی من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نوشم ز شربتی که شکرها در او 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غزل عاشورایی نیز دارای تکرار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تأکید بر تشنگی می کند که با عشق از هر شربتی شیرین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کهکشان شعله ور راه شیری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روشنای خون علی اصغر شما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شعر علاوه بر تکرار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آهنگین شدن و زیبایی کلام شده است عظمت خون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تصویری از کهکشان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اشعار فوق مشاهده می شود تکرار حروف علاوه بر ایجاد آهنگ کلام، تداعی ها و تصاویر مختلفی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بسامد بالای مصوت یا صامتی خاص در مجموع یک اثر، علاوه بر تأثیر موسیقیایی، به دنبال انتقال پیامی خاص به مخاطب نیز هست که اغلب در راستای اندیشه کلی اثر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فراوان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عاشورایی تداعی اشک، شور،عشق، شهادت، آتشی که به خیمه ها زدند و عشقی که در جان شاعر ریشه دوانده و احساس او را بر 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واژه علاوه بر ایجاد موسیقی در کلام بر اهمیت و ارزش چیزی نیز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نوای نی نوای بی نوایی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ناله هایش، نی نوایی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نی بند بند پیکر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 نیستان در سر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ابیات فوق تکرار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 نی 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ضمن برجسته کردن این واژه های محوری به نیزه شدن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و اندوه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تکرار واژه ها همراه با شعر، شور و نوا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موجب انسجام متن و پیوستگی میان اجزای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درد مردم ما خدا، بی درد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 مردم ما خدا، نامرد مردم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دامغانی،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تکرار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بر بی دردی و نامردی مردم زمانه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انسان هایی که در مقابل ظلم و بیداد بی حرکت اند،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مست و دشت، مست و جاده،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زره، هم تیغ، هم کباده مست</w:t>
      </w:r>
    </w:p>
    <w:p>
      <w:pPr>
        <w:pStyle w:val="BookText"/>
        <w:rPr/>
      </w:pPr>
      <w:r>
        <w:rPr>
          <w:rFonts w:ascii="IRNazanin" w:hAnsi="IRNazanin" w:eastAsia="IRNazanin"/>
          <w:color w:val="111111"/>
          <w:sz w:val="28"/>
          <w:sz w:val="28"/>
          <w:szCs w:val="28"/>
          <w:rtl w:val="true"/>
          <w:lang w:bidi="fa-IR"/>
        </w:rPr>
        <w:t xml:space="preserve">ساد و ساحل، دجله و دریا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ها چون کوه ها استاده مست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رشاد به نقل از آیینه گردانی،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شعر شاهد تکرار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تداعی از خود بی خودشدن همه عناصر صحنه کربلا است و تصویری از هیجان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 تشنه، ماه تشنه، خیمه گاه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میان نخل های شرمگین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به نقل از آیینه گردانی،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بیت عطش و تشنگی فراوان همه عناصر و اصحاب و یاران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تشنگی بر همه غلبه کرده که بر مشک و خیمه نیز تأثیر گذاشته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در سطوح مختلف، اعم از واژگانی و موسیقیایی، از بارزترین ویژگی هایی است که در رثا به وفور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رشیق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رثا به خاطر وجود مصیبت و شدت حزن و اندوهی که فرد مصیبت دیده در خود می یابد، مناسب ترین مکان برای تکرار کلام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القیروانی،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در انصاری،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 های لایه آوایی در شعر فارسی وجود ردیف، قافیه و بررسی هم حروفی و هم صدایی موسیقی درونی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صدایی، تکرار مصوت ها و هم حروفی تکرار صامت ها را گویند، که به طور ضمنی بر مفهومی خاص در کلام دلالت می کند؛ چرا که بسامد بالای مصوت یا صامتی خاص در یک قطعه شعر، با غرضی خاص و برای انتقال پیامی خاص به مخاطب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صنایع لفظی از دیگر مواردی است که در تحلیل آوایی متن بدان پرداخته می شود؛ از جمله جناس، سجع که از تشابه و تجانس صامت ها و مصوت ها حاصل می شود و شاید بتوان گفت هنگام بررسی توازن، هم حروفی و هم صدایی، این صنایع نیز بررسی می شود</w:t>
      </w:r>
      <w:r>
        <w:rPr>
          <w:rFonts w:eastAsia="IRNazanin" w:cs="IRNazanin"/>
          <w:color w:val="111111"/>
          <w:sz w:val="28"/>
          <w:szCs w:val="28"/>
          <w:rtl w:val="true"/>
          <w:lang w:bidi="fa-IR"/>
        </w:rPr>
        <w:t xml:space="preserve">. </w:t>
      </w:r>
      <w:bookmarkStart w:id="73" w:name="pg8714_82478"/>
    </w:p>
    <w:p>
      <w:pPr>
        <w:pStyle w:val="BookText"/>
        <w:rPr/>
      </w:pPr>
      <w:bookmarkEnd w:id="73"/>
      <w:r>
        <w:rPr>
          <w:rFonts w:ascii="IRNazanin" w:hAnsi="IRNazanin" w:eastAsia="IRNazanin"/>
          <w:color w:val="111111"/>
          <w:sz w:val="28"/>
          <w:sz w:val="28"/>
          <w:szCs w:val="28"/>
          <w:rtl w:val="true"/>
          <w:lang w:bidi="fa-IR"/>
        </w:rPr>
        <w:t xml:space="preserve">ببریدم، ببریدم، که خریدار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خون شده از مژده دیدار حسینم</w:t>
      </w:r>
    </w:p>
    <w:p>
      <w:pPr>
        <w:pStyle w:val="BookText"/>
        <w:rPr/>
      </w:pPr>
      <w:r>
        <w:rPr>
          <w:rFonts w:ascii="IRNazanin" w:hAnsi="IRNazanin" w:eastAsia="IRNazanin"/>
          <w:color w:val="111111"/>
          <w:sz w:val="28"/>
          <w:sz w:val="28"/>
          <w:szCs w:val="28"/>
          <w:rtl w:val="true"/>
          <w:lang w:bidi="fa-IR"/>
        </w:rPr>
        <w:t xml:space="preserve">نه شکیبی، نه قراری، نه مرا راه فراری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بوتۀ خاری، به چمن زار حسینم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غفورزاده،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عاشورایی دارای تکرار واژه، ردیف و قافیه درونی و بیرونی است که باعث ایجاد موسیقی و ایجاد عاطفه و احساس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ما غرق غم توست،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ما و قدم توست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و کرم توست، 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قبله ما حرم توست،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غفورزاده،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عاشورایی فوق دارای هم حروفی غرق و غم و جناس در واژه های غم و قدم، کم و کرم و همچنین دارای ردیف و قافیه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 مرثیه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بر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دست قلم، بر به سوی دفتر، 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انسانی به نقل از آیینه گردانی،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عاشورایی در مورد حضرت ابوالفضل سروده شده که دارای ردیف و قافیه و تکرار واژه دست است که تأکید بر مفهوم فداکاری ایشان با قلم شدن دست هایش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تشنه ترین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ترین عطشان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سرمست سماعی سرخ، در دایره میدان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به نقل از آیینه گردانی،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فوق دارای قافیه درونی و ردیف و هم حروفی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باعث ایجاد موسیقی در کلام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نمونه های ارائه شده، شعر عاشورایی آهنگین و دارای موسیقی است که از ردیف و قافیه، تکرارها و صنایع لفظی در آن به وفور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اشعار در مجالس آیینی کاربرد زیادی دارد، این ویژگی باعث زیبایی و برانگیختن احساس و تأثیر بیشتر بر مخاطبان می شود</w:t>
      </w:r>
      <w:r>
        <w:rPr>
          <w:rFonts w:eastAsia="IRNazanin" w:cs="IRNazanin"/>
          <w:color w:val="111111"/>
          <w:sz w:val="28"/>
          <w:szCs w:val="28"/>
          <w:rtl w:val="true"/>
          <w:lang w:bidi="fa-IR"/>
        </w:rPr>
        <w:t>.</w:t>
      </w:r>
    </w:p>
    <w:p>
      <w:pPr>
        <w:pStyle w:val="Heading3"/>
        <w:numPr>
          <w:ilvl w:val="2"/>
          <w:numId w:val="1"/>
        </w:numPr>
        <w:rPr/>
      </w:pPr>
      <w:bookmarkStart w:id="74" w:name="__RefHeading___Toc3032608_653776707"/>
      <w:bookmarkStart w:id="75" w:name="_Toc26"/>
      <w:bookmarkEnd w:id="74"/>
      <w:r>
        <w:rPr>
          <w:rtl w:val="true"/>
        </w:rPr>
        <w:t>لایه واژگانی</w:t>
      </w:r>
      <w:bookmarkEnd w:id="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 ای از سرشک یک سبک ادبی را نوع گزینش واژه 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 از نظر </w:t>
      </w:r>
      <w:bookmarkStart w:id="76" w:name="pg8714_82479"/>
    </w:p>
    <w:p>
      <w:pPr>
        <w:pStyle w:val="BookText"/>
        <w:rPr/>
      </w:pPr>
      <w:bookmarkEnd w:id="76"/>
      <w:r>
        <w:rPr>
          <w:rFonts w:ascii="IRNazanin" w:hAnsi="IRNazanin" w:eastAsia="IRNazanin"/>
          <w:color w:val="111111"/>
          <w:sz w:val="28"/>
          <w:sz w:val="28"/>
          <w:szCs w:val="28"/>
          <w:rtl w:val="true"/>
          <w:lang w:bidi="fa-IR"/>
        </w:rPr>
        <w:t xml:space="preserve">ویژگی های ساختمانی، گونه های دلالت و مختصات معنایی بسیار متنوع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تحلیل سبک شناختی واژه ها باید با ماهیت واژه ها و نقشی که در آفرینش متن و محتوا دارند، آشنا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های واژه ها متنوع هستند که شامل عینی و ذهنی، عام وخاص، صریح و ضمنی و نظایر اینها است</w:t>
      </w:r>
      <w:r>
        <w:rPr>
          <w:rFonts w:eastAsia="IRNazanin" w:cs="IRNazanin"/>
          <w:color w:val="111111"/>
          <w:sz w:val="28"/>
          <w:szCs w:val="28"/>
          <w:rtl w:val="true"/>
          <w:lang w:bidi="fa-IR"/>
        </w:rPr>
        <w:t>.</w:t>
      </w:r>
    </w:p>
    <w:p>
      <w:pPr>
        <w:pStyle w:val="Heading3"/>
        <w:numPr>
          <w:ilvl w:val="2"/>
          <w:numId w:val="1"/>
        </w:numPr>
        <w:rPr/>
      </w:pPr>
      <w:bookmarkStart w:id="77" w:name="__RefHeading___Toc3032610_653776707"/>
      <w:bookmarkStart w:id="78" w:name="_Toc27"/>
      <w:bookmarkEnd w:id="77"/>
      <w:r>
        <w:rPr>
          <w:rtl w:val="true"/>
        </w:rPr>
        <w:t>عینی و ذهنی</w:t>
      </w:r>
      <w:bookmarkEnd w:id="78"/>
    </w:p>
    <w:p>
      <w:pPr>
        <w:pStyle w:val="BookText"/>
        <w:rPr/>
      </w:pPr>
      <w:r>
        <w:rPr>
          <w:rFonts w:ascii="IRNazanin" w:hAnsi="IRNazanin" w:eastAsia="IRNazanin"/>
          <w:color w:val="111111"/>
          <w:sz w:val="28"/>
          <w:sz w:val="28"/>
          <w:szCs w:val="28"/>
          <w:rtl w:val="true"/>
          <w:lang w:bidi="fa-IR"/>
        </w:rPr>
        <w:t>واژه هایی که برعقاید، کیفیات، معانی و مفاهیم ذهنی دلالت دارند، انتزاعی و واژه هایی که بر اشیا واقعی و محسوس دلالت دارند، عینی و حسی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واژه های عینی، سبک متن را حسی می کند و کثرت واژه های ذهنی موجب انتزاعی شدن سبک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اشعار عاشورایی پس از انقلاب اسلامی از نظر واژگان مورد بررسی قرار می گیرد تا نوع واژه ها از این نظر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صخره از سیب زنخ بر می توان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بر نیزه کم تر می توان 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شعر عاشورایی واژه های صخره، سیب، خورشید و نیزه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شمشیری که برگلوی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و همه چیز را در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سوی تو، حسینی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سو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ماییم و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آب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کوهساران، جویباران، بیشه 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حسینی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شعر نیز واژه های شمشیر، گلو، سنگ ها، آب ها و درختان عینی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بود و کبوتر و قفس پشت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عطش و خیمه هراسان در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سمنانی به نقل از سنگری،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های آسمان، کبوتر، قفس، خیمه و باد عینی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بر گردن، من طوق گل آویخته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دل سوختگان گریه برایم کردند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غفورزاده،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79" w:name="pg8714_82480"/>
    </w:p>
    <w:p>
      <w:pPr>
        <w:pStyle w:val="BookText"/>
        <w:rPr/>
      </w:pPr>
      <w:bookmarkEnd w:id="79"/>
      <w:r>
        <w:rPr>
          <w:rFonts w:ascii="IRNazanin" w:hAnsi="IRNazanin" w:eastAsia="IRNazanin"/>
          <w:color w:val="111111"/>
          <w:sz w:val="28"/>
          <w:sz w:val="28"/>
          <w:szCs w:val="28"/>
          <w:rtl w:val="true"/>
          <w:lang w:bidi="fa-IR"/>
        </w:rPr>
        <w:t>واژه های اشک، گردن، طوق گل و دل عینی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نمونه های اشعار عاشورایی مشاهده می شود بسامد واژه های عینی بیشتر از واژه های ذهنی است</w:t>
      </w:r>
      <w:r>
        <w:rPr>
          <w:rFonts w:eastAsia="IRNazanin" w:cs="IRNazanin"/>
          <w:color w:val="111111"/>
          <w:sz w:val="28"/>
          <w:szCs w:val="28"/>
          <w:rtl w:val="true"/>
          <w:lang w:bidi="fa-IR"/>
        </w:rPr>
        <w:t>.</w:t>
      </w:r>
    </w:p>
    <w:p>
      <w:pPr>
        <w:pStyle w:val="Heading3"/>
        <w:numPr>
          <w:ilvl w:val="2"/>
          <w:numId w:val="1"/>
        </w:numPr>
        <w:rPr/>
      </w:pPr>
      <w:bookmarkStart w:id="80" w:name="__RefHeading___Toc3032612_653776707"/>
      <w:bookmarkStart w:id="81" w:name="_Toc28"/>
      <w:bookmarkEnd w:id="80"/>
      <w:r>
        <w:rPr>
          <w:rtl w:val="true"/>
        </w:rPr>
        <w:t>عام و خاص بودن واژه ها</w:t>
      </w:r>
      <w:bookmarkEnd w:id="81"/>
    </w:p>
    <w:p>
      <w:pPr>
        <w:pStyle w:val="BookText"/>
        <w:rPr/>
      </w:pPr>
      <w:r>
        <w:rPr>
          <w:rFonts w:ascii="IRNazanin" w:hAnsi="IRNazanin" w:eastAsia="IRNazanin"/>
          <w:color w:val="111111"/>
          <w:sz w:val="28"/>
          <w:sz w:val="28"/>
          <w:szCs w:val="28"/>
          <w:rtl w:val="true"/>
          <w:lang w:bidi="fa-IR"/>
        </w:rPr>
        <w:t>بررسی دیگری از واژه های این دوره از لحاظ عام و خاص بودن، نشان می دهد بیشتر واژه ها خاص هستند و به اتفاق یا رویداد خاصی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فکر آن گودالم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خون تو را مکیده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گودال خاص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بال های سپید اسبش 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پور به نقل از سنگری،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مرد خاص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 و عطش بر دشت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بادهای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بوته های خار می لرزید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روز، بادها و بوته خاص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پرچمی سبز و رها دور علم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مثل خودم دور حرم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براری به نقل از سنگری،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پرچم خاص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شبی دم کرده و شرجی میان شعله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 و می گذشت از هفت خوان شعله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به نقل از سنگری،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شب 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اشعار بالایی مشاهده می شود از ترکیب واژه های عینی و خاص تصاویری واضح و شفاف برای حوادث واقعه کربلا ساخته می شود به طوری که خواننده می تواند خود را آنجا احساس کند</w:t>
      </w:r>
      <w:r>
        <w:rPr>
          <w:rFonts w:eastAsia="IRNazanin" w:cs="IRNazanin"/>
          <w:color w:val="111111"/>
          <w:sz w:val="28"/>
          <w:szCs w:val="28"/>
          <w:rtl w:val="true"/>
          <w:lang w:bidi="fa-IR"/>
        </w:rPr>
        <w:t>.</w:t>
      </w:r>
    </w:p>
    <w:p>
      <w:pPr>
        <w:pStyle w:val="Heading3"/>
        <w:numPr>
          <w:ilvl w:val="2"/>
          <w:numId w:val="1"/>
        </w:numPr>
        <w:rPr/>
      </w:pPr>
      <w:bookmarkStart w:id="82" w:name="__RefHeading___Toc3032614_653776707"/>
      <w:bookmarkStart w:id="83" w:name="_Toc29"/>
      <w:bookmarkEnd w:id="82"/>
      <w:r>
        <w:rPr>
          <w:rtl w:val="true"/>
        </w:rPr>
        <w:t>واژگان نشان دار</w:t>
      </w:r>
      <w:bookmarkEnd w:id="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های نشان دار علاوه بر دلالت بر یک مفهوم خاص، دربردارنده معانی ضمنی و </w:t>
      </w:r>
    </w:p>
    <w:p>
      <w:pPr>
        <w:pStyle w:val="BookText"/>
        <w:rPr/>
      </w:pPr>
      <w:r>
        <w:rPr>
          <w:rFonts w:ascii="IRNazanin" w:hAnsi="IRNazanin" w:eastAsia="IRNazanin"/>
          <w:color w:val="111111"/>
          <w:sz w:val="28"/>
          <w:sz w:val="28"/>
          <w:szCs w:val="28"/>
          <w:rtl w:val="true"/>
          <w:lang w:bidi="fa-IR"/>
        </w:rPr>
        <w:t xml:space="preserve">مفاهیم ارزشی نیز هستند که نگرش و طرز تلقی نویسنده و گوینده را نشان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معانی ضمنی و تداعی های مثبت و منفی در واژه های نشان دار، سبب می شود که این واژه ها در بردارنده دیدگاه و نگرش مشخص و تلقی ایدئولوژیک باشند؛ از این رو نشان داری، بیان کننده رابطه بینافردی در کلام است و سطوح سبکی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هزار آینه حیران تو، یا ثارالله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سرزد زگریبان تو یا ثارالله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غفورزاده،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ثارالله نشان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علقمه، در قلب امواج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بوسه آب آوری جا مانده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غفورزاده،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های علقمه، فرات و آب آور نشان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بود و گلوی زخمی زنگوله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دزدیده بود انگشتر خورشید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بیابانکی به نقل از سنگری،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های کاروان، ساربان و انگشتر نشان 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دامنی که تو به آب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عباسی که از علقمه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تر می شود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بی راهه برمی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هاشمی میان چشم هایت طلوع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مرزبان،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عباس، علقمه و صحرا، آب و هاشمی نشان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ذوالجناحم من، براق لیله الاسرای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معراج جانان، صبر و تاب از من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غفورزاده،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ذوالجناح نشان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ذبیح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اسماعیل گزیده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رویای به حقیقت پیوسته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میقات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 میعاد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گرمارودی،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های ذبیح الله، اسماعیل، ابراهیم، کربلا و محرم نشان دار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اشعار که در سطور بالا آمده است نقش واژه ها در شعر عاشورایی به لحاظ </w:t>
      </w:r>
      <w:bookmarkStart w:id="84" w:name="pg8714_82482"/>
    </w:p>
    <w:p>
      <w:pPr>
        <w:pStyle w:val="BookText"/>
        <w:rPr/>
      </w:pPr>
      <w:bookmarkEnd w:id="84"/>
      <w:r>
        <w:rPr>
          <w:rFonts w:ascii="IRNazanin" w:hAnsi="IRNazanin" w:eastAsia="IRNazanin"/>
          <w:color w:val="111111"/>
          <w:sz w:val="28"/>
          <w:sz w:val="28"/>
          <w:szCs w:val="28"/>
          <w:rtl w:val="true"/>
          <w:lang w:bidi="fa-IR"/>
        </w:rPr>
        <w:t>عینی، خاص و نشان دار بودن پررنگ است و ایدئولوژی صریحی را نشان می دهد</w:t>
      </w:r>
      <w:r>
        <w:rPr>
          <w:rFonts w:eastAsia="IRNazanin" w:cs="IRNazanin"/>
          <w:color w:val="111111"/>
          <w:sz w:val="28"/>
          <w:szCs w:val="28"/>
          <w:rtl w:val="true"/>
          <w:lang w:bidi="fa-IR"/>
        </w:rPr>
        <w:t>.</w:t>
      </w:r>
    </w:p>
    <w:p>
      <w:pPr>
        <w:pStyle w:val="Heading3"/>
        <w:numPr>
          <w:ilvl w:val="2"/>
          <w:numId w:val="1"/>
        </w:numPr>
        <w:rPr/>
      </w:pPr>
      <w:bookmarkStart w:id="85" w:name="__RefHeading___Toc3032616_653776707"/>
      <w:bookmarkStart w:id="86" w:name="_Toc30"/>
      <w:bookmarkEnd w:id="85"/>
      <w:r>
        <w:rPr>
          <w:rtl w:val="true"/>
        </w:rPr>
        <w:t>لایه نحوی</w:t>
      </w:r>
      <w:bookmarkEnd w:id="86"/>
    </w:p>
    <w:p>
      <w:pPr>
        <w:pStyle w:val="BookText"/>
        <w:rPr/>
      </w:pPr>
      <w:r>
        <w:rPr>
          <w:rFonts w:ascii="IRNazanin" w:hAnsi="IRNazanin" w:eastAsia="IRNazanin"/>
          <w:color w:val="111111"/>
          <w:sz w:val="28"/>
          <w:sz w:val="28"/>
          <w:szCs w:val="28"/>
          <w:rtl w:val="true"/>
          <w:lang w:bidi="fa-IR"/>
        </w:rPr>
        <w:t>علم نحو عبارت از مطالعه روابط میان صورت های زبانی در جمله است که چگونگی توالی، نظم، هم نشینی و چینش واژه ها، ساختمان جمله ها، طول جمله ها، پیوستار بلاغی جمله ها، ساخت و نقش معنایی جمله ها و وجهیت و صدای دستوری آن را مورد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هر کدام از اینموارد با اندیشه، بافت و نوع نگرش شاعر با موضوع شعر ارتباط دارد که بررسی هر کدام به صورت جداگانه خارج از حوصله یک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کدام از موارد نحوی که در شعر عاشورایی برجستگی زیادی داشته باشد را بررسی خواهیم کرد</w:t>
      </w:r>
      <w:r>
        <w:rPr>
          <w:rFonts w:eastAsia="IRNazanin" w:cs="IRNazanin"/>
          <w:color w:val="111111"/>
          <w:sz w:val="28"/>
          <w:szCs w:val="28"/>
          <w:rtl w:val="true"/>
          <w:lang w:bidi="fa-IR"/>
        </w:rPr>
        <w:t>.</w:t>
      </w:r>
    </w:p>
    <w:p>
      <w:pPr>
        <w:pStyle w:val="Heading3"/>
        <w:numPr>
          <w:ilvl w:val="2"/>
          <w:numId w:val="1"/>
        </w:numPr>
        <w:rPr/>
      </w:pPr>
      <w:bookmarkStart w:id="87" w:name="__RefHeading___Toc3032618_653776707"/>
      <w:bookmarkStart w:id="88" w:name="_Toc31"/>
      <w:bookmarkEnd w:id="87"/>
      <w:r>
        <w:rPr>
          <w:rtl w:val="true"/>
        </w:rPr>
        <w:t>ساختمان جمله ها</w:t>
      </w:r>
      <w:bookmarkEnd w:id="88"/>
    </w:p>
    <w:p>
      <w:pPr>
        <w:pStyle w:val="BookText"/>
        <w:rPr/>
      </w:pPr>
      <w:r>
        <w:rPr>
          <w:rFonts w:ascii="IRNazanin" w:hAnsi="IRNazanin" w:eastAsia="IRNazanin"/>
          <w:color w:val="111111"/>
          <w:sz w:val="28"/>
          <w:sz w:val="28"/>
          <w:szCs w:val="28"/>
          <w:rtl w:val="true"/>
          <w:lang w:bidi="fa-IR"/>
        </w:rPr>
        <w:t xml:space="preserve">باید توجه داشت که کوتاهی و بلندی جملات در کلام شاعران بستگی به فضای حاکم بر شعر دارد؛ به این معنی که برای نشان دادن شتاب در شعر جملات کوتاه می آید و بر عکس فراوانی جملات بلند، سبکی آرام را رقم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گونه شعر، اشعاری با جملات بلند وجود دارد ولی فراوانی اشعار با جملات کوتاه و پیوسته بیشتر و به گونه ای است که انسجام معنایی در درون جمله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بود و عشق بود و توبودی و ماه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 سربلند، دلت رو به راه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به نقل از سنگری،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تا بمیرم و تنها نبینمت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روی سینه صحرا نبینمت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محرم شد و هنگام عزا،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بخوان مرثیت کرب و بلا، های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89" w:name="pg8714_82483"/>
    </w:p>
    <w:p>
      <w:pPr>
        <w:pStyle w:val="BookText"/>
        <w:rPr/>
      </w:pPr>
      <w:bookmarkEnd w:id="89"/>
      <w:r>
        <w:rPr>
          <w:rFonts w:ascii="IRNazanin" w:hAnsi="IRNazanin" w:eastAsia="IRNazanin"/>
          <w:color w:val="111111"/>
          <w:sz w:val="28"/>
          <w:sz w:val="28"/>
          <w:szCs w:val="28"/>
          <w:rtl w:val="true"/>
          <w:lang w:bidi="fa-IR"/>
        </w:rPr>
        <w:t>فراوانی اشعاری با جملات کوتاه شتاب و حرکت را نشان می دهد</w:t>
      </w:r>
      <w:r>
        <w:rPr>
          <w:rFonts w:eastAsia="IRNazanin" w:cs="IRNazanin"/>
          <w:color w:val="111111"/>
          <w:sz w:val="28"/>
          <w:szCs w:val="28"/>
          <w:rtl w:val="true"/>
          <w:lang w:bidi="fa-IR"/>
        </w:rPr>
        <w:t>.</w:t>
      </w:r>
    </w:p>
    <w:p>
      <w:pPr>
        <w:pStyle w:val="Heading3"/>
        <w:numPr>
          <w:ilvl w:val="2"/>
          <w:numId w:val="1"/>
        </w:numPr>
        <w:rPr/>
      </w:pPr>
      <w:bookmarkStart w:id="90" w:name="__RefHeading___Toc3032620_653776707"/>
      <w:bookmarkStart w:id="91" w:name="_Toc32"/>
      <w:bookmarkEnd w:id="90"/>
      <w:r>
        <w:rPr>
          <w:rtl w:val="true"/>
        </w:rPr>
        <w:t xml:space="preserve">پیوستار بلاغی جمله ها </w:t>
      </w:r>
      <w:r>
        <w:rPr>
          <w:rtl w:val="true"/>
        </w:rPr>
        <w:t>(</w:t>
      </w:r>
      <w:r>
        <w:rPr>
          <w:rtl w:val="true"/>
        </w:rPr>
        <w:t>انسجام نحوی</w:t>
      </w:r>
      <w:r>
        <w:rPr>
          <w:rtl w:val="true"/>
        </w:rPr>
        <w:t>)</w:t>
      </w:r>
      <w:bookmarkEnd w:id="91"/>
    </w:p>
    <w:p>
      <w:pPr>
        <w:pStyle w:val="BookText"/>
        <w:rPr/>
      </w:pPr>
      <w:r>
        <w:rPr>
          <w:rFonts w:ascii="IRNazanin" w:hAnsi="IRNazanin" w:eastAsia="IRNazanin"/>
          <w:color w:val="111111"/>
          <w:sz w:val="28"/>
          <w:sz w:val="28"/>
          <w:szCs w:val="28"/>
          <w:rtl w:val="true"/>
          <w:lang w:bidi="fa-IR"/>
        </w:rPr>
        <w:t>سازمان دهی واحدهای اندیشه در متن به انسجام بلاغی مشهور است که برای یک متن سبک دار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درهم پیوستگی متن حاصل پیوستار معنایی و دستوری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معنایی متن را می توان به وسیله تحلیل پیوستار دستوری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ساخت های دستوری در انسجام متن عبارتند از ارجاع، حذف، پیوند واژگانی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ترادف، مراعات النظیر،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تمهیدات پیوندی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حروف ربط، شرط،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 متن با حضور این عناصر به هم پیوند می خورند و پیوستار متنی استحکام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های آب یک دو نفس جان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مشک سر دندان گرفته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خالقی به نقل از سنگری،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شعر با حرف ربط وقتی انسجام معنایی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زرد و کبود و سرخ شد اما هنوز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عزای دیدن بابا هنوز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به نقل از سنگری،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عاشورایی با حروف ربط انسجام معنایی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سفید، ساکت و آرام رو به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یال خونی و تن عریان نشسته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سوزنی شیروان به نقل از سنگری،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با حرف ربط و تکرار و ترادف انسجام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بود و سر و نیزه و یک آه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از دور به دنبال صدا شرمنده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به نقل از سنگری،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با حرف ربط انسجام معنایی دارد</w:t>
      </w:r>
      <w:r>
        <w:rPr>
          <w:rFonts w:eastAsia="IRNazanin" w:cs="IRNazanin"/>
          <w:color w:val="111111"/>
          <w:sz w:val="28"/>
          <w:szCs w:val="28"/>
          <w:rtl w:val="true"/>
          <w:lang w:bidi="fa-IR"/>
        </w:rPr>
        <w:t xml:space="preserve">. </w:t>
      </w:r>
      <w:bookmarkStart w:id="92" w:name="pg8714_82484"/>
    </w:p>
    <w:p>
      <w:pPr>
        <w:pStyle w:val="Heading3"/>
        <w:numPr>
          <w:ilvl w:val="2"/>
          <w:numId w:val="1"/>
        </w:numPr>
        <w:rPr/>
      </w:pPr>
      <w:bookmarkStart w:id="93" w:name="__RefHeading___Toc3032622_653776707"/>
      <w:bookmarkStart w:id="94" w:name="_Toc33"/>
      <w:bookmarkEnd w:id="92"/>
      <w:bookmarkEnd w:id="93"/>
      <w:r>
        <w:rPr>
          <w:rtl w:val="true"/>
        </w:rPr>
        <w:t>وجهیت در فعل جمله</w:t>
      </w:r>
      <w:bookmarkEnd w:id="94"/>
    </w:p>
    <w:p>
      <w:pPr>
        <w:pStyle w:val="BookText"/>
        <w:rPr/>
      </w:pPr>
      <w:r>
        <w:rPr>
          <w:rFonts w:ascii="IRNazanin" w:hAnsi="IRNazanin" w:eastAsia="IRNazanin"/>
          <w:color w:val="111111"/>
          <w:sz w:val="28"/>
          <w:sz w:val="28"/>
          <w:szCs w:val="28"/>
          <w:rtl w:val="true"/>
          <w:lang w:bidi="fa-IR"/>
        </w:rPr>
        <w:t>وجهیت به طرز بارزی در فعل جمله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یا جنبه هایی از آن است که بر اخبار، احتمال، امر، آرزو، تمنی، تأکید، امید و برخی امور دیگر دلالت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فرشیدورد،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دستور فارسی، فهرست های متنوعی از وجوه فعل در جمله های فارسی آمده که بخشی از آنها عبارتند از وجه اخباری، تأکیدی، تردیدی، عاطفی، شرطی، پرسشی، تمنایی، التزامی، امری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اشعار عاشورایی مشخص شد که وجه پرسشی نمود بارزی دارد؛ در ذیل به نمونه هایی از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می برد ز غیب و شهود، این حسین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بر او سلام و درود، این حسین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غفورزاده،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چشم ها برای که تبخیر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 ها برای چه زنجیر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چون دل ما در تب و تاب است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دشت بلا تشنة آب است هنوز؟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غفورزاد،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تصویری از دود و آتش در چشم من می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آتش فتاده ست؟ یا من سراپا شرارم؟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اشعار بالا وجه پرسشی نمود بارزی دارد که باعث شده توجه خواننده را به آنچه نویسنده بیان می کند جلب و احساس او را برانگیزد</w:t>
      </w:r>
      <w:r>
        <w:rPr>
          <w:rFonts w:eastAsia="IRNazanin" w:cs="IRNazanin"/>
          <w:color w:val="111111"/>
          <w:sz w:val="28"/>
          <w:szCs w:val="28"/>
          <w:rtl w:val="true"/>
          <w:lang w:bidi="fa-IR"/>
        </w:rPr>
        <w:t>.</w:t>
      </w:r>
    </w:p>
    <w:p>
      <w:pPr>
        <w:pStyle w:val="Heading3"/>
        <w:numPr>
          <w:ilvl w:val="2"/>
          <w:numId w:val="1"/>
        </w:numPr>
        <w:rPr/>
      </w:pPr>
      <w:bookmarkStart w:id="95" w:name="__RefHeading___Toc3032624_653776707"/>
      <w:bookmarkStart w:id="96" w:name="_Toc34"/>
      <w:bookmarkEnd w:id="95"/>
      <w:r>
        <w:rPr>
          <w:rtl w:val="true"/>
        </w:rPr>
        <w:t>لایه بلاغی</w:t>
      </w:r>
      <w:bookmarkEnd w:id="96"/>
    </w:p>
    <w:p>
      <w:pPr>
        <w:pStyle w:val="Heading4"/>
        <w:numPr>
          <w:ilvl w:val="3"/>
          <w:numId w:val="1"/>
        </w:numPr>
        <w:rPr/>
      </w:pPr>
      <w:bookmarkStart w:id="97" w:name="__RefHeading___Toc3032626_653776707"/>
      <w:bookmarkStart w:id="98" w:name="_Toc35"/>
      <w:bookmarkEnd w:id="97"/>
      <w:r>
        <w:rPr>
          <w:rtl w:val="true"/>
        </w:rPr>
        <w:t>اشاره</w:t>
      </w:r>
      <w:bookmarkEnd w:id="9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سطح بلاغی زبان، سهم زیادی در سبک 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شگردهای بلاغی و </w:t>
      </w:r>
      <w:bookmarkStart w:id="99" w:name="pg8714_82485"/>
    </w:p>
    <w:p>
      <w:pPr>
        <w:pStyle w:val="BookText"/>
        <w:rPr/>
      </w:pPr>
      <w:bookmarkEnd w:id="99"/>
      <w:r>
        <w:rPr>
          <w:rFonts w:ascii="IRNazanin" w:hAnsi="IRNazanin" w:eastAsia="IRNazanin"/>
          <w:color w:val="111111"/>
          <w:sz w:val="28"/>
          <w:sz w:val="28"/>
          <w:szCs w:val="28"/>
          <w:rtl w:val="true"/>
          <w:lang w:bidi="fa-IR"/>
        </w:rPr>
        <w:t xml:space="preserve">صناعات بدیعی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تمیدات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تمهیدات، هم در آفرینش متن خلاق و کارآمد هستند و هم به فرآیند خوانش و تحلیل متن یاری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لایه است که سبک شناسی می تواند با تکیه بر میزان کابرد آرایه های بلاغی، سرشت صوری و محتوایی ویژه ای پیدا کند؛ مثلا کاربرد تشبیه در یک متن، سبک تشبیهی را شکل می دهد و بسامد بالای استعاره، سبک استعاری را رقم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شمیسا،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100" w:name="__RefHeading___Toc3032628_653776707"/>
      <w:bookmarkStart w:id="101" w:name="_Toc36"/>
      <w:bookmarkEnd w:id="100"/>
      <w:r>
        <w:rPr>
          <w:rtl w:val="true"/>
        </w:rPr>
        <w:t>الف</w:t>
      </w:r>
      <w:r>
        <w:rPr>
          <w:rtl w:val="true"/>
        </w:rPr>
        <w:t xml:space="preserve">) </w:t>
      </w:r>
      <w:r>
        <w:rPr>
          <w:rtl w:val="true"/>
        </w:rPr>
        <w:t>تشبیه</w:t>
      </w:r>
      <w:bookmarkEnd w:id="101"/>
    </w:p>
    <w:p>
      <w:pPr>
        <w:pStyle w:val="BookText"/>
        <w:rPr/>
      </w:pPr>
      <w:r>
        <w:rPr>
          <w:rFonts w:ascii="IRNazanin" w:hAnsi="IRNazanin" w:eastAsia="IRNazanin"/>
          <w:color w:val="111111"/>
          <w:sz w:val="28"/>
          <w:sz w:val="28"/>
          <w:szCs w:val="28"/>
          <w:rtl w:val="true"/>
          <w:lang w:bidi="fa-IR"/>
        </w:rPr>
        <w:t>در اشعار عاشورایی عنصر تشبیه با بسامد بالایی به کارگرفته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استفاده از تشبیهات که از عناصر طبیعت گرفته شده است، تصاویری زیبا و ملموس از حوادث می سازد که باعث می شود درک مخاطب و لذت او از کلام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صریح و بلیغ بیشترین بسامد را در این گونه اشعار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ریگ صحرا با اباذر پویه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عماروش چون ابر و دریا مویه کردم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به نقل از سنگری،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حوادث کربلا در دامان طبیعت و صحرا اتفاق افتاده، شاعران سعی کردند از عناصر طبیعت برای زیبایی کلام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عاشورایی ناله و اشک ریختن به ریزش از ابر و دریا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دل ما و غم غریب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جاذبه کهربا و کاه شده است</w:t>
      </w:r>
    </w:p>
    <w:p>
      <w:pPr>
        <w:pStyle w:val="BookText"/>
        <w:rPr/>
      </w:pPr>
      <w:r>
        <w:rPr>
          <w:rFonts w:ascii="IRNazanin" w:hAnsi="IRNazanin" w:eastAsia="IRNazanin"/>
          <w:color w:val="111111"/>
          <w:sz w:val="28"/>
          <w:sz w:val="28"/>
          <w:szCs w:val="28"/>
          <w:rtl w:val="true"/>
          <w:lang w:bidi="fa-IR"/>
        </w:rPr>
        <w:t xml:space="preserve">نگاه مضطرب دختری، به روی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عاطفه از اول پگاه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غفورزاده،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بالایی تمام بیت به صورت تشبیه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زبانزد آسمان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برادری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های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به نقل از سنگری،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حضرت ابوالفضل به ماه و پیمان به آیه های قران در این شعر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موج، روی دست پدر پیچ و تاب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نازکی، تنی به صفای حباب داشت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گرمارودی به نقل از آیینه گردانی،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102" w:name="pg8714_82486"/>
    </w:p>
    <w:p>
      <w:pPr>
        <w:pStyle w:val="BookText"/>
        <w:rPr/>
      </w:pPr>
      <w:bookmarkEnd w:id="102"/>
      <w:r>
        <w:rPr>
          <w:rFonts w:ascii="IRNazanin" w:hAnsi="IRNazanin" w:eastAsia="IRNazanin"/>
          <w:color w:val="111111"/>
          <w:sz w:val="28"/>
          <w:sz w:val="28"/>
          <w:szCs w:val="28"/>
          <w:rtl w:val="true"/>
          <w:lang w:bidi="fa-IR"/>
        </w:rPr>
        <w:t xml:space="preserve">تشبیه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 و به حباب که وجه شبه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نمونه اشعار مشاهده شد تمام تشبیهات از طبیعت گرفته شده که باعث به وجود آمدن تصاویری زیبا و ملموس شده است</w:t>
      </w:r>
      <w:r>
        <w:rPr>
          <w:rFonts w:eastAsia="IRNazanin" w:cs="IRNazanin"/>
          <w:color w:val="111111"/>
          <w:sz w:val="28"/>
          <w:szCs w:val="28"/>
          <w:rtl w:val="true"/>
          <w:lang w:bidi="fa-IR"/>
        </w:rPr>
        <w:t>.</w:t>
      </w:r>
    </w:p>
    <w:p>
      <w:pPr>
        <w:pStyle w:val="Heading4"/>
        <w:numPr>
          <w:ilvl w:val="3"/>
          <w:numId w:val="1"/>
        </w:numPr>
        <w:rPr/>
      </w:pPr>
      <w:bookmarkStart w:id="103" w:name="__RefHeading___Toc3032630_653776707"/>
      <w:bookmarkStart w:id="104" w:name="_Toc37"/>
      <w:bookmarkEnd w:id="103"/>
      <w:r>
        <w:rPr>
          <w:rtl w:val="true"/>
        </w:rPr>
        <w:t>ب</w:t>
      </w:r>
      <w:r>
        <w:rPr>
          <w:rtl w:val="true"/>
        </w:rPr>
        <w:t xml:space="preserve">) </w:t>
      </w:r>
      <w:r>
        <w:rPr>
          <w:rtl w:val="true"/>
        </w:rPr>
        <w:t>استعاره</w:t>
      </w:r>
      <w:bookmarkEnd w:id="104"/>
    </w:p>
    <w:p>
      <w:pPr>
        <w:pStyle w:val="BookText"/>
        <w:rPr/>
      </w:pPr>
      <w:r>
        <w:rPr>
          <w:rFonts w:ascii="IRNazanin" w:hAnsi="IRNazanin" w:eastAsia="IRNazanin"/>
          <w:color w:val="111111"/>
          <w:sz w:val="28"/>
          <w:sz w:val="28"/>
          <w:szCs w:val="28"/>
          <w:rtl w:val="true"/>
          <w:lang w:bidi="fa-IR"/>
        </w:rPr>
        <w:t>در مطالعات ادبی، استعاره را رکن اساسی خلاقیت و نمود ویژه فردیت هنری مؤلف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شناسان نیز استعاره را از مهم ترین صورت های مجازی می دانند و گاه آن را به منزله یک سبک رده بندی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نوع شگردهای استعاری یک مؤلف، میزان دخالت خیال وی در توصیف موضوع و نوع تصرف در آن را می توان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را بر نیزه؟ آری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بر نیزه دیدن سهمگین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شعر خورشید، استعاره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بزرگی و وسعت خورشید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آرام رها کرد گلی را در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دید که ماهی به زمین غلتیده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منصوری به نقل از سنگری،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شعر عاشورایی گل و ماه استعاره از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بهاری سبز، هفتاد و دو سرو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عشق، نخل بی سری جا مانده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غفورزاده،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بالایی به صورت استعاری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استعاره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نخل استعاره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بیدها رفته تا بیعت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ها خفته در حسرت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ها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ها قاب یک فاجعه عریان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 داکانی به نقل از آیینه گردانی،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نو </w:t>
      </w:r>
      <w:bookmarkStart w:id="105" w:name="pg8714_82487"/>
    </w:p>
    <w:p>
      <w:pPr>
        <w:pStyle w:val="BookText"/>
        <w:rPr/>
      </w:pPr>
      <w:bookmarkEnd w:id="105"/>
      <w:r>
        <w:rPr>
          <w:rFonts w:ascii="IRNazanin" w:hAnsi="IRNazanin" w:eastAsia="IRNazanin"/>
          <w:color w:val="111111"/>
          <w:sz w:val="28"/>
          <w:sz w:val="28"/>
          <w:szCs w:val="28"/>
          <w:rtl w:val="true"/>
          <w:lang w:bidi="fa-IR"/>
        </w:rPr>
        <w:t>عاشورایی که کاملا به صورت استعاری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دید غرق به خون، ماه عشق را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 شرم به رخساره زد نقابی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به نقل از آیینه گردانی،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عاشورایی فوق کاملا استعاری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عشق استعاره از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استعاره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در دوره های متفاوت، در کاربرد استعارات به سان تشبیهات، از عناصر طبیعت برای استعارات خود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پاک ترین و برگزیده ترین آفریده های خدا و به حقیقت تجلی صفات و اسما خداوند درروی زمین هستند، تشبیه آنان به غیر از زیباترین و بهترین پدیده های هستی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شاعران در همه دوران برای زیبایی کلام خود از تشبیهات و استعاراتی مشابه یکدیگر استفاده کردند</w:t>
      </w:r>
      <w:r>
        <w:rPr>
          <w:rFonts w:eastAsia="IRNazanin" w:cs="IRNazanin"/>
          <w:color w:val="111111"/>
          <w:sz w:val="28"/>
          <w:szCs w:val="28"/>
          <w:rtl w:val="true"/>
          <w:lang w:bidi="fa-IR"/>
        </w:rPr>
        <w:t>.</w:t>
      </w:r>
    </w:p>
    <w:p>
      <w:pPr>
        <w:pStyle w:val="Heading4"/>
        <w:numPr>
          <w:ilvl w:val="3"/>
          <w:numId w:val="1"/>
        </w:numPr>
        <w:rPr/>
      </w:pPr>
      <w:bookmarkStart w:id="106" w:name="__RefHeading___Toc3032632_653776707"/>
      <w:bookmarkStart w:id="107" w:name="_Toc38"/>
      <w:bookmarkEnd w:id="106"/>
      <w:r>
        <w:rPr>
          <w:rtl w:val="true"/>
        </w:rPr>
        <w:t>ج</w:t>
      </w:r>
      <w:r>
        <w:rPr>
          <w:rtl w:val="true"/>
        </w:rPr>
        <w:t xml:space="preserve">) </w:t>
      </w:r>
      <w:r>
        <w:rPr>
          <w:rtl w:val="true"/>
        </w:rPr>
        <w:t>شخصیت بخشی</w:t>
      </w:r>
      <w:bookmarkEnd w:id="107"/>
    </w:p>
    <w:p>
      <w:pPr>
        <w:pStyle w:val="BookText"/>
        <w:rPr/>
      </w:pPr>
      <w:r>
        <w:rPr>
          <w:rFonts w:ascii="IRNazanin" w:hAnsi="IRNazanin" w:eastAsia="IRNazanin"/>
          <w:color w:val="111111"/>
          <w:sz w:val="28"/>
          <w:sz w:val="28"/>
          <w:szCs w:val="28"/>
          <w:rtl w:val="true"/>
          <w:lang w:bidi="fa-IR"/>
        </w:rPr>
        <w:t>تشخیص، در شمار استعاره های مکنیه و صورتی استعاری است که در آن صفات انسانی به پدیده های غیر انسانی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شخصیت بخشی می توان به اعطای خصوصیات انسان به پدیده های دیگر، گسترش عواطف انسانی به درون اشیاء و هم دلی با پدیده ها، غلبه تخیل آدمی بر طبیعت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در بررسی لایه بلاغی اشعار عاشورایی مشاهده می شود وجود تشخیص در این گونه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زندگی در کربلا و عاشورا جریان دارد که همه اشیا و حیوانات زنده هستند و این موضوع در سرتاسر این گونه اشعار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 خیس علقمه امواج رود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رود شاهد کشف و شهود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برقعی،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بیت عاشورایی در واژه های علقمه و رود تشخیص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 تشنه، ماه تشنه، خیمه گاه تشنه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میان نخل های شرمگین گذشت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به نقل از آیینه گردانی،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108" w:name="pg8714_82488"/>
    </w:p>
    <w:p>
      <w:pPr>
        <w:pStyle w:val="BookText"/>
        <w:rPr/>
      </w:pPr>
      <w:bookmarkEnd w:id="108"/>
      <w:r>
        <w:rPr>
          <w:rFonts w:ascii="IRNazanin" w:hAnsi="IRNazanin" w:eastAsia="IRNazanin"/>
          <w:color w:val="111111"/>
          <w:sz w:val="28"/>
          <w:sz w:val="28"/>
          <w:szCs w:val="28"/>
          <w:rtl w:val="true"/>
          <w:lang w:bidi="fa-IR"/>
        </w:rPr>
        <w:t>در این بیت نیز مشک و ماه شخصیت بخشی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زنان حرم 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خورشید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گریه کنانریختند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به تن پیرهن 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عزا را بنواز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صلاحی به نقل از سنگری،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ابیات در واژه های بادها، بیدها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مشو، تا به حرم راهی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معرکه ی درد، مرا یاری کن</w:t>
      </w:r>
    </w:p>
    <w:p>
      <w:pPr>
        <w:pStyle w:val="BookText"/>
        <w:rPr/>
      </w:pP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برو، لیک سوی مشک 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هوای سر زلفش تو هواداری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به نقل از آیینه گردانی،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ابیات فوق در واژه های مشک و تیر تشخیص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آفریده های خدا زنده هستند و درک و شعور دارند شاعر از این موضوع استفاده کرده و اسب، دشت، مشک و خیمه را همراه خود کرده تا عمق رنج و غربت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w:t>
      </w:r>
      <w:r>
        <w:rPr>
          <w:rFonts w:eastAsia="IRNazanin" w:cs="IRNazanin"/>
          <w:color w:val="111111"/>
          <w:sz w:val="28"/>
          <w:szCs w:val="28"/>
          <w:rtl w:val="true"/>
          <w:lang w:bidi="fa-IR"/>
        </w:rPr>
        <w:t>.</w:t>
      </w:r>
    </w:p>
    <w:p>
      <w:pPr>
        <w:pStyle w:val="Heading3"/>
        <w:numPr>
          <w:ilvl w:val="2"/>
          <w:numId w:val="1"/>
        </w:numPr>
        <w:rPr/>
      </w:pPr>
      <w:bookmarkStart w:id="109" w:name="__RefHeading___Toc3032634_653776707"/>
      <w:bookmarkStart w:id="110" w:name="_Toc39"/>
      <w:bookmarkEnd w:id="109"/>
      <w:r>
        <w:rPr>
          <w:rtl w:val="true"/>
        </w:rPr>
        <w:t>ایدئولوژی</w:t>
      </w:r>
      <w:bookmarkEnd w:id="11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 نظامی از باورها، عقاید، نگرش ها، ارزش ها و احساسات است که به طور خودآگاه یا ناخودآگاه در نوشتار و گفتار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 و رخدادهای کلامی اساساً ماهیتی ایدئولوژیک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یک سطح صفر تهی از ایدئولوژی در هر متنی اگر ناممکن نباشد حداقل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رولان بارت ایدئولوژی را یک نظام معنای ثانویه می داند که معنای ضمنی را به معنای اولیه یا معنای صریح می 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سجودی،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ها در متون به صورت صریح و ضمنی بازتاب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هایی که در آنها ایدئولوژی با صراحت و شفافیت بازتاب یافته، از نوع متن های گفتمانی اند که به طورمستقیم، نشانه ها و محتوای گروه ایدئولوژیک را بیان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شعر عاشورایی متعلق به جامعه گفتمان مذهبی و دینی است که در آن گروهی از نویسندگان و خوانندگان خاص خود را دارد تراکم عناصر ایدئولوژیک در لایه های </w:t>
      </w:r>
    </w:p>
    <w:p>
      <w:pPr>
        <w:pStyle w:val="BookText"/>
        <w:rPr/>
      </w:pPr>
      <w:r>
        <w:rPr>
          <w:rFonts w:ascii="IRNazanin" w:hAnsi="IRNazanin" w:eastAsia="IRNazanin"/>
          <w:color w:val="111111"/>
          <w:sz w:val="28"/>
          <w:sz w:val="28"/>
          <w:szCs w:val="28"/>
          <w:rtl w:val="true"/>
          <w:lang w:bidi="fa-IR"/>
        </w:rPr>
        <w:t xml:space="preserve">مختلف سبک و کلام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های آوایی، واژگانی، نحوی و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آوایی تکرار حروف و واژه ها علاوه بر ایجاد موسیقی، باعث تأکید کلام، حرکت، شور و احساس عمیق شاعر 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نشان می دهد و در طول تاریخ باعث برانگیختن احساس و ایجاد شور و عشق در انسان ها برای مبارزه با ظلم و بی عدالتی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قیام بزرگ عاشورا که به وسیله برپایی عزاداری ها، مرثیه ها و اشعار پرشور سالیان سال زنده نگه داشته شده، زمینه ساز قیام ها و حرکت های انسان های مظلوم بر علیه ظالمان در طول تاریخ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واژه های اشعار عاشورایی این نکته به روشنی دیده می شود که تراکم واژه های نشان دار و دارای بار ایدئولوژیکی بسیار زیاد است، واژه های نشان داری که از لحاظ تاریخی و فرهنگی مفاهیم و دلالت های ضمنی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شمشیر، نیزه ، صحرا، کاروان، خیمه و لب تشنه که اشاره به حوادث و اتفاقات عاشورا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واژه هایی از قبیل اسامی شخصیت هایی عاشورایی مانند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ثاراالله باعث شده در بیشتر موارد ایدئولوژی در آن آشکار و صریح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عاشورایی سرشار از احساس، شور و عاطفه نسبت به اهل بیت و از طرفی پر از نفرت و انزجار نسبت به ظالمان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وجهیت عاطفی و پرسشی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به فراوانی در بیشتر اشعار تکرار شده است کهاین همه شقاوت و ظلم چرا نسبت به بهترین و برگزیده ترین آفریده های خدا باید وجود داشته باشد تا مخاطب را به تفکر وادار کرده و بیدارگر وجدان های خفته در مقابل ظلم در تمام تاریخ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لایه بلاغی اشعار عاشورایی تشبیهات و استعاراتی وجود دارد که از جمله می توان به تشبیه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خورشید و همچنین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غنچه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 از اینگونه تشبیهات و استعارات در زمان های مختلف و در شاعران گوناگون تکرار شده و در حافظه گروهی و باورهای جمعی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باعث شده ایدئولوژی در لایه بلاغی شفافیت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نمونه هایی که آوردیم، مشخص می شود به جز موارد محدود شعر عاشورایی کاملا ایدئولوژیک است که در همه لایه های آن به وضوح دیده می شود ولی در لایه آوایی و واژگانی صراحت بیشتری </w:t>
      </w:r>
      <w:bookmarkStart w:id="111" w:name="pg8714_82490"/>
    </w:p>
    <w:p>
      <w:pPr>
        <w:pStyle w:val="BookText"/>
        <w:rPr/>
      </w:pPr>
      <w:bookmarkEnd w:id="111"/>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112" w:name="__RefHeading___Toc3032636_653776707"/>
      <w:bookmarkStart w:id="113" w:name="_Toc40"/>
      <w:bookmarkEnd w:id="112"/>
      <w:r>
        <w:rPr>
          <w:rtl w:val="true"/>
        </w:rPr>
        <w:t>نتیجه</w:t>
      </w:r>
      <w:bookmarkEnd w:id="11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عاشورایی، شعری معناگرا و محتوا محور است که زبان در خدمت معنا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آهنگین و دارای موسیقی است که به واسطه تکرار در حروف، واژه ها و داشتن ردیف و قافیه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آهنگ و موسیقی در کلام باعث تأثیر بیشتر بر مخاطبان در مجالس آیینی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اشعار از واژگان عینی و خاص بیشتر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عینی برای تحقق اندیشه و ایجاد تصویری شفاف و زیبا برای ساختن صحنه های واقعه کاربرد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واژگان نشان دار مانند نیزه، خیمه، فرات، ثارالله و ذوالجناح که دارای بار ارزشی و فرهنگی از واقعه عاشورا وشخصیت های عاشورایی است، گوشه ای از این حادثه عظیم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لایه نحوی، جملات به صورت های گوناگون و با چینش های نشان دار و به صورت جملات کوتاه به کار برده شده است که در آنها انسجام معنایی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لایه نحوی وجهیت پرسشی و عاطفی نمود زیادی دارد که باعث برانگیختن توجه و احساس مخاطب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لایه بلاغی، عنصر تشبیه، استعاره و تشخیص وجود دارد که از میان این موارد استعاره بسامد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و استعارات بیشتر عینی و از طبیعت گرفته شده که در شاعران و در همه دوره ها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در این اشعار صریح و شفاف است که در لایه آوایی و واژگانی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محتوا و واژه ها در بیشتر موارد در دوره ها و شاعران مختلف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شاعران شناخت بیشتری نسبت به شخصیت ها و هدف اصلی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 و از ماندن در وادی مرثیه صرف و همچنین واژه ها و تصاویر تکراری دوری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حادثه عظیم و پر ارزش است که دارای پیام آزادگی، ایثار، گذشت، ادب و هزاران خصلت زیبای انسانی است که باید به همه انسان های آزاده جهان انتقال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زبانی تازه و تصاویری بدیع و توجه بیشتر به هنری شدن کلام بر جذابیت های شعر عاشورایی می افزاید که بایستی هنرمندان و شاعران عرصه شعر آیینی توجه بیشتری نسبت به آن داشته باشند</w:t>
      </w:r>
      <w:r>
        <w:rPr>
          <w:rFonts w:eastAsia="IRNazanin" w:cs="IRNazanin"/>
          <w:color w:val="111111"/>
          <w:sz w:val="28"/>
          <w:szCs w:val="28"/>
          <w:rtl w:val="true"/>
          <w:lang w:bidi="fa-IR"/>
        </w:rPr>
        <w:t xml:space="preserve">. </w:t>
      </w:r>
      <w:bookmarkStart w:id="114" w:name="pg8714_82491"/>
    </w:p>
    <w:p>
      <w:pPr>
        <w:pStyle w:val="Heading3"/>
        <w:numPr>
          <w:ilvl w:val="2"/>
          <w:numId w:val="1"/>
        </w:numPr>
        <w:rPr/>
      </w:pPr>
      <w:bookmarkStart w:id="115" w:name="__RefHeading___Toc3032638_653776707"/>
      <w:bookmarkStart w:id="116" w:name="_Toc41"/>
      <w:bookmarkEnd w:id="114"/>
      <w:bookmarkEnd w:id="115"/>
      <w:r>
        <w:rPr>
          <w:rtl w:val="true"/>
        </w:rPr>
        <w:t>منابع</w:t>
      </w:r>
      <w:bookmarkEnd w:id="11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آیینه گردانی، دین سروده های شعرای آیینی،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شاعران، چاپ دوم، تهران، نسیم 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پور، قیصر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آینه های ناگهان، تهران، نشر افق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انصاری، نرگس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در آیینه شعر معاصر، تهران، مجتمع فرهنگی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تقوی زیروانی، محمدباقر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رویکردهای شاعران انقلاب اسلامی به واقعه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کارشناسی ارشد، دانشگاه بیرجند،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حقدادی،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مرادعلی واعظی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سجودی، فرزان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شناسی کاربردی، تهران، نشر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سنگری، محمدرضا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رشید، تهران، 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شمیسا، سیروس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سبک شناسی، تهران، فردوس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غفورزاده، محمدجواد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حسین، مشهد، هاتف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فتوحی، محمود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سبک شناسی، نظریه ها و رویکردها و روش ها، تهران،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فرشیدرود، خسرو</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مفصل امروز، تهران،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قزوه، علیرضا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کاروان نیزه، تهران، 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بنارس، تهران، شهرستان ادب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مجاهدی، محمد 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صحرا جنون، تهران، دارالصادقین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محمدزاده، مرضیه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اشعار عاشورایی عصر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نقد، شماره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معلم دامغانی،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رجعت سرخ ستاره، تهران، 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گرمارودی، سیدعلی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خون، تهران،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نعمت سرا، مظاهر و محمدرضا زمان احمدی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زیباشناختی شعر آیینی عاشورایی قیصر امین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زیباشناختی ادبی، سال چهاردهم،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وحیدیان کامیار، تقی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وزن و قافیه شعر فارسی، تهران، مرکز نشر دانشگاهی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Leech, Geoffey, N. (1969), A linguistic Guide to Englisg Poetry, London, (3rd ed.1973)</w:t>
      </w:r>
      <w:r>
        <w:rPr>
          <w:rFonts w:eastAsia="Times New Roman" w:cs="Times New Roman" w:ascii="Times New Roman" w:hAnsi="Times New Roman"/>
          <w:color w:val="111111"/>
          <w:sz w:val="28"/>
          <w:szCs w:val="28"/>
          <w:rtl w:val="true"/>
          <w:lang w:val="en-US" w:bidi="en-US"/>
        </w:rPr>
        <w:t xml:space="preserve">. </w:t>
      </w:r>
      <w:bookmarkStart w:id="117" w:name="pg8714_82492"/>
    </w:p>
    <w:p>
      <w:pPr>
        <w:pStyle w:val="Heading2"/>
        <w:numPr>
          <w:ilvl w:val="1"/>
          <w:numId w:val="1"/>
        </w:numPr>
        <w:rPr/>
      </w:pPr>
      <w:bookmarkStart w:id="118" w:name="__RefHeading___Toc3032640_653776707"/>
      <w:bookmarkStart w:id="119" w:name="_Toc42"/>
      <w:bookmarkEnd w:id="117"/>
      <w:bookmarkEnd w:id="118"/>
      <w:r>
        <w:rPr>
          <w:rtl w:val="true"/>
        </w:rPr>
        <w:t>جون، غلام با بصیرت و خوش بوی کربلا</w:t>
      </w:r>
      <w:bookmarkEnd w:id="119"/>
    </w:p>
    <w:p>
      <w:pPr>
        <w:pStyle w:val="Heading3"/>
        <w:numPr>
          <w:ilvl w:val="2"/>
          <w:numId w:val="1"/>
        </w:numPr>
        <w:rPr/>
      </w:pPr>
      <w:bookmarkStart w:id="120" w:name="__RefHeading___Toc3032642_653776707"/>
      <w:bookmarkStart w:id="121" w:name="_Toc4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دکتر علی فارسی مدان</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21/07/1401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19/10/1401</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جون غلام فضل بن عبداللّه بن عبدالمطّلب بود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خريد و به ابوذر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ابوذر در ربذه فوت کرد؛ به مدینه برگشت 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سپس به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بعد از ایشان نیز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مکه و سپس از مکه به سمت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در کربلا کنار خیمه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تعمیر و اصلاح شمشیر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مرخص کرد اما او با بصیرت و وفاداری در کنار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با شجاعت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ابوذر غفاری، جون، کربلا</w:t>
      </w:r>
      <w:r>
        <w:rPr>
          <w:rFonts w:eastAsia="IRNazanin" w:cs="IRNazanin"/>
          <w:color w:val="111111"/>
          <w:sz w:val="28"/>
          <w:szCs w:val="28"/>
          <w:rtl w:val="true"/>
          <w:lang w:bidi="fa-IR"/>
        </w:rPr>
        <w:t>.</w:t>
      </w:r>
    </w:p>
    <w:p>
      <w:pPr>
        <w:pStyle w:val="Heading3"/>
        <w:numPr>
          <w:ilvl w:val="2"/>
          <w:numId w:val="1"/>
        </w:numPr>
        <w:rPr/>
      </w:pPr>
      <w:bookmarkStart w:id="122" w:name="__RefHeading___Toc3032644_653776707"/>
      <w:bookmarkStart w:id="123" w:name="_Toc44"/>
      <w:bookmarkEnd w:id="122"/>
      <w:r>
        <w:rPr>
          <w:rtl w:val="true"/>
        </w:rPr>
        <w:t>مقدمه</w:t>
      </w:r>
      <w:bookmarkEnd w:id="12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 قابل توجه در واقعه عاشورا، تنوع یاران و اصحاب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از همه نژادها، مذاهب و ملیت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لَا </w:t>
      </w:r>
      <w:bookmarkStart w:id="124" w:name="pg8714_82493"/>
    </w:p>
    <w:p>
      <w:pPr>
        <w:pStyle w:val="BookText"/>
        <w:rPr/>
      </w:pPr>
      <w:bookmarkEnd w:id="124"/>
      <w:r>
        <w:rPr>
          <w:rFonts w:ascii="IRNazanin" w:hAnsi="IRNazanin" w:eastAsia="IRNazanin"/>
          <w:color w:val="111111"/>
          <w:sz w:val="28"/>
          <w:sz w:val="28"/>
          <w:szCs w:val="28"/>
          <w:rtl w:val="true"/>
          <w:lang w:bidi="fa-IR"/>
        </w:rPr>
        <w:t>أَعْلَمُ أَصْحَاباً أَوْفَى وَ لَا خَيْراً مِنْ أَصْحَابِي وَ لَا أَهْلَ بَيْتٍ أَبَرَّ وَ لَا أَوْصَلَ مِنْ أَهْلِ بَيْتِي فَجَزَاکُمُ اللَّهُ عَنِّي خَيْراً؛ من يارانى باوفاتر از ياران خود سراغ ندارم، و بهتر از ايشان نميدانم، و خاندانى نيکوکارتر و مهربان تر از خاندان خود نديده ام، خدايتان از جانب من پاداش نيکو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کوفى،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طبرسى،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توصیف و جاودانگی آن است که در دیدگاه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شایستگی و لیاقت است و سنت ها و آداب غلط جاهلی مانند نژادپرستی در کربلا و بین عاشورائیان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مفسر قرآن کریم و ادامه دهنده سنت نبوی، از آموزه های قرآنی پیروی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گرامی ترین و بزرگوارترین افراد نزد خداوند باتقواترین آنها است و فضیلت و برتری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 xml:space="preserve">؛ کوفى،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ابن کثير،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مصداق تابلویی است که این آیه شریفه در آن متبلور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 توان به جون، غلام ابوذر اشاره کرد که در عاشورا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بر آن است با استفاده از منابع کتابخانه ای و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به بررسی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سرگذشت وی بپردازد</w:t>
      </w:r>
      <w:r>
        <w:rPr>
          <w:rFonts w:eastAsia="IRNazanin" w:cs="IRNazanin"/>
          <w:color w:val="111111"/>
          <w:sz w:val="28"/>
          <w:szCs w:val="28"/>
          <w:rtl w:val="true"/>
          <w:lang w:bidi="fa-IR"/>
        </w:rPr>
        <w:t>.</w:t>
      </w:r>
    </w:p>
    <w:p>
      <w:pPr>
        <w:pStyle w:val="Heading3"/>
        <w:numPr>
          <w:ilvl w:val="2"/>
          <w:numId w:val="1"/>
        </w:numPr>
        <w:rPr/>
      </w:pPr>
      <w:bookmarkStart w:id="125" w:name="__RefHeading___Toc3032646_653776707"/>
      <w:bookmarkStart w:id="126" w:name="_Toc45"/>
      <w:bookmarkEnd w:id="125"/>
      <w:r>
        <w:rPr>
          <w:rtl w:val="true"/>
        </w:rPr>
        <w:t>مفهوم شناسی</w:t>
      </w:r>
      <w:bookmarkEnd w:id="1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و سکون واو از لغات اضداد و به معنى سياه و سپيد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جون نام غلام سيه چرده ابوذر است که در کربلا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برقعى،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ایشان اختلاف است، بنابر قول مشهور نام او جندب بن جناده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ارکان اربعه شیعه</w:t>
      </w:r>
      <w:r>
        <w:rPr>
          <w:rStyle w:val="FootnoteAnchor"/>
          <w:rtl w:val="true"/>
        </w:rPr>
        <w:footnoteReference w:id="17"/>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طوسى،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از پیشتازان اسلام و از جمله افرادی است که بعد از سه، چهار و یا پنج نفر اسلام آورد و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bookmarkStart w:id="127" w:name="pg8714_82494"/>
    </w:p>
    <w:p>
      <w:pPr>
        <w:pStyle w:val="BookText"/>
        <w:rPr/>
      </w:pPr>
      <w:bookmarkEnd w:id="127"/>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زاهد بود و در گفتار و عمل صداقت داشت و کلام حق بر زبان جاری می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قانع بغدادى،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3/996</w:t>
      </w:r>
      <w:r>
        <w:rPr>
          <w:rFonts w:ascii="IRNazanin" w:hAnsi="IRNazanin" w:eastAsia="IRNazanin"/>
          <w:color w:val="111111"/>
          <w:sz w:val="28"/>
          <w:sz w:val="28"/>
          <w:szCs w:val="28"/>
          <w:rtl w:val="true"/>
          <w:lang w:bidi="fa-IR"/>
        </w:rPr>
        <w:t xml:space="preserve">؛ ابن عماد،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ق در زمان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ربذه فوت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از واژه بصر</w:t>
      </w:r>
      <w:r>
        <w:rPr>
          <w:rStyle w:val="FootnoteAnchor"/>
          <w:rtl w:val="true"/>
        </w:rPr>
        <w:footnoteReference w:id="18"/>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بصیره را به دو شاخه معنایی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سیر، روشن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درشتی و زمختی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ذیل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بصیرت معانی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برهان، عقیده قلبی، هوش و زیرکی، عبرت، شناخت،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به معنایِ بینائی و روشنائی دل، چشم دل و جهت بخش زندگی است و کسی که بصیرت دارد می تواند با حجت، برهان و عقل راه درست و سعادت را پیدا کند، در راه دین قدم بردارد و گمراه نشود</w:t>
      </w:r>
      <w:r>
        <w:rPr>
          <w:rFonts w:eastAsia="IRNazanin" w:cs="IRNazanin"/>
          <w:color w:val="111111"/>
          <w:sz w:val="28"/>
          <w:szCs w:val="28"/>
          <w:rtl w:val="true"/>
          <w:lang w:bidi="fa-IR"/>
        </w:rPr>
        <w:t>.</w:t>
      </w:r>
    </w:p>
    <w:p>
      <w:pPr>
        <w:pStyle w:val="Heading3"/>
        <w:numPr>
          <w:ilvl w:val="2"/>
          <w:numId w:val="1"/>
        </w:numPr>
        <w:rPr/>
      </w:pPr>
      <w:bookmarkStart w:id="128" w:name="__RefHeading___Toc3032648_653776707"/>
      <w:bookmarkStart w:id="129" w:name="_Toc46"/>
      <w:bookmarkEnd w:id="128"/>
      <w:r>
        <w:rPr>
          <w:rtl w:val="true"/>
        </w:rPr>
        <w:t>تبارشناسی</w:t>
      </w:r>
      <w:bookmarkEnd w:id="129"/>
    </w:p>
    <w:p>
      <w:pPr>
        <w:pStyle w:val="BookText"/>
        <w:rPr/>
      </w:pPr>
      <w:r>
        <w:rPr>
          <w:rFonts w:ascii="IRNazanin" w:hAnsi="IRNazanin" w:eastAsia="IRNazanin"/>
          <w:color w:val="111111"/>
          <w:sz w:val="28"/>
          <w:sz w:val="28"/>
          <w:szCs w:val="28"/>
          <w:rtl w:val="true"/>
          <w:lang w:bidi="fa-IR"/>
        </w:rPr>
        <w:t>در تاریخ برای جون از نظر تبارشناسی و سلسله نسب، توضیحی نیامده است، شاید بدان علت باشد که وی برده اسیر از بلاد عجم بوده و در معرض خرید و فروش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اصل و نسب جون، چیزی در کتاب های تاریخی نیامده است و تنها به همین مقدار بسنده شده است که او غلامی سیاه پوست بوده و در کربلا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اسناد و گزارش های مختصر تاریخی نکات ذیل روشن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نام وی چند اسم مختلف ثبت و ضبط شده که شامل اسامی 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کوفى،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بلاذرى،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طبرسى،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1/456</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ابن نما حلى،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45/71</w:t>
      </w:r>
      <w:r>
        <w:rPr>
          <w:rFonts w:ascii="IRNazanin" w:hAnsi="IRNazanin" w:eastAsia="IRNazanin"/>
          <w:color w:val="111111"/>
          <w:sz w:val="28"/>
          <w:sz w:val="28"/>
          <w:szCs w:val="28"/>
          <w:rtl w:val="true"/>
          <w:lang w:bidi="fa-IR"/>
        </w:rPr>
        <w:t xml:space="preserve">؛ بحرانى،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17/338</w:t>
      </w:r>
      <w:r>
        <w:rPr>
          <w:rFonts w:ascii="IRNazanin" w:hAnsi="IRNazanin" w:eastAsia="IRNazanin"/>
          <w:color w:val="111111"/>
          <w:sz w:val="28"/>
          <w:sz w:val="28"/>
          <w:szCs w:val="28"/>
          <w:rtl w:val="true"/>
          <w:lang w:bidi="fa-IR"/>
        </w:rPr>
        <w:t xml:space="preserve">؛ طوسى،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جون از میان اسامی مشهورتر است و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w:t>
      </w:r>
      <w:r>
        <w:rPr>
          <w:rStyle w:val="FootnoteAnchor"/>
          <w:rtl w:val="true"/>
        </w:rPr>
        <w:footnoteReference w:id="19"/>
      </w:r>
      <w:r>
        <w:rPr>
          <w:rFonts w:ascii="IRNazanin" w:hAnsi="IRNazanin" w:eastAsia="IRNazanin"/>
          <w:color w:val="111111"/>
          <w:sz w:val="28"/>
          <w:sz w:val="28"/>
          <w:szCs w:val="28"/>
          <w:rtl w:val="true"/>
          <w:lang w:bidi="fa-IR"/>
        </w:rPr>
        <w:t xml:space="preserve">و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ماه رجب و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2/713</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98/340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سلام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پدر جون، اسامی حَرِي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98/340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و سال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گزارش تاریخی در مورد سال تولد وی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مترجمان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بار جوانى پرشور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ابوذر غفارى بود که به حضور سالار شايستگان آمد و از آن حضرت اجازه ميدان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کلام درست نیست؛ زیرا روشن است او بعد از رحلت ابوذر در خدمت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لذا جوان نبوده بلکه در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شيخى سالخورده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تولد جون، نُوبَه</w:t>
      </w:r>
      <w:r>
        <w:rPr>
          <w:rStyle w:val="FootnoteAnchor"/>
          <w:rtl w:val="true"/>
        </w:rPr>
        <w:footnoteReference w:id="20"/>
      </w:r>
      <w:r>
        <w:rPr>
          <w:rFonts w:ascii="IRNazanin" w:hAnsi="IRNazanin" w:eastAsia="IRNazanin"/>
          <w:color w:val="111111"/>
          <w:sz w:val="28"/>
          <w:sz w:val="28"/>
          <w:szCs w:val="28"/>
          <w:rtl w:val="true"/>
          <w:lang w:bidi="fa-IR"/>
        </w:rPr>
        <w:t>، منطقه ای در آفریقا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مکان دقیق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نوبه را واقع در سودان می دانند که بلال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لقمان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شيروانى،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مردمان آن دیار هستند و برخی دیگر آن را کشور وسیعی در جنوب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5/309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 غربی رود نیل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و ویژگی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مورخان و نویسندگان، دین همه اهالی نُوبَه نصرانی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5/309</w:t>
      </w:r>
      <w:r>
        <w:rPr>
          <w:rFonts w:ascii="IRNazanin" w:hAnsi="IRNazanin" w:eastAsia="IRNazanin"/>
          <w:color w:val="111111"/>
          <w:sz w:val="28"/>
          <w:sz w:val="28"/>
          <w:szCs w:val="28"/>
          <w:rtl w:val="true"/>
          <w:lang w:bidi="fa-IR"/>
        </w:rPr>
        <w:t xml:space="preserve">؛ قزوینى،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نَصَارَى یا نصرانی، پيروان و اصحاب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4/349</w:t>
      </w:r>
      <w:r>
        <w:rPr>
          <w:rFonts w:ascii="IRNazanin" w:hAnsi="IRNazanin" w:eastAsia="IRNazanin"/>
          <w:color w:val="111111"/>
          <w:sz w:val="28"/>
          <w:sz w:val="28"/>
          <w:szCs w:val="28"/>
          <w:rtl w:val="true"/>
          <w:lang w:bidi="fa-IR"/>
        </w:rPr>
        <w:t xml:space="preserve">؛ قرشى،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بنابرگزارش مورخان، احتمالا جون ابتدا نصرانی بوده اما آشنایی با جناب ابوذر و اهل </w:t>
      </w:r>
      <w:bookmarkStart w:id="130" w:name="pg8714_82496"/>
    </w:p>
    <w:p>
      <w:pPr>
        <w:pStyle w:val="BookText"/>
        <w:rPr/>
      </w:pPr>
      <w:bookmarkEnd w:id="130"/>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ایشان نیز شیعه و مُحب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محفل شهدای کربلا همه قومیت ها و مذاهب و ملیت ها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خصوصیات بارز جون و منطقه نُوبَةُ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تعظيم و احترامپادشاه و بزرگ خود را نگاه 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مردمانش شجاع، دلير و وفادارند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شيروانى،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 توصیف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سَبْيِکُمُ النُّوبَه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حموى،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5/309</w:t>
      </w:r>
      <w:r>
        <w:rPr>
          <w:rFonts w:ascii="IRNazanin" w:hAnsi="IRNazanin" w:eastAsia="IRNazanin"/>
          <w:color w:val="111111"/>
          <w:sz w:val="28"/>
          <w:sz w:val="28"/>
          <w:szCs w:val="28"/>
          <w:rtl w:val="true"/>
          <w:lang w:bidi="fa-IR"/>
        </w:rPr>
        <w:t xml:space="preserve">؛ قزوینى،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سبیکه در لغت به معنای قطعه و پاره ای از نقره و طلا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طريحي،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5/269</w:t>
      </w:r>
      <w:r>
        <w:rPr>
          <w:rFonts w:ascii="IRNazanin" w:hAnsi="IRNazanin" w:eastAsia="IRNazanin"/>
          <w:color w:val="111111"/>
          <w:sz w:val="28"/>
          <w:sz w:val="28"/>
          <w:szCs w:val="28"/>
          <w:rtl w:val="true"/>
          <w:lang w:bidi="fa-IR"/>
        </w:rPr>
        <w:t xml:space="preserve">؛ بستانى،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دیگر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اهل آن منطقه باشد زیرا به سَبِيکَةُ النُّوبِيَّةُ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نام دیگر مادر ایشان النُّوبِيَّةُ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مامقانى،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بانوی آرام و باوقار است اما شاید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مدح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نوبه از بهترین افراد و مردمان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 خواهد برادر بگيرد و دوست اختيار کند از مردم نوبه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حموى،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5/309</w:t>
      </w:r>
      <w:r>
        <w:rPr>
          <w:rFonts w:ascii="IRNazanin" w:hAnsi="IRNazanin" w:eastAsia="IRNazanin"/>
          <w:color w:val="111111"/>
          <w:sz w:val="28"/>
          <w:sz w:val="28"/>
          <w:szCs w:val="28"/>
          <w:rtl w:val="true"/>
          <w:lang w:bidi="fa-IR"/>
        </w:rPr>
        <w:t xml:space="preserve">؛ قزوینى،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خصوصیات و ویژگی های آن منطقه، می توان اظهار داشت؛ جون شخصیتی ممتاز، شجاع، فداکار و بابصیرت است که همواره به ابوذر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می گذاشت و تا لحظه آخر عمر مبارکش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در تاریخ جاودانه شد</w:t>
      </w:r>
      <w:r>
        <w:rPr>
          <w:rFonts w:eastAsia="IRNazanin" w:cs="IRNazanin"/>
          <w:color w:val="111111"/>
          <w:sz w:val="28"/>
          <w:szCs w:val="28"/>
          <w:rtl w:val="true"/>
          <w:lang w:bidi="fa-IR"/>
        </w:rPr>
        <w:t>.</w:t>
      </w:r>
    </w:p>
    <w:p>
      <w:pPr>
        <w:pStyle w:val="Heading3"/>
        <w:numPr>
          <w:ilvl w:val="2"/>
          <w:numId w:val="1"/>
        </w:numPr>
        <w:rPr/>
      </w:pPr>
      <w:bookmarkStart w:id="131" w:name="__RefHeading___Toc3032650_653776707"/>
      <w:bookmarkStart w:id="132" w:name="_Toc47"/>
      <w:bookmarkEnd w:id="131"/>
      <w:r>
        <w:rPr>
          <w:rtl w:val="true"/>
        </w:rPr>
        <w:t>آشنایی با ابوذر غفاری</w:t>
      </w:r>
      <w:bookmarkEnd w:id="13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جون غلامى سيه چرده و مملوک فضل بن عبداللّه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صد و پنجاه دينار خريد و به ابوذر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4/297</w:t>
      </w:r>
      <w:r>
        <w:rPr>
          <w:rFonts w:ascii="IRNazanin" w:hAnsi="IRNazanin" w:eastAsia="IRNazanin"/>
          <w:color w:val="111111"/>
          <w:sz w:val="28"/>
          <w:sz w:val="28"/>
          <w:szCs w:val="28"/>
          <w:rtl w:val="true"/>
          <w:lang w:bidi="fa-IR"/>
        </w:rPr>
        <w:t xml:space="preserve">؛ برقعى،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عثمان، خلیفه سوم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تو به من و اصحابم زياد شده است، بايد به شام بروى و او را از مدينه به شام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شام به کارهاى معاويه اعتراض مى کرد و لذا معاويهبه عثمان در مورد ابوذر نامه 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چهارپايى سخت و خشن سوار کن 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 ابوذر را همراه کسى فرستاد تا به مدينه آورد در حالى که گوشت </w:t>
      </w:r>
      <w:bookmarkStart w:id="133" w:name="pg8714_82497"/>
    </w:p>
    <w:p>
      <w:pPr>
        <w:pStyle w:val="BookText"/>
        <w:rPr/>
      </w:pPr>
      <w:bookmarkEnd w:id="133"/>
      <w:r>
        <w:rPr>
          <w:rFonts w:ascii="IRNazanin" w:hAnsi="IRNazanin" w:eastAsia="IRNazanin"/>
          <w:color w:val="111111"/>
          <w:sz w:val="28"/>
          <w:sz w:val="28"/>
          <w:szCs w:val="28"/>
          <w:rtl w:val="true"/>
          <w:lang w:bidi="fa-IR"/>
        </w:rPr>
        <w:t>ران هايش از رنج و تعب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ابوذر به مدينه رسيد عثمان کسى را فرستاد که هر جا مى خواهى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بيت المقدس؟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يکى از دو شهر کوفه و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 را به ربذه</w:t>
      </w:r>
      <w:r>
        <w:rPr>
          <w:rStyle w:val="FootnoteAnchor"/>
          <w:rtl w:val="true"/>
        </w:rPr>
        <w:footnoteReference w:id="21"/>
      </w:r>
      <w:r>
        <w:rPr>
          <w:rFonts w:ascii="IRNazanin" w:hAnsi="IRNazanin" w:eastAsia="IRNazanin"/>
          <w:color w:val="111111"/>
          <w:sz w:val="28"/>
          <w:sz w:val="28"/>
          <w:szCs w:val="28"/>
          <w:rtl w:val="true"/>
          <w:lang w:bidi="fa-IR"/>
        </w:rPr>
        <w:t xml:space="preserve">خواهم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وقتى که ابوذر را به بيابان خشک ربذه تبعيد مى کرد، فرمانى صادر کرد که کسى حق ندارد او را بدرقه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اعتنايى به آن نکرده و و در بدرقه شرکت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براى خدا به خشم آمدى، پس اميد به کسى داشته باش که به خاطر او غضبناک شدى، اين مردم براى دنياى خود از تو ترسيدند، و تو بر دين خويش از آنان ترسيدى، پس دنيا را که به خاطر آن از تو ترسيدند به خودشان واگذار، و با دين خود که براى آن ترسيدى از اين مردم بگريز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ربذه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فقط زوجه اش و جون، غلامش در کنار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ثقفى کوفى،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ابوذر در آن روستا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Heading3"/>
        <w:numPr>
          <w:ilvl w:val="2"/>
          <w:numId w:val="1"/>
        </w:numPr>
        <w:rPr/>
      </w:pPr>
      <w:bookmarkStart w:id="134" w:name="__RefHeading___Toc3032652_653776707"/>
      <w:bookmarkStart w:id="135" w:name="_Toc48"/>
      <w:bookmarkEnd w:id="134"/>
      <w:r>
        <w:rPr>
          <w:rtl w:val="true"/>
        </w:rPr>
        <w:t>در خدمت اهل بیت</w:t>
      </w:r>
      <w:r>
        <w:rPr>
          <w:rtl w:val="true"/>
        </w:rPr>
        <w:t>(</w:t>
      </w:r>
      <w:r>
        <w:rPr>
          <w:rtl w:val="true"/>
        </w:rPr>
        <w:t>علیهم السلام</w:t>
      </w:r>
      <w:r>
        <w:rPr>
          <w:rtl w:val="true"/>
        </w:rPr>
        <w:t>)</w:t>
      </w:r>
      <w:bookmarkEnd w:id="135"/>
    </w:p>
    <w:p>
      <w:pPr>
        <w:pStyle w:val="BookText"/>
        <w:rPr/>
      </w:pPr>
      <w:r>
        <w:rPr>
          <w:rFonts w:ascii="IRNazanin" w:hAnsi="IRNazanin" w:eastAsia="IRNazanin"/>
          <w:color w:val="111111"/>
          <w:sz w:val="28"/>
          <w:sz w:val="28"/>
          <w:szCs w:val="28"/>
          <w:rtl w:val="true"/>
          <w:lang w:bidi="fa-IR"/>
        </w:rPr>
        <w:t>فردی که بصیرت داشته باشد، یعنی درک درست و عمیق از حق و باطلداشته باشد می تواند در برابر فتنه ها و آشوب ها و نیز در برابر جریانات و عرصه های سیاسی، در برابر دشمن خوب و موفق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این شاخصه ها را داشت و دلیل وفاداری ایشان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آنان، بصیرت و معرفت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بعد از رحلت ابوذر می توانست مسیر زندگی خود را تغییر دهد و مستقل زندگی کند اما به ریسمان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 و به خدمتگذاری ایشان رسید و در نهایت مدال پرافتخار شهادت را بر گردن خود آویخت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ابوذر به ربذه تبعید شد، جون همراه ایشان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4/297</w:t>
      </w:r>
      <w:r>
        <w:rPr>
          <w:rFonts w:ascii="IRNazanin" w:hAnsi="IRNazanin" w:eastAsia="IRNazanin"/>
          <w:color w:val="111111"/>
          <w:sz w:val="28"/>
          <w:sz w:val="28"/>
          <w:szCs w:val="28"/>
          <w:rtl w:val="true"/>
          <w:lang w:bidi="fa-IR"/>
        </w:rPr>
        <w:t xml:space="preserve">؛ برقعى،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ابوذر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 به مدینه </w:t>
      </w:r>
      <w:bookmarkStart w:id="136" w:name="pg8714_82498"/>
    </w:p>
    <w:p>
      <w:pPr>
        <w:pStyle w:val="BookText"/>
        <w:rPr/>
      </w:pPr>
      <w:bookmarkEnd w:id="136"/>
      <w:r>
        <w:rPr>
          <w:rFonts w:ascii="IRNazanin" w:hAnsi="IRNazanin" w:eastAsia="IRNazanin"/>
          <w:color w:val="111111"/>
          <w:sz w:val="28"/>
          <w:sz w:val="28"/>
          <w:szCs w:val="28"/>
          <w:rtl w:val="true"/>
          <w:lang w:bidi="fa-IR"/>
        </w:rPr>
        <w:t xml:space="preserve">برگشت 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بیان شده است که جون بعد از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بعد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مکه و سپس از مکه به سمت عراق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عالمان رجال جون را از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خويى،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3"/>
        <w:numPr>
          <w:ilvl w:val="2"/>
          <w:numId w:val="1"/>
        </w:numPr>
        <w:rPr/>
      </w:pPr>
      <w:bookmarkStart w:id="137" w:name="__RefHeading___Toc3032654_653776707"/>
      <w:bookmarkStart w:id="138" w:name="_Toc49"/>
      <w:bookmarkEnd w:id="137"/>
      <w:r>
        <w:rPr>
          <w:rtl w:val="true"/>
        </w:rPr>
        <w:t>نقش جون در کربلا</w:t>
      </w:r>
      <w:bookmarkEnd w:id="138"/>
    </w:p>
    <w:p>
      <w:pPr>
        <w:pStyle w:val="BookText"/>
        <w:rPr/>
      </w:pPr>
      <w:r>
        <w:rPr>
          <w:rFonts w:ascii="IRNazanin" w:hAnsi="IRNazanin" w:eastAsia="IRNazanin"/>
          <w:color w:val="111111"/>
          <w:sz w:val="28"/>
          <w:sz w:val="28"/>
          <w:szCs w:val="28"/>
          <w:rtl w:val="true"/>
          <w:lang w:bidi="fa-IR"/>
        </w:rPr>
        <w:t xml:space="preserve">جون در کربلا در کنار خیمه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متخصص در کار اسلحه سازى بود، خيمه اى به سلاح ها اختصاص داشت و وی در آن خيمه مشغول آماده کردن سلاح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خيمه مجاور با خيمه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کهبيمار بودند 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پرستارى مى کرد،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نقل شده،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جالس في تلک العشية التي قتل ابى صبيحتها، و عمتي زينب عندي تمرضني، إذ اعتزل ابى باصحابه في خباء له، و عنده حوى، مولى ابى ذر الغفاري، و هو يعالج سيفه و يصلحه؛ در شب عاشورا در کنار پدرم نشسته بودم، عمه ام زينب پيش من بود و از من پرستاري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خيمه خويش با يارانش صحبت می کرد، غلام ابوذر غفارى نیز پيش وى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5/420</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جون با برپا ساختن خیمه ای ویژه، سلاح خود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را تعمیر و اصلاح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5/420</w:t>
      </w:r>
      <w:r>
        <w:rPr>
          <w:rFonts w:ascii="IRNazanin" w:hAnsi="IRNazanin" w:eastAsia="IRNazanin"/>
          <w:color w:val="111111"/>
          <w:sz w:val="28"/>
          <w:sz w:val="28"/>
          <w:szCs w:val="28"/>
          <w:rtl w:val="true"/>
          <w:lang w:bidi="fa-IR"/>
        </w:rPr>
        <w:t xml:space="preserve">؛ بلاذرى،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3/185</w:t>
      </w:r>
      <w:r>
        <w:rPr>
          <w:rFonts w:ascii="IRNazanin" w:hAnsi="IRNazanin" w:eastAsia="IRNazanin"/>
          <w:color w:val="111111"/>
          <w:sz w:val="28"/>
          <w:sz w:val="28"/>
          <w:szCs w:val="28"/>
          <w:rtl w:val="true"/>
          <w:lang w:bidi="fa-IR"/>
        </w:rPr>
        <w:t xml:space="preserve">؛ ابومخنف کوفى،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داودی و رستم نژاد،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چندين کار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کارها اين بود که به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افرادى که اهل اين فن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همين امشب شمشيرها و نيزه هايتان را آماده کنيد، و خودشان هم سرکشى مى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17/373</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تصور می کنند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اسلحه اش را تعمیر و اصلاح می کرد، در حالی که این درست نیست بلکه </w:t>
      </w:r>
      <w:bookmarkStart w:id="139" w:name="pg8714_82499"/>
    </w:p>
    <w:p>
      <w:pPr>
        <w:pStyle w:val="BookText"/>
        <w:rPr/>
      </w:pPr>
      <w:bookmarkEnd w:id="139"/>
      <w:r>
        <w:rPr>
          <w:rFonts w:ascii="IRNazanin" w:hAnsi="IRNazanin" w:eastAsia="IRNazanin"/>
          <w:color w:val="111111"/>
          <w:sz w:val="28"/>
          <w:sz w:val="28"/>
          <w:szCs w:val="28"/>
          <w:rtl w:val="true"/>
          <w:lang w:bidi="fa-IR"/>
        </w:rPr>
        <w:t xml:space="preserve">جون شمشیر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تعمیر و اصلاح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افراد در زمینه فعالیت های خودشان، استفاده می کرد که جون نیز یکی از آنها بود و در کربلا نقش مؤثری را ایفا کرد</w:t>
      </w:r>
      <w:r>
        <w:rPr>
          <w:rFonts w:eastAsia="IRNazanin" w:cs="IRNazanin"/>
          <w:color w:val="111111"/>
          <w:sz w:val="28"/>
          <w:szCs w:val="28"/>
          <w:rtl w:val="true"/>
          <w:lang w:bidi="fa-IR"/>
        </w:rPr>
        <w:t>.</w:t>
      </w:r>
    </w:p>
    <w:p>
      <w:pPr>
        <w:pStyle w:val="Heading3"/>
        <w:numPr>
          <w:ilvl w:val="2"/>
          <w:numId w:val="1"/>
        </w:numPr>
        <w:rPr/>
      </w:pPr>
      <w:bookmarkStart w:id="140" w:name="__RefHeading___Toc3032656_653776707"/>
      <w:bookmarkStart w:id="141" w:name="_Toc50"/>
      <w:bookmarkEnd w:id="140"/>
      <w:r>
        <w:rPr>
          <w:rtl w:val="true"/>
        </w:rPr>
        <w:t>اذن میدان</w:t>
      </w:r>
      <w:bookmarkEnd w:id="141"/>
    </w:p>
    <w:p>
      <w:pPr>
        <w:pStyle w:val="BookText"/>
        <w:rPr/>
      </w:pPr>
      <w:r>
        <w:rPr>
          <w:rFonts w:ascii="IRNazanin" w:hAnsi="IRNazanin" w:eastAsia="IRNazanin"/>
          <w:color w:val="111111"/>
          <w:sz w:val="28"/>
          <w:sz w:val="28"/>
          <w:szCs w:val="28"/>
          <w:rtl w:val="true"/>
          <w:lang w:bidi="fa-IR"/>
        </w:rPr>
        <w:t xml:space="preserve">پس از شهادت شمارى از ياران و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بعد از شهادت عَمْرُو بْنُ قُرْطَةَ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یار باوفا وبصیر،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آن حضرت اجازه ميدان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درخواست وی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فِي إِذْنٍ مِنِّي فَإِنَّمَا تَبِعْتَنَا طَلَباً لِلْعَافِيَةِ فَلَا تَبْتَلِ بِطَرِيقِنَا؛</w:t>
      </w:r>
    </w:p>
    <w:p>
      <w:pPr>
        <w:pStyle w:val="BookText"/>
        <w:rPr/>
      </w:pPr>
      <w:r>
        <w:rPr>
          <w:rFonts w:ascii="IRNazanin" w:hAnsi="IRNazanin" w:eastAsia="IRNazanin"/>
          <w:color w:val="111111"/>
          <w:sz w:val="28"/>
          <w:sz w:val="28"/>
          <w:szCs w:val="28"/>
          <w:rtl w:val="true"/>
          <w:lang w:bidi="fa-IR"/>
        </w:rPr>
        <w:t>تو از جانب ما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جستجوى عافيت با ما همراه بودى، پس خويش را در راه ما گرفتار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حسينى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به صراحت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اينک آزاد آزادى، راه خويش را بگير و از اين سرزمين برو؛ تو براى آسايش و راحتى و تأمين زندگى و امنيّت، همراهى و همکارى ما را برگزيده اى، از اين رو سرنوشت خويش را به سرنوشت ما گره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جانبازى و شهادت ما را براى خويش انتخاب مکن، برو به سراغ زندگى ات خدا يار و نگهدارت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جون که خدمتگذار باوفا و قدردان و شکرگذار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خود را به پاهاى حضرت انداخت و ملتمسانه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رَسُولِ اللَّهِ أَنَا فِي الرَّخَاءِ أَلْحَسُ قِصَاعَکُمْ وَ فِي الشِّدَّةِ أَخْذُلُکُمْ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فرزند گرانمايه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 روزگار خوشى و آسايش بر خوان نعمت شما نشستم و از نعمت هاى مادّى، معنوى، علمى، فکرى، فرهنگى و تربيتى شما بهره ها بردم و به دنياى آگاهى و روشن انديشى و آزادگى بال گشودم؛ آيا اين از جوانمردى است که اينک شما را در ميدان دفاع از حقّ و مرزهاى دين خدا رها کنم و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جون در نزد خود علت ممانعت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رنگ پوست و نژاد خود دانست وبه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42" w:name="pg8714_82500"/>
    </w:p>
    <w:p>
      <w:pPr>
        <w:pStyle w:val="BookText"/>
        <w:rPr/>
      </w:pPr>
      <w:bookmarkEnd w:id="14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رِيحِي لَمُنْتِنٌ وَ إِنَّ حَسَبِي لَلَئِيمٌ وَ لَوْنِي لَأَسْوَدُ فَتَنَفَّسْ عَلَيَّ بِالْجَنَّةِ فَتَطِيبَ رِيحِي وَ يَشْرُفَ حَسَبِي وَ يَبْيَضَّ وَجْهِي لَا وَ اللَّهِ لَا أُفَارِقُکُمْ حَتَّى يَخْتَلِطَ هَذَا الدَّمُ الْأَسْوَدُ مَعَ دِمَائِکُمْ؛ بخدا سوگند مى دانم بويم ناخوشايند، حَسَبم ناچيز و چهره ام سياه است پس بهشت را بر من ارزانى دار تا بويم خوش و حَسَبم شريف و سيمايم سفيد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شما جدا نخواهم شد تا اين خون من با خون شما بياميزد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عشق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کرد و جواب امتحان کردن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زیبایی داد و با تفکر و دوراندیشی به حمایت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سوگند چنين نخواهد شد؛ اين نه رسم وفاست و نه راه و رسم جوانمردى و آزادگى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سياه پوستم، و رنگ و بوى پيکرم ناخوشايند و رنگ و بوى ديگرى است، همان گونه که حسب و نسبم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تا بوى بهشت و نسيم دل انگيز آن بر من وزيدن کند تا هم پيکرم عطرآگين گردد و هم چهره تيره ام به سفيدى گرايد و هم حسب و نسبم با عمل شايسته و جهاد و فداکارى در راه حق و عدالت پرشرافت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سوگند از شما جدا نخواهم شد، راه ديگرى نخواهم رفت، از شما فاصله نخواهم گرفت تا خون من سياه پوست، با خون پاک و پاکيزه شما بندگان پاک و برگزيده خدا و فرزندان گرانمايه پيامبر که هر دو در راه خدا ريخته مى شود بياميزد و من به نيکبختى جاودانه و افتخارى که هماره در آرزوى آن بودم نايل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شما جدا نخواهم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143" w:name="__RefHeading___Toc3032658_653776707"/>
      <w:bookmarkStart w:id="144" w:name="_Toc51"/>
      <w:bookmarkEnd w:id="143"/>
      <w:r>
        <w:rPr>
          <w:rtl w:val="true"/>
        </w:rPr>
        <w:t>جهاد در راه خدا</w:t>
      </w:r>
      <w:bookmarkEnd w:id="14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 ديدگانش غرق در اشک شوق و حماسه بود، جون را در آغوش گرفت، مورد مهر و محبّت قرارش داد و به وی اجازه جهاد و فداکارى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بنابر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 بعد از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درخواست ایشان مخالفت کردند، خدمت دختر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تا آنها را شفیع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دوباره اجازه جهاد گرفت و وارد میدان رزم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آقاتهرانی،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45" w:name="pg8714_82501"/>
    </w:p>
    <w:p>
      <w:pPr>
        <w:pStyle w:val="BookText"/>
        <w:rPr/>
      </w:pPr>
      <w:bookmarkEnd w:id="145"/>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جون وارد معرکه جنگ شد در حالی که با شجاعت رجز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کيف يرى الکفّار ضرب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ضربا عن بني محمد</w:t>
      </w:r>
    </w:p>
    <w:p>
      <w:pPr>
        <w:pStyle w:val="BookText"/>
        <w:rPr/>
      </w:pPr>
      <w:r>
        <w:rPr>
          <w:rFonts w:ascii="Amiri" w:hAnsi="Amiri" w:eastAsia="Amiri" w:cs="Amiri"/>
          <w:color w:val="111111"/>
          <w:sz w:val="28"/>
          <w:sz w:val="28"/>
          <w:szCs w:val="28"/>
          <w:rtl w:val="true"/>
          <w:lang w:bidi="ar-SA"/>
        </w:rPr>
        <w:t xml:space="preserve">أذبّ عنهم باللسان 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 الجنّة يوم المورد</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غلام سياه پوست مبارز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مى کند و از خود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آن خاندان پر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از آنان با همه وجود و با دست و زبان دفاع مى کند و بر اين نعمت و افتخار، خداى را سپاس مى گويد و بر خود مى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با شهامت و شجاعت بسيارى بيست و پنج تن از سپاه دشمن را از پا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3"/>
        <w:numPr>
          <w:ilvl w:val="2"/>
          <w:numId w:val="1"/>
        </w:numPr>
        <w:rPr/>
      </w:pPr>
      <w:bookmarkStart w:id="146" w:name="__RefHeading___Toc3032660_653776707"/>
      <w:bookmarkStart w:id="147" w:name="_Toc52"/>
      <w:bookmarkEnd w:id="146"/>
      <w:r>
        <w:rPr>
          <w:rtl w:val="true"/>
        </w:rPr>
        <w:t>شهادت</w:t>
      </w:r>
      <w:bookmarkEnd w:id="147"/>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لحظات آخر عمر جون، خود را کنار پيکر به خون خفته او رسانيد و بر بالين او نشست و نيايشگرانه دست ها را به آسمان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حلى،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او اینگونه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بَيِّضْ وَجْهَهُ وَ طَيِّبْرِيحَهُ وَ احْشُرْهُ مَعَ الْأَبْرَارِ وَ عَرِّفْ بَيْنَهُ وَ بَيْنَ مُحَمَّدٍ وَ آلِ مُحَمَّدٍ؛ خدايا چهره او را سفيد گردان، و بوى او را خوش گردان، و او را با ابرار محشور کن و بين او و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برقرار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بر بالین مولایش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Heading3"/>
        <w:numPr>
          <w:ilvl w:val="2"/>
          <w:numId w:val="1"/>
        </w:numPr>
        <w:rPr/>
      </w:pPr>
      <w:bookmarkStart w:id="148" w:name="__RefHeading___Toc3032662_653776707"/>
      <w:bookmarkStart w:id="149" w:name="_Toc53"/>
      <w:bookmarkEnd w:id="148"/>
      <w:r>
        <w:rPr>
          <w:rtl w:val="true"/>
        </w:rPr>
        <w:t xml:space="preserve">معجزه امام </w:t>
      </w:r>
      <w:r>
        <w:rPr>
          <w:rtl w:val="true"/>
        </w:rPr>
        <w:t>(</w:t>
      </w:r>
      <w:r>
        <w:rPr>
          <w:rtl w:val="true"/>
        </w:rPr>
        <w:t>علیه السلام</w:t>
      </w:r>
      <w:r>
        <w:rPr>
          <w:rtl w:val="true"/>
        </w:rPr>
        <w:t>)</w:t>
      </w:r>
      <w:bookmarkEnd w:id="14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زیبای های کربلا، رابطه مولا با غلام و یارانش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بالین شهدای بنی هاشم نیامد بلکه بر بالین همه شهدای کربلا حتی آن غلام سیاه پوست که با عاقبت بخیری، الگوی جهانیان شد، آمد و یاران و اصحاب با دیدار لحظات آخری </w:t>
      </w:r>
      <w:bookmarkStart w:id="150" w:name="pg8714_82502"/>
    </w:p>
    <w:p>
      <w:pPr>
        <w:pStyle w:val="BookText"/>
        <w:rPr/>
      </w:pPr>
      <w:bookmarkEnd w:id="150"/>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جون داستان متفاوت است؛ زیرا معجزه ماندگار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النَّاسَ کَانُوا يَحْضُرُونَ الْمَعْرَکَةَ وَ يَدْفِنُونَ الْقَتْلَى فَوَجَدُوا جَوْناً بَعْدَ عَشْرَةِ أَيَّامٍ يَفُوحُ مِنْهُ رَائِحَةُ الْمِسْکِ رِضْوَانُ اللَّهِ عَلَيْهِ؛</w:t>
      </w:r>
    </w:p>
    <w:p>
      <w:pPr>
        <w:pStyle w:val="BookText"/>
        <w:rPr/>
      </w:pPr>
      <w:r>
        <w:rPr>
          <w:rFonts w:ascii="IRNazanin" w:hAnsi="IRNazanin" w:eastAsia="IRNazanin"/>
          <w:color w:val="111111"/>
          <w:sz w:val="28"/>
          <w:sz w:val="28"/>
          <w:szCs w:val="28"/>
          <w:rtl w:val="true"/>
          <w:lang w:bidi="fa-IR"/>
        </w:rPr>
        <w:t>هنگامى که گروهى در ميدان جنگ آمدند تا اجساد شهيدان آل محمّد را دفن نمايند جسد اين غلام يعنى جون را بعد از ده روز در حالى يافتند که بوى مشک از آن مي وزيد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زیبا باعث شد، جون غلام باوفا و بابصیرت؛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معطر و خوش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لقب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که خیلی زود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در این دنیا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زیبایی های کربلا و نیز درس ها و عبرت های عاشورا، تلاش برای کسب رضایت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جونتمام سعی و تلاش خود را بکار بست تا رضایت و خوشنودی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جلب کند، که نتیجه آن برای همگان آشکار شد و جون عاقبت بخیر شد که عطر خوش او باعث شد پیکر مطهرش شناسایی شود</w:t>
      </w:r>
      <w:r>
        <w:rPr>
          <w:rFonts w:eastAsia="IRNazanin" w:cs="IRNazanin"/>
          <w:color w:val="111111"/>
          <w:sz w:val="28"/>
          <w:szCs w:val="28"/>
          <w:rtl w:val="true"/>
          <w:lang w:bidi="fa-IR"/>
        </w:rPr>
        <w:t>.</w:t>
      </w:r>
    </w:p>
    <w:p>
      <w:pPr>
        <w:pStyle w:val="Heading3"/>
        <w:numPr>
          <w:ilvl w:val="2"/>
          <w:numId w:val="1"/>
        </w:numPr>
        <w:rPr/>
      </w:pPr>
      <w:bookmarkStart w:id="151" w:name="__RefHeading___Toc3032664_653776707"/>
      <w:bookmarkStart w:id="152" w:name="_Toc54"/>
      <w:bookmarkEnd w:id="151"/>
      <w:r>
        <w:rPr>
          <w:rtl w:val="true"/>
        </w:rPr>
        <w:t>نتیجه</w:t>
      </w:r>
      <w:bookmarkEnd w:id="15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زیبایی های کربلا، جهانی بودن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مسلمانان مدینه یا مکه نبود بلکه از همه نژادها، مذاهب و ملیت ها در خیمه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ملاک و معیار ایشان، شایستگی و لیاقت بود و فضیلت بر اساس حسب و نسب و فخرفروشی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سيه چرده ابوذر بود که توسط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شد و به خانه جناب ابوذر غفاری رفت و سپس در خانه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دارای شخصیتی ممتاز، شجاع، فداکار و با بصیرت است و همواره به ابوذر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وفاداری ایشان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آنان، بصیرت و معرفت جون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در کربلا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متخصص در کار اسلحه سازى بود، اسلحه و </w:t>
      </w:r>
      <w:bookmarkStart w:id="153" w:name="pg8714_82503"/>
    </w:p>
    <w:p>
      <w:pPr>
        <w:pStyle w:val="BookText"/>
        <w:rPr/>
      </w:pPr>
      <w:bookmarkEnd w:id="153"/>
      <w:r>
        <w:rPr>
          <w:rFonts w:ascii="IRNazanin" w:hAnsi="IRNazanin" w:eastAsia="IRNazanin"/>
          <w:color w:val="111111"/>
          <w:sz w:val="28"/>
          <w:sz w:val="28"/>
          <w:szCs w:val="28"/>
          <w:rtl w:val="true"/>
          <w:lang w:bidi="fa-IR"/>
        </w:rPr>
        <w:t>شمشیر عاشورائیان را تعمیر و اصلاح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بعد از شهادت عَمْرُو بْنُ قُرْطَةَ الْأَنْصَارِيُّ، اذن ميدان گرفت و با دلاوری و شجاعت جنگید و به شهادت رسید و با دعای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معطر و خوش بوی کربلا لقب گرفت به طوری که بعد از ده روز با بوی خوش و معطرش جنازه وی را یافتند 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 در اول ماه رجب و نیمه شعبان نام مبارک ایشان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جَوْنٍ مَوْلَى أَبِي ذَرٍّ الْغِفَارِيِّ</w:t>
      </w:r>
      <w:r>
        <w:rPr>
          <w:rFonts w:eastAsia="IRNazanin" w:cs="IRNazanin"/>
          <w:color w:val="111111"/>
          <w:sz w:val="28"/>
          <w:szCs w:val="28"/>
          <w:rtl w:val="true"/>
          <w:lang w:bidi="fa-IR"/>
        </w:rPr>
        <w:t>.</w:t>
      </w:r>
    </w:p>
    <w:p>
      <w:pPr>
        <w:pStyle w:val="Heading3"/>
        <w:numPr>
          <w:ilvl w:val="2"/>
          <w:numId w:val="1"/>
        </w:numPr>
        <w:rPr/>
      </w:pPr>
      <w:bookmarkStart w:id="154" w:name="__RefHeading___Toc3032666_653776707"/>
      <w:bookmarkStart w:id="155" w:name="_Toc55"/>
      <w:bookmarkEnd w:id="154"/>
      <w:r>
        <w:rPr>
          <w:rtl w:val="true"/>
        </w:rPr>
        <w:t>منابع</w:t>
      </w:r>
      <w:bookmarkEnd w:id="15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بن سعد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جلد، بيروت، دار الکتب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مازندرانى، محمد بن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على قتلى الطفوف، ترجمه فهرى، تهران، 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 _____________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الإقبال بالأعمال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_ _____________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لهوف، ترجمه مير ابوطالبى، قم، دليل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_ _____________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عبدالبر، يوسف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الإستيعاب في معرفة الأصحاب، بيروت، دار الجيل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عماد، عبدالحى بن احمد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شذرات الذهب في أخبار من ذهب، دمشق، دار ابن کثير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فارس، أحمد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مقاييس اللغه، قم، مکتب الاعلام الاسلامي</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قانع بغدادى، عبد الباقى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الصحابة، بيروت، دار الفکر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کثير دمشقى، اسماعيل بن عمرو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القرآن العظيم، بيروت، دار الکتب العلميه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مشهدى، محمد بن جعفر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الکبير، قم، جامعه مدرسين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حوزه علميه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به کوشش جمال الدين مير دامادى، بيروت، دار الفکر للطباعه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حلى، جعفر بن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سوگ امير آزادى، ترجمه علی کرمى، قم، نشر حاذق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نما حلى، جعفر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مثير الأحزان، قم، مدرسه امام مهدى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مخنف کوفى، لوط بن يحيى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قم، جامعه مدرسين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اربلى، على بن عيسى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الغمه في معرفه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 بنی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امين،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أعيان الشيعة، بیروت، دار 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آقاتهرانی، مرتضی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شیدای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باقیات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اصفهانى، عبدالله بن نورالله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عوالم العلوم و المعارف والأحوال من الآيات و الأخبار و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سيدة النساء إلى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برقعى، على اکبر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راهنماى دانشوران در ضبط نامها، نسب ها و نسبت ها، قم، دفتر انتشارات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بستانى، فؤاد افرام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ابجدى، تهران،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بلاذرى، أحمد بن يحيى بن جابر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انساب الأشراف، تحقيق سهيل زکار و رياض زرکلى، بيروت، 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ثقفى کوفى، ابو اسحاق ابراهيم بن محمد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الغارات و شرح حال اعلام آن، ترجمه عزيزالله عطاردى، بی جا، انتشارات عطارد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حسينى موسوى، محمد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تسليه المُجالس و زينه المَجالس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المعارف الإسلاميه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حموى، شهاب الدين ابو عبدالله ياقوت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البلدان، بيروت،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خويى، ابوالقاسم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و تفصيل طبقات الرواه،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جا، بى 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داودی، سعید و مهدی رستم نژاد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ها انگيزه ها، رويدادها پيامدها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آیه الله مکارم شیرازی، قم، 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نهج البلاغه، قم، 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راغب اصفهانى، حسين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مفردات الفاظ قرآن، ترجمه و تحقيق غلامرضا خسروى حسينى، تهران، مرتضوي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شهید اول، محمد بن مکى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قم، مدرسه امام مهدى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شيروانى، زين العابدين بن اسکندر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بستان السياحه، تهران، احمدى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طبرسى، فضل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إعلام الورى بأعلام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اسلاميه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 _____________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الورى بأعلام الهدى، قم، آل البيت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طريحي، فخرالدين 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البحرين، تهران، مرتضوی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طوسى،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الطوسي، قم، مؤسسه النشر الاسلامي التابعه لجامعه المدرسين بقم المقدسه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 _____________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کتب الشيعه و أصولهم و أسماء المصنفين و أصحاب الأصول، قم، مکتبه المحقق الطباطبائي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 _____________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الطوسي، قم، جماعه المدرسين في الحوزه العلميه بقم، مؤسسة النشر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فیروزآبادی،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القاموس المحیط، بیروت، دارالکتب العلمیهمنشورات محمدعلی بیضون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قرشى بنايى، على اکبر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 دار الکتب الاسلاميه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قزوينى، زکريا بن محمد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البلاد و اخبار العباد، تهران، اميرکبير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قمى، على بن ابراهيم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القمي، قم، دار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کشى، محمد بن عمر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اختيار معرفه الرجال، قم، 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کوفى، فرات بن ابراهيم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فرات الکوفي، تهران، مؤسسه الطبع و النشر في وزاره الإرشاد الإسلامي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مامقانى،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تنقيح المقال في علم الرجال، قم، موسسة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بيروت، 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شهید مطهری، نرم افزار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شهید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مفيد،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في معرفه حجج الله على العباد،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ناظم زاده قمی، سیداصغر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کربلا، قم، موسسه بوستان کتاب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هلالى، سليم بن قيس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أسرار آل محمد عليهم السلام، ترجمه کتاب سليم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ايران، قم</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8714_82508"/>
      <w:bookmarkStart w:id="157" w:name="pg8714_82508"/>
      <w:bookmarkEnd w:id="157"/>
    </w:p>
    <w:p>
      <w:pPr>
        <w:pStyle w:val="Heading2"/>
        <w:numPr>
          <w:ilvl w:val="1"/>
          <w:numId w:val="1"/>
        </w:numPr>
        <w:rPr/>
      </w:pPr>
      <w:bookmarkStart w:id="158" w:name="pg8714_82508"/>
      <w:bookmarkStart w:id="159" w:name="__RefHeading___Toc3032668_653776707"/>
      <w:bookmarkStart w:id="160" w:name="_Toc56"/>
      <w:bookmarkEnd w:id="158"/>
      <w:bookmarkEnd w:id="159"/>
      <w:r>
        <w:rPr>
          <w:rtl w:val="true"/>
        </w:rPr>
        <w:t>تبلور حقیقت حسینی در شعر جواهری</w:t>
      </w:r>
      <w:bookmarkEnd w:id="160"/>
    </w:p>
    <w:p>
      <w:pPr>
        <w:pStyle w:val="Heading3"/>
        <w:numPr>
          <w:ilvl w:val="2"/>
          <w:numId w:val="1"/>
        </w:numPr>
        <w:rPr/>
      </w:pPr>
      <w:bookmarkStart w:id="161" w:name="__RefHeading___Toc3032670_653776707"/>
      <w:bookmarkStart w:id="162" w:name="_Toc57"/>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دکتر رضا عرب بافرانی</w:t>
      </w:r>
      <w:r>
        <w:rPr>
          <w:rStyle w:val="FootnoteAnchor"/>
          <w:rtl w:val="true"/>
        </w:rPr>
        <w:footnoteReference w:id="23"/>
      </w:r>
      <w:r>
        <w:rPr>
          <w:rFonts w:ascii="IRNazanin" w:hAnsi="IRNazanin" w:eastAsia="IRNazanin"/>
          <w:color w:val="111111"/>
          <w:sz w:val="28"/>
          <w:sz w:val="28"/>
          <w:szCs w:val="28"/>
          <w:rtl w:val="true"/>
          <w:lang w:bidi="fa-IR"/>
        </w:rPr>
        <w:t>احمدمحمدیان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22/08/1401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11/11/1401</w:t>
      </w:r>
    </w:p>
    <w:p>
      <w:pPr>
        <w:pStyle w:val="BookText"/>
        <w:rPr/>
      </w:pPr>
      <w:r>
        <w:rPr>
          <w:rFonts w:ascii="IRNazanin" w:hAnsi="IRNazanin" w:eastAsia="IRNazanin"/>
          <w:color w:val="111111"/>
          <w:sz w:val="28"/>
          <w:sz w:val="28"/>
          <w:szCs w:val="28"/>
          <w:rtl w:val="true"/>
          <w:lang w:bidi="fa-IR"/>
        </w:rPr>
        <w:t>چکیده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اسلام، عاشورا همواره به عنوان حقیقتی زنده، جاوید و الهام بخش آزادگان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 و شاعران بسیاری در مدح و سوگ آن امام همام شعر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اشعار و مراثی حسینی عینیه جواهری از زمره اشعار ممتاز در ادبیات عربی و دارای اهمیت ادبی و فکری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شیوه توصیفیتحلیلی و بررسی کتابخانه ای در پی پاسخ به این پرسش بنیادین است که جواهری به عنوان یک ادیب دگراندیش و نوپرداز با نگاهی نقادانه و گاهی بدبینانه؛ عاشورا را چگونه درک و در قاب تصویر بیان می کند؟ جواهری با همان نگاه نقادانه خود ابتدا بحث تحریف عاشورا را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مرثیه سرایان، </w:t>
      </w:r>
      <w:bookmarkStart w:id="163" w:name="pg8714_82509"/>
    </w:p>
    <w:p>
      <w:pPr>
        <w:pStyle w:val="BookText"/>
        <w:rPr/>
      </w:pPr>
      <w:bookmarkEnd w:id="163"/>
      <w:r>
        <w:rPr>
          <w:rFonts w:ascii="IRNazanin" w:hAnsi="IRNazanin" w:eastAsia="IRNazanin"/>
          <w:color w:val="111111"/>
          <w:sz w:val="28"/>
          <w:sz w:val="28"/>
          <w:szCs w:val="28"/>
          <w:rtl w:val="true"/>
          <w:lang w:bidi="fa-IR"/>
        </w:rPr>
        <w:t>سیاستمدارن و همراهی انسان های دردمند با واقعه عاشورا سه عامل تحریف قیام حسینی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طرح این احتمالات در واقع به این عوامل انتقاد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در ابتدا باوری کودکانه و معصوم به عاشورا دارد اما در پی فشار جریان های اجتماعی و سیاسی بدبینی بر اندیشه او حاکم می شود، به عاشورا شک می کند و تمام وجود او را شک فرا می گیرد تا اینکه راه حقیقت حسینی بر او متجلی و توسط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هدایت را در می یابد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آمنت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جواهری، قصیده عینیّه</w:t>
      </w:r>
      <w:r>
        <w:rPr>
          <w:rFonts w:eastAsia="IRNazanin" w:cs="IRNazanin"/>
          <w:color w:val="111111"/>
          <w:sz w:val="28"/>
          <w:szCs w:val="28"/>
          <w:rtl w:val="true"/>
          <w:lang w:bidi="fa-IR"/>
        </w:rPr>
        <w:t>.</w:t>
      </w:r>
    </w:p>
    <w:p>
      <w:pPr>
        <w:pStyle w:val="Heading3"/>
        <w:numPr>
          <w:ilvl w:val="2"/>
          <w:numId w:val="1"/>
        </w:numPr>
        <w:rPr/>
      </w:pPr>
      <w:bookmarkStart w:id="164" w:name="__RefHeading___Toc3032672_653776707"/>
      <w:bookmarkStart w:id="165" w:name="_Toc58"/>
      <w:bookmarkEnd w:id="164"/>
      <w:r>
        <w:rPr>
          <w:rtl w:val="true"/>
        </w:rPr>
        <w:t>مقدمه</w:t>
      </w:r>
      <w:bookmarkEnd w:id="165"/>
    </w:p>
    <w:p>
      <w:pPr>
        <w:pStyle w:val="BookText"/>
        <w:rPr/>
      </w:pPr>
      <w:r>
        <w:rPr>
          <w:rFonts w:ascii="IRNazanin" w:hAnsi="IRNazanin" w:eastAsia="IRNazanin"/>
          <w:color w:val="111111"/>
          <w:sz w:val="28"/>
          <w:sz w:val="28"/>
          <w:szCs w:val="28"/>
          <w:rtl w:val="true"/>
          <w:lang w:bidi="fa-IR"/>
        </w:rPr>
        <w:t xml:space="preserve">عاشورا حماسه اي بي بدیل در تاريخ بشريت است که نامش یادآور نام بزرگ پرچم دار آزادي و ظلم ستيزي،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شخصيت بي مثال جان هاي مشتاق و جویای آزادي از هر زبان و ملتي را مجذوب خود ساخته و با جاري شدن بر زبان اهل ذوق و ادب، رقم زننده جاودانگي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شک هرکسي هم با نگاه بشری و محدود خود اين شخصيت الهي را نظاره گر باشد، به عقل محدود خود نیز آن را درک مي کند و با زبانی قاصر توصیف گر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نگاه اهل ادب به عاشورا و شخصيت هاي حماسه آفرين آن عوامل متعددي از جمله شرايط سياسي و اجتماعي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یکی از کسانی است که به نگاهی خاص در قصیده آمنت بالحسین به زوایای واقعه عاشورا و دیدگاه های مختلف پیرامون این جریانپرداخته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در این قصیده بعد از بیان دیدگاه های مختلف، نظرات خود را مطرح می کند؛ لذا هر کسی که به این قصیده نظر کند به نکاتی قابل تأمل و عظیم در باب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خواهد برد</w:t>
      </w:r>
      <w:r>
        <w:rPr>
          <w:rFonts w:eastAsia="IRNazanin" w:cs="IRNazanin"/>
          <w:color w:val="111111"/>
          <w:sz w:val="28"/>
          <w:szCs w:val="28"/>
          <w:rtl w:val="true"/>
          <w:lang w:bidi="fa-IR"/>
        </w:rPr>
        <w:t>.</w:t>
      </w:r>
    </w:p>
    <w:p>
      <w:pPr>
        <w:pStyle w:val="Heading3"/>
        <w:numPr>
          <w:ilvl w:val="2"/>
          <w:numId w:val="1"/>
        </w:numPr>
        <w:rPr/>
      </w:pPr>
      <w:bookmarkStart w:id="166" w:name="__RefHeading___Toc3032674_653776707"/>
      <w:bookmarkStart w:id="167" w:name="_Toc59"/>
      <w:bookmarkEnd w:id="166"/>
      <w:r>
        <w:rPr>
          <w:rtl w:val="true"/>
        </w:rPr>
        <w:t>پیشینه پژوهش</w:t>
      </w:r>
      <w:bookmarkEnd w:id="1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جواهری آثار فراوانی به رشته تحریر در آمده است اما به اشعار دینی او کمتر </w:t>
      </w:r>
      <w:bookmarkStart w:id="168" w:name="pg8714_82510"/>
    </w:p>
    <w:p>
      <w:pPr>
        <w:pStyle w:val="BookText"/>
        <w:rPr/>
      </w:pPr>
      <w:bookmarkEnd w:id="168"/>
      <w:r>
        <w:rPr>
          <w:rFonts w:ascii="IRNazanin" w:hAnsi="IRNazanin" w:eastAsia="IRNazanin"/>
          <w:color w:val="111111"/>
          <w:sz w:val="28"/>
          <w:sz w:val="28"/>
          <w:szCs w:val="28"/>
          <w:rtl w:val="true"/>
          <w:lang w:bidi="fa-IR"/>
        </w:rPr>
        <w:t>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پژوهش های مرتبط با اندیشه های دینی جواهری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 و همکاران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اندیشه جواهری و شهریاری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 مرثیه های سید الشهداء تنها به ابیات انتقادی عینیه جواهری اشاره می کند و به تحلیل و بررسی آن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دلشاد و همکاران نیز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أفکار جمال الدین الأسدآبادي في أشعار محمّد مهدي الجواهري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درآورده اند و جابر و عبدالهی برای همایش ملی بینامتنیت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و تأثیرپذیری اش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بینامتنی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شیوه توصیفیتحلیلی و بررسی کتابخانه ای به دنبال پاسخگویی به سؤالات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جواهری نسبت به مسائل اساسی دین چیست؟ انتقادهایی که جواهری در باب برخورد با عاشورا مطرح می کند، چیست؟ حقیقت عاشورا در نظر جواهری چگونه جلوه یافته است؟ جواهری چه طور از شک به یقین می رسد؟</w:t>
      </w:r>
    </w:p>
    <w:p>
      <w:pPr>
        <w:pStyle w:val="Heading3"/>
        <w:numPr>
          <w:ilvl w:val="2"/>
          <w:numId w:val="1"/>
        </w:numPr>
        <w:rPr/>
      </w:pPr>
      <w:bookmarkStart w:id="169" w:name="__RefHeading___Toc3032676_653776707"/>
      <w:bookmarkStart w:id="170" w:name="_Toc60"/>
      <w:bookmarkEnd w:id="169"/>
      <w:r>
        <w:rPr>
          <w:rtl w:val="true"/>
        </w:rPr>
        <w:t>زندگینامه جواهری</w:t>
      </w:r>
      <w:bookmarkEnd w:id="170"/>
    </w:p>
    <w:p>
      <w:pPr>
        <w:pStyle w:val="BookText"/>
        <w:rPr/>
      </w:pPr>
      <w:r>
        <w:rPr>
          <w:rFonts w:ascii="IRNazanin" w:hAnsi="IRNazanin" w:eastAsia="IRNazanin"/>
          <w:color w:val="111111"/>
          <w:sz w:val="28"/>
          <w:sz w:val="28"/>
          <w:szCs w:val="28"/>
          <w:rtl w:val="true"/>
          <w:lang w:bidi="fa-IR"/>
        </w:rPr>
        <w:t xml:space="preserve">محمّدمهدی جواهری شاعر نام آشنای جهان معاصر عرب 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م در نجف اشرف دیده به جهان گشود، او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بعد از حدود یک قرن زندگی مملو از فراز و نشیب در سوریه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بیضون،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درخانواده نجیب، شریف و اهل ادب از نسل صاحب جواهر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محمّدحسن جواهری فقیه بزرگ جهان تشیّع و صاحب کتاب گرانسنگ جواهرالکلام می رسد که در زمان خود فقیه و مرجع تقلید مسلّم جهان تشیع بود و به وسیله او مجد و بزرگی در این خانواده نهادینه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از روحانیون معمّم عراق بود و همین مسئله باعث شد وی به حوزه های دینی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سی سالگی ملبّس به لباس مقدّس روحانیت بود ولی بعد از آن مسیر دیگری را برای زندگی خویش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ابوحاقه،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جواهری از همان کودکی و با توجه به شرایط خانواده و استعداد ذاتی خود به تحصیل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از پنج سالگی خواندن و نوشتن را نزد برادر بزرگش، عبدالعزیز فراگرفت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تحصیل علم و قرآن را از مدرسه های دینی آغاز </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بیضون،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حافظه ای اعجاب انگیز داشت به گونه ای که در هشت سالگی هر روز یک خطبه از نهج البلاغه، قطعه ای از أمالی شریف مرتضی، قصیده ای از دیوان متنبی و قطعه ای از البیان و التبیين جاحظ را حفظ می کرد و چنان که خود گفته، به جهت قدرت حافظه اش مورد غبطه و حسادت قرار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از استعداد و حافظه قوی برخوردار بود اما در آغاز علاقه ای به تحصیلات سنّتی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تحصیلات اوّلیه سنّتی و مطالعه اشعار گذشتگان بر شعر وی اثر عمیق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جیوسی،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قرآن در شعر جواهری منحصر به مرحله خاصی از حیات ادبی وی نیست بلکه در کل دیوان وی مشهود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جواهری از سرچشمه های ادب، لغت و فلسفه بهره مند بود و کتاب های قطرالندی، ألفیه ابن مالک، مغني اللبیب، حاشیه ملا عبدالله، شروح الشمسیه في المنطق، المطول والمختصر في البلاغه، شرح اللمعه و مکاسب شیخ انصاری را در حوزه علمیه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الجبوری،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کودکی دلبستگی شدیدی به شعر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 وجود آنکه در ابتدا با شعر سرودن او موافق نبود، امّا زمانی که علاقه وافرش را به شعر درک کرد، وی را مورد تشویق قرار داد و حتی با خود به مجالس بزرگان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در این مجالس تحت تأثیر اندیشه های آزادی خواهانه شخصیت هایی چون محمّدسعید حَبّوبی، شاعر مبارز ضد استعمار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عطیه،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کتب ادبی جدید از جمله اشعار احمد شوقی، ایلیا ابوماضی و دیگران اهتمام می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بیضون،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موازات حضور در مدارس دینی به کانون های ادبی آن زمانِ عراق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زمینه های شعری وی در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 در حالی که در عنفوان جوانی بود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 سالگی نخستین شعرش را با نام مستعار در روزنامه العراق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وی در نشریات عراق به چاپ رسید و به دلیل استحکام اشعارش خیلی زود جای خود را در میان خوانندگان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اولین دیوان خود را 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م تحت عنوان حبلة الأدب و دومین دیوان خود را در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م با عنوان بین الشعور والعاطفة منتشر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 و </w:t>
      </w:r>
    </w:p>
    <w:p>
      <w:pPr>
        <w:pStyle w:val="BookText"/>
        <w:rPr/>
      </w:pP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جواهری دو بار در تابستان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م و تابستان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 به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عمیقی که مشاهده طبیعت زیبا و سفر به شهرهای ایران بر وی گذاشت، در اشعارش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حدود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الریف الضاحک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اند؛ چرا که قدیم و جدید، گذشته و معاصر، طمع و مناعت طبع، جاه طلبی و مبارزه و تسلیم نشدن و انقلاب را با هم جمع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 اولین مدرسه دخترانه در نجف اشرف افتتاح شد که علما در قبال افتتاح این مدرسه و آنچه در آن تدریس می شد،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جواهری با این که در خانواده ای مذهبی متولد و رشد یافته بود اما در قبال این موضع گیری علما به مخالفت برخاست و یک موقعیت سلبی اتخاذ و به علمای نجف حمله کرد و قصیده الرجعیون را در حمله به حوزه علمیه نجف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جواهری در زمینه چاپ و نشر فعالیت های مدیدی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سال در این عرصه تلاش کرد و چند روزنامه از جمله الفرات، انقلاب، الرأي العام و المعرض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 هنگامی که روزنامه الفرات را منتشر کرد،کنیه ابوالفرات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بیست شماره از این روزنامه، به دلیل مخالفت های سیاسی، امتیاز آن لغو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الرأي العام بارزترین و برجسته ترین روزنامه ای بود که جواهری آن را منتشر و بخش بزرگی از عمر خود را صرف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چند بار به این روزنامه تعرض کردند و چند مرتبه نیز به خاطر موضع گیری های میهنی تعطیل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 و دیگران،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در روزنامه نگاری با شهامت چشمگیری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که از روزنامه نگاری کناره گرفت، حدود دوازده روزنامه را سرپرستی و سردبیری کردکه اغلب آنها به دلایل سیاسی عمر کوتاهی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جواهری 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م به دلیل مخالفتش با بَکر صدقی، چند ماهی روانه زندان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جواهری،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مدتی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م به عنوان نماینده کربلا وارد مجلس شد ولی پس از دو سال استعفا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bookmarkStart w:id="171" w:name="pg8714_82513"/>
    </w:p>
    <w:p>
      <w:pPr>
        <w:pStyle w:val="BookText"/>
        <w:rPr/>
      </w:pPr>
      <w:bookmarkEnd w:id="171"/>
      <w:r>
        <w:rPr>
          <w:rFonts w:eastAsia="IRNazanin" w:cs="IRNazanin"/>
          <w:color w:val="111111"/>
          <w:sz w:val="28"/>
          <w:szCs w:val="28"/>
          <w:lang w:bidi="fa-IR"/>
        </w:rPr>
        <w:t>1/477-478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اندک زمانی به فرانسه سفر کرد و از آنجا به مصر رفت و دو سال در مصر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بازگشت به وطن کار روزنامه نگاری را از سر گرفت و یک سال بعد برترین نشان افتخار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الرافدین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امیر عبدالاله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عطیه،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مدتی به دلیل جبهه گیری های سیاسی مجبور به ترک عراق و سفر به چکسلواکی و اقامت در پراگ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هفت سال در آنجا ماند و دیوان برید الغُربه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م با به قدرت رسیدن احمد حسن البکر، به عراق بازگشت و مورد استقبال دولتمردان قرار گرفت و مجدداً رئیس انجمن ادبای عراقی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عطیه،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در سفری شش ماهه به ایران، در تهران، مشهد و قم مورد عنایت ادبا و شعرا و مقامات سیاسی قرار گرفت و مجالس فراوانی در تکریم وی برگزار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دامغانی،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جواهری حائز نکات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جوار حرم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متولد شد، ولی سرانجام بسیار دورتر از وادی السلام و مقبره خانوادگی خود،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در دمشق درگذشت و در زینبیه به خاک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جُحا،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وی، شاعرانی نظیرعبدالوهاب بیاتی و زاهد زُهدی در رثای وی اشعاری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سیصد مقاله و شعر به یاد او در نشریات عربی به چاپ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بیاتی،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زهدی،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172" w:name="__RefHeading___Toc3032678_653776707"/>
      <w:bookmarkStart w:id="173" w:name="_Toc61"/>
      <w:bookmarkEnd w:id="172"/>
      <w:r>
        <w:rPr>
          <w:rtl w:val="true"/>
        </w:rPr>
        <w:t>هنر شعری جواهری</w:t>
      </w:r>
      <w:bookmarkEnd w:id="17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جواهری از بزرگترین شاعران عراقی در دوره خود به حساب می آید و برترین شاعری بوده است که به شیوه کلاسیک، زندگی پراضطراب عراق را در شعر خود به تصویر کشیده و باعث گسترش شعر سیاسی ماندگار در عراق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شاعر در مسائل سیاسی عراق معاصر را می توان علاوه بر زندگی، در شعر او نیز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سنّتی از نظر جواهری تنها راه تسلط بر ظرافت های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مسأله همراه با احاطه بر شعر شاعرانی چون ابوتمّام، بُحتری، متنبی و تأثیرپذیری از فرهنگ قرآن و نهج البلاغه و نیز </w:t>
      </w:r>
      <w:bookmarkStart w:id="174" w:name="pg8714_82514"/>
    </w:p>
    <w:p>
      <w:pPr>
        <w:pStyle w:val="BookText"/>
        <w:rPr/>
      </w:pPr>
      <w:bookmarkEnd w:id="174"/>
      <w:r>
        <w:rPr>
          <w:rFonts w:ascii="IRNazanin" w:hAnsi="IRNazanin" w:eastAsia="IRNazanin"/>
          <w:color w:val="111111"/>
          <w:sz w:val="28"/>
          <w:sz w:val="28"/>
          <w:szCs w:val="28"/>
          <w:rtl w:val="true"/>
          <w:lang w:bidi="fa-IR"/>
        </w:rPr>
        <w:t xml:space="preserve">پرورش یافتن در شهر نجف که جایگاه تداوم فرهنگ شیعه است از جواهری؛شاعری یگانه و ممتاز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 ابراهیم جبرا،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ناقدان، جواهری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مناسبت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شعر مناسبت ها در بهترین نمونه هایش، بیانگر تجربه ای عینی و بیرونی است، جواهری این تجربه را چنان با احساس و عاطفه خود در می آمیزد که شعر از حالت شخصی خارج و احساس خواننده با شاعر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نمونه آن را در شعری که برای برادر شهیدش سروده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انقلابی بود که در خلال یک قرن، نزدیک به بیست هزار بیت شعر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شبیه متنبی، دگر بار شبیه بحتری و ابوالعلای معری و در جای دیگر شبیه ابو نواسو عمر بن ربیعه، و از دیگر سو شبیه شریف رضی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جواهری از حیث شکل و ساختار همان شعر سنّتی عرب است، اما زبان شعر وی بسیار قوی و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شعرش با دقت و وسواس انتخاب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اشعار سیاسی او غالباً خطابی است و شگردهای خطابه و سخنرانی را به خوبی در اشعاری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أَطبقْ 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لحنی در تاریخ ادبیات عرب نادر و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برجسته و معروف او تصاویر متراکم و فشرده، همراه با وزنی مناسب، استوار، لحنی دلنشین و سرشار از هیجان باعث شده که شعرش به لحاظ سبکی و تأثیرگذاری و برانگیختن عواطف خواننده، منحصر به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در اشعار و سروده هایش به مسائل عراق و جهان اسلام توجه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به عنوان سند تاریخی عراق و جهان عرب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شعر کلاسیک عرب و نه شعر معاصر عرب شاعری همچون جواهری به خود ندیده که این گونه بتواند با سرزمینش و جهان عرب ارتباط بر قرار کند و حوادث بزرگی را در شعرش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شاعر مناسبات لقب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جیوسی،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175" w:name="__RefHeading___Toc3032680_653776707"/>
      <w:bookmarkStart w:id="176" w:name="_Toc62"/>
      <w:bookmarkEnd w:id="175"/>
      <w:r>
        <w:rPr>
          <w:rtl w:val="true"/>
        </w:rPr>
        <w:t>اغراض شعری</w:t>
      </w:r>
      <w:bookmarkEnd w:id="17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اغراض شعری که در دیوان جواهری به چشم می خورد عبارتست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افراد برجسته دینی، ملی، سیاسی، تاریخی و ادبی ویژه کسانی است که هنر خود را وقف عقیده خویش می کنند و جواهری در زمرهاین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دیوان وی نگاه می کنیم این اشعار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خود نیز بسیاری از رجال دینی و سیاسی از ابوالعلا معری گرفته تا حافظ ابراهیم و متنبی را مدح و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تشویش جواهری در مدایح او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ملک فیصل اول و ثانی تا ملک فیصل سعودیِ وهابی را مدح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عبدالکریم قاسم را به عنوان ابی الاحرار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در یکی از قصاید خود به ستایش و تمجید از استالین می پردازد و از دیگر سو زعمای حرکت وحدت و بیداری اسلامی امثال سید جمال الدین را مورد مدح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قصیده ای زیبا سید جمال الدین اسد آبادی از عوامل اصلی نهضت معاصر عربی را می 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جمالَ الدین یا روحاً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بالرسالة ثُمَّ عادا</w:t>
      </w:r>
    </w:p>
    <w:p>
      <w:pPr>
        <w:pStyle w:val="BookText"/>
        <w:rPr/>
      </w:pPr>
      <w:r>
        <w:rPr>
          <w:rFonts w:ascii="Amiri" w:hAnsi="Amiri" w:eastAsia="Amiri" w:cs="Amiri"/>
          <w:color w:val="111111"/>
          <w:sz w:val="28"/>
          <w:sz w:val="28"/>
          <w:szCs w:val="28"/>
          <w:rtl w:val="true"/>
          <w:lang w:bidi="ar-SA"/>
        </w:rPr>
        <w:t xml:space="preserve">و کانت عروة وثقی تُزِجّی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لِمنقسمینَ حُبّاً و اتّحادا</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سفر سومی که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به ایران داشت ابتدا به زیارت حرم حضرت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رود و در آنجا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بیت درباره امام خمینی سروده ام که آن را معادل یکی از بزرگترین قصیده هایم حساب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و من ذا یکون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تَکِنهُ علیک السلام</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آذرشب،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سفر با رهبر انقلاب دیدار کرده و ایشان را با این ابیات مدح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سیدي أیها الأعزّ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ذو منة و أنت المدلّ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الشامخ الذی شاءه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زعیماً لثورة تستهلّ </w:t>
      </w:r>
    </w:p>
    <w:p>
      <w:pPr>
        <w:pStyle w:val="BookText"/>
        <w:rPr/>
      </w:pPr>
      <w:r>
        <w:rPr>
          <w:rFonts w:ascii="Amiri" w:hAnsi="Amiri" w:eastAsia="Amiri" w:cs="Amiri"/>
          <w:color w:val="111111"/>
          <w:sz w:val="28"/>
          <w:sz w:val="28"/>
          <w:szCs w:val="28"/>
          <w:rtl w:val="true"/>
          <w:lang w:bidi="ar-SA"/>
        </w:rPr>
        <w:t xml:space="preserve">لک فی السلم منبر لا یباری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 الحربِ مَضرَبٌ لا یفلّ</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آذرشب،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در فن رثا نیز مانند سایر اغراض شعری بسیار زیبا به هنر نمایی پرداخته ولی در این نوع شعر هم بیشتر موضوعات سیاسی و انتقادی را مد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 نزد جواهری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رثای اقربا و نزدیکان، و رثای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برادر چنان تأثیر عمیقی بر وی گذاشت که دو قصیده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وی سرود که هر دو از شاهکارهای شعر معاصر عرب در قالب های قدمایی محسوب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أتعْلمُ أمْ 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جراحَ الضَّحایا فَمُ؟</w:t>
      </w:r>
    </w:p>
    <w:p>
      <w:pPr>
        <w:pStyle w:val="BookText"/>
        <w:rPr/>
      </w:pPr>
      <w:r>
        <w:rPr>
          <w:rFonts w:ascii="Amiri" w:hAnsi="Amiri" w:eastAsia="Amiri" w:cs="Amiri"/>
          <w:color w:val="111111"/>
          <w:sz w:val="28"/>
          <w:sz w:val="28"/>
          <w:szCs w:val="28"/>
          <w:rtl w:val="true"/>
          <w:lang w:bidi="ar-SA"/>
        </w:rPr>
        <w:t xml:space="preserve">فمٌ لیسَ کالمدَّعِی 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کآخرَ یسترحمُ</w:t>
      </w:r>
    </w:p>
    <w:p>
      <w:pPr>
        <w:pStyle w:val="BookText"/>
        <w:rPr/>
      </w:pPr>
      <w:r>
        <w:rPr>
          <w:rFonts w:ascii="Amiri" w:hAnsi="Amiri" w:eastAsia="Amiri" w:cs="Amiri"/>
          <w:color w:val="111111"/>
          <w:sz w:val="28"/>
          <w:sz w:val="28"/>
          <w:szCs w:val="28"/>
          <w:rtl w:val="true"/>
          <w:lang w:bidi="ar-SA"/>
        </w:rPr>
        <w:t xml:space="preserve">أخی جعفراً لا أقولُ الخَیالْ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الثأرِ یَقْظانُ لا یَحلُم</w:t>
      </w:r>
    </w:p>
    <w:p>
      <w:pPr>
        <w:pStyle w:val="BookText"/>
        <w:rPr/>
      </w:pPr>
      <w:r>
        <w:rPr>
          <w:rFonts w:ascii="Amiri" w:hAnsi="Amiri" w:eastAsia="Amiri" w:cs="Amiri"/>
          <w:color w:val="111111"/>
          <w:sz w:val="28"/>
          <w:sz w:val="28"/>
          <w:szCs w:val="28"/>
          <w:rtl w:val="true"/>
          <w:lang w:bidi="ar-SA"/>
        </w:rPr>
        <w:t xml:space="preserve">ولکنْ بما أُلهِمَ 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یقرأُ الغیبَ مُستَلهِمُ</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رثای دیگران نیز می توان به آنچه که در سوگ حافظ ابراهیم و در رثای امیر الشعرا احمد شوقی سرود،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طَوَى الموتُ رَبَّ القوافی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شوقی رَهینَ الحُفَرْ</w:t>
      </w:r>
    </w:p>
    <w:p>
      <w:pPr>
        <w:pStyle w:val="BookText"/>
        <w:rPr/>
      </w:pPr>
      <w:r>
        <w:rPr>
          <w:rFonts w:ascii="Amiri" w:hAnsi="Amiri" w:eastAsia="Amiri" w:cs="Amiri"/>
          <w:color w:val="111111"/>
          <w:sz w:val="28"/>
          <w:sz w:val="28"/>
          <w:szCs w:val="28"/>
          <w:rtl w:val="true"/>
          <w:lang w:bidi="ar-SA"/>
        </w:rPr>
        <w:t xml:space="preserve">وجِئْنَا نُعَزِّی بِهِ الحاضِرینْ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یکُنْ أمسِ فیمَنْ حَضَرْ</w:t>
      </w:r>
      <w:r>
        <w:rPr>
          <w:rStyle w:val="FootnoteAnchor"/>
          <w:rtl w:val="true"/>
        </w:rPr>
        <w:footnoteReference w:id="2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اغراض شعری که سایر اغراض ادبی با آن ارتباط عمیقی دارند؛ زیرا شاعر زمانی که به مدح یا رثا می پردازد به نوعی در حال وصف ممدوح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وصف و دل انگیزی آن در نزد جواهری چنان که خود او به آن اشاره می کند بعد از سفر او به ایران برایش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طبیعت و زیبایی و هوای مطبوع و دل انگیز ایران به روح جواهری چنین اثر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 النَّسیمُ فَهَبَّتِ الأشواقُ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وهفا الیکُم قلبُهُ الخفاقُ</w:t>
      </w:r>
    </w:p>
    <w:p>
      <w:pPr>
        <w:pStyle w:val="BookText"/>
        <w:rPr/>
      </w:pP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وهواءُها ریحُ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وسماؤُها الأغصانُ والأوراقُ</w:t>
      </w:r>
    </w:p>
    <w:p>
      <w:pPr>
        <w:pStyle w:val="BookText"/>
        <w:rPr/>
      </w:pPr>
      <w:r>
        <w:rPr>
          <w:rFonts w:ascii="Amiri" w:hAnsi="Amiri" w:eastAsia="Amiri" w:cs="Amiri"/>
          <w:color w:val="111111"/>
          <w:sz w:val="28"/>
          <w:sz w:val="28"/>
          <w:szCs w:val="28"/>
          <w:rtl w:val="true"/>
          <w:lang w:bidi="ar-SA"/>
        </w:rPr>
        <w:t>شمرانُ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تُعْجبنِی، وزهرةُ روضِها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وهواءُها ونمیرُها الرّقْراقُ</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جواهری در وصفیات خود سعی کرده به بحتری، شاعر وصّاف زبان و ادبیات عربی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سعی کرده جمادات و طبیعت را به شکل زندهوصف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وصف رودخانه، نخل ها، ساحل و کوه ها به صورت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على الغرق، الفرات الطاغی، الغراف المیت، بعد المطر، یا فراتی، دجلة فی الخریف و دجلة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به ابیاتی از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تابین الفرات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ای از وصف های روح انگیز جواهری بعد از سفر به ایران است،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عُمِرَت دیارُ شَراذمٍ 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علیک و أنتَ قفرٌ خَالٍ</w:t>
      </w:r>
    </w:p>
    <w:p>
      <w:pPr>
        <w:pStyle w:val="BookText"/>
        <w:rPr/>
      </w:pPr>
      <w:r>
        <w:rPr>
          <w:rFonts w:ascii="Amiri" w:hAnsi="Amiri" w:eastAsia="Amiri" w:cs="Amiri"/>
          <w:color w:val="111111"/>
          <w:sz w:val="28"/>
          <w:sz w:val="28"/>
          <w:szCs w:val="28"/>
          <w:rtl w:val="true"/>
          <w:lang w:bidi="ar-SA"/>
        </w:rPr>
        <w:t xml:space="preserve">بدت البیوتُ الخاویاتُ حزینُةً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محفوفةً بالشوکِ و الأدغال</w:t>
      </w:r>
    </w:p>
    <w:p>
      <w:pPr>
        <w:pStyle w:val="BookText"/>
        <w:rPr/>
      </w:pPr>
      <w:r>
        <w:rPr>
          <w:rFonts w:ascii="Amiri" w:hAnsi="Amiri" w:eastAsia="Amiri" w:cs="Amiri"/>
          <w:color w:val="111111"/>
          <w:sz w:val="28"/>
          <w:sz w:val="28"/>
          <w:szCs w:val="28"/>
          <w:rtl w:val="true"/>
          <w:lang w:bidi="ar-SA"/>
        </w:rPr>
        <w:t xml:space="preserve">و کأنما شُرفاتها مغبرةٌ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 آلامٍ وقَفنَ حَیَالِي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به وطن عشق می ورزید لذا بسیاری از اشعارش را در باب وطن و اوضاع مسلمین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سیاسی جواهری منحصر به عراق معاصر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برخورد با مسئله فلسطین برجسته ترین شخصیتی بود که به ضعف</w:t>
      </w:r>
    </w:p>
    <w:p>
      <w:pPr>
        <w:pStyle w:val="BookText"/>
        <w:rPr/>
      </w:pPr>
      <w:r>
        <w:rPr>
          <w:rFonts w:ascii="IRNazanin" w:hAnsi="IRNazanin" w:eastAsia="IRNazanin"/>
          <w:color w:val="111111"/>
          <w:sz w:val="28"/>
          <w:sz w:val="28"/>
          <w:szCs w:val="28"/>
          <w:rtl w:val="true"/>
          <w:lang w:bidi="fa-IR"/>
        </w:rPr>
        <w:t>بنیان های سیاسی اعراب توجه کرد و با لحنی دردناک از آن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نخستین شعرش درباره فلسطین به نام فلسطین الدامیه از یک سو اعراب را به مبارزه عملی و نظامی با صهیونیست ها ترغیب می کند و از سوی دیگر، سستی رهبران عرب و اعتماد بیش از حد عرب ها به بریتانیا را عامل اصلی بدبختی آنها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توانست بیش از نیم سده، گرایش خود را به سرودن اشعار میهنی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حضور مستقیم جواهری در صحنه های سیاسی و وابستگی او به احزاب وطنی در سرودن این اشعار بی تأثیر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الواعظ،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صورة الوطنِ المهدیک مَعرضُهُ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أشجَی وأبهَجَ ما فیه مِن الصُّورِ</w:t>
      </w:r>
    </w:p>
    <w:p>
      <w:pPr>
        <w:pStyle w:val="BookText"/>
        <w:rPr/>
      </w:pPr>
      <w:r>
        <w:rPr>
          <w:rFonts w:ascii="Amiri" w:hAnsi="Amiri" w:eastAsia="Amiri" w:cs="Amiri"/>
          <w:color w:val="111111"/>
          <w:sz w:val="28"/>
          <w:sz w:val="28"/>
          <w:szCs w:val="28"/>
          <w:rtl w:val="true"/>
          <w:lang w:bidi="ar-SA"/>
        </w:rPr>
        <w:t xml:space="preserve">غُیومَه و انبلاجَ الّمسِ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وقیظَه وإثلاجَ اللیلِ والسّحر</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اشعار سیاسی خود ظلم های اجتماعی را مطرح می کند و اذعان دارد در این شرایط در کنار توده مردم به مبازره با مستکبران و ظالمان که حقوق مردم را تضییع</w:t>
      </w:r>
    </w:p>
    <w:p>
      <w:pPr>
        <w:pStyle w:val="BookText"/>
        <w:rPr/>
      </w:pPr>
      <w:r>
        <w:rPr>
          <w:rFonts w:ascii="IRNazanin" w:hAnsi="IRNazanin" w:eastAsia="IRNazanin"/>
          <w:color w:val="111111"/>
          <w:sz w:val="28"/>
          <w:sz w:val="28"/>
          <w:szCs w:val="28"/>
          <w:rtl w:val="true"/>
          <w:lang w:bidi="fa-IR"/>
        </w:rPr>
        <w:t>و آنها را لگد مال می کنند،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آزادی بارها مجبور به ترک کشور شد و مدتی هم در زندان به سر برد ولی دست از آرمان خود نکشید و در کنار گرسنگان ملت ایستاد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یَدي بِیَدِ المُستضعَفینَ أُریهم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ما تعیا بِهِ الکَلِماتُ</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اشعار سیاسی خود از طبقه کارگر، کشاورز، قشر مستضعف و گرسنگان دفاع می کند و در این مسیر گاه از زبان طنز، ظلم های اجتماعی را به تصویر می کشد مانند آنچه در جیاع الشعب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لعبة 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در باب حکومت و اهل آن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شعر حکومت را به بازیچه ای تشبیه کرده </w:t>
      </w:r>
    </w:p>
    <w:p>
      <w:pPr>
        <w:pStyle w:val="BookText"/>
        <w:rPr/>
      </w:pPr>
      <w:r>
        <w:rPr>
          <w:rFonts w:ascii="IRNazanin" w:hAnsi="IRNazanin" w:eastAsia="IRNazanin"/>
          <w:color w:val="111111"/>
          <w:sz w:val="28"/>
          <w:sz w:val="28"/>
          <w:szCs w:val="28"/>
          <w:rtl w:val="true"/>
          <w:lang w:bidi="fa-IR"/>
        </w:rPr>
        <w:t>که در دست افراد می چرخد تا آنها تجربه به دست بیاورند و این سبب ویرانی و نابودی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لعبة لاعب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یسمّون ترقیعاته بالتجارب</w:t>
      </w:r>
    </w:p>
    <w:p>
      <w:pPr>
        <w:pStyle w:val="BookText"/>
        <w:rPr/>
      </w:pPr>
      <w:r>
        <w:rPr>
          <w:rFonts w:ascii="Amiri" w:hAnsi="Amiri" w:eastAsia="Amiri" w:cs="Amiri"/>
          <w:color w:val="111111"/>
          <w:sz w:val="28"/>
          <w:sz w:val="28"/>
          <w:szCs w:val="28"/>
          <w:rtl w:val="true"/>
          <w:lang w:bidi="ar-SA"/>
        </w:rPr>
        <w:t xml:space="preserve">وإنَّ بلاداً بالتجارب 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وضَیِّعَ أهلوها لإحدی العجائب</w:t>
      </w:r>
    </w:p>
    <w:p>
      <w:pPr>
        <w:pStyle w:val="BookText"/>
        <w:rPr/>
      </w:pPr>
      <w:r>
        <w:rPr>
          <w:rFonts w:ascii="Amiri" w:hAnsi="Amiri" w:eastAsia="Amiri" w:cs="Amiri"/>
          <w:color w:val="111111"/>
          <w:sz w:val="28"/>
          <w:sz w:val="28"/>
          <w:szCs w:val="28"/>
          <w:rtl w:val="true"/>
          <w:lang w:bidi="ar-SA"/>
        </w:rPr>
        <w:t xml:space="preserve">لو جَرَّبوا أهل المناصب 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لهان، ولکن جُرِّبوا فی المناصب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جواهری با آنچه که معهود از معنای غزل و شعر غنایی خاص می باشد،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مضمون های غنایی، مانند وصف معشوق و طبیعت اشعاری دارد که غالباً خشک، تصنعی، عامه پسند و به دور از هر نوع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شعر غنایی وی آفرودیت است که شعری ساده و صمیمی شمرده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پروین گنابادی،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در غزلیات خود هیچ گاه نتوانست مانند سایر اغراض شعری مثل مدح و اشعار سیاسی اوج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در وصف زن گاهی به شعر غزلی نزدیک شده است که نوع نگاه جواهری به زن و وصف آن در شعرش خود بحثی مجزا می طلبد ولی اجمالا آنچه به نظر می رسد وصف زن در اشعار جواهری وصف عفیف و ماجن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او در وصف زن مکشوف است مثل جر بیتی، بنت بیروت، عریانة، صورة الخواطر، اول العهد، الیها ولیلة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جواهری غزلیاتی زیبا و عفیف در باب زن هم موجود است که البته نسبت به غزلیات مکشوف او کمتر است مثل آنچه در حبیبتی سروده که در ذیل به مطلع برخی از هر دو نوع قصیده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اول العهد یکی از غزلیات مکشوف جواهری است که در آن به وصف ماجن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العهدِ بالَّتی حَمَّلتني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شططاً في الهوی و أمراً فَرِیَا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قصیده لیلة معها که بیانگر نوع وصف جواهری در باب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 xml:space="preserve">أکذِبَنّکِ إنّني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المساوِي آثِمٌ أشِرُ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2/259</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قصیده حبیبتی که برای همسر خود أمونه در دوران کهولت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دلنشین </w:t>
      </w:r>
    </w:p>
    <w:p>
      <w:pPr>
        <w:pStyle w:val="BookText"/>
        <w:rPr/>
      </w:pPr>
      <w:r>
        <w:rPr>
          <w:rFonts w:ascii="IRNazanin" w:hAnsi="IRNazanin" w:eastAsia="IRNazanin"/>
          <w:color w:val="111111"/>
          <w:sz w:val="28"/>
          <w:sz w:val="28"/>
          <w:szCs w:val="28"/>
          <w:rtl w:val="true"/>
          <w:lang w:bidi="fa-IR"/>
        </w:rPr>
        <w:t>است هر چند از لحاظ جسمی قوای او تحلیل رفته اما این شعر نشان می دهد قوای روحی و عاطفی او جوانی خود را حفظ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حبیبتی منذُ کان الحبُّ فی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النسائمِ حتّی عَقَّهُ الشَّفَقُ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بی تا، </w:t>
      </w:r>
      <w:r>
        <w:rPr>
          <w:rFonts w:eastAsia="IRNazanin" w:cs="IRNazanin"/>
          <w:color w:val="111111"/>
          <w:sz w:val="28"/>
          <w:szCs w:val="28"/>
          <w:lang w:bidi="fa-IR"/>
        </w:rPr>
        <w:t>6/821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جواهری سبب شد برخی او را یک فرد لا مذهب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قصیده جر بینی ابیاتی دارد که دیگران به خاطر آنها به او نسبت الحاد داده اند و حتی در دیداری ملک فیصل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ما فیها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القصیدة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أنّک ضدّهم في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ملک فیصل این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ضد الجمهور فی العیش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والتفکیر طرّاً وضده فی الدین</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 به طور واضح از اسلام و اصول اسلامی دفاع می کند و به مذهب تشیع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قصیده ابوالعلاء معری در مباهات به اسلام خویش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آمنتُ بالله والنور الذی رسمت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الشَّرائع غرّاً مَنهجا لَحبا</w:t>
      </w:r>
    </w:p>
    <w:p>
      <w:pPr>
        <w:pStyle w:val="BookText"/>
        <w:rPr/>
      </w:pPr>
      <w:r>
        <w:rPr>
          <w:rFonts w:ascii="Amiri" w:hAnsi="Amiri" w:eastAsia="Amiri" w:cs="Amiri"/>
          <w:color w:val="111111"/>
          <w:sz w:val="28"/>
          <w:sz w:val="28"/>
          <w:szCs w:val="28"/>
          <w:rtl w:val="true"/>
          <w:lang w:bidi="ar-SA"/>
        </w:rPr>
        <w:t xml:space="preserve">وَصُنتُ کُلَّ دعاة الحَقِّ عن زیغٍ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والمُصلحینَ الهداة العجمَ والعربا</w:t>
      </w:r>
      <w:r>
        <w:rPr>
          <w:rStyle w:val="FootnoteAnchor"/>
          <w:rtl w:val="true"/>
        </w:rPr>
        <w:footnoteReference w:id="3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جواهری هرچند خود به علما که حافظان اصلی شریعت هستند، حمله می کند و نسبت های ناروایی به آنها می دهد اما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دارد و با جدیت به مقابله با مخالفان دین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توان به اتفاقی که در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 روی داد،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النصولی استاد سوری بود که در عراق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به نام الدولة الامویة فی الشام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خشم محافل شیعه را برانگیخت و در پی این جریان وزیر معارف عراق جناب عبدالمهدی المنتفکی نصولی را از تدریس برکنار کرد</w:t>
      </w:r>
      <w:r>
        <w:rPr>
          <w:rFonts w:eastAsia="IRNazanin" w:cs="IRNazanin"/>
          <w:color w:val="111111"/>
          <w:sz w:val="28"/>
          <w:szCs w:val="28"/>
          <w:rtl w:val="true"/>
          <w:lang w:bidi="fa-IR"/>
        </w:rPr>
        <w:t xml:space="preserve">. </w:t>
      </w:r>
      <w:bookmarkStart w:id="177" w:name="pg8714_82521"/>
    </w:p>
    <w:p>
      <w:pPr>
        <w:pStyle w:val="BookText"/>
        <w:rPr/>
      </w:pPr>
      <w:bookmarkEnd w:id="177"/>
      <w:r>
        <w:rPr>
          <w:rFonts w:ascii="IRNazanin" w:hAnsi="IRNazanin" w:eastAsia="IRNazanin"/>
          <w:color w:val="111111"/>
          <w:sz w:val="28"/>
          <w:sz w:val="28"/>
          <w:szCs w:val="28"/>
          <w:rtl w:val="true"/>
          <w:lang w:bidi="fa-IR"/>
        </w:rPr>
        <w:t xml:space="preserve">جواهری بعد از این عمل وزیر، شعری با عنوان تحیة الوزیر سرود که در آن جناب وزیر و عمل او را می ستاید و از نصولی و دوستانش انتقاد می کند و به نکوهش آنها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دو قصیده در باب اباعبدالله سروده است؛ یکی به نام آمنت بالحسین است که موضوع اصلی بحث ما را تشکیل می دهد و دیگری قصیده عاشورا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النفس تأبی أن تذل وتُقهَرا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الموت من صبرٍ علی الضَیمِ أیسرا</w:t>
      </w:r>
    </w:p>
    <w:p>
      <w:pPr>
        <w:pStyle w:val="BookText"/>
        <w:rPr/>
      </w:pPr>
      <w:r>
        <w:rPr>
          <w:rFonts w:ascii="IRNazanin" w:hAnsi="IRNazanin" w:eastAsia="IRNazanin"/>
          <w:color w:val="111111"/>
          <w:sz w:val="28"/>
          <w:sz w:val="28"/>
          <w:szCs w:val="28"/>
          <w:rtl w:val="true"/>
          <w:lang w:bidi="fa-IR"/>
        </w:rPr>
        <w:t xml:space="preserve">مشی ابن عليّ مشیة اللیث مُخدرا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تحدّته فی الغاب الذئاب فأصحرا</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جواهری قصیده ای در باب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سعید غدیر در ایران سروده است که آن را تقدیم به رهبر انقلاب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 الحسین تحیات معطرة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یوم عید غدیر رحت ترعاه</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آذرشب،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اشاره کرد که هرچند دین در دیدگاه جواهری جایگاه مقدّسی دارد ولی کلام او قسمت اندکی از دین وی را به خود اختصاص داده است؛ چرا که او بیشتر درگیر مجادلات سیاسی بوده است</w:t>
      </w:r>
      <w:r>
        <w:rPr>
          <w:rFonts w:eastAsia="IRNazanin" w:cs="IRNazanin"/>
          <w:color w:val="111111"/>
          <w:sz w:val="28"/>
          <w:szCs w:val="28"/>
          <w:rtl w:val="true"/>
          <w:lang w:bidi="fa-IR"/>
        </w:rPr>
        <w:t>.</w:t>
      </w:r>
    </w:p>
    <w:p>
      <w:pPr>
        <w:pStyle w:val="Heading3"/>
        <w:numPr>
          <w:ilvl w:val="2"/>
          <w:numId w:val="1"/>
        </w:numPr>
        <w:rPr/>
      </w:pPr>
      <w:bookmarkStart w:id="178" w:name="__RefHeading___Toc3032682_653776707"/>
      <w:bookmarkStart w:id="179" w:name="_Toc63"/>
      <w:bookmarkEnd w:id="178"/>
      <w:r>
        <w:rPr>
          <w:rtl w:val="true"/>
        </w:rPr>
        <w:t>قصیده عينيه جواهری</w:t>
      </w:r>
      <w:bookmarkEnd w:id="179"/>
    </w:p>
    <w:p>
      <w:pPr>
        <w:pStyle w:val="Heading4"/>
        <w:numPr>
          <w:ilvl w:val="3"/>
          <w:numId w:val="1"/>
        </w:numPr>
        <w:rPr/>
      </w:pPr>
      <w:bookmarkStart w:id="180" w:name="__RefHeading___Toc3032684_653776707"/>
      <w:bookmarkStart w:id="181" w:name="_Toc64"/>
      <w:bookmarkEnd w:id="180"/>
      <w:r>
        <w:rPr>
          <w:rtl w:val="true"/>
        </w:rPr>
        <w:t>الف</w:t>
      </w:r>
      <w:r>
        <w:rPr>
          <w:rtl w:val="true"/>
        </w:rPr>
        <w:t xml:space="preserve">) </w:t>
      </w:r>
      <w:r>
        <w:rPr>
          <w:rtl w:val="true"/>
        </w:rPr>
        <w:t>معرفی</w:t>
      </w:r>
      <w:bookmarkEnd w:id="18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آمنت بالحسین از زیباترین قصاید در رثای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بزرگداشت قیام و شهادت سیدالشهداء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 با قافیه عین سروده و به عینیه مشهور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از این قصیده را با آب طلا بر روی یکی از درب های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فقط به برانگیختن عواطف و محزون ساختن مخاطب </w:t>
      </w:r>
    </w:p>
    <w:p>
      <w:pPr>
        <w:pStyle w:val="BookText"/>
        <w:rPr/>
      </w:pPr>
      <w:r>
        <w:rPr>
          <w:rFonts w:ascii="IRNazanin" w:hAnsi="IRNazanin" w:eastAsia="IRNazanin"/>
          <w:color w:val="111111"/>
          <w:sz w:val="28"/>
          <w:sz w:val="28"/>
          <w:szCs w:val="28"/>
          <w:rtl w:val="true"/>
          <w:lang w:bidi="fa-IR"/>
        </w:rPr>
        <w:t>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پی واقعه نگاری عاشورا و بیان نحوه شهادت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بیش از اینکه به بیان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نگاهی تأمل گرا و بینشی به قیام عاشورا دارد که این نوع نگاه و تفاوت آن با سایر مراثی حسینی به وضوح قابل ملاحظه است؛ هر چند که قصیده از باب تأثیر عاطفی هم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این شعر با قصاید سیاسی و ملی و قومی قبل و بعد از آن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اساس فرهنگ ملی و رسمی است که در منابر و مجالس تلاوت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أعرجی،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مذکور را به سه بخش می 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نخست؛ بیان کننده عشق و ارادت شاعر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بیتاول قصیده به این غرض شاعر اختصاص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فِدَاءً لمثواکَ من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تَنَوَّرَ بالأبلَجِ الأروَعِ</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بخش دوم به بیان اثر بخشی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بشری و بزرگداشت مقام ومنزلت آن امام همام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شاعر بیشترین توجه خود را معطوف به قسمت احیاگری و دعوت به آزادی قیام سیدالشهداء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أيُّها الوِتْرُ في الخالدِي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فَذَّاً، إلى الآنَ لم يُشْفَعِ</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بخش دوّم بعد از اشاره به عظمت حضرت، شاعر به طور خیلی مختصر به مرثیه سرایی برای سیدالشهداء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گونه خاک آلود و زخمی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ستم ناپذیری را ویژگی این صورت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شَمَمْتُ ثَرَاکَ فَهَبَّ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الکَرَامَةِ مِنْ بَلْقَعِ</w:t>
      </w:r>
    </w:p>
    <w:p>
      <w:pPr>
        <w:pStyle w:val="BookText"/>
        <w:rPr/>
      </w:pPr>
      <w:r>
        <w:rPr>
          <w:rFonts w:ascii="Amiri" w:hAnsi="Amiri" w:eastAsia="Amiri" w:cs="Amiri"/>
          <w:color w:val="111111"/>
          <w:sz w:val="28"/>
          <w:sz w:val="28"/>
          <w:szCs w:val="28"/>
          <w:rtl w:val="true"/>
          <w:lang w:bidi="ar-SA"/>
        </w:rPr>
        <w:t xml:space="preserve">وعَفَّرْتُ خَدِّي بحيثُ استراحَ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تَفَرَّى ولم يَضْرَعِ</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سنابِکُ خيلِ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جالتْ عليهِ ولم يَخْشَعِ</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بعد از اینکه شاعر با مرثیه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عاطفی میان مردم و حضرتش برقرار کرد به غفلت و ناآگاهی مردمان آن زمانه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اینجا خارج از بحث روشن گرانه می خواهد به سوگواره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روضه بدن مرضوض حضرت زیر سم اسبان را به تصویر می کشد، می گوید هر چند این بدن با سم اسب له شد ولی تن به ذلت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بشر چقدر شکست ناپذیر است که بدنش قطعه قطعه می شود، جوانانش جلوی چشمش تکه تکهمی شوند، به منتهی درجه تشنگی می رسد که حتی به آسمان نگاه می کند، به نظرش تیره و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اسیر می شوند، هر چه دارد از دست داده است ولی یک چیز برای او باقی مانده و آن روحش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روحش شکست نمی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کأنَّ يَدَاً مِنْ وَرَاءِ الضَّرِيحِ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مَبْتُورَةَ 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تَمُدُّ إلى عَالَمٍ بالخُنُوعِ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وَالضَّيْمِ ذي شَرَقٍ مُتْرَعِ</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مایه های عاطفی و مرثیه ای عینیه جواهری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یک یا دو کلمه می گوید ولی دنیایی از حرف در ورای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مَبْتُورَةَ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شاعر به هدف قیام سیدالشهداء با نگاه روز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لِتُبْدِلَ منهُ جَدِيبَ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بآخَرَ مُعْشَوْشِبٍ مُمْرِعِ</w:t>
      </w:r>
    </w:p>
    <w:p>
      <w:pPr>
        <w:pStyle w:val="BookText"/>
        <w:rPr/>
      </w:pPr>
      <w:r>
        <w:rPr>
          <w:rFonts w:ascii="Amiri" w:hAnsi="Amiri" w:eastAsia="Amiri" w:cs="Amiri"/>
          <w:color w:val="111111"/>
          <w:sz w:val="28"/>
          <w:sz w:val="28"/>
          <w:szCs w:val="28"/>
          <w:rtl w:val="true"/>
          <w:lang w:bidi="ar-SA"/>
        </w:rPr>
        <w:t xml:space="preserve">وتدفعَ هذي النفوسَ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إلى حَرَمٍ أَمْنَعِ</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همین مقطع شاعر به بیان تفاوت قیام حسینی با سایر قیام ها می پردازد و آن را برتر از سایرین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در اینجا به نقد قیام های دیگر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صدد اشاره به نقاط مهم و برجسته این نهضت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تأرّمُ حِقداً على الصاعقاتِ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تُنْءِ ضَيْراً ولم تَنْفَعِ</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تَبْذُرِ الحَبَّ إثرَ الهشيمِ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حَرَّقَتْهُ ولم تَزْرَعِ </w:t>
      </w:r>
    </w:p>
    <w:p>
      <w:pPr>
        <w:pStyle w:val="BookText"/>
        <w:rPr/>
      </w:pPr>
      <w:r>
        <w:rPr>
          <w:rFonts w:ascii="Amiri" w:hAnsi="Amiri" w:eastAsia="Amiri" w:cs="Amiri"/>
          <w:color w:val="111111"/>
          <w:sz w:val="28"/>
          <w:sz w:val="28"/>
          <w:szCs w:val="28"/>
          <w:rtl w:val="true"/>
          <w:lang w:bidi="ar-SA"/>
        </w:rPr>
        <w:t xml:space="preserve">ولم تُخْلِ أبراجَها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تأتِ أرضاً ولم تُدْقِعِ</w:t>
      </w:r>
    </w:p>
    <w:p>
      <w:pPr>
        <w:pStyle w:val="BookText"/>
        <w:rPr/>
      </w:pPr>
      <w:r>
        <w:rPr>
          <w:rFonts w:ascii="IRNazanin" w:hAnsi="IRNazanin" w:eastAsia="IRNazanin"/>
          <w:color w:val="111111"/>
          <w:sz w:val="28"/>
          <w:sz w:val="28"/>
          <w:szCs w:val="28"/>
          <w:rtl w:val="true"/>
          <w:lang w:bidi="fa-IR"/>
        </w:rPr>
        <w:t>بعد از بیان ادعاهای خویش در باب علو مقام و برتری قیام حسینی به مدححضرت و بیان ملاکی برای اثبات ادعاهای خویش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این ابیات دو ویژگی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البتول</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البطین</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ستودن سیدالشهداء به کار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نشانه هایی که چرا این دو صفت را برای حضرت انتخاب کرده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فيابنَ البتولِ وحَسْبِي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ضَمَاناً على کُلِّ ما أَدّعِي</w:t>
      </w:r>
    </w:p>
    <w:p>
      <w:pPr>
        <w:pStyle w:val="BookText"/>
        <w:rPr/>
      </w:pPr>
      <w:r>
        <w:rPr>
          <w:rFonts w:ascii="Amiri" w:hAnsi="Amiri" w:eastAsia="Amiri" w:cs="Amiri"/>
          <w:color w:val="111111"/>
          <w:sz w:val="28"/>
          <w:sz w:val="28"/>
          <w:szCs w:val="28"/>
          <w:rtl w:val="true"/>
          <w:lang w:bidi="ar-SA"/>
        </w:rPr>
        <w:t xml:space="preserve">ويابنَ التي لم يَضَعْ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کمِثْلِکِ حَمْلاً ولم تُرْضِعِ</w:t>
      </w:r>
    </w:p>
    <w:p>
      <w:pPr>
        <w:pStyle w:val="BookText"/>
        <w:rPr/>
      </w:pPr>
      <w:r>
        <w:rPr>
          <w:rFonts w:ascii="Amiri" w:hAnsi="Amiri" w:eastAsia="Amiri" w:cs="Amiri"/>
          <w:color w:val="111111"/>
          <w:sz w:val="28"/>
          <w:sz w:val="28"/>
          <w:szCs w:val="28"/>
          <w:rtl w:val="true"/>
          <w:lang w:bidi="ar-SA"/>
        </w:rPr>
        <w:t xml:space="preserve">ويابنَ البَطِينِ بلا 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ويابنَ الفتى الحاسرِ الأنْزَعِ</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بخش سوّم شاعر به تمام آنچه گفته، شک می کند و احتمالات مختلفی را به بحث می کشاند، و به دنبال آن است که حجاب از پرده حقیقت کنار بزند و به یقین برسد، که محور اصلی این پژوهش بررسی همین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تَمَثَّلْتُ يومَکَ في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ورَدَّدْتُ صوتَکَ في مَسْمَعِي</w:t>
      </w:r>
    </w:p>
    <w:p>
      <w:pPr>
        <w:pStyle w:val="BookText"/>
        <w:rPr/>
      </w:pPr>
      <w:r>
        <w:rPr>
          <w:rFonts w:ascii="Amiri" w:hAnsi="Amiri" w:eastAsia="Amiri" w:cs="Amiri"/>
          <w:color w:val="111111"/>
          <w:sz w:val="28"/>
          <w:sz w:val="28"/>
          <w:szCs w:val="28"/>
          <w:rtl w:val="true"/>
          <w:lang w:bidi="ar-SA"/>
        </w:rPr>
        <w:t xml:space="preserve">وَمَحَّصْتُ أمْرَکَ لم أرْتَهِبْ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أُخْدَعِ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قصیده در بحر متقارب</w:t>
      </w:r>
      <w:r>
        <w:rPr>
          <w:rStyle w:val="FootnoteAnchor"/>
          <w:rtl w:val="true"/>
        </w:rPr>
        <w:footnoteReference w:id="46"/>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وزن مناسب شعرها و تصویرهای حماسی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جواهری با انتخاب این وزن نگاهی سیاسی بهقیام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سیاسی در مقابل نگاه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سیاسی ما با حماسه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با نگاه عاطفی به عاشورا نگریسته می شد، عنصر تراژدی آن برجسته می گردید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خلاصه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که واژه هایی که در عاشورا بسامد و تواتر داشت و همواره بر سر زبان ها بود، تراژدیک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نگاه سیاسی به سبط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شود پی رنگ آن قیام عنصر حماسه می شود و حسینِ مصیبت و غم و اندوه به حسینِ آزادگی و شهادت مبدل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می تواند روح تشنه جامعه را سیراب کند، لذا در این قصیده شاهدیم جواهری به مرثیه نزدیک نمی شود بلکه به معرفی حسینِ حماسه می پردازد، حتی قافیه ای را که انتخاب کرده صلابت و استواری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صلابت و استواری در حرف عین نهفته است، انتخاب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قافیه علاوه بر موارد فوق اشاره به عمق حزن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الأنطاکی،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جواهری در این قصیده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فعل ماضی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فعل مضارع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که مربوط به قسمت تراژدیک عاشورا است از افعال ماضی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خلاف بسیاری دیگر از مرثیه سراهای عاشورایی، در گذشته نمی ماند و با استفاده از افعال مضارع به جاودانگی و زنده بودن حرکت حضرت اشاره می کند، گویی اینکه جواهری از حسینِ عاشورا حرکت می کند تا حسینیان امروز را هم بشناسد، از یزید بن معاویه آغاز و به یزید امروز می رسد، و در پی این است که امروز باید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را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ويا واصِلاً من نشيدِ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 القصيدةِ بالمَطْلَعِ</w:t>
      </w:r>
    </w:p>
    <w:p>
      <w:pPr>
        <w:pStyle w:val="BookText"/>
        <w:rPr/>
      </w:pPr>
      <w:r>
        <w:rPr>
          <w:rFonts w:ascii="Amiri" w:hAnsi="Amiri" w:eastAsia="Amiri" w:cs="Amiri"/>
          <w:color w:val="111111"/>
          <w:sz w:val="28"/>
          <w:sz w:val="28"/>
          <w:szCs w:val="28"/>
          <w:rtl w:val="true"/>
          <w:lang w:bidi="ar-SA"/>
        </w:rPr>
        <w:t xml:space="preserve">يَسِيرُ الوَرَى برکابِ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مُسْتَقِيمٍ و من أظْلَعِ</w:t>
      </w:r>
    </w:p>
    <w:p>
      <w:pPr>
        <w:pStyle w:val="BookText"/>
        <w:rPr/>
      </w:pPr>
      <w:r>
        <w:rPr>
          <w:rFonts w:ascii="Amiri" w:hAnsi="Amiri" w:eastAsia="Amiri" w:cs="Amiri"/>
          <w:color w:val="111111"/>
          <w:sz w:val="28"/>
          <w:sz w:val="28"/>
          <w:szCs w:val="28"/>
          <w:rtl w:val="true"/>
          <w:lang w:bidi="ar-SA"/>
        </w:rPr>
        <w:t xml:space="preserve">وأنتَ تُسَيِّرُ رَکْبَ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تَسْتَجِدُّ لهُ يَتْبَعِ</w:t>
      </w:r>
      <w:r>
        <w:rPr>
          <w:rStyle w:val="FootnoteAnchor"/>
          <w:rtl w:val="true"/>
        </w:rPr>
        <w:footnoteReference w:id="4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شاعر از افعال ماضی استفاده کرده به عاشورا و تاریخ آن روزگار اشاره می کند، اما وقتی افعال مضارع به کار می برد سخن از گذشته نیست، بلکه سخن از </w:t>
      </w:r>
      <w:bookmarkStart w:id="182" w:name="pg8714_82526"/>
    </w:p>
    <w:p>
      <w:pPr>
        <w:pStyle w:val="BookText"/>
        <w:rPr/>
      </w:pPr>
      <w:bookmarkEnd w:id="182"/>
      <w:r>
        <w:rPr>
          <w:rFonts w:ascii="IRNazanin" w:hAnsi="IRNazanin" w:eastAsia="IRNazanin"/>
          <w:color w:val="111111"/>
          <w:sz w:val="28"/>
          <w:sz w:val="28"/>
          <w:szCs w:val="28"/>
          <w:rtl w:val="true"/>
          <w:lang w:bidi="fa-IR"/>
        </w:rPr>
        <w:t>بشریت در طول تاریخ است و اشاره به نسخه نجات بخش حسینی برای همه جوامع و انسان ها دارد</w:t>
      </w:r>
      <w:r>
        <w:rPr>
          <w:rFonts w:eastAsia="IRNazanin" w:cs="IRNazanin"/>
          <w:color w:val="111111"/>
          <w:sz w:val="28"/>
          <w:szCs w:val="28"/>
          <w:rtl w:val="true"/>
          <w:lang w:bidi="fa-IR"/>
        </w:rPr>
        <w:t>.</w:t>
      </w:r>
    </w:p>
    <w:p>
      <w:pPr>
        <w:pStyle w:val="Heading4"/>
        <w:numPr>
          <w:ilvl w:val="3"/>
          <w:numId w:val="1"/>
        </w:numPr>
        <w:rPr/>
      </w:pPr>
      <w:bookmarkStart w:id="183" w:name="__RefHeading___Toc3032686_653776707"/>
      <w:bookmarkStart w:id="184" w:name="_Toc65"/>
      <w:bookmarkEnd w:id="183"/>
      <w:r>
        <w:rPr>
          <w:rtl w:val="true"/>
        </w:rPr>
        <w:t>ب</w:t>
      </w:r>
      <w:r>
        <w:rPr>
          <w:rtl w:val="true"/>
        </w:rPr>
        <w:t xml:space="preserve">) </w:t>
      </w:r>
      <w:r>
        <w:rPr>
          <w:rtl w:val="true"/>
        </w:rPr>
        <w:t>شک تا یقین</w:t>
      </w:r>
      <w:bookmarkEnd w:id="184"/>
    </w:p>
    <w:p>
      <w:pPr>
        <w:pStyle w:val="BookText"/>
        <w:rPr/>
      </w:pPr>
      <w:r>
        <w:rPr>
          <w:rFonts w:ascii="IRNazanin" w:hAnsi="IRNazanin" w:eastAsia="IRNazanin"/>
          <w:color w:val="111111"/>
          <w:sz w:val="28"/>
          <w:sz w:val="28"/>
          <w:szCs w:val="28"/>
          <w:rtl w:val="true"/>
          <w:lang w:bidi="fa-IR"/>
        </w:rPr>
        <w:t>شاعر در قسمت سوم، ابتدا شک خود را نسبت به نهضت حسینی و عظمت آن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جا که اسم قصیده آمنت بالحسین است به ذهن چنین متبادر می شود که او ابتدا شک داشته سپس به یقین می رسد اما در واقع جواهری از یقین آغاز می کند و بعد از آن در یقین خود شک می کند، بعد از آن شک به واسطه نور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او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قیام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هدف امر به معروف و نهی از منکر و پیاده سازی اسلام حقیقی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انگیزه های مختلفی موجب شد که تحریفاتی در بیان شکل و محتوای آن یا تحلیل اهدافش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سعی کردند تا با این تحریفات مبارزه نموده و به دنبال آگاه سازی مردم نسبت به آنها بر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این قصیده از جمله این افراد است و به این می اندیشد شاید علل و عواملی باعث شده حقیقت سرخ عاشورا دست خوش تغییر و تبدیل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عوامل برانگیختن شک در خود رامطرح می کند و به انتقاد از آن عوامل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وَمَحَّصْتُ أمْرَکَ لم أرْتَهِبْ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أُخْدَعِ</w:t>
      </w:r>
      <w:r>
        <w:rPr>
          <w:rStyle w:val="FootnoteAnchor"/>
          <w:rtl w:val="true"/>
        </w:rPr>
        <w:footnoteReference w:id="4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جواهری در این قسمت سه احتمال برای شک خود در حقیقت سرخ عاشورا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مسأله آمد و شد ایام و نحوه معرفی مرثیه سرایان از حضرت را عامل تغییر حقیقت مطرح می 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سیاست مداران و کسانی که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 او را این گونه مطرح کرده اند تا از آن بهره ببرند؛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خاطر است که انسان اندوهگین شیفته هر انسان همانند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مسائلی که جواهری مطرح می کند شک در حقیقت عاشورا و جلال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انتقاد تلخی به عزاداران، سیاستمداران و افراد غم دیده است که برای رسیدن به هدف </w:t>
      </w:r>
    </w:p>
    <w:p>
      <w:pPr>
        <w:pStyle w:val="BookText"/>
        <w:rPr/>
      </w:pPr>
      <w:r>
        <w:rPr>
          <w:rFonts w:ascii="IRNazanin" w:hAnsi="IRNazanin" w:eastAsia="IRNazanin"/>
          <w:color w:val="111111"/>
          <w:sz w:val="28"/>
          <w:sz w:val="28"/>
          <w:szCs w:val="28"/>
          <w:rtl w:val="true"/>
          <w:lang w:bidi="fa-IR"/>
        </w:rPr>
        <w:t xml:space="preserve">خود حسین آزادگی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حسین غم ها و مصائب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در پی آن است که حقیقت و حماسه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 هایی از انحرافاتی که جواهری و دیگر دردمندان جامعه اسلامی را رنج می دهد،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این که جامعه اسلامی از عاشورا آن چنان که باید، بهره نبرد و آن را الگو نساخت و به این اهرم برای مبارزه با حکومت های ستمگر دست نینداخت و از این انرژی برای ستم سوزی استفاده نکرد و آن را بیشتر دست مایه عزا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اسفندیاری،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اقتدا به کربلا مالامال و سرشار از شخصیت های الگو برای تمام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عاشورای آزادگی و حماسه در گذر تاریخ به عاشورای مرثیه مبدل گشت و از آن همهحماسه، دسته های عزاداری و مجالس روضه خوانی و خیل مداحان نصیب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اینکه سیدالاباة فقط به هدف عزاداری خویش قیام کرده بود و خود را به کشتن داد تا امتی را بگریاند و عزادار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اینکه همان عزاداری هم به خرافه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هایی به آن وارد شد که هیچ شباهتی به عاشورا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 شخصیت حماسی است اما نه آن طور که جلال الدین خوارزمشاه یک شخصیت حماسی است و نه آن طور که رستم افسانه ای یک شخصیت حماسی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 شخصیت حماسی است اما حماسه انسانیت، حماسه بشریت، نه حماسه قومیت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جواهری هم به این اعتراض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دَوِيَّ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بأصداءِ حادثِکَ المُفْجِعِ</w:t>
      </w:r>
    </w:p>
    <w:p>
      <w:pPr>
        <w:pStyle w:val="BookText"/>
        <w:rPr/>
      </w:pPr>
      <w:r>
        <w:rPr>
          <w:rFonts w:ascii="Amiri" w:hAnsi="Amiri" w:eastAsia="Amiri" w:cs="Amiri"/>
          <w:color w:val="111111"/>
          <w:sz w:val="28"/>
          <w:sz w:val="28"/>
          <w:szCs w:val="28"/>
          <w:rtl w:val="true"/>
          <w:lang w:bidi="ar-SA"/>
        </w:rPr>
        <w:t xml:space="preserve">وَمَا رَتَّلَ المُخْلِصُونَ الدُّعَاةُ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عليکَ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بالشَّعْرِ و الأدْمُعِ</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احتمال دیگر؛ عاشورا در تاریخ چنان مسخ شد که از هدف اصلی آن که مبارزه با ظلم، ظالم، مستکبر و زورگو بود،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انگیزه های سیاسی و اجتماعی فراوانی برای تحریف این واقعه از همان آغاز وجود داشته که از مهمترین آنها حاکمیت استبدادی مخوف حزب اموی بر سرزمین های اسلامی آن هم به مدتی نسبتا طولانی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سایر حکومت های مستبد و مفسد که منش و روش </w:t>
      </w:r>
    </w:p>
    <w:p>
      <w:pPr>
        <w:pStyle w:val="BookText"/>
        <w:rPr/>
      </w:pPr>
      <w:r>
        <w:rPr>
          <w:rFonts w:ascii="IRNazanin" w:hAnsi="IRNazanin" w:eastAsia="IRNazanin"/>
          <w:color w:val="111111"/>
          <w:sz w:val="28"/>
          <w:sz w:val="28"/>
          <w:szCs w:val="28"/>
          <w:rtl w:val="true"/>
          <w:lang w:bidi="fa-IR"/>
        </w:rPr>
        <w:t xml:space="preserve">امویان و فرزندان ابوسفیان را پیشه خود ساخته بودند و فرهنگ جهادی و شهید پرور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تضاد با منافع خویش می دیدند، انگیزه ای نیرومند برای مسخ و تحریف تاریخ و فرهنگ عاشورا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تلاش ها گاهی عاشورا آنقدر از هدف خود فاصله گرفت که هیچ خطری برای جباران و خونخواران زمان نبودبلکه این طاغوت ها خود متولی برگزاری مراسم سیدالشهداء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المثل دیکتاتوری چون ناصرالدین شاه، هیچ تعارضی بین شیوه های ظالمانه حکومتش و تأمین بهترین و پیشرفته ترین امکانات برای برگزاری تعزیه نمی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عنایت،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عاشورا، اگر آن طور که می باید و ائمه طاهرین نظر داشته اند برگزار گردد بس است تا سرنوشت ملت هایی را عوض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این گفته در عاشورای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نام و یاد سیدالشهداء به خیابان ها ریختند و طومار رژیم ددمنش پهلوی را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پهلوی دوم در این روز سقوط کرد، حال آن که شاه عباس مجالس عزا را مفصل برگزار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السياسةَ فيما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لاصِقٍ بِکَ أو مُدَّعِي</w:t>
      </w:r>
    </w:p>
    <w:p>
      <w:pPr>
        <w:pStyle w:val="BookText"/>
        <w:rPr/>
      </w:pPr>
      <w:r>
        <w:rPr>
          <w:rFonts w:ascii="Amiri" w:hAnsi="Amiri" w:eastAsia="Amiri" w:cs="Amiri"/>
          <w:color w:val="111111"/>
          <w:sz w:val="28"/>
          <w:sz w:val="28"/>
          <w:szCs w:val="28"/>
          <w:rtl w:val="true"/>
          <w:lang w:bidi="ar-SA"/>
        </w:rPr>
        <w:t xml:space="preserve">وتشريدَهَا کُلَّ مَنْ 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لأهْلِيکَ أو مَقْطَعِ</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شاعر، بعد از اشاره به موارد فوق، سومین بحث خود در باب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اندوهگین علاقه دارد از غم و مصیبت و اندوه دیگران بشنود و با گریه بر او در واقع خود را از غم ها نجات دهد؛ لذا عاشورا را که سرشار از صحنه های تراژدیک است دستمایه آرامش خود قرار داده اند و با اشک بر آن در واقع خود را تسکین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به طور موجبه جزئیه ممکن است درست باشد ولی به طور کلی صحت ندارد و عاشورا با همه وسعتش در این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هم در عینیه این موضوع را مطرحمی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لِذاکَ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وَلُوعَاً بکُلِّ شَجٍ مُوْلعِ </w:t>
      </w:r>
    </w:p>
    <w:p>
      <w:pPr>
        <w:pStyle w:val="BookText"/>
        <w:rPr/>
      </w:pPr>
      <w:r>
        <w:rPr>
          <w:rFonts w:ascii="Amiri" w:hAnsi="Amiri" w:eastAsia="Amiri" w:cs="Amiri"/>
          <w:color w:val="111111"/>
          <w:sz w:val="28"/>
          <w:sz w:val="28"/>
          <w:szCs w:val="28"/>
          <w:rtl w:val="true"/>
          <w:lang w:bidi="ar-SA"/>
        </w:rPr>
        <w:t xml:space="preserve">يداً في اصطباغِ حديثِ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بلونٍ أُرِيدَ لَهُ مُمْتِعِ</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اینجا شاعر دو خطر داخلی و خارجی برای قیام سیدالشهداء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خطر داخلی در قبال حرکت عظیم عاشورا را عدم درک هدف اصلی قیام حضرت و تحریف آن می داند و خطر خارجی را نقش سیاستمدران و دستگاه های فاسد دنیا طلبان در انحراف مردم از حسین اصیل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تحریف ها صورت گرفت دیگر کسی نمی تواند در اینجا حقیقت را تشخیص دهد و با الگوگیری از این قیام عظیم به سمت مبارزه با دنیا طلبان و یزیدان زمان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وقتی که در تاریخ نگاه می کند، می بیند که بر سر این حادثه چه ها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حرف حاجی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امروز اگر کسی بخواهد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بر این مصیبت هایش باید بگرید، بر این تحریف ها و مسخ ها باید بگرید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بعد از بیان موضوعات فوق و به نوعی انتقاد از نحوه برخورد با قیام و حرکت سید الشهداء به معرفی حضرت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مرا به خود مشغول کرد تا من در پی حقیقت و جستجوی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حقیقت حسین بر من متجلی شد، او را در تصویری از عظمت مشاهده کردم صورتی کم نظیر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است که همه چیز خود را فدای دین اسلام کرده است و در این راه همه چیز خود حتی وجود نازنینشرا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أزحت طلاء القرون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 الخداع عن المخدع</w:t>
      </w:r>
    </w:p>
    <w:p>
      <w:pPr>
        <w:pStyle w:val="BookText"/>
        <w:rPr/>
      </w:pP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الطبيعةِ لم تُطْبَعِ</w:t>
      </w:r>
    </w:p>
    <w:p>
      <w:pPr>
        <w:pStyle w:val="BookText"/>
        <w:rPr/>
      </w:pPr>
      <w:r>
        <w:rPr>
          <w:rFonts w:ascii="Amiri" w:hAnsi="Amiri" w:eastAsia="Amiri" w:cs="Amiri"/>
          <w:color w:val="111111"/>
          <w:sz w:val="28"/>
          <w:sz w:val="28"/>
          <w:szCs w:val="28"/>
          <w:rtl w:val="true"/>
          <w:lang w:bidi="ar-SA"/>
        </w:rPr>
        <w:t xml:space="preserve">وجَدْتُکَ في صورةٍ لم أُرَعْ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منها ولا أرْوَعِ</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أأرْوَعُ مِنْ أنْ يَکُون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لَحْمُکَ وَقْفَاً على المِبْضَعِ</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جواهری بعد از اینکه به عظمت سیدالشهداء اشاره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هنوز در سینه من ابری از شک و نگرانی و اضطراب بود تا اینکه باب رحمت خدا از جانب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باز و شک من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 کس در بهره مندی از فیض نیازمند تمسک عینی با ذات مقدسه حضرتش است تا به سبب مصاحبت و دستگیری و هدایت او عروج روحانی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 گفته است شاعر فارسی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نگه کردی و ما را مبتلا کردی حسین</w:t>
      </w:r>
    </w:p>
    <w:p>
      <w:pPr>
        <w:pStyle w:val="BookText"/>
        <w:rPr/>
      </w:pPr>
      <w:r>
        <w:rPr>
          <w:rFonts w:ascii="IRNazanin" w:hAnsi="IRNazanin" w:eastAsia="IRNazanin"/>
          <w:color w:val="111111"/>
          <w:sz w:val="28"/>
          <w:sz w:val="28"/>
          <w:szCs w:val="28"/>
          <w:rtl w:val="true"/>
          <w:lang w:bidi="fa-IR"/>
        </w:rPr>
        <w:t xml:space="preserve">گر نبودی باب توبه تا قیامت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 را به سوی ما تو وا کردی حسین</w:t>
      </w:r>
    </w:p>
    <w:p>
      <w:pPr>
        <w:pStyle w:val="BookText"/>
        <w:rPr/>
      </w:pPr>
      <w:r>
        <w:rPr>
          <w:rFonts w:ascii="IRNazanin" w:hAnsi="IRNazanin" w:eastAsia="IRNazanin"/>
          <w:color w:val="111111"/>
          <w:sz w:val="28"/>
          <w:sz w:val="28"/>
          <w:szCs w:val="28"/>
          <w:rtl w:val="true"/>
          <w:lang w:bidi="fa-IR"/>
        </w:rPr>
        <w:t xml:space="preserve">شاعر سبب اصلی ارتفاع شک خود را رحمت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بعد از آن به قسمت پایانی منتقل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وقَدَّسْتُ ذِکراکَ لم أنتحِلْ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التُّقَاةِ ولم أَدَّعِ</w:t>
      </w:r>
    </w:p>
    <w:p>
      <w:pPr>
        <w:pStyle w:val="BookText"/>
        <w:rPr/>
      </w:pPr>
      <w:r>
        <w:rPr>
          <w:rFonts w:ascii="Amiri" w:hAnsi="Amiri" w:eastAsia="Amiri" w:cs="Amiri"/>
          <w:color w:val="111111"/>
          <w:sz w:val="28"/>
          <w:sz w:val="28"/>
          <w:szCs w:val="28"/>
          <w:rtl w:val="true"/>
          <w:lang w:bidi="ar-SA"/>
        </w:rPr>
        <w:t xml:space="preserve">تَقَحَّمْتَ صَدْرِي ورَيْبُ الشُّکُوک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 بِجُدْرَانِهِ الأَرْبَعِ</w:t>
      </w:r>
    </w:p>
    <w:p>
      <w:pPr>
        <w:pStyle w:val="BookText"/>
        <w:rPr/>
      </w:pPr>
      <w:r>
        <w:rPr>
          <w:rFonts w:ascii="Amiri" w:hAnsi="Amiri" w:eastAsia="Amiri" w:cs="Amiri"/>
          <w:color w:val="111111"/>
          <w:sz w:val="28"/>
          <w:sz w:val="28"/>
          <w:szCs w:val="28"/>
          <w:rtl w:val="true"/>
          <w:lang w:bidi="ar-SA"/>
        </w:rPr>
        <w:t xml:space="preserve">وَرَانَ سَحَابٌ صَفِيقُ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القَلَقِ المُفْزِعِ</w:t>
      </w:r>
    </w:p>
    <w:p>
      <w:pPr>
        <w:pStyle w:val="BookText"/>
        <w:rPr/>
      </w:pPr>
      <w:r>
        <w:rPr>
          <w:rFonts w:ascii="Amiri" w:hAnsi="Amiri" w:eastAsia="Amiri" w:cs="Amiri"/>
          <w:color w:val="111111"/>
          <w:sz w:val="28"/>
          <w:sz w:val="28"/>
          <w:szCs w:val="28"/>
          <w:rtl w:val="true"/>
          <w:lang w:bidi="ar-SA"/>
        </w:rPr>
        <w:t xml:space="preserve">وَهَبَّتْ رِياحٌ من 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يُقْشَعِ</w:t>
      </w:r>
    </w:p>
    <w:p>
      <w:pPr>
        <w:pStyle w:val="BookText"/>
        <w:rPr/>
      </w:pPr>
      <w:r>
        <w:rPr>
          <w:rFonts w:ascii="Amiri" w:hAnsi="Amiri" w:eastAsia="Amiri" w:cs="Amiri"/>
          <w:color w:val="111111"/>
          <w:sz w:val="28"/>
          <w:sz w:val="28"/>
          <w:szCs w:val="28"/>
          <w:rtl w:val="true"/>
          <w:lang w:bidi="ar-SA"/>
        </w:rPr>
        <w:t xml:space="preserve">إذا ما تَزَحْزَحَ عَنْ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وعادَ إلى مَوْضِعِ</w:t>
      </w:r>
      <w:r>
        <w:rPr>
          <w:rStyle w:val="FootnoteAnchor"/>
          <w:rtl w:val="true"/>
        </w:rPr>
        <w:footnoteReference w:id="5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حال جواهری در این ابیات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حالت گمراهی خارج کرد و انحرافم به وسیله ایشان درست شد در واقع من به واسطه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او ایمان آوردم، ایمانی از روی عقل که هیچ شکی در آن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دلیل هدایت خود را نور ساطع سیدالشهداء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اشعار ثابت می کند هر </w:t>
      </w:r>
      <w:bookmarkStart w:id="185" w:name="pg8714_82531"/>
    </w:p>
    <w:p>
      <w:pPr>
        <w:pStyle w:val="BookText"/>
        <w:rPr/>
      </w:pPr>
      <w:bookmarkEnd w:id="185"/>
      <w:r>
        <w:rPr>
          <w:rFonts w:ascii="IRNazanin" w:hAnsi="IRNazanin" w:eastAsia="IRNazanin"/>
          <w:color w:val="111111"/>
          <w:sz w:val="28"/>
          <w:sz w:val="28"/>
          <w:szCs w:val="28"/>
          <w:rtl w:val="true"/>
          <w:lang w:bidi="fa-IR"/>
        </w:rPr>
        <w:t>کسی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به اندازه فهم، درک و دغدغه اش از حقیقت آنان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با استفاده از این حقیقت به مغز دین معتقد و پایبند بود و بی شک دلیل قوت باورش را باید در الطاف سیدالشهداء جستجو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فأسْلَمَ طَوْعَا ً إليکَ القِيَادَ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وَأَعْطَاکَ إذْعَانَةَ المُهْطِعِ</w:t>
      </w:r>
    </w:p>
    <w:p>
      <w:pPr>
        <w:pStyle w:val="BookText"/>
        <w:rPr/>
      </w:pPr>
      <w:r>
        <w:rPr>
          <w:rFonts w:ascii="Amiri" w:hAnsi="Amiri" w:eastAsia="Amiri" w:cs="Amiri"/>
          <w:color w:val="111111"/>
          <w:sz w:val="28"/>
          <w:sz w:val="28"/>
          <w:szCs w:val="28"/>
          <w:rtl w:val="true"/>
          <w:lang w:bidi="ar-SA"/>
        </w:rPr>
        <w:t xml:space="preserve">فَنَوَّرْتَ ما اظْلَمَّ مِنْ فِکْرَتِي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وقَوَّمْتَ ما اعْوَجَّ من أضْلُعِي</w:t>
      </w:r>
    </w:p>
    <w:p>
      <w:pPr>
        <w:pStyle w:val="BookText"/>
        <w:rPr/>
      </w:pPr>
      <w:r>
        <w:rPr>
          <w:rFonts w:ascii="Amiri" w:hAnsi="Amiri" w:eastAsia="Amiri" w:cs="Amiri"/>
          <w:color w:val="111111"/>
          <w:sz w:val="28"/>
          <w:sz w:val="28"/>
          <w:szCs w:val="28"/>
          <w:rtl w:val="true"/>
          <w:lang w:bidi="ar-SA"/>
        </w:rPr>
        <w:t xml:space="preserve">وآمَنْتُ إيمانَ مَنْ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العَقْل في الشَّکِّ مِنْ مَرْجَعِ</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وحيَ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وفَيْضَ النُّبُوَّةِ، مِنْ مَنْبَعِ</w:t>
      </w:r>
    </w:p>
    <w:p>
      <w:pPr>
        <w:pStyle w:val="BookText"/>
        <w:rPr/>
      </w:pPr>
      <w:r>
        <w:rPr>
          <w:rFonts w:ascii="Amiri" w:hAnsi="Amiri" w:eastAsia="Amiri" w:cs="Amiri"/>
          <w:color w:val="111111"/>
          <w:sz w:val="28"/>
          <w:sz w:val="28"/>
          <w:szCs w:val="28"/>
          <w:rtl w:val="true"/>
          <w:lang w:bidi="ar-SA"/>
        </w:rPr>
        <w:t xml:space="preserve">تَجَمَّعُ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المَطْمَع</w:t>
      </w:r>
      <w:r>
        <w:rPr>
          <w:rStyle w:val="FootnoteAnchor"/>
          <w:rtl w:val="true"/>
        </w:rPr>
        <w:footnoteReference w:id="53"/>
      </w:r>
    </w:p>
    <w:p>
      <w:pPr>
        <w:pStyle w:val="Heading3"/>
        <w:numPr>
          <w:ilvl w:val="2"/>
          <w:numId w:val="1"/>
        </w:numPr>
        <w:rPr/>
      </w:pPr>
      <w:bookmarkStart w:id="186" w:name="__RefHeading___Toc3032688_653776707"/>
      <w:bookmarkStart w:id="187" w:name="_Toc66"/>
      <w:bookmarkEnd w:id="186"/>
      <w:r>
        <w:rPr>
          <w:rtl w:val="true"/>
        </w:rPr>
        <w:t>نتیجه</w:t>
      </w:r>
      <w:bookmarkEnd w:id="1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جواهری نسبت به مسائل اجتماعی شک و بسیاری از امور عادی و طبیعی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برخی موارد نسبت به امور دینی تشکیک می کند و این شک را حتی به نهضت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تسری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نهایتا در برابر عظمت حسینی تسلیم و سخن از یقین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نشانگر شکوه قیام عاشوراست و جواهری با ادراک این حقیقت در پی بیدارگری و دعوت مردم به تأسی از منش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انتقادی خود را در زمانی سرود که عمده توجه به جنبه درام حسینی بود و نشانی از حماسه عاشورا در جلسات و اندیشه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 متوجه ساختن مردم به آزادگی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با اقتدا به سیدالشهداء به فکر اصلاح گری در دین است و دین فروشان ریاکاری که با لباس دین در فکر چپاول مردم و بهره خود هستند را به باد سرزنش می گیرد و از دیگر سو دینداران خرافه پرست را مورد انتقاد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اشعار خود در پی قشری زدایی از سیدالشهداء است و می خواهد مردم به لُبّ و مغز حرکت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جواهری در واقع می خواهد بگوید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هدفش باید زنده بماند </w:t>
      </w:r>
      <w:bookmarkStart w:id="188" w:name="pg8714_82532"/>
    </w:p>
    <w:p>
      <w:pPr>
        <w:pStyle w:val="BookText"/>
        <w:rPr/>
      </w:pPr>
      <w:bookmarkEnd w:id="188"/>
      <w:r>
        <w:rPr>
          <w:rFonts w:ascii="IRNazanin" w:hAnsi="IRNazanin" w:eastAsia="IRNazanin"/>
          <w:color w:val="111111"/>
          <w:sz w:val="28"/>
          <w:sz w:val="28"/>
          <w:szCs w:val="28"/>
          <w:rtl w:val="true"/>
          <w:lang w:bidi="fa-IR"/>
        </w:rPr>
        <w:t>زیرا فکر و راه او، کلام و مرام او می تواند نه تنها مردم مسلمان، بلکه تمام مستضعفان جهان را از چنگال جهان خواران نجات دهد</w:t>
      </w:r>
      <w:r>
        <w:rPr>
          <w:rFonts w:eastAsia="IRNazanin" w:cs="IRNazanin"/>
          <w:color w:val="111111"/>
          <w:sz w:val="28"/>
          <w:szCs w:val="28"/>
          <w:rtl w:val="true"/>
          <w:lang w:bidi="fa-IR"/>
        </w:rPr>
        <w:t>.</w:t>
      </w:r>
    </w:p>
    <w:p>
      <w:pPr>
        <w:pStyle w:val="Heading3"/>
        <w:numPr>
          <w:ilvl w:val="2"/>
          <w:numId w:val="1"/>
        </w:numPr>
        <w:rPr/>
      </w:pPr>
      <w:bookmarkStart w:id="189" w:name="__RefHeading___Toc3032690_653776707"/>
      <w:bookmarkStart w:id="190" w:name="_Toc67"/>
      <w:bookmarkEnd w:id="189"/>
      <w:r>
        <w:rPr>
          <w:rtl w:val="true"/>
        </w:rPr>
        <w:t>منابع</w:t>
      </w:r>
      <w:bookmarkEnd w:id="190"/>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مازندرانی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w:t>
      </w:r>
    </w:p>
    <w:p>
      <w:pPr>
        <w:pStyle w:val="BookText"/>
        <w:rPr/>
      </w:pPr>
      <w:r>
        <w:rPr>
          <w:rFonts w:ascii="IRNazanin" w:hAnsi="IRNazanin" w:eastAsia="IRNazanin"/>
          <w:color w:val="111111"/>
          <w:sz w:val="28"/>
          <w:sz w:val="28"/>
          <w:szCs w:val="28"/>
          <w:rtl w:val="true"/>
          <w:lang w:bidi="fa-IR"/>
        </w:rPr>
        <w:t xml:space="preserve">ابوحاقه، احمد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فی الشعر العربی، بیروت، دار العلم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عاشورای حسین تا عاشورای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اندیشه، سال چهارم، شماره شانزدهم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أعرجی، محمد حسین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وثائق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للثقافة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انصاريان، حسين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 عرشیان فرشن شین، قم، دار العرفان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بصری، میر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الادب فی العراق الحدیث، لندن،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بیضون، حیدر توفیق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محمدمهدی الجواهری شاعر العراق الاکبر، بیروت،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پروین گنابادی،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تهران، بنیاد دائرة المعارف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جابر، سکینه سادات و حسن عبدالهی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و تأثیرپذیری اش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بینامتنی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برگزیده برای چاپ، همایش ملی بینامتنیت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پاییز، قم، ص</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جبرا ابراهیم جبرا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دراسات فی الشعر،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جبران، سلیمان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الاضداد دراسة فی سیرة الجواهری و شعره، بیروت، دارالصادر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جحا، میشال خلیل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الشعرالعربی الحدیث من احمد شوقی الی محمود درویش، بیروت، دار العودة و 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عطیه، جلیل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من القرن العشرین، بیروت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جواهری، محمد مهدی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بیروت، دار العودة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_ _____________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مذکَّراتی، بیروت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 _____________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قرن، دمشق، منشورات وزارة الثّقافه فی الجمهوریه العربیه السوریه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جیوسی، سلمی خضرا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الاتجاهات فی الشعر العربی الحدیث، بیروت، دراسات الوحدة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حکیمی، محمدرضا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سرود جهش ها،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خیاط، جلال و دیگران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ادبیات معاصر عرب، محود فضیلت، کرمانشاه، انتشارات دانشگاه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دلشاد، جعفر و همکاران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أفکار جمال الدین الأسدآبادي في أشعار محمّد مهدي الجواهري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آفاق الحضاره الإسلامیه، السنه الرابعه عشره، الخریف والشتاء، ص</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عنایت، حمید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اسلامی در اسلام معاصر، ترجمه بهاءالدین خرمشاهی، تهران،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معروف، یحیی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مهدی جواهری و أغراضه الشعریة، نشریه دانشکده ادبیات و علوم انسانی دانشگاه شهید باهنر کرمان، شماره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ممتحن، مهدی و همکاران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اندیشه جواهری و شهریاری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ادبیات تطبیقی، سال چهارم،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مهدوی دامغانی، احمد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ایرانی تبار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گلستان، سال، 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91" w:name="pg8714_82534"/>
    </w:p>
    <w:p>
      <w:pPr>
        <w:pStyle w:val="Heading2"/>
        <w:numPr>
          <w:ilvl w:val="1"/>
          <w:numId w:val="1"/>
        </w:numPr>
        <w:rPr/>
      </w:pPr>
      <w:bookmarkStart w:id="192" w:name="__RefHeading___Toc3032692_653776707"/>
      <w:bookmarkStart w:id="193" w:name="_Toc68"/>
      <w:bookmarkEnd w:id="191"/>
      <w:bookmarkEnd w:id="192"/>
      <w:r>
        <w:rPr>
          <w:rtl w:val="true"/>
        </w:rPr>
        <w:t>به کارگیری تشبیهات غیرمتعارف توسط برخی از محبان اهل بیت</w:t>
      </w:r>
      <w:r>
        <w:rPr>
          <w:rtl w:val="true"/>
        </w:rPr>
        <w:t>(</w:t>
      </w:r>
      <w:r>
        <w:rPr>
          <w:rtl w:val="true"/>
        </w:rPr>
        <w:t>علیهم السلام</w:t>
      </w:r>
      <w:r>
        <w:rPr>
          <w:rtl w:val="true"/>
        </w:rPr>
        <w:t>)</w:t>
      </w:r>
      <w:bookmarkEnd w:id="193"/>
    </w:p>
    <w:p>
      <w:pPr>
        <w:pStyle w:val="Heading3"/>
        <w:numPr>
          <w:ilvl w:val="2"/>
          <w:numId w:val="1"/>
        </w:numPr>
        <w:rPr/>
      </w:pPr>
      <w:bookmarkStart w:id="194" w:name="__RefHeading___Toc3032694_653776707"/>
      <w:bookmarkStart w:id="195" w:name="_Toc69"/>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محمدجعفر میلان نورانی</w:t>
      </w:r>
      <w:r>
        <w:rPr>
          <w:rStyle w:val="FootnoteAnchor"/>
          <w:rtl w:val="true"/>
        </w:rPr>
        <w:footnoteReference w:id="54"/>
      </w:r>
      <w:r>
        <w:rPr>
          <w:rFonts w:ascii="IRNazanin" w:hAnsi="IRNazanin" w:eastAsia="IRNazanin"/>
          <w:color w:val="111111"/>
          <w:sz w:val="28"/>
          <w:sz w:val="28"/>
          <w:szCs w:val="28"/>
          <w:rtl w:val="true"/>
          <w:lang w:bidi="fa-IR"/>
        </w:rPr>
        <w:t>مجید کیهان فر</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21/07/1401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11/11/1401</w:t>
      </w:r>
    </w:p>
    <w:p>
      <w:pPr>
        <w:pStyle w:val="BookText"/>
        <w:rPr/>
      </w:pPr>
      <w:r>
        <w:rPr>
          <w:rFonts w:ascii="IRNazanin" w:hAnsi="IRNazanin" w:eastAsia="IRNazanin"/>
          <w:color w:val="111111"/>
          <w:sz w:val="28"/>
          <w:sz w:val="28"/>
          <w:szCs w:val="28"/>
          <w:rtl w:val="true"/>
          <w:lang w:bidi="fa-IR"/>
        </w:rPr>
        <w:t>چکیده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سلیقه شخصی در دین، همواره تنش هایی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برخورد سلیقگی و غیرصحیح با اولیای الاهی، این است که برخی افراد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درصدد برآمد تا این حرکت را ریشه یابی و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آنکه اثبات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 ابتدائا در زمان صفویان و مشخصا توسط شاه عباس دوم ابداع شده و بعد از وی بود که این عمل غیرصحیح در جامعه شیعی انتشار یافته، به نقد محتوایی و مفهوم این عمل پرداخته و اثبات می شود، با توجه به اینکه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ذلیل کردن خود در برابر آن حضرت بازداشت و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آیات و روایات در معنای ذلت بار و منفی به کار رفته، صحیح نیست که عبارت </w:t>
      </w:r>
      <w:bookmarkStart w:id="196" w:name="pg8714_82535"/>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تواضع در برابر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عزاداری، شاه عباس، کلب آستان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نادرشاه</w:t>
      </w:r>
      <w:r>
        <w:rPr>
          <w:rFonts w:eastAsia="IRNazanin" w:cs="IRNazanin"/>
          <w:color w:val="111111"/>
          <w:sz w:val="28"/>
          <w:szCs w:val="28"/>
          <w:rtl w:val="true"/>
          <w:lang w:bidi="fa-IR"/>
        </w:rPr>
        <w:t>.</w:t>
      </w:r>
    </w:p>
    <w:p>
      <w:pPr>
        <w:pStyle w:val="Heading3"/>
        <w:numPr>
          <w:ilvl w:val="2"/>
          <w:numId w:val="1"/>
        </w:numPr>
        <w:rPr/>
      </w:pPr>
      <w:bookmarkStart w:id="197" w:name="__RefHeading___Toc3032696_653776707"/>
      <w:bookmarkStart w:id="198" w:name="_Toc70"/>
      <w:bookmarkEnd w:id="197"/>
      <w:r>
        <w:rPr>
          <w:rtl w:val="true"/>
        </w:rPr>
        <w:t>مقدمه</w:t>
      </w:r>
      <w:bookmarkEnd w:id="198"/>
    </w:p>
    <w:p>
      <w:pPr>
        <w:pStyle w:val="BookText"/>
        <w:rPr/>
      </w:pPr>
      <w:r>
        <w:rPr>
          <w:rFonts w:ascii="IRNazanin" w:hAnsi="IRNazanin" w:eastAsia="IRNazanin"/>
          <w:color w:val="111111"/>
          <w:sz w:val="28"/>
          <w:sz w:val="28"/>
          <w:szCs w:val="28"/>
          <w:rtl w:val="true"/>
          <w:lang w:bidi="fa-IR"/>
        </w:rPr>
        <w:t xml:space="preserve">مسئله نامیدن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اساساً آیا انسان می تواند خود را تا حد یک حیوان پایین بیاورد و آیا مالک شخصیت خود هست یا خیر، مسئله ای است که اخیراً بحث ها و چالش های زیادی در میان شیعیان و مخصوصاً مقیدان به برگزاری مراسم عزاداری و مناسک مربوط به آن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عوامل ضدشیعه نیز از کوچک ترین دستاویزی برای بدنام کردن شیعه در محضر افکار عمومی استفاده می کنند، از چنین موضوعی بهره بسیاری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برخی از عمل کردهای ناصحیح شمار معدودی از عزاداران نیز، به تشیع و تعالیم صحیح و ناب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ضربه بسیاری زده است که از جمله آن می توان به قمه زنی، توهین به مقدسات اهل سنت و غلو در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کارهایی که برخی شیعیان انجام داده و خواسته یا ناخواسته به مذهب ضربه زده اند، این است که آنان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الاهی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در پی نقد این عملکرد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عملکرد برخی هیئت های عزاداری و افراد کم سلیقه و در عین حال بیگانه از منابع معرفتی، توسط رسانه های معاند به عنوان قرائت رسمی قاطبه شیعه معرفی می شود و در نتیجه تمامی افراد این مذهب و اساس آنبدنام می شود، در خصوص نامیدن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کنون بازتاب های بسیار ناخوشایند و توهین آمیزی نسبت به اصل شیعه و نه فقط نسبت به عناصر کم سلیقه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دیده شد در این زمینه نوشتاری ارائه شود تا ضمن منفی بودن و بدعت بودن این کار، نسبت به نهی نصوص شرعی نیز در این زمینه تذکر داده شود، تا افراد خالی الذهن پیش از ورود و وابسته شدن به هیئت های عزاداری، دقت نظر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برخورداری از کرامت منزلت انسانی نیز باید به افراد گوشزد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نقد این مسئله پرداخته و </w:t>
      </w:r>
      <w:bookmarkStart w:id="199" w:name="pg8714_82536"/>
    </w:p>
    <w:p>
      <w:pPr>
        <w:pStyle w:val="BookText"/>
        <w:rPr/>
      </w:pPr>
      <w:bookmarkEnd w:id="199"/>
      <w:r>
        <w:rPr>
          <w:rFonts w:ascii="IRNazanin" w:hAnsi="IRNazanin" w:eastAsia="IRNazanin"/>
          <w:color w:val="111111"/>
          <w:sz w:val="28"/>
          <w:sz w:val="28"/>
          <w:szCs w:val="28"/>
          <w:rtl w:val="true"/>
          <w:lang w:bidi="fa-IR"/>
        </w:rPr>
        <w:t>سپس ادلۀ موافقان بررسی می شود</w:t>
      </w:r>
      <w:r>
        <w:rPr>
          <w:rFonts w:eastAsia="IRNazanin" w:cs="IRNazanin"/>
          <w:color w:val="111111"/>
          <w:sz w:val="28"/>
          <w:szCs w:val="28"/>
          <w:rtl w:val="true"/>
          <w:lang w:bidi="fa-IR"/>
        </w:rPr>
        <w:t>.</w:t>
      </w:r>
    </w:p>
    <w:p>
      <w:pPr>
        <w:pStyle w:val="Heading3"/>
        <w:numPr>
          <w:ilvl w:val="2"/>
          <w:numId w:val="1"/>
        </w:numPr>
        <w:rPr/>
      </w:pPr>
      <w:bookmarkStart w:id="200" w:name="__RefHeading___Toc3032698_653776707"/>
      <w:bookmarkStart w:id="201" w:name="_Toc71"/>
      <w:bookmarkEnd w:id="200"/>
      <w:r>
        <w:rPr/>
        <w:t>1</w:t>
      </w:r>
      <w:r>
        <w:rPr>
          <w:rtl w:val="true"/>
        </w:rPr>
        <w:t xml:space="preserve">. </w:t>
      </w:r>
      <w:r>
        <w:rPr>
          <w:rtl w:val="true"/>
        </w:rPr>
        <w:t>ادله ناصحیح بودن تشبیهات نامتعارف توسط دوستداران اهل بیت</w:t>
      </w:r>
      <w:r>
        <w:rPr>
          <w:rtl w:val="true"/>
        </w:rPr>
        <w:t>(</w:t>
      </w:r>
      <w:r>
        <w:rPr>
          <w:rtl w:val="true"/>
        </w:rPr>
        <w:t>علیهم السلام</w:t>
      </w:r>
      <w:r>
        <w:rPr>
          <w:rtl w:val="true"/>
        </w:rPr>
        <w:t>)</w:t>
      </w:r>
      <w:bookmarkEnd w:id="201"/>
    </w:p>
    <w:p>
      <w:pPr>
        <w:pStyle w:val="Heading4"/>
        <w:numPr>
          <w:ilvl w:val="3"/>
          <w:numId w:val="1"/>
        </w:numPr>
        <w:rPr/>
      </w:pPr>
      <w:bookmarkStart w:id="202" w:name="__RefHeading___Toc3032700_653776707"/>
      <w:bookmarkStart w:id="203" w:name="_Toc72"/>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پیش از آنکه دلایل منتقدان بررسی شود، شایسته است تاریخچه این کار ریشه یابی شود؛ چراکه نفس اینکه چنین تشبیهاتی در زمان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و بعدها ایجاد شده است، خود می تواند یکی از شواهد بدعت بودن این کار باشد</w:t>
      </w:r>
      <w:r>
        <w:rPr>
          <w:rFonts w:eastAsia="IRNazanin" w:cs="IRNazanin"/>
          <w:color w:val="111111"/>
          <w:sz w:val="28"/>
          <w:szCs w:val="28"/>
          <w:rtl w:val="true"/>
          <w:lang w:bidi="fa-IR"/>
        </w:rPr>
        <w:t>.</w:t>
      </w:r>
    </w:p>
    <w:p>
      <w:pPr>
        <w:pStyle w:val="Heading4"/>
        <w:numPr>
          <w:ilvl w:val="3"/>
          <w:numId w:val="1"/>
        </w:numPr>
        <w:rPr/>
      </w:pPr>
      <w:bookmarkStart w:id="204" w:name="__RefHeading___Toc3032702_653776707"/>
      <w:bookmarkStart w:id="205" w:name="_Toc73"/>
      <w:bookmarkEnd w:id="204"/>
      <w:r>
        <w:rPr/>
        <w:t>1.1</w:t>
      </w:r>
      <w:r>
        <w:rPr>
          <w:rtl w:val="true"/>
        </w:rPr>
        <w:t xml:space="preserve">. </w:t>
      </w:r>
      <w:r>
        <w:rPr>
          <w:rtl w:val="true"/>
        </w:rPr>
        <w:t>تاریخچه موضوع</w:t>
      </w:r>
      <w:bookmarkEnd w:id="205"/>
    </w:p>
    <w:p>
      <w:pPr>
        <w:pStyle w:val="BookText"/>
        <w:rPr/>
      </w:pPr>
      <w:r>
        <w:rPr>
          <w:rFonts w:ascii="IRNazanin" w:hAnsi="IRNazanin" w:eastAsia="IRNazanin"/>
          <w:color w:val="111111"/>
          <w:sz w:val="28"/>
          <w:sz w:val="28"/>
          <w:szCs w:val="28"/>
          <w:rtl w:val="true"/>
          <w:lang w:bidi="fa-IR"/>
        </w:rPr>
        <w:t xml:space="preserve">درمورد ریشه یابی مسئله مزبور باید گفت، آنچه در جستجوهای تاریخی به دست آمد، این بود که نخستین فردی که به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نه یک عالم و فقیه و حتی یک نوحه خوان و مداح یا هیئتی و عزادار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یک فرد عادی و ساده، بلکه شاه عباس صفوی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و ساوجی،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سکه در زمان برخی شاهان صفوی نیز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دالینی،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ادعا شده که سال تولد شاه عباس، یعنی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ق، به حساب ابجدمعادل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آستان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واله اصفهانى،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به شاه سلطان حسین، واپسین زمامدار صفوی اشاره کرد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آستان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کم از آن زمان بود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برخی افراد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تاریخی بعدی هم که می توان از وی یاد کرده و او را دارای نقشی مهم در این زمینه دانست، نادرشاه افشار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به سگ نامیدن خود بسنده نکرد؛ بلکه هنگام مشاهده حرم امیرالمؤمنین در نجف، به گردن خود زنجیری بسته و سر آن زنجیر را به فرد دیگری داد تا وی را به سمت ضریح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وی شاهرخ نیز اقدام به ضرب سکه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آستان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دالینی،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4"/>
        <w:numPr>
          <w:ilvl w:val="3"/>
          <w:numId w:val="1"/>
        </w:numPr>
        <w:rPr/>
      </w:pPr>
      <w:bookmarkStart w:id="206" w:name="__RefHeading___Toc3032704_653776707"/>
      <w:bookmarkStart w:id="207" w:name="_Toc74"/>
      <w:bookmarkEnd w:id="206"/>
      <w:r>
        <w:rPr/>
        <w:t>1</w:t>
      </w:r>
      <w:r>
        <w:rPr>
          <w:rtl w:val="true"/>
        </w:rPr>
        <w:t xml:space="preserve">. </w:t>
      </w:r>
      <w:r>
        <w:rPr/>
        <w:t>2</w:t>
      </w:r>
      <w:r>
        <w:rPr>
          <w:rtl w:val="true"/>
        </w:rPr>
        <w:t xml:space="preserve">. </w:t>
      </w:r>
      <w:r>
        <w:rPr>
          <w:rtl w:val="true"/>
        </w:rPr>
        <w:t>خودتحقیری و توهین به خود</w:t>
      </w:r>
      <w:bookmarkEnd w:id="20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یا دیگران، با آیه ای که انسان ها را ذاتاً کریم و بزرگوار معرفی </w:t>
      </w:r>
    </w:p>
    <w:p>
      <w:pPr>
        <w:pStyle w:val="BookText"/>
        <w:rPr/>
      </w:pPr>
      <w:r>
        <w:rPr>
          <w:rFonts w:ascii="IRNazanin" w:hAnsi="IRNazanin" w:eastAsia="IRNazanin"/>
          <w:color w:val="111111"/>
          <w:sz w:val="28"/>
          <w:sz w:val="28"/>
          <w:szCs w:val="28"/>
          <w:rtl w:val="true"/>
          <w:lang w:bidi="fa-IR"/>
        </w:rPr>
        <w:t xml:space="preserve">فرموده،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بَني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اینجاست که افراد دقیقاً به منظور تحقیر و بی ارزش کردن یک فرد،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اینکه این عمل مصداق بارز سب، و حکم آن نیز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سب و ناسزاگویی به مردم حرام است، فحش دادن به خود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حضرت هادی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را بی ارزش جلوه دهد، از شر او ایمن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خبری دیگر چنین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شخصی به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 تو را زشت رو کند، و هم کسی را که شبیه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نگو؛ چراکه خداوندآدم را به شکل او و امثال او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 یک انسان نیز شامل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چراکه چیزی شبیه به سگ می شود، که خداوند به شکل او، آدم را خلق کرده است و این هم توهین به آدم و هم اهانت به نسل های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فرقی هم نمی کند انسان، فردی دیگر را سگ بنامد، یا خودش را؛ در هر دو صورت این توهین شامل آدم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انسان ها را از انجام کارهایی که منجر به خرد شدن شخصیت خودشان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تاریخ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رفتن امیرالمؤمنین به شام، کشاورزان شهر انبار با دیدن حضرت به نشانه احترام از اسب ها پیاده شده و پیشاپیش آن بزرگوار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عملى بود که از شما سرزد؟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اى است که با آن سران خود را بزرگ مى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زمامداران شما از این کار سود نمى برند؛ و شما با این عمل در دنیا به مشقت مى افتید و در آخرت نیز دچار بدبختى مى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خسارت بار است مشقتى که به دنبال آن کیفر الاهى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می توان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نیز به کار برد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دوستداران ایشان، خود را سگ آنها بنامند، سودی نمی برند و آن افراد در دنیا به مشقت افتاده و در آخرت نیز زیانکار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دیگری، چنین فهمیده می شود که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راضی نبوده اند یارانشان از روی تواضع، بند </w:t>
      </w:r>
      <w:bookmarkStart w:id="208" w:name="pg8714_82538"/>
    </w:p>
    <w:p>
      <w:pPr>
        <w:pStyle w:val="BookText"/>
        <w:rPr/>
      </w:pPr>
      <w:bookmarkEnd w:id="208"/>
      <w:r>
        <w:rPr>
          <w:rFonts w:ascii="IRNazanin" w:hAnsi="IRNazanin" w:eastAsia="IRNazanin"/>
          <w:color w:val="111111"/>
          <w:sz w:val="28"/>
          <w:sz w:val="28"/>
          <w:szCs w:val="28"/>
          <w:rtl w:val="true"/>
          <w:lang w:bidi="fa-IR"/>
        </w:rPr>
        <w:t xml:space="preserve">کفششان را به آن حضرت داده و خود بدون بندکفش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کلینی رازی،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خود را سگ امام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نیز حاوی خودتحقیری است، نهی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عملی نیز شامل است</w:t>
      </w:r>
      <w:r>
        <w:rPr>
          <w:rFonts w:eastAsia="IRNazanin" w:cs="IRNazanin"/>
          <w:color w:val="111111"/>
          <w:sz w:val="28"/>
          <w:szCs w:val="28"/>
          <w:rtl w:val="true"/>
          <w:lang w:bidi="fa-IR"/>
        </w:rPr>
        <w:t>.</w:t>
      </w:r>
    </w:p>
    <w:p>
      <w:pPr>
        <w:pStyle w:val="Heading4"/>
        <w:numPr>
          <w:ilvl w:val="3"/>
          <w:numId w:val="1"/>
        </w:numPr>
        <w:rPr/>
      </w:pPr>
      <w:bookmarkStart w:id="209" w:name="__RefHeading___Toc3032706_653776707"/>
      <w:bookmarkStart w:id="210" w:name="_Toc75"/>
      <w:bookmarkEnd w:id="209"/>
      <w:r>
        <w:rPr/>
        <w:t>1</w:t>
      </w:r>
      <w:r>
        <w:rPr>
          <w:rtl w:val="true"/>
        </w:rPr>
        <w:t xml:space="preserve">. </w:t>
      </w:r>
      <w:r>
        <w:rPr/>
        <w:t>3</w:t>
      </w:r>
      <w:r>
        <w:rPr>
          <w:rtl w:val="true"/>
        </w:rPr>
        <w:t xml:space="preserve">. </w:t>
      </w:r>
      <w:r>
        <w:rPr>
          <w:rtl w:val="true"/>
        </w:rPr>
        <w:t>منفی بودن معنا و ذهنیت سگ در نصوص شرعی</w:t>
      </w:r>
      <w:bookmarkEnd w:id="210"/>
    </w:p>
    <w:p>
      <w:pPr>
        <w:pStyle w:val="BookText"/>
        <w:rPr/>
      </w:pPr>
      <w:r>
        <w:rPr>
          <w:rFonts w:ascii="IRNazanin" w:hAnsi="IRNazanin" w:eastAsia="IRNazanin"/>
          <w:color w:val="111111"/>
          <w:sz w:val="28"/>
          <w:sz w:val="28"/>
          <w:szCs w:val="28"/>
          <w:rtl w:val="true"/>
          <w:lang w:bidi="fa-IR"/>
        </w:rPr>
        <w:t xml:space="preserve">در زبان قرآن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محتوای خاضعانه و تواضع آمیزی ندارد، بلکه در توبیخ افراد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درمورد فردی که علی رغم برخورداری از علم الاهی، آن را در مقاصد دنیوی و پست به کار برد،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شِئْنا لَرَفَعْناهُ بِها وَ لکِنَّهُ أَخْلَدَ إِلَى الْأَرْضِ وَ اتَّبَعَ هَواهُ فَمَثَلُهُ کَمَثَلِ الْکَلْبِ إِنْ تَحْمِلْ عَلَيْهِ يَلْهَثْ أَوْ تَتْرُکْهُ يَلْهَثْ ذلِکَ مَثَلُ الْقَوْمِ الَّذینَ کَذَّبُوا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مى خواستيم، قدر او را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مى برديم، امّا او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گراييد و از هواى نَفْس خود پيروى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 ور شوى زبان از کام برآورد، و اگر آن را رها کنى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آن گروهى است که آيات ما را تکذيب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حکايت کن، شايد که آنان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دقیقاً افرادی را به سگ تشبیه می کند، که در دام شیطان افتاده و در راهی مقابل صراط مستقیم قرار گرفته اند؛ نه کسانی که رهرو و دوستدار اهل 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اینجاست که افراد نیز برای ابراز انزجار نسبت به مخالفان خود، از همین آیه استفاده و طرف مقابل را به سگ تشبیه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یکی از طرفین حکمیت در قضیه صفین، دیگری را چنین خطاب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آیات، روایات وارده از حجج الاهی نیز ذهنیت مثبتی به جایگاه سگ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دشمنی که مانند سگ بر وی حمله می کند، به خدا پناه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موجودی بدتر از سگ نیافریده؛ حال آنکه 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سگ هم پست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کلینى رازی،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سگ را با دشمن خود مقایسه می کنند؛ نه با دوست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شیطان به گونه ای برخورد کن که گویا غریبه ای با سگ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که آن غریبه از ترس سگ به صاحب آن سگ پناه می برد، تو نیز از شر شیطان به خدا پناه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این شیطان است که به سگ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حدیثی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بخشیده خویش را پس گیرد، چون سگ است که قى کرده خویش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خانه ای با ما فرزندان عبدالمطلب دشمنی نکرد، مگر آنکه خراب گردید و هیچ سگی بر ما بانگ و پارس نکرد مگر آنکه گر شد و هر که باور ندارد، آزمایش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شیعیان ما به مثابه سگ نمی غرند و مانند کلاغ نیز طمع نمی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کلینى رازی،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غیبت و بدگویی را خورش سگ های جهنمی می 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خطاب به رقیب خود در جنگ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دینت را تابع دنیاى کسى نمودى که گمراهی اش معلوم، و پرده حیایش دریده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سگى که به دنبال شیر رود، که به پناه چنگال او رود، و انتظار بکشد کهاضافه صیدش را به سوى او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دنیا و آخرتت را به باد دادى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وصف یکی دیگر از مخالفانش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 حکومتى در پیش است که مقدار زمانش به اندازه اى است که سگْ بینى خود را بلیسد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چهار حاکم است، و جامعه اسلامى از او و فرزندانش روز خون بارى 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ستمکاران بر اساس پيمان ها که با هم دارند آن فتنه را از هم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پيشواى آخرشان، و آخرشان تابع اول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به دست آوردن دنياى پست رقابت مى کنند، و چون سگان بر سر مردار بو گرفته به جان هم مى 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مذمت دنیاپرستی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پرستانْ سگانى فرياد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يکديگر را مى گزند، زورمندش ضعيفش را مى خورد، و بزرگش به کوچکش به قهر و غلبه حمله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وصیت خود به </w:t>
      </w:r>
    </w:p>
    <w:p>
      <w:pPr>
        <w:pStyle w:val="BookText"/>
        <w:rPr/>
      </w:pPr>
      <w:r>
        <w:rPr>
          <w:rFonts w:ascii="IRNazanin" w:hAnsi="IRNazanin" w:eastAsia="IRNazanin"/>
          <w:color w:val="111111"/>
          <w:sz w:val="28"/>
          <w:sz w:val="28"/>
          <w:szCs w:val="28"/>
          <w:rtl w:val="true"/>
          <w:lang w:bidi="fa-IR"/>
        </w:rPr>
        <w:t>فرزندش نیز چنین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کلام تا به آن تکلم نکرده باشى در بند توست، ولى چون به آن تکلم کردى تو خود در بند آن گرفتارى، پس زبانت را در خزانه دهان بدار، همچنان که زر و سيم خود را در خزانه همى دارى، زيرا زبان سگى درنده است، که اگر آن را به حال خود گذارى می 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باز هم در خلال وصایایش، می فرماید که از قطعه قطعه کردن موجودات بپرهیزند؛ حتی اگر سگ هار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پست ترین مخلوقات در نظر آن حضرت، سگ هار بوده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شده آن را مثال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شراب خوار همنشین نگردید، اگر بیمار شدند به عیادتشان نروید؛ و اگر مردند تشییعشان مکنید و بر جنازه شان نماز نگزارید؛ چراکه آنها سگ های جهنم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 و با من سخن نگویید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مشاهده کنند که فقها و بزرگان خود، آشکارا گناه و تعطب ورزیده و بر سر مال دنیا مانند سگ به جان هم می افتند، نباید از آنان پیروی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شعرای هرزه گو و بدزبان را سگ های انسان نما یا انسان های سگ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کربلا به صورت شمر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سگی سیاه و سفید را می بینم که پوزه اش آغشته به خون اهل بیتم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نقل می کنند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شهادت افتاد، خطاب به قاتل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بود وقتی تو را به سگ و خوک تشبیه کرد</w:t>
      </w:r>
      <w:r>
        <w:rPr>
          <w:rStyle w:val="FootnoteAnchor"/>
          <w:rtl w:val="true"/>
        </w:rPr>
        <w:footnoteReference w:id="57"/>
      </w:r>
      <w:r>
        <w:rPr>
          <w:rFonts w:ascii="IRNazanin" w:hAnsi="IRNazanin" w:eastAsia="IRNazanin"/>
          <w:color w:val="111111"/>
          <w:sz w:val="28"/>
          <w:sz w:val="28"/>
          <w:szCs w:val="28"/>
          <w:rtl w:val="true"/>
          <w:lang w:bidi="fa-IR"/>
        </w:rPr>
        <w:t>و قاتل ملعون نیز با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به سگ </w:t>
      </w:r>
    </w:p>
    <w:p>
      <w:pPr>
        <w:pStyle w:val="BookText"/>
        <w:rPr/>
      </w:pPr>
      <w:r>
        <w:rPr>
          <w:rFonts w:ascii="IRNazanin" w:hAnsi="IRNazanin" w:eastAsia="IRNazanin"/>
          <w:color w:val="111111"/>
          <w:sz w:val="28"/>
          <w:sz w:val="28"/>
          <w:szCs w:val="28"/>
          <w:rtl w:val="true"/>
          <w:lang w:bidi="fa-IR"/>
        </w:rPr>
        <w:t xml:space="preserve">تشبیه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حنفی،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نیز ابن زیاد را به سگی تشبیه می کند که پوزه در خون مسلمانان فرو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اهل سنت نیز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داوود وحی نمود، که دنیا مانند مرداری است که سگ ها به دورش جمع شده و آن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سگی مانند آنها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تاریخ آمده است، وقتی که یکی از پسران ابولهب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حرمتی کرد، آن حضرت وی را نفرین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سگ خودت را بر او مسلط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آن شخص نه توسط سگ، بلکه توسط شیر دریده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کاملاً مشخص بود که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آن حیوان، بلکه صرفاً نمادی برای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نیز، اهل بدعت سگ های اهل دوزخ نامیده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لقمان حکیم نیز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انسان های فاسق و هرزه همنشین نشوید؛ چراکه آنان مانند سگ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نزد تو بیابند، آن را می خورند؛ ولی اگر دستت تو را خالی ببینند، تو را بی آبرو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نبوی شخصی را دید که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بر گله گوسفند بنی زهره دویده و گوسفندی ربوده و سگ گله آن را نیز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هم خود را به کشتن داده و هم دین خود را ضایع کرده و عصیان پروردگار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از او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احد با مسلمانان مشورت می کرد، آنها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سوى اين سگان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حضرت نیز مشرکان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دیده می شود که این فضایی است که روایات برای سگ در نظرگرفته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ایجاد فضایی محبت آمیز یا متواضعانه برای این حیوان، خروج از ادبیات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قرار باشد به صورت ساده و سطحی نیز به قضیه نگاه شود، باز هم صحیح به نظر نمی رسد که شخصی که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دارد، خود را سگ ایشان بنامد؛ برای اینکه این دشمن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یزید بوده که سگ </w:t>
      </w:r>
      <w:bookmarkStart w:id="211" w:name="pg8714_82542"/>
    </w:p>
    <w:p>
      <w:pPr>
        <w:pStyle w:val="BookText"/>
        <w:rPr/>
      </w:pPr>
      <w:bookmarkEnd w:id="211"/>
      <w:r>
        <w:rPr>
          <w:rFonts w:ascii="IRNazanin" w:hAnsi="IRNazanin" w:eastAsia="IRNazanin"/>
          <w:color w:val="111111"/>
          <w:sz w:val="28"/>
          <w:sz w:val="28"/>
          <w:szCs w:val="28"/>
          <w:rtl w:val="true"/>
          <w:lang w:bidi="fa-IR"/>
        </w:rPr>
        <w:t xml:space="preserve">نگه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این یزیدیان بودند که بی ادبانه بازماندگان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حیوان تشبیه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مورخان می نویسند، وقتی یزید در محاجه با امام چهارم بازماند، یکی از ملازمانش به وی گفت که از سگِ بد، توله اش را 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دوری از چنین ادبیاتی، لازمه پیروان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12" w:name="__RefHeading___Toc3032708_653776707"/>
      <w:bookmarkStart w:id="213" w:name="_Toc76"/>
      <w:bookmarkEnd w:id="212"/>
      <w:r>
        <w:rPr/>
        <w:t>1.4</w:t>
      </w:r>
      <w:r>
        <w:rPr>
          <w:rtl w:val="true"/>
        </w:rPr>
        <w:t xml:space="preserve">. </w:t>
      </w:r>
      <w:r>
        <w:rPr>
          <w:rtl w:val="true"/>
        </w:rPr>
        <w:t>مخالفت بزرگان دین با این عمل</w:t>
      </w:r>
      <w:bookmarkEnd w:id="213"/>
    </w:p>
    <w:p>
      <w:pPr>
        <w:pStyle w:val="BookText"/>
        <w:rPr/>
      </w:pPr>
      <w:r>
        <w:rPr>
          <w:rFonts w:ascii="IRNazanin" w:hAnsi="IRNazanin" w:eastAsia="IRNazanin"/>
          <w:color w:val="111111"/>
          <w:sz w:val="28"/>
          <w:sz w:val="28"/>
          <w:szCs w:val="28"/>
          <w:rtl w:val="true"/>
          <w:lang w:bidi="fa-IR"/>
        </w:rPr>
        <w:t xml:space="preserve">دلیل دیگری که می توان در طول مخالفت امامان با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نام برد، نظرات عالمان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استفتایی که از آیت الله خامنه ای در این زمینه انجام گرفته و در پایگاه اینترنتی ایشان نیز موجود است، 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از برخی از الفاظ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سگ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اشکال دارد؟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این الفاظ شایسته نیست و در هر حال بهتر است مؤمنان مراعات شئون عزاداری معصومان به ویژه اباعبدالله الحسین را بنمایند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اطلاع رسانی دفتر حفظ و نشر آثار حضرت 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الاستفتائات، مراسم عزاداری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آیت الله منتظرى پرسیده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کار بردن کلماتى چون سگ 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عزادارى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ایشان جواب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اگرموجب هتک و توهین بوده و خارج از نزاکت و شأن عزادارى باشد،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منتظرى نجف آبادی،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4109</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سؤالی که از محضر آیت الله سید کمال حیدری نیز در این زمینه انجام شد، چنین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تعابیر را قبول نداریم و در سیره اخلاقی و عملی پیامبر و اهل بیت چنین کارهایی وجود نداشته است و هتک حرمت نفس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مطلقاً چنین کاری را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مراجع به گونه دیگری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استفتایی که به طور شفاهی از محضر آیت الله علوی گرگانی انجام گرفت،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چنین عملی ترک شود؛ چراکه موجب وهن مذهب است؛ مخصوصاً اگر در ملأ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یدالله دوزدوزانی تبریزی از دیگر مراجع معاصر نیز با استناد به </w:t>
      </w:r>
      <w:bookmarkStart w:id="214" w:name="pg8714_82543"/>
    </w:p>
    <w:p>
      <w:pPr>
        <w:pStyle w:val="BookText"/>
        <w:rPr/>
      </w:pPr>
      <w:bookmarkEnd w:id="214"/>
      <w:r>
        <w:rPr>
          <w:rFonts w:ascii="IRNazanin" w:hAnsi="IRNazanin" w:eastAsia="IRNazanin"/>
          <w:color w:val="111111"/>
          <w:sz w:val="28"/>
          <w:sz w:val="28"/>
          <w:szCs w:val="28"/>
          <w:rtl w:val="true"/>
          <w:lang w:bidi="fa-IR"/>
        </w:rPr>
        <w:t xml:space="preserve">سخن مرحوم آیت الله جواد تبریزی که عقیده داشت،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سگ ندارد، چنین افزود که این صحیح نیست که برخی افراد در طول سال به فسق و فجور بپردازند ولی صرفاً در دهه محرم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یکی دو بار و به گونه ای از زبان افراد خارج شود که بازتابی نداشته باشد،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معظم نامبرده نسبت به جنبه اجتماعی این کار بیشتر نظر داشته اند؛ نه به جنبه فردی آن و اینکه آیا موجب هتک شخصیت افراد خواهد 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توضیح فتوای آن بزرگواران شایسته است جنبه اجتماعی این عمل مورد مطالعه و اثبات شود که این کار حتی از این نظر نیز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دید انجام عملی که موجب وهن مذهب شده و افکار عمومی را نسبت به شیعه و مخصوصاً دستگاه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فرامذهبی و فراقومیتی و داعیه دار آزادی بخشی به کل مستضعفان و مظلومان جهان است، چه حکمیدارد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بعدی به همین موضوع اختصاص دارد</w:t>
      </w:r>
      <w:r>
        <w:rPr>
          <w:rFonts w:eastAsia="IRNazanin" w:cs="IRNazanin"/>
          <w:color w:val="111111"/>
          <w:sz w:val="28"/>
          <w:szCs w:val="28"/>
          <w:rtl w:val="true"/>
          <w:lang w:bidi="fa-IR"/>
        </w:rPr>
        <w:t>.</w:t>
      </w:r>
    </w:p>
    <w:p>
      <w:pPr>
        <w:pStyle w:val="Heading4"/>
        <w:numPr>
          <w:ilvl w:val="3"/>
          <w:numId w:val="1"/>
        </w:numPr>
        <w:rPr/>
      </w:pPr>
      <w:bookmarkStart w:id="215" w:name="__RefHeading___Toc3032710_653776707"/>
      <w:bookmarkStart w:id="216" w:name="_Toc77"/>
      <w:bookmarkEnd w:id="215"/>
      <w:r>
        <w:rPr/>
        <w:t>1</w:t>
      </w:r>
      <w:r>
        <w:rPr>
          <w:rtl w:val="true"/>
        </w:rPr>
        <w:t xml:space="preserve">. </w:t>
      </w:r>
      <w:r>
        <w:rPr/>
        <w:t>5</w:t>
      </w:r>
      <w:r>
        <w:rPr>
          <w:rtl w:val="true"/>
        </w:rPr>
        <w:t xml:space="preserve">. </w:t>
      </w:r>
      <w:r>
        <w:rPr>
          <w:rtl w:val="true"/>
        </w:rPr>
        <w:t>بدنام شدن دین و مذهب</w:t>
      </w:r>
      <w:bookmarkEnd w:id="21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همواره از اعمال سلیقه های شخصی، که موجب ملعبه و مضحکه شدن دین توسط دشمنان و منافقان شود،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أَيُّهَا الَّذینَ آمَنُوا لا تَقُولُوا راعِنا وَ قُولُوا انْظُرْنا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کسانى که ايمان آورده ايد،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شیعه و سنی در تفسیر این آیه چنین می نویسند،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عبری بود که یهودیان به آن تکلم می کردند و معنای مضحکی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برخی مسلمانان در پای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نیت که ایشان به گونه ای سخن بگوید که آنان نیز متوجه شوند، کلمه فوق را به کار برده و موجب می شدند که یهودیان آنان را استهزا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این آیه فرمود، به جای استفاده از کلمه دوپهلو و مشترک بین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فرض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ای بگویید که صریح در معنای اولی باشد، تا بهانه به دست دشمنان داده نشده و اسلام نیز مورد سخره آنان قرار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آنجا که قرآن لزوماً در شان نزول خود باقی نمی ماند، می توان آیه را این گونه گسترش داد، که انجام هر عملی که موجب سرشکستگی و بی آبرویی مسلمانان و دین اسلام یا مذهب شیعه در نزد افکار عمومی </w:t>
      </w:r>
      <w:bookmarkStart w:id="217" w:name="pg8714_82544"/>
    </w:p>
    <w:p>
      <w:pPr>
        <w:pStyle w:val="BookText"/>
        <w:rPr/>
      </w:pPr>
      <w:bookmarkEnd w:id="217"/>
      <w:r>
        <w:rPr>
          <w:rFonts w:ascii="IRNazanin" w:hAnsi="IRNazanin" w:eastAsia="IRNazanin"/>
          <w:color w:val="111111"/>
          <w:sz w:val="28"/>
          <w:sz w:val="28"/>
          <w:szCs w:val="28"/>
          <w:rtl w:val="true"/>
          <w:lang w:bidi="fa-IR"/>
        </w:rPr>
        <w:t>دنیا، که قدرت تمییز شخص افراطی از غیرافراطی را ندارند و هر آنچه که دشمنان به نام شیعه به آنان معرفی می کنند، می پذیرند، حرام و مورد نهی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زمانی تقویت می شود که نتایج جستجوی کلماتی مانند سگ، شیعه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اینترنت موردمشاهده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را نیز می توان از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روایات متعددی به افراد دستور داده اند که کاری نکنند که اهل بیت مورد اعتراض و هجمه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یک مورد از این احادیث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شخصی با استقرار در مسجد، دشمنان شما را به طور واضح و بدون ابهام، نام برده و لعن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ما را در معرض هجمه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نیز می توان چنین برداشت کرد که انجام هر عملی که موجب تضعیف جایگاه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دستمایه هجمه به ایشان شود، مورد نهی و لعن آن بزرگواران خواهد بود</w:t>
      </w:r>
      <w:r>
        <w:rPr>
          <w:rFonts w:eastAsia="IRNazanin" w:cs="IRNazanin"/>
          <w:color w:val="111111"/>
          <w:sz w:val="28"/>
          <w:szCs w:val="28"/>
          <w:rtl w:val="true"/>
          <w:lang w:bidi="fa-IR"/>
        </w:rPr>
        <w:t>.</w:t>
      </w:r>
    </w:p>
    <w:p>
      <w:pPr>
        <w:pStyle w:val="Heading4"/>
        <w:numPr>
          <w:ilvl w:val="3"/>
          <w:numId w:val="1"/>
        </w:numPr>
        <w:rPr/>
      </w:pPr>
      <w:bookmarkStart w:id="218" w:name="__RefHeading___Toc3032712_653776707"/>
      <w:bookmarkStart w:id="219" w:name="_Toc78"/>
      <w:bookmarkEnd w:id="218"/>
      <w:r>
        <w:rPr/>
        <w:t>1</w:t>
      </w:r>
      <w:r>
        <w:rPr>
          <w:rtl w:val="true"/>
        </w:rPr>
        <w:t xml:space="preserve">. </w:t>
      </w:r>
      <w:r>
        <w:rPr/>
        <w:t>6</w:t>
      </w:r>
      <w:r>
        <w:rPr>
          <w:rtl w:val="true"/>
        </w:rPr>
        <w:t xml:space="preserve">. </w:t>
      </w:r>
      <w:r>
        <w:rPr>
          <w:rtl w:val="true"/>
        </w:rPr>
        <w:t>ارزشمند بودن ذاتی انسان</w:t>
      </w:r>
      <w:bookmarkEnd w:id="2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اساساً برای این آمده که انسان را از حضیض ذلت و بی ارزشی بالا آورده و به کمال و عزت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دین نتیجه ای جز این داشت و انسان ها را به پستی و خوار شدن توصیه می کرد، دینی الاهی و خدامدار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متعددی در مورد عزتمداری و عزتمندی نوع انسان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کَرَّمْنا بَني آدَمَ وَ حَمَلْناهُمْ فِي الْبَرِّ وَ الْبَحْرِ وَ رَزَقْناهُمْ مِنَ الطَّيِّباتِ وَ فَضَّلْناهُمْ عَلى کَثيرٍ مِمَّنْ خَلَقْنا تَفْضيلا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راستى ما فرزندان آدم را گرامى داشتيم، و آنان را در خشکى 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برنشانديم، و از چيزهاى پاکيزه به ايشان روزى داديم، و آنها را بر بسيارى از آفريده هاى خود برترى آشکار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کعبه را خانه ای می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 بِبَکَّةَ مُبارَکاً وَ هُدىً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کعبه خانه خداست و هیچمشکلی ندارد که کسی آن را به خدا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کعبه ای که مال خداست، برای مردم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نیز همه اموال، مال خدا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الْمَالُ مَالُ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w:t>
      </w:r>
      <w:bookmarkStart w:id="220" w:name="pg8714_82545"/>
    </w:p>
    <w:p>
      <w:pPr>
        <w:pStyle w:val="BookText"/>
        <w:rPr/>
      </w:pPr>
      <w:bookmarkEnd w:id="220"/>
      <w:r>
        <w:rPr>
          <w:rFonts w:ascii="IRNazanin" w:hAnsi="IRNazanin" w:eastAsia="IRNazanin"/>
          <w:color w:val="111111"/>
          <w:sz w:val="28"/>
          <w:sz w:val="28"/>
          <w:szCs w:val="28"/>
          <w:rtl w:val="true"/>
          <w:lang w:bidi="fa-IR"/>
        </w:rPr>
        <w:t>مشخص می شود که دین خدا و دین برحق الاهی که سعادت انسان ها را تضمین می کند، هرگز راضی نخواهد شد که افراد خود را در معرض ذلت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ادعا می کنند هدف ما از تشبیه خود به سگ اهل بیت، این است که خود را در مقابل امامان، پایین آورده و ذلیل کنیم، درحقیقت از فهم دینی خارج شده اند</w:t>
      </w:r>
      <w:r>
        <w:rPr>
          <w:rFonts w:eastAsia="IRNazanin" w:cs="IRNazanin"/>
          <w:color w:val="111111"/>
          <w:sz w:val="28"/>
          <w:szCs w:val="28"/>
          <w:rtl w:val="true"/>
          <w:lang w:bidi="fa-IR"/>
        </w:rPr>
        <w:t>.</w:t>
      </w:r>
    </w:p>
    <w:p>
      <w:pPr>
        <w:pStyle w:val="Heading4"/>
        <w:numPr>
          <w:ilvl w:val="3"/>
          <w:numId w:val="1"/>
        </w:numPr>
        <w:rPr/>
      </w:pPr>
      <w:bookmarkStart w:id="221" w:name="__RefHeading___Toc3032714_653776707"/>
      <w:bookmarkStart w:id="222" w:name="_Toc79"/>
      <w:bookmarkEnd w:id="221"/>
      <w:r>
        <w:rPr/>
        <w:t>1</w:t>
      </w:r>
      <w:r>
        <w:rPr>
          <w:rtl w:val="true"/>
        </w:rPr>
        <w:t xml:space="preserve">. </w:t>
      </w:r>
      <w:r>
        <w:rPr/>
        <w:t>7</w:t>
      </w:r>
      <w:r>
        <w:rPr>
          <w:rtl w:val="true"/>
        </w:rPr>
        <w:t xml:space="preserve">. </w:t>
      </w:r>
      <w:r>
        <w:rPr>
          <w:rtl w:val="true"/>
        </w:rPr>
        <w:t>پست بودن جایگاه سگ در ادیان و فرهنگ های غیراسلامی</w:t>
      </w:r>
      <w:bookmarkEnd w:id="22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آیات و روایات اسلامی، سگ را حیوان والایی نمی دانند، باید دانست که این مسئله مخصوص به اسلام نیست و در فرهنگ ها و ادیان دیگر نیز این حیوان جایگاه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اسلام در پست دانستن سگ، مطلب جدیدی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می توان به عبارات زیر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اجرت فاحشه و قیمت سگ را برای هیچ نذری به خانه یهوه خدایت میاور؛ زیرا که این هر دو نزد یهوه خدایت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تثنیه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دیده می شود که پولی که بابت فروش سگ به دست آمده، با دستمزد حاصل از زنا، هم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من مردان مقدس باشید و گوشتی را که در صحرا دریده شود مخورید؛ آن را نزد سگان بیندازید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غذای انسان های مقدس، با طعام سگ ها متفاوت است و چون مقدس اند، غذایی هم شأن با غذای آن حیوان را نمی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سگان دور مرا گرفته اند جماعت اشرار مرا احاطه کرده دست ها و پای های مرا سفته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سگ به قی خود برمی گردد همچنان احمق حماقت خود را تکرار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برای آنکه با تمامی زندگان می پیوندد امید هست چون که سگ زنده از شیر مرده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شیر زنده باشد، قابل مقایسه با موجودی مثل سگ نیست؛ بلکه سگ صرفاً در جایی ارزش پیدا می کند که موجود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مقدس است به سگان مدهید و نه مروارید های خود را پیش گرازان اندازید مبادا آن ها را پایمال کنند و برگشته و شما را بدرند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فرزندان را گرفتن و نزد سگان انداختن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سرور زیرا سگان نیز از پاره های افتاده سفره سروریان خویش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معنی مثل حقیقی بر ایشان راست آمد که سگ به قی خود رجوع کرده است و خنزیر شسته شده به غلتیدن در 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w:t>
      </w:r>
      <w:bookmarkStart w:id="223" w:name="pg8714_82546"/>
    </w:p>
    <w:p>
      <w:pPr>
        <w:pStyle w:val="BookText"/>
        <w:rPr/>
      </w:pPr>
      <w:bookmarkEnd w:id="223"/>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جملاتی از نصوص یهودی و مسیحی بود که ذهنیت پایینی به سگ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همین نصوص نیز برخی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تعظیم کرده گفت که بنده تو چیست که بر سگ مرده ای مثل من التفات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سموئیل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چرا گریه می کند؟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ضرری را که تو به بنی اسرائیل خواهی رسانید می دانم قلعه های ایشان را آتش خواهی زد و جوانان ایشان را به شمشیر خواهی کشت و اطفال ایشان را خرد خواهی نمود و حامله های ایشان را شکم پاره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چنین عمل عظیمی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پادشاهان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اولاً تکیه اصلی فرازهای کتب مقدس ادیان، بر پست بودن این حیوان است و چنین فرازهایی در اقلیت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کسانی هم که خود را سگنامیده اند، از انسان های نیکوکار و در جبهه حق به شمار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سخن در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خود، هیچ وقت و در هیچ دینی اتفاق نیفتاده است؛ بلکه سخن این است که این کار از بندگان صالح سر نمی زند</w:t>
      </w:r>
      <w:r>
        <w:rPr>
          <w:rFonts w:eastAsia="IRNazanin" w:cs="IRNazanin"/>
          <w:color w:val="111111"/>
          <w:sz w:val="28"/>
          <w:szCs w:val="28"/>
          <w:rtl w:val="true"/>
          <w:lang w:bidi="fa-IR"/>
        </w:rPr>
        <w:t>.</w:t>
      </w:r>
    </w:p>
    <w:p>
      <w:pPr>
        <w:pStyle w:val="Heading3"/>
        <w:numPr>
          <w:ilvl w:val="2"/>
          <w:numId w:val="1"/>
        </w:numPr>
        <w:rPr/>
      </w:pPr>
      <w:bookmarkStart w:id="224" w:name="__RefHeading___Toc3032716_653776707"/>
      <w:bookmarkStart w:id="225" w:name="_Toc80"/>
      <w:bookmarkEnd w:id="224"/>
      <w:r>
        <w:rPr/>
        <w:t>2</w:t>
      </w:r>
      <w:r>
        <w:rPr>
          <w:rtl w:val="true"/>
        </w:rPr>
        <w:t xml:space="preserve">. </w:t>
      </w:r>
      <w:r>
        <w:rPr>
          <w:rtl w:val="true"/>
        </w:rPr>
        <w:t>دلایل موافقان و بررسی آنها</w:t>
      </w:r>
      <w:bookmarkEnd w:id="225"/>
    </w:p>
    <w:p>
      <w:pPr>
        <w:pStyle w:val="Heading4"/>
        <w:numPr>
          <w:ilvl w:val="3"/>
          <w:numId w:val="1"/>
        </w:numPr>
        <w:rPr/>
      </w:pPr>
      <w:bookmarkStart w:id="226" w:name="__RefHeading___Toc3032718_653776707"/>
      <w:bookmarkStart w:id="227" w:name="_Toc81"/>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بعد از آنکه ادله ای در اثبات مذموم بودن نامیدن خود به سگ آورده شد، شایسته است که دلایل موافقان این عمل نیز مورد مطالعه قرار گیرد</w:t>
      </w:r>
      <w:r>
        <w:rPr>
          <w:rFonts w:eastAsia="IRNazanin" w:cs="IRNazanin"/>
          <w:color w:val="111111"/>
          <w:sz w:val="28"/>
          <w:szCs w:val="28"/>
          <w:rtl w:val="true"/>
          <w:lang w:bidi="fa-IR"/>
        </w:rPr>
        <w:t>.</w:t>
      </w:r>
    </w:p>
    <w:p>
      <w:pPr>
        <w:pStyle w:val="Heading4"/>
        <w:numPr>
          <w:ilvl w:val="3"/>
          <w:numId w:val="1"/>
        </w:numPr>
        <w:rPr/>
      </w:pPr>
      <w:bookmarkStart w:id="228" w:name="__RefHeading___Toc3032720_653776707"/>
      <w:bookmarkStart w:id="229" w:name="_Toc82"/>
      <w:bookmarkEnd w:id="228"/>
      <w:r>
        <w:rPr/>
        <w:t>2</w:t>
      </w:r>
      <w:r>
        <w:rPr>
          <w:rtl w:val="true"/>
        </w:rPr>
        <w:t xml:space="preserve">. </w:t>
      </w:r>
      <w:r>
        <w:rPr/>
        <w:t>1</w:t>
      </w:r>
      <w:r>
        <w:rPr>
          <w:rtl w:val="true"/>
        </w:rPr>
        <w:t xml:space="preserve">. </w:t>
      </w:r>
      <w:r>
        <w:rPr>
          <w:rtl w:val="true"/>
        </w:rPr>
        <w:t>استناد به چند روایت</w:t>
      </w:r>
      <w:bookmarkEnd w:id="22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طرفداران این مسئله به آن استناد می کنند، شامل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اخلاق مؤمن مانند سگ باشد؛ چراکه اخلاق آن حیوان پنج شاخصه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گرسنه است، و گرسنگی از اخلاق صالحان است، جایی ندارد، و آن از آثار صالحان است، شب ها نمی خوابد، و آن از کارهای صالحان است، مالی برای ارث گذاشتن ندارد، و آن سبک زندگی صالحان است، و آخر اینکه حتی اگر صاحبش روزانه صد بار آن را از خود دور کند، ولی از صاحبش دور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این نشانه وفای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قول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مانند سگ زندگی کند؛ چراکه آن چند خصلت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منالی ندارد، و کل زمین خانه اش است، اکثراً گرسنه و آرام است، همچنین اگر صاحبش آن را بزند نیز صاحبش را رها نمی کند، و آخر اینکه از خود چیزی به ارث نمی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تویسرکانی،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خبر که توسط مرحوم تویسرکانی از علمای سده گذشته روایت شدهاست، در هیچ یک از منابع پیش از خود یافت نشده و خود مؤلف نیز منبع و یا حتی سلسله رجالی برای آن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 به روایت فوق اعتماد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روایتی از کتاب نشان از بی نشان ها خوش به حال کسی که مثل سگ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محتوای این دو حدیث نیز چندان قابل هضم نیست؛ چون اولاً در یکی از اوصاف، خلاف قرآن سخن گفته؛ چراکه قرآن می فرماید سگ حیوانی است که چه زده شود و چه از آن گریخته شود، در هر حال کارش پارس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 فوق، سگ را اکثراً آرام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روایات فوق اوصافی را برای سگ برشمرده اند، که برخی از آنها مختص آن حیوان نیست و بعضی از حیوانات دیگر هم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جغد هم شب ها بیدار است؛ گرگ هم همیشه گرسنه است؛ گربه هم عموماً جایی برای زندگی ندارد؛ کبوتر هم از صاحبش جدا نمی شود؛ و اساساً هیچ یک از حیوانات مالی برای ارث گذاشتن ندارند و این مورد بیش از بقیه محل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نیز اشکال شود، که درست است که جغد هم شب ها بیدار است و دیگر حیوان ها هم کمابیش اوصاف سگ را دارند، ولی این سگ است که مشخصاً به داشتن این خصلت ها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گروه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 باستان، یک زندگی آرام و به دور از تجملات زندگی و سیاست و روابط اجتماعی دارند و به ریاضت دادن خویش مشغول بوده و نام خود را نیز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زهد آن حیوان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پاپکین،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مزبور نیز ناظر به معروف بودن سگ در این اوصاف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متقابلا چنین پاسخ داده می شود، اتفاقاً حیواناتی که در مقابل آورده شدندنیز، به </w:t>
      </w:r>
    </w:p>
    <w:p>
      <w:pPr>
        <w:pStyle w:val="BookText"/>
        <w:rPr/>
      </w:pPr>
      <w:r>
        <w:rPr>
          <w:rFonts w:ascii="IRNazanin" w:hAnsi="IRNazanin" w:eastAsia="IRNazanin"/>
          <w:color w:val="111111"/>
          <w:sz w:val="28"/>
          <w:sz w:val="28"/>
          <w:szCs w:val="28"/>
          <w:rtl w:val="true"/>
          <w:lang w:bidi="fa-IR"/>
        </w:rPr>
        <w:t>داشتن آن خصلت ها 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همه حیوانات ممکن است وفادار، شب بیدار، گرسنه یا بدون محل زندگی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 جغد شب ها بیدار است و هم سگ، و هر دو نیز در عرف به داشتن این خصلت شهره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است روایت مردم را به شب بیداری توصیه کند و استناد آن نیز به حیوانی باشد که از نظر مردم، پست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حیوان دیگری نیز در شب بیداری شهره است ولی به اندازه سگ پست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جایگاه این حیوان به طوری است که مردم اگر بخواهند شخصی را در شب بیداریِ منفور و ناهنجار توصیف کنند، نام سگ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کسی که شب را در لهو و شرب خمر و قمار و دزدی به سربرده باشد، و نه در نماز و خدمت به خلق، گفته می شود که مثل سگ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گروه فوق نیز باید گفت، که عمل کرد کلبیان نزد امت اسلامی، مخصوصاً کسانی که خود را پیرو اهل بیت می دانند،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به لحاظ عرفی نیز فاصله زیادی با عرف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گروهی منزوی اند و حتی در جامعه یونان و روم باستان نیز، رویکردشان با عرف مردم عادی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نوشتار قصد انکار این را ندارد که سگ باوفا و کم خواب است و مؤمنان هم اگر وفادار و کم خواب باشند خوب است؛ بلکه صحبت در این است که سگ هرچقدر هم از خصوصیات والایی برخوردار باشد، لیاقت ندارد تا انسانی که در یک یا چند صفت خوب با سگ مشترک است، به آن تشبیه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حیوان ها این گونه نیستند که تشبیه به آنها ناصحیح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برخی اخبار، حضرت حمزه به شیر تشبیه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نیز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دیگرِ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دمیری،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 از اینکه ممکن است بعضی انسان های صالح به شیر تشبیه شده اند، چنین نتیجه گرفت که تشبیه شدن به هر حیوانی جایز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حدیثی که موافقان به کار می برند، روایتی تاریخی در آزمایش الاهی حضرت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وی دستور داد که یکی از مخلوقات را که فکر می کند خودش از آن </w:t>
      </w:r>
      <w:bookmarkStart w:id="230" w:name="pg8714_82549"/>
    </w:p>
    <w:p>
      <w:pPr>
        <w:pStyle w:val="BookText"/>
        <w:rPr/>
      </w:pPr>
      <w:bookmarkEnd w:id="230"/>
      <w:r>
        <w:rPr>
          <w:rFonts w:ascii="IRNazanin" w:hAnsi="IRNazanin" w:eastAsia="IRNazanin"/>
          <w:color w:val="111111"/>
          <w:sz w:val="28"/>
          <w:sz w:val="28"/>
          <w:szCs w:val="28"/>
          <w:rtl w:val="true"/>
          <w:lang w:bidi="fa-IR"/>
        </w:rPr>
        <w:t>مخلوق بهتر است، نزد خدا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هر چه گشت نتوانست در مورد شخصی به یقین حکم کند که خودش از او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حیوانات و حتی در مواجهه با یک سگ مریض هم نتوانست خود را از آنان برتر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ماوقع را به خداوند بازگو کرد، خدا فرمود اگر هر کسی را می آوردی، از نبوت عزل می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حدیث درصدد این نیست که نشان دهد رفتار حضرت موسی نیز به گونه ای بوده که خود را از آن حیوان پایین تر بداند؛ بلکه منظورْ شکستن غرور و خودبرتربینی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فضیلت اخلاقی که انسان در درون خود باید پرورش دهد و بین فضیلتی که باید در مواجهه با مردم نشان دهد،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باید خود را نه فقط از اهل بیت، بلکه از همه موجودات پایین تر بداند؛ ولی به این معنا نیست که خود را ذلیل آنها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دل خود تکبری نسبت به کسی نداشته باشد و این احتمال را بدهد که شاید آن شخص نزد خدا از وی مقرب تر باشد؛ ولی در عمل عزیز و باشخصیت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تمسک کنندگان به این حدیث باید خودرا سگ همه انسان ها بدانند؛ نه فقط سگ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برخی روایات گفته شده که زن باید در برابر نامحرم، متکبر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کَانَتِ الْمَرْأَةُ مَزْهُوَّةً لَمْ تُمَکِّنْ مِنْ 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قرآن افراد را از تکبرورزی برحذر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لَيْسَ في جَهَنَّمَ مَثْوىً لِلْمُتَکَبِّرين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مزبور نیز هرگز با این آیه در تعارض نیست؛ چراکه منظورش جلوه اجتماعی زن، و منظور آیه نیز جلوه اعتقادی و ایمانی افراد است</w:t>
      </w:r>
      <w:r>
        <w:rPr>
          <w:rFonts w:eastAsia="IRNazanin" w:cs="IRNazanin"/>
          <w:color w:val="111111"/>
          <w:sz w:val="28"/>
          <w:szCs w:val="28"/>
          <w:rtl w:val="true"/>
          <w:lang w:bidi="fa-IR"/>
        </w:rPr>
        <w:t>.</w:t>
      </w:r>
    </w:p>
    <w:p>
      <w:pPr>
        <w:pStyle w:val="Heading4"/>
        <w:numPr>
          <w:ilvl w:val="3"/>
          <w:numId w:val="1"/>
        </w:numPr>
        <w:rPr/>
      </w:pPr>
      <w:bookmarkStart w:id="231" w:name="__RefHeading___Toc3032722_653776707"/>
      <w:bookmarkStart w:id="232" w:name="_Toc83"/>
      <w:bookmarkEnd w:id="231"/>
      <w:r>
        <w:rPr/>
        <w:t>2.2</w:t>
      </w:r>
      <w:r>
        <w:rPr>
          <w:rtl w:val="true"/>
        </w:rPr>
        <w:t xml:space="preserve">. </w:t>
      </w:r>
      <w:r>
        <w:rPr>
          <w:rtl w:val="true"/>
        </w:rPr>
        <w:t>استفاده از نام سگ در اسامی اعراب جاهلی</w:t>
      </w:r>
      <w:bookmarkEnd w:id="23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نیز برخی افراد یا قبایل، نام سگ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 البنین مادر حضرت عباس، متعلق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نام صحابی محبوب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جبرئیل نیز گاهی در صورت وی ظاهر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کلینى رازی،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4/564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وهب بن عبدالله از شهدای کربلا، در رجزی که در هماوردطلبی با دشمن می خواند،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مازندرانی،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ادعا شده که نخستین کسی که در بحث آیات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الاحکام ورود کرد، محمد بن سائب کلبی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افراد نیز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لذا اطلاق این نام همیشه توهین آمیز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توان گفت، بین این دو مورد،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نحوه نام گذاشتن متعلق به محیط جاهلی و غیراسلامی بوده و بعد از گسترش اسلام در حجاز، کمتر کسی نسبت به نام گذاری فرزندان خود به چنین کلماتی اقدام می کرد؛ مگر آنکه تعلقاتی از جاهلیت در وی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در همین محیط، انسان های منحرف را به مثابه سگ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حالاگر این کلمه در عرف مردم معاصر نزول قرآن توهین آمیز نبود، قرآن نبایستی با اطلاق چنین لقبی آنان را نکوهش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ادبیات و عرف جدیدی به جامعه عرضه و مردم را دعوت به قبول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وهب بن عبدالله نیز می توان گفت، وی متعلق به قبیله بنی کلب بود و معرفی کردن افراد نیز به نام قبیله، عرف و معمول عموم جنگاوران عرب بود؛ چرا که عرب به قبیله افراد بسیار حساس بود و با افراد متعلق به قبیله پایین تر نمی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بود که در جنگ بدر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سه نفر از انصار را به هماوردی سه نفر از مشرکان قریش فرستاد، قریشیان قبول نکردند و جنگاوری هم تراز خود را طلبیدند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2/426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معرفی عبدالله در جنگ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نیت بوده و از باب تفاخر به نام جد خود،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حتی همان عرب جاهلی نیز به ناپسند بودن و خشونت معنای چنین اسم هایی معترف بود، بلکه منظور دیگری از این کار خود داشت که می توان تفأل بر پیروزی بر دشمن، برخورداری صلابت و هیبت و ترساندن دشمن را جزو این مؤلفه ها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 الجوزیه،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 xml:space="preserve">؛ نوری،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غارت، عمده راه امرار معاش عرب جاهلی محسوب می شد و وی ناگزیر از ترساندن رقیب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آنان حتی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داشت و از باب نمونه، معقر بن حمار یکی از شاعران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15/347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نام های برخی دیگر از حیوانات مانند جندب که نام اصلی ابوذر و نام پدر سمره از اصحاب و به معنای نوعی ملخ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دمیری،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حاتم در معنای کلاغ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حرقوص نوعی حشره موذی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اعمش خفاشِ روزکار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شبث نوع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bookmarkStart w:id="233" w:name="pg8714_82551"/>
    </w:p>
    <w:p>
      <w:pPr>
        <w:pStyle w:val="BookText"/>
        <w:rPr/>
      </w:pPr>
      <w:bookmarkEnd w:id="233"/>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صرد به معنای دارکوب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کمیت نیز اسب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هیثم نیز به معنای بچه هوبره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از شخصیت های مشهور در کوفه در زمان مختار و آل زبیر، سلمة بن ذؤیب به معنای گرگ بچه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نیز جزو افرادی هستند که در تاریخ صدر اسلام نامشان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فضایی که نام تعداد قابل توجهی از حیوانات را بر انسان می گذارند، سگ نیز می تواند در این قاعده قرار گیرد و دلالت بر شرافت آن حیوان نیست که نامش بر انسان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 فارس زبانان نیز اسامی برخی حیوانات بر انسان ها نهاده می شود؛ چه از لحاظ تشابه به زیبایی آن حیوانات، مثل غزال، آهو، صدف، پروانه و نظایر اینها و چه از لحاظ شباهت به شجاعت و سرسختی مثل قوچ علی، شیرعلی، گرگ علی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در دیگر زبان ها ازجمله زبان ترکی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اصلان، ترلان، جیران، مارال و کهلیک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در هیچ یک از آنها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زبان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آن هم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داگلاس</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است و ربطی به سگ ندارد</w:t>
      </w:r>
      <w:r>
        <w:rPr>
          <w:rFonts w:eastAsia="IRNazanin" w:cs="IRNazanin"/>
          <w:color w:val="111111"/>
          <w:sz w:val="28"/>
          <w:szCs w:val="28"/>
          <w:rtl w:val="true"/>
          <w:lang w:bidi="fa-IR"/>
        </w:rPr>
        <w:t>.</w:t>
      </w:r>
    </w:p>
    <w:p>
      <w:pPr>
        <w:pStyle w:val="Heading4"/>
        <w:numPr>
          <w:ilvl w:val="3"/>
          <w:numId w:val="1"/>
        </w:numPr>
        <w:rPr/>
      </w:pPr>
      <w:bookmarkStart w:id="234" w:name="__RefHeading___Toc3032724_653776707"/>
      <w:bookmarkStart w:id="235" w:name="_Toc84"/>
      <w:bookmarkEnd w:id="234"/>
      <w:r>
        <w:rPr/>
        <w:t>2</w:t>
      </w:r>
      <w:r>
        <w:rPr>
          <w:rtl w:val="true"/>
        </w:rPr>
        <w:t xml:space="preserve">. </w:t>
      </w:r>
      <w:r>
        <w:rPr/>
        <w:t>3</w:t>
      </w:r>
      <w:r>
        <w:rPr>
          <w:rtl w:val="true"/>
        </w:rPr>
        <w:t xml:space="preserve">. </w:t>
      </w:r>
      <w:r>
        <w:rPr>
          <w:rtl w:val="true"/>
        </w:rPr>
        <w:t>کاربرد عامیانه از عنوان سگ</w:t>
      </w:r>
      <w:bookmarkEnd w:id="23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چه کلمه ای محتوای خاضعانه و متواضعانه دارد، و چه کلمه ای از مفهوم توهین آمیزی برخوردار است، وابسته به تصمیم عرف درمورد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کلمه در نظر مردم، بد و ناهنجار نبود، می توان آن را به خود یادیگری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باید گفت، اتفاقاً در همین عرف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توهین آمیز و رکیک است، بلکه محور بسیاری از دشنام ها و بدگویی ها را نیز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مریدان یک مرجع تقلید، خود را سگ آن عالم قلمداد نمی کنند؛ یا سربازان هرگز خود را سگ فرمانده نمی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گویند ما ارادتمند و مطیع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سگ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هایی غیررسمی و به دور از ادب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اینجاست، خطاب افراد به امام </w:t>
      </w:r>
    </w:p>
    <w:p>
      <w:pPr>
        <w:pStyle w:val="BookText"/>
        <w:rPr/>
      </w:pPr>
      <w:r>
        <w:rPr>
          <w:rFonts w:ascii="IRNazanin" w:hAnsi="IRNazanin" w:eastAsia="IRNazanin"/>
          <w:color w:val="111111"/>
          <w:sz w:val="28"/>
          <w:sz w:val="28"/>
          <w:szCs w:val="28"/>
          <w:rtl w:val="true"/>
          <w:lang w:bidi="fa-IR"/>
        </w:rPr>
        <w:t>معصوم، باید مانند خطاب در فضای رسمی باشد یا فضای غیررسمی و دور از هنجارهای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به شکل عرفی نیز به قضیه توجه شود، چیزی جز توهین و تحقیر از لفظ سگ فهمیده نمی شود و این مختص به جامعه ایران یا جوامع اسلامی نیست؛ بلکه عموم انسان ها کلمه سگ را توهین آمیز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ضرب المثل های فارسی هم که سازنده آن عرف است، چیزی جز تحقیر نسبت به سگ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مثل های زیر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سگ را اخته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بیکار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استخوان سوخته را بو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بیهوده خواهان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از ناتوانی مهربان است، وگرنه سگ کجا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بابا نداشت ولی سراغ عمویش را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انسان بی اصل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بعد از شستن نجس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چیست که پشمش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سگ بزنی، زن پیدا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نهاد جبروتی،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را به سگ بدهی، سرش را کلاه گذاشته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سلیطه، سگ بی قلاده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مسلط بر دیگران، مانند سگ بی صاحب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می کنید هیچ یک وصف خوبی را برای این حیوان 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معاصر نیز سگ همواره در جایگاه منفی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سگم را بالا نیاور؛ مثل سگ و گربه به جان هم افتادند؛ مثل سگ پشیمان است؛ مانند سگ پاچه می گیرد، مثل سگ می ترسد؛ اعصابش سگی است؛ یعنی این حیوان در فرهنگ عامه معاصر، منشأ هر صفت رذلی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ترکی نیز ضرب المثلی هست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زبان سگ را هم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زبان سگْ ناهنجارترین و نافهم ترین زبان هاست و این شخص به واسطه هوش و ذکاوتی که دارد، حتی به این زبان نیز تسلط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تعبيرى دارد خواجه عبدالله انصارى که شايد از خودش تعريف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او مرد عارف وارسته اى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بدى را بدى کردن، سگ 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کسى به آدم، بدى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مقابل بدى او بدى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رفتارى است، چون اگر سگى سگ ديگرى را گاز بگيرد او هم گازش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نيکى را نيکى کردن خرکارى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کسى به آدم، نيکى </w:t>
      </w:r>
      <w:bookmarkStart w:id="236" w:name="pg8714_82553"/>
    </w:p>
    <w:p>
      <w:pPr>
        <w:pStyle w:val="BookText"/>
        <w:rPr/>
      </w:pPr>
      <w:bookmarkEnd w:id="236"/>
      <w:r>
        <w:rPr>
          <w:rFonts w:ascii="IRNazanin" w:hAnsi="IRNazanin" w:eastAsia="IRNazanin"/>
          <w:color w:val="111111"/>
          <w:sz w:val="28"/>
          <w:sz w:val="28"/>
          <w:szCs w:val="28"/>
          <w:rtl w:val="true"/>
          <w:lang w:bidi="fa-IR"/>
        </w:rPr>
        <w:t>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مقابل نيکى او نيکى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کار مهمى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ديده ايد يا نديده ايد؛ هرکس مثل من دهاتى باشد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الاغ وقتى که شانه يک الاغ ديگر را مى خاراند، او هم فورا شانه او را مى خاراند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 او شانه او را مى خاراند که از اين خاراندن خوشش مى آيد، فوراً شانه رفيقش را مى خاراند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را نيکى کردن کار خواجه عبدالله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اگر عرفی نیز به این کار نظر شود، چیزی جز ذلت و رذالت از آن فهمیده نمی شود</w:t>
      </w:r>
      <w:r>
        <w:rPr>
          <w:rFonts w:eastAsia="IRNazanin" w:cs="IRNazanin"/>
          <w:color w:val="111111"/>
          <w:sz w:val="28"/>
          <w:szCs w:val="28"/>
          <w:rtl w:val="true"/>
          <w:lang w:bidi="fa-IR"/>
        </w:rPr>
        <w:t>.</w:t>
      </w:r>
    </w:p>
    <w:p>
      <w:pPr>
        <w:pStyle w:val="Heading4"/>
        <w:numPr>
          <w:ilvl w:val="3"/>
          <w:numId w:val="1"/>
        </w:numPr>
        <w:rPr/>
      </w:pPr>
      <w:bookmarkStart w:id="237" w:name="__RefHeading___Toc3032726_653776707"/>
      <w:bookmarkStart w:id="238" w:name="_Toc85"/>
      <w:bookmarkEnd w:id="237"/>
      <w:r>
        <w:rPr/>
        <w:t>2</w:t>
      </w:r>
      <w:r>
        <w:rPr>
          <w:rtl w:val="true"/>
        </w:rPr>
        <w:t xml:space="preserve">. </w:t>
      </w:r>
      <w:r>
        <w:rPr/>
        <w:t>4</w:t>
      </w:r>
      <w:r>
        <w:rPr>
          <w:rtl w:val="true"/>
        </w:rPr>
        <w:t xml:space="preserve">. </w:t>
      </w:r>
      <w:r>
        <w:rPr>
          <w:rtl w:val="true"/>
        </w:rPr>
        <w:t>استناد به عمل کرد برخی محبان اهل بیت</w:t>
      </w:r>
      <w:r>
        <w:rPr>
          <w:rtl w:val="true"/>
        </w:rPr>
        <w:t>(</w:t>
      </w:r>
      <w:r>
        <w:rPr>
          <w:rtl w:val="true"/>
        </w:rPr>
        <w:t>علیهم السلام</w:t>
      </w:r>
      <w:r>
        <w:rPr>
          <w:rtl w:val="true"/>
        </w:rPr>
        <w:t>)</w:t>
      </w:r>
      <w:bookmarkEnd w:id="23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ادعا دارند تنی چند از افرادی که محبت بسیاری از امامان را دردل داشتند، به سگ اهل بیت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زندگی نامه خواجه نصیرالدین طوسی نوشته اند که وصیت کرد او را پایین پای امامین کاظمین دفن کرده و روی قبرش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کَلْبُهُمْ باسِطٌ ذِراعَيْهِ بِالْوَصید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سگشان بر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خود را دراز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خوانسارى،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نوشتن چنین جمله ای بر روی مزارهای برخی دیگر از علما نیز با اقتباس از همین رویه بوده است؛ از جمله مرحوم ملا عباس تربتی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راشد تربتی،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قضیه تاریخی باید گفت اولاً این جمله، آیه قرآن است و خواجه و یا هر فرد دیگری از روی بدعت و تواضعِ خودساخته، خود را سگ امامان ننامیده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که درصدد بیان واقع بوده و نحوه پاسداری سگ اصحاب کهف را از آن رادمردان حکایت می کند، چنین فرموده که سگشان بر دهانه غار دست هایش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اصحاب کهف حیوان دیگری جز سگ داشتند یا اصلاً سگ نداشتند، نامی از آن حیوان در داستان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اسب داشتند، همان حیوان در قرآن 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خواجه قصد داشته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نه سگ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سگ موضوعیتی نداشته و آنچه مهم بوده، دربان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دمیری ادعا می کند که این سنگ قبر برای کس دیگری به نام حسین بن احمد شاعر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مدت ها قبل از خواجه مرده و همان جا دفن شده بود و مردم نیز هنگام دفن مرحوم طوسی در آنجا، سنگ مزبور را یافته و بر روی قبر ایشان نصب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دمیری، </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وصیتی از خواجه در این میان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قضیه مزبور بیشتر مورد تشکیک قرار می گیرد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استنباطاتی که از داستان سگ اصحاب کهف و به نیت مشروعیت سگ نامیدن خود انجام می شود، مبنای علمی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نقل شده که فردی از دوستداران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و مکاشفه و امثال آن، به شکل سگی مشاهده شده که در خدمت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مرحوم رسول دادخواه خیابانی در شکل سگی دیده شده که از خیمه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محافظت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تارنمای رهیافته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خواندنی از زندگی رسول ترک از زبان حاج محسن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سخنان نیز باید گفت، اولاً این گونه رؤیاها هیچ اعتبار فقهی و عقیدتی ای ندارند و هرگز نمی توان برای این ها اهمیتی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خوابی که افراد غیرمعصوم می بینند، هیچ گونه ارزشی برای استناد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هرگز نیز در تاریخ نوشته نشده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از خیمه هایش، اقدام به آوردن سگ به محیط کربلا کرده باشد، تا بتوان با استناد به آن واقعه تاریخی، برای این نیز موضوعیتی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چنین کند و اتفاقاً مورد نیاز هم بود و بعید بود که به خاطر آوردن این حیوان برای دفاع از خیمه ها مورد سرزنش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چنین نکرد تا به سگ رسمیت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اساساً آوردن سگ در جنگ، رسم اعراب نبود و حتی یزیدیان نیز از این حیوان در نبرد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نکردند، ولی روی هم رفته اگر بتوان یک گروه را متمایل به سگ و یک گروه را نیز منزجر از سگ معرفی کرد، به ترتیب لشکر یزید و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سبک زندگی یزید نیز همین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نه تنها هیچ یک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نگهداری سگ نمی کردند، که دیگران را نیز از نگه داشتن آن در منزل و بازی با آن نیز نهی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5/175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چطور معقول است شخصی که خود را پیرو اهل بیت می داند، با ادبیاتی اهل بیت را خطاب کند، که مورد نهی آن بزرگواران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خواب ها و احساس ورزی هایی که از برخی محبان اهل بیت گزارش شده، قابلیتی برای استناد و اعتبار ندارند</w:t>
      </w:r>
      <w:r>
        <w:rPr>
          <w:rFonts w:eastAsia="IRNazanin" w:cs="IRNazanin"/>
          <w:color w:val="111111"/>
          <w:sz w:val="28"/>
          <w:szCs w:val="28"/>
          <w:rtl w:val="true"/>
          <w:lang w:bidi="fa-IR"/>
        </w:rPr>
        <w:t xml:space="preserve">. </w:t>
      </w:r>
      <w:bookmarkStart w:id="239" w:name="pg8714_82555"/>
    </w:p>
    <w:p>
      <w:pPr>
        <w:pStyle w:val="Heading4"/>
        <w:numPr>
          <w:ilvl w:val="3"/>
          <w:numId w:val="1"/>
        </w:numPr>
        <w:rPr/>
      </w:pPr>
      <w:bookmarkStart w:id="240" w:name="__RefHeading___Toc3032728_653776707"/>
      <w:bookmarkStart w:id="241" w:name="_Toc86"/>
      <w:bookmarkEnd w:id="239"/>
      <w:bookmarkEnd w:id="240"/>
      <w:r>
        <w:rPr/>
        <w:t>2</w:t>
      </w:r>
      <w:r>
        <w:rPr>
          <w:rtl w:val="true"/>
        </w:rPr>
        <w:t xml:space="preserve">. </w:t>
      </w:r>
      <w:r>
        <w:rPr/>
        <w:t>5</w:t>
      </w:r>
      <w:r>
        <w:rPr>
          <w:rtl w:val="true"/>
        </w:rPr>
        <w:t xml:space="preserve">. </w:t>
      </w:r>
      <w:r>
        <w:rPr>
          <w:rtl w:val="true"/>
        </w:rPr>
        <w:t>استفاده ادبی و ذوقی از عنوان سگ</w:t>
      </w:r>
      <w:bookmarkEnd w:id="241"/>
    </w:p>
    <w:p>
      <w:pPr>
        <w:pStyle w:val="BookText"/>
        <w:rPr/>
      </w:pPr>
      <w:r>
        <w:rPr>
          <w:rFonts w:ascii="IRNazanin" w:hAnsi="IRNazanin" w:eastAsia="IRNazanin"/>
          <w:color w:val="111111"/>
          <w:sz w:val="28"/>
          <w:sz w:val="28"/>
          <w:szCs w:val="28"/>
          <w:rtl w:val="true"/>
          <w:lang w:bidi="fa-IR"/>
        </w:rPr>
        <w:t>ممکن است چنین ادعا شود، که نباید در نقد این مسئله به صورت روایی و قرآنی وارد شد؛ بلکه باید از حیث قریحه و عشق و معنویت به آن نگریست؛ مانند تعبیر به می و مست و ساغر در کلمات شعرایی چون حافظ و خیام، که معانی متفاوتی با ظاهر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حتی از این نگاه نیز چنین عملی هیچ گونه سابقه و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مجنونی خود را سگ لیلی و هیچ فرهادی نیز خویشتن را سگ شیرین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ادیبان اروپایی هم که به سگ به مثابه حیوان نجس نگاه نمی کردند و حتی در منزل خود آن را نگه می داشتند، کمتر از چنین ادبیاتی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یک از شعرای مؤثر در زمینه ادبیات اهل بیت نیز خود را سگ اهل بیت ننامیده و از باب نمونه حتی یک مورد نیز چنین واژه ای در اشعار محتشم کاشانی خطاب به اهل بیت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مواردی نیز برخلاف آن وجود دارد و شعرای معروف، سگ را در معنای منفی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 به دریاى هفتگانه بشوى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تر شد پلیدتر باشد</w:t>
      </w:r>
    </w:p>
    <w:p>
      <w:pPr>
        <w:pStyle w:val="BookText"/>
        <w:rPr/>
      </w:pPr>
      <w:r>
        <w:rPr>
          <w:rFonts w:ascii="IRNazanin" w:hAnsi="IRNazanin" w:eastAsia="IRNazanin"/>
          <w:color w:val="111111"/>
          <w:sz w:val="28"/>
          <w:sz w:val="28"/>
          <w:szCs w:val="28"/>
          <w:rtl w:val="true"/>
          <w:lang w:bidi="fa-IR"/>
        </w:rPr>
        <w:t xml:space="preserve">خر عیسى گرش به مکه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بیاید هنوز خر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چيست دنيا و خلق و استظهار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خاکدانی پر از سگ و مردار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مقفع،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فلاحت به سیم و زر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بایدت اگر نه خرى</w:t>
      </w:r>
    </w:p>
    <w:p>
      <w:pPr>
        <w:pStyle w:val="BookText"/>
        <w:rPr/>
      </w:pPr>
      <w:r>
        <w:rPr>
          <w:rFonts w:ascii="IRNazanin" w:hAnsi="IRNazanin" w:eastAsia="IRNazanin"/>
          <w:color w:val="111111"/>
          <w:sz w:val="28"/>
          <w:sz w:val="28"/>
          <w:szCs w:val="28"/>
          <w:rtl w:val="true"/>
          <w:lang w:bidi="fa-IR"/>
        </w:rPr>
        <w:t xml:space="preserve">سگ به اطلس ملائکه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گوش کن اگر بشرى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11/112</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تعبیرات می و ساغر و امثال آن علاوه بر آنکه هیچ حجیتی ندارند، ولی مشخصاً به صورت مجاز به کار برده شده اند؛ به طوری که هم شاعر و هم مخاطب آن شعر می دانند که منظور از می و ساغر، مصادیق حقیقی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خود را سگ اهل بیت می نامد، دقیقاً منظورش مصداق حقیقی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سوم نیز این است که تعبیرات موجود در اشعار حافظ، مشمئز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تعبیر سگ، مورد </w:t>
      </w:r>
      <w:bookmarkStart w:id="242" w:name="pg8714_82556"/>
    </w:p>
    <w:p>
      <w:pPr>
        <w:pStyle w:val="BookText"/>
        <w:rPr/>
      </w:pPr>
      <w:bookmarkEnd w:id="242"/>
      <w:r>
        <w:rPr>
          <w:rFonts w:ascii="IRNazanin" w:hAnsi="IRNazanin" w:eastAsia="IRNazanin"/>
          <w:color w:val="111111"/>
          <w:sz w:val="28"/>
          <w:sz w:val="28"/>
          <w:szCs w:val="28"/>
          <w:rtl w:val="true"/>
          <w:lang w:bidi="fa-IR"/>
        </w:rPr>
        <w:t>تنفر عموم انسان هاست و اساساً به نیت تحقیر و کم شخصیت شدن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دقیقاً به نیت خرد کردن خویش، چنین تعبیری 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چهارم در این است که تعبیرات شعرا در عرصه کلامی معنا نمی شود و از گزاره های کلامی نیز برنمی خیزد؛ برخلاف واژه مزبور، که پشتوانه کلامی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صرف نظر از آنکه قریحه شعری نیز نمی تواند پشتوانه چنین کاری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معشوق نیز در ادبیات کهن و فاخر فارسی وجود ندارد، ولی حتی اگر یافت شود نیز، قدرت قرار گرفتن به عنوان پشتوانه معرفتی و کلامی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کسی با استناد به وجود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حافظ، فتوا به جواز نوشیدن آن نمی دهد</w:t>
      </w:r>
      <w:r>
        <w:rPr>
          <w:rFonts w:eastAsia="IRNazanin" w:cs="IRNazanin"/>
          <w:color w:val="111111"/>
          <w:sz w:val="28"/>
          <w:szCs w:val="28"/>
          <w:rtl w:val="true"/>
          <w:lang w:bidi="fa-IR"/>
        </w:rPr>
        <w:t>.</w:t>
      </w:r>
    </w:p>
    <w:p>
      <w:pPr>
        <w:pStyle w:val="Heading4"/>
        <w:numPr>
          <w:ilvl w:val="3"/>
          <w:numId w:val="1"/>
        </w:numPr>
        <w:rPr/>
      </w:pPr>
      <w:bookmarkStart w:id="243" w:name="__RefHeading___Toc3032730_653776707"/>
      <w:bookmarkStart w:id="244" w:name="_Toc87"/>
      <w:bookmarkEnd w:id="243"/>
      <w:r>
        <w:rPr/>
        <w:t>2</w:t>
      </w:r>
      <w:r>
        <w:rPr>
          <w:rtl w:val="true"/>
        </w:rPr>
        <w:t xml:space="preserve">. </w:t>
      </w:r>
      <w:r>
        <w:rPr/>
        <w:t>6</w:t>
      </w:r>
      <w:r>
        <w:rPr>
          <w:rtl w:val="true"/>
        </w:rPr>
        <w:t xml:space="preserve">. </w:t>
      </w:r>
      <w:r>
        <w:rPr>
          <w:rtl w:val="true"/>
        </w:rPr>
        <w:t>متفاوت بودن وجه شبه</w:t>
      </w:r>
      <w:bookmarkEnd w:id="244"/>
    </w:p>
    <w:p>
      <w:pPr>
        <w:pStyle w:val="BookText"/>
        <w:rPr/>
      </w:pPr>
      <w:r>
        <w:rPr>
          <w:rFonts w:ascii="IRNazanin" w:hAnsi="IRNazanin" w:eastAsia="IRNazanin"/>
          <w:color w:val="111111"/>
          <w:sz w:val="28"/>
          <w:sz w:val="28"/>
          <w:szCs w:val="28"/>
          <w:rtl w:val="true"/>
          <w:lang w:bidi="fa-IR"/>
        </w:rPr>
        <w:t>دلیل دیگری که ممکن است طرفداران این تشبیه ارائه کنند، این است که گرچه سگ در نظر قرآن و اهل بیت جایگاه مناسبی ندارد، ولی این برخورداری از جایگاه نامناسب، به خاطر وجه شبهی است که میان آن حیوان و انسان هایگنهکار و هنجارشکن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و اهل بیت، افراد حریص یا بددهان یا ناهنجار را در کار زشتی که انجام می دهند، شبیه به سگ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تمام اوصاف سگ، ناپسند نیست و بلکه این حیوان وفاداری بالایی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اشعار فارسی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از زن مخواه، از سگ وفا جوی؛ وفا دادند به سگ، با زن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نهاد جبروتی،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توان با تغییر وجه شبه، حکم آن را نیز تغییر داد؛ به گونه ای که شخص خود را در وفاداری به دستگاه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مثابه سگ بداند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توان گفت، خصوصیات سگ از قبیل وفاداری یا حرص و وحشت افزایی، اوصافی نیست که یکی بر دیگری تقدم و تأخر داشته باشد؛ بلکه سگ در زمان اسلام و حتی از ابتدای خلقت نیز به همین اوصاف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سؤال اینجاست، چرا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وفاداری و پایبندی به مکتب شان، به سگ تشبیه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وفادارترین انسان ها نیز حتی یک بار خود را سگ اهل بیت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حلقه مفقوده این مسئله، این است که اساساً حیوان سگ به گونه ای است که اوصاف ناپسند آن بر اوصاف پسندیده اش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اهل بیت از بقیه انسان ها، هم حیوان شناس تر </w:t>
      </w:r>
      <w:bookmarkStart w:id="245" w:name="pg8714_82557"/>
    </w:p>
    <w:p>
      <w:pPr>
        <w:pStyle w:val="BookText"/>
        <w:rPr/>
      </w:pPr>
      <w:bookmarkEnd w:id="245"/>
      <w:r>
        <w:rPr>
          <w:rFonts w:ascii="IRNazanin" w:hAnsi="IRNazanin" w:eastAsia="IRNazanin"/>
          <w:color w:val="111111"/>
          <w:sz w:val="28"/>
          <w:sz w:val="28"/>
          <w:szCs w:val="28"/>
          <w:rtl w:val="true"/>
          <w:lang w:bidi="fa-IR"/>
        </w:rPr>
        <w:t>بودند و هم اینکه به علوم بلاغت و وجه شبه تسلط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اینجاست که با این وجود، چرا اهل بیت هیچ اشاره ای به وفادار بودن سگ نکرده اند و این حیوان همواره در نظرشان دارای اوصاف ناپسند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حتی وفادار بودن سگ نیز مورد تشکیک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دمیری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حیوانی است شدید الریاضه و کثیر الوفا؛ نه از درندگانِ محض و نه از چارپایانِ محض است؛ بلکه مرکب از هر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طبیعت درندگی در آن تمام بود، با مردم الفت نمی گرفت؛و اگر کاملاً چارپا بود، حیوان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سگ نیز،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نه می توان آن را حیوانی دانست که کاملاً وحشی باشد و مانند گرگ لزوماً در باغ وحش یا طبیعت بکر زندگی کند و نه حیوانی که صددرصد با انسان مأنوس باشد؛ چراکه اخبار و فیلم های متعددی دیده می شود مبنی بر اینکه سگ های شهری و غیروحشی، انسان ها را مورد حمله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سگ های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سگ های هار و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سگ گله یا سگ هایی که برای برنده شدن در مسابقات قماربازی تمرین وحشی گری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مشخص است</w:t>
      </w:r>
      <w:r>
        <w:rPr>
          <w:rFonts w:eastAsia="IRNazanin" w:cs="IRNazanin"/>
          <w:color w:val="111111"/>
          <w:sz w:val="28"/>
          <w:szCs w:val="28"/>
          <w:rtl w:val="true"/>
          <w:lang w:bidi="fa-IR"/>
        </w:rPr>
        <w:t>.</w:t>
      </w:r>
    </w:p>
    <w:p>
      <w:pPr>
        <w:pStyle w:val="Heading4"/>
        <w:numPr>
          <w:ilvl w:val="3"/>
          <w:numId w:val="1"/>
        </w:numPr>
        <w:rPr/>
      </w:pPr>
      <w:bookmarkStart w:id="246" w:name="__RefHeading___Toc3032732_653776707"/>
      <w:bookmarkStart w:id="247" w:name="_Toc88"/>
      <w:bookmarkEnd w:id="246"/>
      <w:r>
        <w:rPr/>
        <w:t>2</w:t>
      </w:r>
      <w:r>
        <w:rPr>
          <w:rtl w:val="true"/>
        </w:rPr>
        <w:t xml:space="preserve">. </w:t>
      </w:r>
      <w:r>
        <w:rPr/>
        <w:t>7</w:t>
      </w:r>
      <w:r>
        <w:rPr>
          <w:rtl w:val="true"/>
        </w:rPr>
        <w:t xml:space="preserve">. </w:t>
      </w:r>
      <w:r>
        <w:rPr>
          <w:rtl w:val="true"/>
        </w:rPr>
        <w:t>شخصی بودن علقه های مذهبی و ارتباط گیری با اهل بیت</w:t>
      </w:r>
      <w:r>
        <w:rPr>
          <w:rtl w:val="true"/>
        </w:rPr>
        <w:t>(</w:t>
      </w:r>
      <w:r>
        <w:rPr>
          <w:rtl w:val="true"/>
        </w:rPr>
        <w:t>علیهم السلام</w:t>
      </w:r>
      <w:r>
        <w:rPr>
          <w:rtl w:val="true"/>
        </w:rPr>
        <w:t>)</w:t>
      </w:r>
      <w:bookmarkEnd w:id="24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دیگری که این افراد ممکن است در اثبات مشروعیت نامیدن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این است که این مسئله کاملاً شخصی است و احساس می کنند که به این طریق بهتر می توانند تواضع خود را نسبت به اهل بیت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پاسخ هایی که سابقاً ذکر شد، مبنی بر اینکه اهل بیت در زمان حیاتشان اجازه نمی دادند کسی بیش از حد نسبت به آنها تواضع نشان داده و خاکساری کند و بعد از وفات آن بزرگواران نیز دلیلی بر عوض شدن این رویه وجود ندارد، باید گفت که هیچ کس حق بی ارزش کردن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گونه که مالک بدن خود نیست و نمی تواند به آن ضرر قابل توجه وارد کند، مالک آبروی خود نیز نیست و حق از بین بردن آن و بی ارزش کردن خود چه در ملأ عام و چه به طور شخصی و خصوصی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اثبات شود که نامیدن خود به سگ اهل بیت، در ملأ عام، موجب وهن مذهب می شود، ولی باز در محفل خصوصی و کاملاً شخصی نیز این کارممنوع است؛ چون موجب ذلیل شدن موجودی می شود که </w:t>
      </w:r>
      <w:bookmarkStart w:id="248" w:name="pg8714_82558"/>
    </w:p>
    <w:p>
      <w:pPr>
        <w:pStyle w:val="BookText"/>
        <w:rPr/>
      </w:pPr>
      <w:bookmarkEnd w:id="248"/>
      <w:r>
        <w:rPr>
          <w:rFonts w:ascii="IRNazanin" w:hAnsi="IRNazanin" w:eastAsia="IRNazanin"/>
          <w:color w:val="111111"/>
          <w:sz w:val="28"/>
          <w:sz w:val="28"/>
          <w:szCs w:val="28"/>
          <w:rtl w:val="true"/>
          <w:lang w:bidi="fa-IR"/>
        </w:rPr>
        <w:t>خداوند او را جانشین خود در زمین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رَبُّکَ لِلْمَلائِکَةِ إِنِّي جاعِلٌ فِي الْأَرْضِ 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نیز حق ندارد مقامی را که خداوند برایش جعل کرده، از خود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آنجا که انجام اعمال ناصحیح، با خلافت الاهی ناسازگار است، و ناصحیح بودن این عمل نیز با تکیه بر دلایل مختلف اثبات شد، لذا جانشین خدا نمی تواند به این شکل به خلافت الاهی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نامیدن خود به سگ اهل بیت امری ناپسند و با موازین انسانی و شرعی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این استدلالات، همه تعبیراتی که مانند کلمه سگ، حاوی خودتحقیری هستند نیز در حکم آن قرار می گیرند؛ مانند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حسین</w:t>
      </w:r>
      <w:r>
        <w:rPr>
          <w:rFonts w:eastAsia="IRNazanin" w:cs="IRNazanin"/>
          <w:color w:val="111111"/>
          <w:sz w:val="28"/>
          <w:szCs w:val="28"/>
          <w:rtl w:val="true"/>
          <w:lang w:bidi="fa-IR"/>
        </w:rPr>
        <w:t>».</w:t>
      </w:r>
    </w:p>
    <w:p>
      <w:pPr>
        <w:pStyle w:val="Heading3"/>
        <w:numPr>
          <w:ilvl w:val="2"/>
          <w:numId w:val="1"/>
        </w:numPr>
        <w:rPr/>
      </w:pPr>
      <w:bookmarkStart w:id="249" w:name="__RefHeading___Toc3032734_653776707"/>
      <w:bookmarkStart w:id="250" w:name="_Toc89"/>
      <w:bookmarkEnd w:id="249"/>
      <w:r>
        <w:rPr>
          <w:rtl w:val="true"/>
        </w:rPr>
        <w:t>نتیجه</w:t>
      </w:r>
      <w:bookmarkEnd w:id="25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شیعیان کارهایی انجام می دهند که موجب بدنامی مذهب تشیع و دیگر شیعیان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کارها نامیدن خود به سگ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مشخص شد نخستین کسی که خود را به این لقب مفتخر کرده، شاه عباس کبیر بوده و بعد از وی این بدعت منتشر شده است، برای اثبات مذموم و ناپسند بودن این کار به چند دلیل عمده تمسک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نصوصی که مؤمنان را از خودتحقیری بازمی داشتند؛ دیگر آنکه سگ در نصوص شرعی به عنوان نماد اوصاف رذیله معرفی شده است؛ در استفتایی هم که از محضر برخی از مراجع تقلید انجام شد، به این مسئله اشاره شد که این کار در صورتی که بازتاب داشتهباشد باید ترک شود؛ لذا ضمن تأکید بر اینکه این کار بازتاب های ناخوشایندی در فضای مجازی داشته، در بخش بعدی نیز این مسئله مورد اثبات قرار گرفت که انجام هر کاری که موجب استهزا و بازیچه شدن دین در دست منافقان و دشمنان شود،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دلایل موافقان این کار نیز مورد مطالعه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نخست آنها استناد به دو حدیث بود که اولاً سند کاملی نداشتند و ثانیاً از نظر محتوا نیز اشکالاتی به آنها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گفتند از سگ گرسنگی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گرسنگی ارزش محسوب می شود و نه سگ تنها حیوان گرسنه در جهان است</w:t>
      </w:r>
      <w:r>
        <w:rPr>
          <w:rFonts w:eastAsia="IRNazanin" w:cs="IRNazanin"/>
          <w:color w:val="111111"/>
          <w:sz w:val="28"/>
          <w:szCs w:val="28"/>
          <w:rtl w:val="true"/>
          <w:lang w:bidi="fa-IR"/>
        </w:rPr>
        <w:t xml:space="preserve">. </w:t>
      </w:r>
      <w:bookmarkStart w:id="251" w:name="pg8714_82559"/>
    </w:p>
    <w:p>
      <w:pPr>
        <w:pStyle w:val="BookText"/>
        <w:rPr/>
      </w:pPr>
      <w:bookmarkEnd w:id="251"/>
      <w:r>
        <w:rPr>
          <w:rFonts w:ascii="IRNazanin" w:hAnsi="IRNazanin" w:eastAsia="IRNazanin"/>
          <w:color w:val="111111"/>
          <w:sz w:val="28"/>
          <w:sz w:val="28"/>
          <w:szCs w:val="28"/>
          <w:rtl w:val="true"/>
          <w:lang w:bidi="fa-IR"/>
        </w:rPr>
        <w:t>ولی با این همه در نقد کلی گفته شد که شاید سگ اوصاف خوبی داشته باشد، ولی روایات درصدد نیست تا مقام یک مؤمن را در حد آن حیوان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اخیر نیز این بود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سگی کمتر دانست؛ در حالی که تواضع درونی با ذلت در رفتار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که کلب و بنی کلب و امثال آن، نامی در عرف عرب آن زمان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چنین نام هایی را برمی گزید و بعد از ظهور اسلام، این گونه نام گذاری ها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چنین نامگداری به عرف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حتی اگر این کار عرفی باشد نیز، مردم در محاورات مؤدبانه چنین کلمه ای را به کار نمی برند و تنها در محافل دور از ادب است که عبارت سگ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دیگر تمسک به خوابی بود که برخی را در شکل سگی دیدند؛ که باید گفت خواب افراد غیرمعصوم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خواجه نصیر وصیت کرد روی قبرش بنویسند سگ اصحاب کهف، صرفاً به خاطر این بوده که اصحاب کهف سگ داشتند و حیوان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خواجه هم ناظر به عالم واقع بوده؛ نه عالم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آخر نیزمی گوید از آنجا که الفاظی همچون می و ساغر در ادبیات شعرا به کار می رود، و برخی از بزرگان دین نیز به این اشعار علاقمندند، پس لفظ سگ در اشعار نیز نباید مشکلی داشته باشد؛ پاسخ آن است که اولاً شعر هم هیچ حجیتی ندارد و ثانیاً الفاظ می و ساغر به طور مشخص در معنای مجاز و به صورت تلطیف و عاشقانه به کار رفته اند؛ برخلاف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معنای حقیقی و به صورت بی پرده و با مایه های عقیدتی و کلامی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کلماتی که موجب تحقیر شأن انسان می شوند نباید در خطاب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بروند</w:t>
      </w:r>
      <w:r>
        <w:rPr>
          <w:rFonts w:eastAsia="IRNazanin" w:cs="IRNazanin"/>
          <w:color w:val="111111"/>
          <w:sz w:val="28"/>
          <w:szCs w:val="28"/>
          <w:rtl w:val="true"/>
          <w:lang w:bidi="fa-IR"/>
        </w:rPr>
        <w:t>.</w:t>
      </w:r>
    </w:p>
    <w:p>
      <w:pPr>
        <w:pStyle w:val="Heading3"/>
        <w:numPr>
          <w:ilvl w:val="2"/>
          <w:numId w:val="1"/>
        </w:numPr>
        <w:rPr/>
      </w:pPr>
      <w:bookmarkStart w:id="252" w:name="__RefHeading___Toc3032736_653776707"/>
      <w:bookmarkStart w:id="253" w:name="_Toc90"/>
      <w:bookmarkEnd w:id="252"/>
      <w:r>
        <w:rPr>
          <w:rtl w:val="true"/>
        </w:rPr>
        <w:t>منابع</w:t>
      </w:r>
      <w:bookmarkEnd w:id="253"/>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 ترجمه محمدمهدی 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الشریعه، ترجمه و تحقیق حسن مصطفوی، تهران، انجمن اسلامی حکمت و فلسفه ایران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التفسیر المنسوب الی الامام الحسن </w:t>
      </w:r>
    </w:p>
    <w:p>
      <w:pPr>
        <w:pStyle w:val="BookText"/>
        <w:rPr/>
      </w:pPr>
      <w:r>
        <w:rPr>
          <w:rFonts w:ascii="IRNazanin" w:hAnsi="IRNazanin" w:eastAsia="IRNazanin"/>
          <w:color w:val="111111"/>
          <w:sz w:val="28"/>
          <w:sz w:val="28"/>
          <w:szCs w:val="28"/>
          <w:rtl w:val="true"/>
          <w:lang w:bidi="fa-IR"/>
        </w:rPr>
        <w:t>العسکری، تحقیق مدرسه امام مهدی، قم، مدرسه امام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جوزی، جمال الدین ابوالفرج عبدالرحمان بن علی بن محمد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الرد على المتعصب العنيد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من ذم يزيد، تحقیق هیثم عبدالسلام محمد، بیروت، دار الکتب العلمیه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محمدعلی بیضون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شعبه حرانی، ابومحمد حسن بن علی بن حسین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آل الرسول، تحقیق علی اکبر غفاری، قم،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مازندرانی،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مؤسسه انتشارات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فهد حلی،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نجاح الساعی، تحقیق احمد موحدی قمی، تهران، دار الکتب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مسلم، الامامه و 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بتاریخ الخلفاء، تحقیق علی شیری،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قیم الجوزیه، محمد بن ابی بکر بن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مفتاح دارالسعاده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منشور ولایه العلم و الإراده،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دمشقی، ابوالفداء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 النهایه،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مقفع، عبدالله بن دادويه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کليله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ابوالمعالی نصرالله بن محمد منشی، ترجمه و تحقیق مجتبى مينوى طهرانی، تهران، امير کبير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ابوالفضل جمال الدین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تحقیق جمال الدین میردامادی،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مصباح الشریعه، تحقیق محسن فیض پور و دیگران، قم، دار العرفان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ابوالحسن احمد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 من انساب الاشراف، تحقیق سهیل </w:t>
      </w:r>
    </w:p>
    <w:p>
      <w:pPr>
        <w:pStyle w:val="BookText"/>
        <w:rPr/>
      </w:pPr>
      <w:r>
        <w:rPr>
          <w:rFonts w:ascii="IRNazanin" w:hAnsi="IRNazanin" w:eastAsia="IRNazanin"/>
          <w:color w:val="111111"/>
          <w:sz w:val="28"/>
          <w:sz w:val="28"/>
          <w:szCs w:val="28"/>
          <w:rtl w:val="true"/>
          <w:lang w:bidi="fa-IR"/>
        </w:rPr>
        <w:t>زکار و ریاض زرکلی، بیروت، دار الفکر للطباعه و النشر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بیهقی، ابوبکر احمد بن الحسین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النبوه و معرفه احوال صاحب الشریعه، تحقیق عبدالمعطی قلعجی، بیروت، دار الکتب العلمیه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پاپکین، ریچارد و آوروم استرول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آشنایی با فلسفه غرب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و تحقیق سید جلال الدین مجتبوی، تهران، انتشارات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پاک نهاد جبروتی، مریم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فرادستی و فرودستی در زبان، تهران، گام 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پاینده، ابوالقاسم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کلمات قصار حضرت رسول، تهران، دنیای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تویسرکانی، محمدنبی بن احمد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لئالی الاخبار، قم، مکتبه العلامه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صفویه در عرصه دین فرهنگ و سیاست، قم، پژوهشگاه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تحصیل مسائل الشریعه، تحقیق گروه پژوهش مؤسسه آل البیت لاحیاء التراث، قم، مؤسسه آل البیت لاحیاء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حکیم، حسن عیسی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النجف الاشرف من عصر ما قبل الاسلام حتی نهایه الحکم العثمانی، قم، المکتبه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دمیری، کمال الدین محمد بن موسی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خواص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حیات الحیوان، ترجمه خواجه محمدتقی تبریزی، تحقیق فاطمه مهری، تهران، مرکز نشر دانشگاهی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راشد تربتی، حسین علی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فضیلت 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حاج آخوند ملا عباس تربتی عارف فرزانه عالم وارسته و شخصیت کم نظیر تاریخ معاصر، تهران، انتشارات اطلاعات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الفاظ القرآن، بیروت، دار القلم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سعدی، شیخ اجل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گلستان، تحقیق محمد </w:t>
      </w:r>
    </w:p>
    <w:p>
      <w:pPr>
        <w:pStyle w:val="BookText"/>
        <w:rPr/>
      </w:pPr>
      <w:r>
        <w:rPr>
          <w:rFonts w:ascii="IRNazanin" w:hAnsi="IRNazanin" w:eastAsia="IRNazanin"/>
          <w:color w:val="111111"/>
          <w:sz w:val="28"/>
          <w:sz w:val="28"/>
          <w:szCs w:val="28"/>
          <w:rtl w:val="true"/>
          <w:lang w:bidi="fa-IR"/>
        </w:rPr>
        <w:t>خزائلی، تهران،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رضی، ابوالحسن محمد بن حسین بن موسی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ترجمه حسین انصاریان، قم، انتشارات آیین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تحقیق صبحی صالح، قم، نشر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شهری، جعفر</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قند و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های تهرانی به زبان محاوره، تهران، انتشارات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متن کتاب من لایحضره الفقیه، ترجمه علی اکبر غفاری و دیگران، تهران، نشر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تهران، انتشارات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تحقیق هاشم حسینی، قم،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اعتقادات الامامیه،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القرآن، تحقیق احمد حبیب عاملی، بیروت، دار احیاء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ابوعبدالله محمد بن محمد بن نعمان عکبری بغدادی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معرفه حجج الله علی العباد، تحقیق مؤسسه آل البیت لاحیاء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التراث، قم، کنگرۀ جهانی هزاره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صدر، سید حسن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تأسیس الشیعه لعلوم الاسلام، بی جا،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طبرسی، حسن بن فضل</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مکارم الاخلاق،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ابوجعفر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طبرى، ترجمه ابوالقاسم پاینده، تهران، انتشارات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القرآن، بیروت، دار 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 الملوک، تحقیق محمد ابوالفضل ابراهیم، بیروت، دار التراث</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عاملی، بهاء الدین محمد بن حسین و نظام بن حسین ساوجی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عباسی </w:t>
      </w:r>
    </w:p>
    <w:p>
      <w:pPr>
        <w:pStyle w:val="BookText"/>
        <w:rPr/>
      </w:pPr>
      <w:r>
        <w:rPr>
          <w:rFonts w:ascii="IRNazanin" w:hAnsi="IRNazanin" w:eastAsia="IRNazanin"/>
          <w:color w:val="111111"/>
          <w:sz w:val="28"/>
          <w:sz w:val="28"/>
          <w:szCs w:val="28"/>
          <w:rtl w:val="true"/>
          <w:lang w:bidi="fa-IR"/>
        </w:rPr>
        <w:t xml:space="preserve">و تکمیل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محققان دفتر انتشارات اسلامى، قم،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علامه مجلسی، محمدباقر بن محمدتقی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الجامعه لدرر اخبار الائمه الاطهار، تحقیق جمعی از محققان،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قندوزی حنفی، سلیمان بن ابراهیم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لذوی القربی، تحقیق سید علی جمال اشرف حسینی، قم،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رازی، ابوجعفر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روضه کافی، ترجمه حمیدرضا آژیر، قم، انتشارات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__________________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 پژوهشگران بخش احیای تراث مرکز تحقیقات دار الحدیث، قم، سازمان چاپ و نشر مؤسسه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علمی فرهنگی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متقی هندی، علی بن حسام الدین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سنن الاقوال و الافعال، تحقیق بکری حیانی و صفوه السقا، بیروت، مؤسسه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محب الدین طبری،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العشره، بیروت، دار 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قم،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منتظرى نجف آبادی،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رسالۀ استفتائات، قم،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خوانساری، میرزا محمدباقر بن زین العابدین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احوال العلماء و السادات، تحقیق اسدالله اسماعیلیان، قم، انتشارات دهاقانی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دالینی، جواد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 و شعایر مذهبی منقور بر سکه های دوره افشاریه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مطالعات تاریخ اسلام، بهار، شماره</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یحیی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عقاید و آرای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جاهلیت و اسلام، تهران، بنیاد علمی و اسلامی مدرسه الشهداء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واله اصفهانی، محمدیوسف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در زمان شاه صفی و شاه عباس دوم، تهران، انجمن آثار و مفاخر فرهنگی</w:t>
      </w:r>
      <w:r>
        <w:rPr>
          <w:rFonts w:eastAsia="IRNazanin" w:cs="IRNazanin"/>
          <w:color w:val="111111"/>
          <w:sz w:val="28"/>
          <w:szCs w:val="28"/>
          <w:rtl w:val="true"/>
          <w:lang w:bidi="fa-IR"/>
        </w:rPr>
        <w:t xml:space="preserve">. </w:t>
      </w:r>
      <w:bookmarkStart w:id="254" w:name="pg8714_82564"/>
    </w:p>
    <w:p>
      <w:pPr>
        <w:pStyle w:val="Heading2"/>
        <w:numPr>
          <w:ilvl w:val="1"/>
          <w:numId w:val="1"/>
        </w:numPr>
        <w:rPr/>
      </w:pPr>
      <w:bookmarkStart w:id="255" w:name="__RefHeading___Toc3032738_653776707"/>
      <w:bookmarkStart w:id="256" w:name="_Toc91"/>
      <w:bookmarkEnd w:id="254"/>
      <w:bookmarkEnd w:id="255"/>
      <w:r>
        <w:rPr>
          <w:rtl w:val="true"/>
        </w:rPr>
        <w:t xml:space="preserve">مردم نگاری آیین های عزاداری ماه محرم در شرایط همه گیری کرونا </w:t>
      </w:r>
      <w:r>
        <w:rPr>
          <w:rtl w:val="true"/>
        </w:rPr>
        <w:t>(</w:t>
      </w:r>
      <w:r>
        <w:rPr>
          <w:rtl w:val="true"/>
        </w:rPr>
        <w:t xml:space="preserve">سال </w:t>
      </w:r>
      <w:r>
        <w:rPr/>
        <w:t>1399</w:t>
      </w:r>
      <w:r>
        <w:rPr>
          <w:rtl w:val="true"/>
        </w:rPr>
        <w:t xml:space="preserve">ش، </w:t>
      </w:r>
      <w:r>
        <w:rPr/>
        <w:t>1442</w:t>
      </w:r>
      <w:r>
        <w:rPr>
          <w:rtl w:val="true"/>
        </w:rPr>
        <w:t>ق</w:t>
      </w:r>
      <w:r>
        <w:rPr>
          <w:rtl w:val="true"/>
        </w:rPr>
        <w:t>)</w:t>
      </w:r>
      <w:bookmarkEnd w:id="256"/>
    </w:p>
    <w:p>
      <w:pPr>
        <w:pStyle w:val="Heading3"/>
        <w:numPr>
          <w:ilvl w:val="2"/>
          <w:numId w:val="1"/>
        </w:numPr>
        <w:rPr/>
      </w:pPr>
      <w:bookmarkStart w:id="257" w:name="__RefHeading___Toc3032740_653776707"/>
      <w:bookmarkStart w:id="258" w:name="_Toc92"/>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اکرم گروسی</w:t>
      </w:r>
      <w:r>
        <w:rPr>
          <w:rStyle w:val="FootnoteAnchor"/>
          <w:rtl w:val="true"/>
        </w:rPr>
        <w:footnoteReference w:id="59"/>
      </w:r>
      <w:r>
        <w:rPr>
          <w:rFonts w:ascii="IRNazanin" w:hAnsi="IRNazanin" w:eastAsia="IRNazanin"/>
          <w:color w:val="111111"/>
          <w:sz w:val="28"/>
          <w:sz w:val="28"/>
          <w:szCs w:val="28"/>
          <w:rtl w:val="true"/>
          <w:lang w:bidi="fa-IR"/>
        </w:rPr>
        <w:t>دکتر سعید طاووسی مسرور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18/06/1401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20/10/1401</w:t>
      </w:r>
    </w:p>
    <w:p>
      <w:pPr>
        <w:pStyle w:val="BookText"/>
        <w:rPr/>
      </w:pPr>
      <w:r>
        <w:rPr>
          <w:rFonts w:ascii="IRNazanin" w:hAnsi="IRNazanin" w:eastAsia="IRNazanin"/>
          <w:color w:val="111111"/>
          <w:sz w:val="28"/>
          <w:sz w:val="28"/>
          <w:szCs w:val="28"/>
          <w:rtl w:val="true"/>
          <w:lang w:bidi="fa-IR"/>
        </w:rPr>
        <w:t>چکیده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های عزاداری محرم، از مهمترین راه کارهای هویت بخش فرهنگ شیعیان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با انعطافی قابل توجه و در طول زمان، به خوبی خود را با آداب و رسومِ اقوام و جوامع مختلف وفق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رویدادهای مختلف زمان و مکان، مانعی در مسیر برگزاری این آیین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این آیین موجب خلاقیت و ابتکار جماعت عزادار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گیری ویروس کرونا که از ماه های پایانی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مهمان ناخوانده بشریت شد، اقتضائات خاصی را نیز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سریع این بیماری در انسان، دلالتی ویژه جهت اعمال تغییرات در برگزاری آیین عزاداری در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ایجاد </w:t>
      </w:r>
      <w:bookmarkStart w:id="259" w:name="pg8714_82565"/>
    </w:p>
    <w:p>
      <w:pPr>
        <w:pStyle w:val="BookText"/>
        <w:rPr/>
      </w:pPr>
      <w:bookmarkEnd w:id="259"/>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شیوه های مختلفی در چگونگی برگزاری هیات های عزاداری در دهه اول ماه محرم از سوی متولیان و عزاداران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تلاش دارد تا با رویکرد کیفی و روش مردم نگارانه و با بهره گیری از ابزار مشاهده، مشارکت، مشاهده مشارکتی، ثبت تصویر و بررسی اسنادی، سیر تغییرات برگزاری مراسم عزاداری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شیوه ها را می توان ذیل راهبردهای تغییر، تحدید و تعلیق صورت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های عزاداری، مردم نگاری، ماه محرم، ویروس کرونا</w:t>
      </w:r>
      <w:r>
        <w:rPr>
          <w:rFonts w:eastAsia="IRNazanin" w:cs="IRNazanin"/>
          <w:color w:val="111111"/>
          <w:sz w:val="28"/>
          <w:szCs w:val="28"/>
          <w:rtl w:val="true"/>
          <w:lang w:bidi="fa-IR"/>
        </w:rPr>
        <w:t>.</w:t>
      </w:r>
    </w:p>
    <w:p>
      <w:pPr>
        <w:pStyle w:val="Heading3"/>
        <w:numPr>
          <w:ilvl w:val="2"/>
          <w:numId w:val="1"/>
        </w:numPr>
        <w:rPr/>
      </w:pPr>
      <w:bookmarkStart w:id="260" w:name="__RefHeading___Toc3032742_653776707"/>
      <w:bookmarkStart w:id="261" w:name="_Toc93"/>
      <w:bookmarkEnd w:id="260"/>
      <w:r>
        <w:rPr>
          <w:rtl w:val="true"/>
        </w:rPr>
        <w:t>مقدمه</w:t>
      </w:r>
      <w:bookmarkEnd w:id="261"/>
    </w:p>
    <w:p>
      <w:pPr>
        <w:pStyle w:val="BookText"/>
        <w:rPr/>
      </w:pPr>
      <w:r>
        <w:rPr>
          <w:rFonts w:ascii="IRNazanin" w:hAnsi="IRNazanin" w:eastAsia="IRNazanin"/>
          <w:color w:val="111111"/>
          <w:sz w:val="28"/>
          <w:sz w:val="28"/>
          <w:szCs w:val="28"/>
          <w:rtl w:val="true"/>
          <w:lang w:bidi="fa-IR"/>
        </w:rPr>
        <w:t>بشر همواره با رفتار وکنش های خاص، سعی در به نمایش درآوردن آرا و عقاید دینی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می توان با تساهل و تسامح و با وجود تفاوت های احتمالی در معنی و برداشت لغوی و اصطلاحی، تحت عناوینی چون سنت، آداب، آیین، شعائر و مناسک از آنها یاد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که به نحو گسترده ای انگیزنده نیرومند رفتارها و ساختارهاست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استیونس، </w:t>
      </w:r>
      <w:r>
        <w:rPr>
          <w:rFonts w:eastAsia="IRNazanin" w:cs="IRNazanin"/>
          <w:color w:val="111111"/>
          <w:sz w:val="28"/>
          <w:szCs w:val="28"/>
          <w:lang w:bidi="fa-IR"/>
        </w:rPr>
        <w:t>131:1396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انجام مناسک و آیین خود را بازنمایی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 توان دین را از نقطه نظری به دو مقوله بنیادیِ باورها و مناسک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 از احوال عقیدتی اند، یعنی به طور اساسی از تصورات تشکیل می شوند و دسته دوم وجوه معینی از اعمال مشخص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مناسک به کنش های نمادین و مراسم عادی و شکل های تعیین شده مراسم عبادی اشاره می کند که از طریق ابزارهای اجتماعی الگودار و بسیار منظم نشان داده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فلاناگان،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رضوی زاده،</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آیین ها، زمینه ای هستند که ادیان به واسطه آنها نه تنها نظم اجتماعی را تفسیر و تحلیل می کنند، بلکه آن را ایجاد کرده و شکل و ماهیت می 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گیرتز،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رحمانی،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و مناسک برای هر یک از مذاهب، با آداب و روشی خاص تعریف شده و توسط باورمندان به آنها عمل می شود</w:t>
      </w:r>
      <w:r>
        <w:rPr>
          <w:rFonts w:eastAsia="IRNazanin" w:cs="IRNazanin"/>
          <w:color w:val="111111"/>
          <w:sz w:val="28"/>
          <w:szCs w:val="28"/>
          <w:rtl w:val="true"/>
          <w:lang w:bidi="fa-IR"/>
        </w:rPr>
        <w:t xml:space="preserve">. </w:t>
      </w:r>
      <w:bookmarkStart w:id="262" w:name="pg8714_82566"/>
    </w:p>
    <w:p>
      <w:pPr>
        <w:pStyle w:val="BookText"/>
        <w:rPr/>
      </w:pPr>
      <w:bookmarkEnd w:id="262"/>
      <w:r>
        <w:rPr>
          <w:rFonts w:ascii="IRNazanin" w:hAnsi="IRNazanin" w:eastAsia="IRNazanin"/>
          <w:color w:val="111111"/>
          <w:sz w:val="28"/>
          <w:sz w:val="28"/>
          <w:szCs w:val="28"/>
          <w:rtl w:val="true"/>
          <w:lang w:bidi="fa-IR"/>
        </w:rPr>
        <w:t>مذهب شیعه نیز از این امر مستثتنی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 محوری ترین مناسک در مذهب تشیع آیین های عزاداری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هایی که با انعطافی مثال زدنی، با فرهنگ و رسوم اقوام در طول تاریخ همراه شده و خود را تطبیق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سنت عزاداری ماه محرم به علل متعدد از جمله دارا بودن پتانسیل لازم در بازتولید عقاید مذهبی شیعی، به عنوان امری حیاتی و هویتی در تجربه زیسته مومنان درآمده و جایگاه محوری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محرم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 اولین ماه محرمی بود که با شرایط شیوع بیماری جهانی کرونا مواجهه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ای که با وجود شاخصه واگیردار بودن، هرگونه تجمع انسانی فشرده را خطرناک کرده و اجبار در رعایت شرایط ویژه بهداشتی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آیین های عزاداری ماه محرم با وجود اهمیتشان، شیوه ای جدید در برگزاری را به خود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ما در این مقاله بر آن است که مروری اجمالی بر این شیوه 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گامی هر چند کوچک، جهت ثبت و ضبطِ انواع مواجهه جریانات دین داری شیعی کشور، با سنت عزاداری محرم در موقعیت ویژه و جدیدِ شیوع یک بیماری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شناخت و توصیف این مواجهات، به عنوان مقدمه ای لازم، می تواند در تحلیل و فهمِ منطقِ مواجهه این جریانات، با یک پدیده نوظهور را بهتر و بیشتر تبین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اینپژوهش، رویکرد کیفی و روش مردم نگارانه در پیش گرفته شده و از ابزارهایی چون حضور در میدان، مشاهده مشارکتی، تصویر، اسناد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شده است</w:t>
      </w:r>
      <w:r>
        <w:rPr>
          <w:rFonts w:eastAsia="IRNazanin" w:cs="IRNazanin"/>
          <w:color w:val="111111"/>
          <w:sz w:val="28"/>
          <w:szCs w:val="28"/>
          <w:rtl w:val="true"/>
          <w:lang w:bidi="fa-IR"/>
        </w:rPr>
        <w:t>.</w:t>
      </w:r>
    </w:p>
    <w:p>
      <w:pPr>
        <w:pStyle w:val="Heading3"/>
        <w:numPr>
          <w:ilvl w:val="2"/>
          <w:numId w:val="1"/>
        </w:numPr>
        <w:rPr/>
      </w:pPr>
      <w:bookmarkStart w:id="263" w:name="__RefHeading___Toc3032744_653776707"/>
      <w:bookmarkStart w:id="264" w:name="_Toc94"/>
      <w:bookmarkEnd w:id="263"/>
      <w:r>
        <w:rPr>
          <w:rtl w:val="true"/>
        </w:rPr>
        <w:t>پیشینه پژوهش</w:t>
      </w:r>
      <w:bookmarkEnd w:id="26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تناسب آداب و رسوم اقوام و با توجه به شرایط و موقعیت های مختلف در ایران، آیین های عزاداری نیز با شیوه هایی بسیار متنوع مواجهه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پژوهش های مردم نگارنه موردیِ نسبتا وسیعی را برای ثبت و ضبط این آیین ها،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بیماری کرونا نیز برخی پژوهش ها در زمینه چگونگی برگزاری آیین های عزاداری در شرایط ایجاد شده،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محرم و کرونا که توسط مهدی مولائی آرانی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حمید پارسانیا و همراهی تیم </w:t>
      </w:r>
      <w:bookmarkStart w:id="265" w:name="pg8714_82567"/>
    </w:p>
    <w:p>
      <w:pPr>
        <w:pStyle w:val="BookText"/>
        <w:rPr/>
      </w:pPr>
      <w:bookmarkEnd w:id="265"/>
      <w:r>
        <w:rPr>
          <w:rFonts w:ascii="IRNazanin" w:hAnsi="IRNazanin" w:eastAsia="IRNazanin"/>
          <w:color w:val="111111"/>
          <w:sz w:val="28"/>
          <w:sz w:val="28"/>
          <w:szCs w:val="28"/>
          <w:rtl w:val="true"/>
          <w:lang w:bidi="fa-IR"/>
        </w:rPr>
        <w:t>پژوهشی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شیوه مشاهده مشارکتی و گفت وگو با فعالان میدانی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پژوهش نشان می دهد، هیات به عنوان نهادی برآمده از عمق باورهای دینی مردم، می تواند با حفظ اصول و اصالت های خود، در سریع ترین زمان ممکن، آیین ها و مناسکی متناسب با اقتضائات جدید و شرایط جغرافیایی و ذائقه مردم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چیت ساز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کرونا ودینداری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ها و تحلیل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بررسی پیامدهای شیوع کرونا بر حوزه دین و دینداری در چند ماه اول، به مطرح شدن دو فرضیه بحران عظیم بودن و یا تقویت دین داری در حیات دینی ایرانیان در این زمان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ها، مقالات و یادداشت هایی در باب چالش های مواجهه با بیماری اپیدمی کرونا، ازجمله وجوه اجتماعی و فرهنگی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هنوز به ابعاد مختلف چگونگی مواجهه شدن گروه های مختلف، برای برگزاری مراسم های عزاداری در این شرایط،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در تلاش است، محور جریانات مختلف قبل و همزمان با آیین های عزاداری محرم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 که اولین مواجهه جماعت شیعی ایران، با شرایط جدید بود را مورد پژوهش قرار دهد و در نهایت شیوه های اتخاذ شده توسط متولیان و عزاداران را تبیین و تحلیل کند</w:t>
      </w:r>
      <w:r>
        <w:rPr>
          <w:rFonts w:eastAsia="IRNazanin" w:cs="IRNazanin"/>
          <w:color w:val="111111"/>
          <w:sz w:val="28"/>
          <w:szCs w:val="28"/>
          <w:rtl w:val="true"/>
          <w:lang w:bidi="fa-IR"/>
        </w:rPr>
        <w:t>.</w:t>
      </w:r>
    </w:p>
    <w:p>
      <w:pPr>
        <w:pStyle w:val="Heading3"/>
        <w:numPr>
          <w:ilvl w:val="2"/>
          <w:numId w:val="1"/>
        </w:numPr>
        <w:rPr/>
      </w:pPr>
      <w:bookmarkStart w:id="266" w:name="__RefHeading___Toc3032746_653776707"/>
      <w:bookmarkStart w:id="267" w:name="_Toc95"/>
      <w:bookmarkEnd w:id="266"/>
      <w:r>
        <w:rPr>
          <w:rtl w:val="true"/>
        </w:rPr>
        <w:t>روش پژوهش</w:t>
      </w:r>
      <w:bookmarkEnd w:id="2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نگاری علم و هنر توصیف یک گروه انسانی اعم از نهادهای آن، رفتارهای میان فردی، محصولات مادی و عقاید آن گروه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انگروزینو،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نگاری هم فرایند و هم نتیجه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گر،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کرسول،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نکته مهم در مردم نگاری عمل مشاهده توسط مردم نگار است که می بایستی به دقت و منسجم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اریکسن،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مردم نگاری تحقیقی میدانی است و مردم نگار درحد امکان به صورت مشارکت کننده فعال، زندگی افراد را مورد مطالعه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انگروزینو،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نگاران می توانند تعداد متنوعی از روش ها و تکنیک ها را در طول دوره تحقیق شان مورد استفاده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مارچسیون،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268" w:name="pg8714_82568"/>
    </w:p>
    <w:p>
      <w:pPr>
        <w:pStyle w:val="BookText"/>
        <w:rPr/>
      </w:pPr>
      <w:bookmarkEnd w:id="268"/>
      <w:r>
        <w:rPr>
          <w:rFonts w:ascii="IRNazanin" w:hAnsi="IRNazanin" w:eastAsia="IRNazanin"/>
          <w:color w:val="111111"/>
          <w:sz w:val="28"/>
          <w:sz w:val="28"/>
          <w:szCs w:val="28"/>
          <w:rtl w:val="true"/>
          <w:lang w:bidi="fa-IR"/>
        </w:rPr>
        <w:t>لذا در مردم نگاری ضمن حضور در میدان تحقیق، از ابزار و تکنیک هایی چون مشاهده، مشارکت، مشاهده مشارکتی، ثبت تصاویر، اسناد کتابخانه ای و نظایر اینها برای جمع آوری داده ها کمک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رویکرد کیفی و روش مردم نگارانه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درطی ماه محرم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 در هیات های متعدد برخی مناطق شهر تهران حاضر شده و با مشاهده و مشارکت در انجام مراسم، اقدام به ثبت تصویری و توصیف چگونگی برگزاری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مصاحبه و گفت وگو با افرادِ برخی شهرهای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ری، قزوین، قم، یزد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جریان چگونگی برگزاری مراسمات عزاداری در این شهرها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مواجهات مستقیم، رجوع به سایت های خبری و بازخوانی اخبار و گزارش ها از حواشی اتفاقات و جریانات رخ داده در ارتباط با موضوع برگزاری هیات های عزاداری در این ایام، راهی دیگر برای دست یابی به داده های مورد نیاز در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این ابزارهای پژوهشی، بررسی منابع و اسناد کتابخانه ای مرتبط، برای دست یابی به داده های لازم جهت تکمیل، انسجام و غنای محتوای ارائه شده در مقاله است</w:t>
      </w:r>
      <w:r>
        <w:rPr>
          <w:rFonts w:eastAsia="IRNazanin" w:cs="IRNazanin"/>
          <w:color w:val="111111"/>
          <w:sz w:val="28"/>
          <w:szCs w:val="28"/>
          <w:rtl w:val="true"/>
          <w:lang w:bidi="fa-IR"/>
        </w:rPr>
        <w:t>.</w:t>
      </w:r>
    </w:p>
    <w:p>
      <w:pPr>
        <w:pStyle w:val="Heading3"/>
        <w:numPr>
          <w:ilvl w:val="2"/>
          <w:numId w:val="1"/>
        </w:numPr>
        <w:rPr/>
      </w:pPr>
      <w:bookmarkStart w:id="269" w:name="__RefHeading___Toc3032748_653776707"/>
      <w:bookmarkStart w:id="270" w:name="_Toc96"/>
      <w:bookmarkEnd w:id="269"/>
      <w:r>
        <w:rPr>
          <w:rtl w:val="true"/>
        </w:rPr>
        <w:t>آیین عزاداری محرم در جماعت شیعی و منطق عملکردی آن</w:t>
      </w:r>
      <w:bookmarkEnd w:id="27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و مذهب تشیع در کنار مجموعه ای از عقاید و باورهای دینی، مناسک و آیین های فردی و جمعی ویژه ای را برای خود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زیارت و برگزاری جلسات مذهبی برای بزرگداشت پیشوایان تشیع، از جمله مهمترین مکانیزم های بازتولید و تداوم هویت فردی و جمعی در پیروان این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برگزاری مجالس عزاداری در ماه محرم، جایگاه منحصر به فردی را در طول تاریخ به خود اختصاص داده و به منبعی پر قدرت، جهت تولید و بازتولید امر قدسی و تدام آن در فضای روحی و شخصی مومنان و جریانات اجتماعی شیعیان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عزاداری از آیین و سنت های غیر واجب در اصول و احکام مذهب تشیعاست و به همین دلیل، قاعدتا و به صورت طبیعی نباید انتظار زیادی در التزام به انجام آن توسط عموم پیروان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واقعیت تاریخی، جریان خلاف این رویه شکل گرفته و </w:t>
      </w:r>
    </w:p>
    <w:p>
      <w:pPr>
        <w:pStyle w:val="BookText"/>
        <w:rPr/>
      </w:pPr>
      <w:r>
        <w:rPr>
          <w:rFonts w:ascii="IRNazanin" w:hAnsi="IRNazanin" w:eastAsia="IRNazanin"/>
          <w:color w:val="111111"/>
          <w:sz w:val="28"/>
          <w:sz w:val="28"/>
          <w:szCs w:val="28"/>
          <w:rtl w:val="true"/>
          <w:lang w:bidi="fa-IR"/>
        </w:rPr>
        <w:t>عزاداری ماه محرم، به مهم ترین، محوری ترین و گسترده ترین سنت ها در میان شیعیان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پیروانی در این جماعت مشاهده می شود که با وجود پایبند نبودن به برخی آیین و مناسک واجب دینی، شرکت در عزاداری را امری لازم برای حیات دینی محسوب کرده و آن را مرز بین دینداری و بی دینی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نیز افرادی از پیروان عقاید و مذاهب غیر شیعی در این مناسک حاضر شده و به عزاداری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آیین از دینامیک و پتانسیل خاصی برخوردار است که تحت هر شرایط محیطی و روحی که فرد در آن رشد کرده و دریافت های محیطی داشته باشد، جذابیت برای انجامش را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لزوم بررسی عمیق تر، برای فهم منطق تأثیرگذاری این مناسک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شیوه های عملکردی این منطق،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شاخصه های مناسک عزدارای، جایگاه افراد مقدس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علیرغم مقدس بودن، به مثابه انسانی معمولی در این دنیا زندگی کرده اند و تجربه های روزانه و جریانات حیاتشان، تفاوتی با یک فرد عادی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ها با اموری که ملموس و عینی بوده و قابلیت درک و فهمِ محسوس و خودی داشته باشند، بیشتر ارتباط برقرار کرده و عُلقه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نوعی هم ذات پنداری را برای عزادار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ذات پنداری قبل از اتصال به امر قدسی، امری این دنیایی و تجربه مشترک از افراد همانند خود را در فرد عزادار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افرادی مقدس که باوجود زیست دنیایی همانند افراد جامعه، در مواجهه با موانع، محدودیت ها، فشارها، رنج ها و مشکلات، به تناسب عقاید و باورهای الهی خود، با آنها دست و پنجه نرم کرده، تمام این مصائب و درد ها را متکفل معناهای عمیق و متعالی دانسته و توأمان با تلاش و امید به مسیر زندگی دنیایی ادامه داده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نکاتی که در این آیین دیده می شود، ارجحیت بُعد اجتماعی و جمعی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عزاداری غالبا به صورت جمعی برگزار می شود و این اجتماعات، شور آفرین، هیجان انگیز و مطلوب تمایلات آرمانی نه تنها امر متعالی و قدسی، بلکه امری انسانی و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آزادی قابل توجهی در آداب برگزاری این آیین </w:t>
      </w:r>
      <w:bookmarkStart w:id="271" w:name="pg8714_82570"/>
    </w:p>
    <w:p>
      <w:pPr>
        <w:pStyle w:val="BookText"/>
        <w:rPr/>
      </w:pPr>
      <w:bookmarkEnd w:id="271"/>
      <w:r>
        <w:rPr>
          <w:rFonts w:ascii="IRNazanin" w:hAnsi="IRNazanin" w:eastAsia="IRNazanin"/>
          <w:color w:val="111111"/>
          <w:sz w:val="28"/>
          <w:sz w:val="28"/>
          <w:szCs w:val="28"/>
          <w:rtl w:val="true"/>
          <w:lang w:bidi="fa-IR"/>
        </w:rPr>
        <w:t>نسبت به آیین های دیگر 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 توان عزاداری را در الگویی از فرهنگ های عرفی نیز انجام داد و چارچوب رفتاری واجبی برای آن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 می تواند بدون انجام مقدماتی لازم، فرمی خاص و قواعدی یک شکل در برگزاری این آیین، مشارکت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سیالیت و انعطاف، جذابیتی مضاعف برای برپایی و شرکت در آیین های عزاداری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دلالت های دیگر در فهم منطقِ چرایی جایگاه محوری مراسمات عزاداری ماه محرم در میان باورمندان، وجه انحصاری و متمایزکننده این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جماعت شیعه در طول تاریخ، به این نتیجه رسیده که عزاداری از مؤلفه های تمایزبخشی مهم جریان شیعی با سایر مذاهب است و این تمایزبخشی در زنده نگاه داشتن آرمان تشیع، که همان برحق بودن، پذیرش و تأسی به پیشوایان مقدس است، تأثیر بسزایی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عوامل در کنار یکدیگر هویت و حیثیتی خاص به آیین های عزاداری محرم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ویارانشان داده و موجب شده اند که در عموم افراد جامعه شیعی، اهتمامی ویژه و خاص، جهت برپایی سنت عزاداری، آن هم تحت هر شرایط و موقعیتی و در هر قشر و طبقه ای را شاهد باشیم</w:t>
      </w:r>
      <w:r>
        <w:rPr>
          <w:rFonts w:eastAsia="IRNazanin" w:cs="IRNazanin"/>
          <w:color w:val="111111"/>
          <w:sz w:val="28"/>
          <w:szCs w:val="28"/>
          <w:rtl w:val="true"/>
          <w:lang w:bidi="fa-IR"/>
        </w:rPr>
        <w:t>.</w:t>
      </w:r>
    </w:p>
    <w:p>
      <w:pPr>
        <w:pStyle w:val="Heading3"/>
        <w:numPr>
          <w:ilvl w:val="2"/>
          <w:numId w:val="1"/>
        </w:numPr>
        <w:rPr/>
      </w:pPr>
      <w:bookmarkStart w:id="272" w:name="__RefHeading___Toc3032750_653776707"/>
      <w:bookmarkStart w:id="273" w:name="_Toc97"/>
      <w:bookmarkEnd w:id="272"/>
      <w:r>
        <w:rPr>
          <w:rtl w:val="true"/>
        </w:rPr>
        <w:t>آیین عزاداری ماه محرم در جامعه ایرانی</w:t>
      </w:r>
      <w:bookmarkEnd w:id="27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ایران به عنوان جامعه ای دینی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جامعه ایران مسلمان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یهودی و زرتشتی و از میان مسلمانان، حدود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دارای مذهب تشیع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ویکی پدیا، اسلام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 مناسک مذهبی و به خصوص سنت عزاداری و زیارت، به قدری در زندگی روزمره جامعه ایرانی ساری و جاری هست که غالبا برای افراد، امری عادی به نظر می رسد و لذا برگزاری این مناسک برای عموم افراد جامعه، امری بدیهی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مناسک و آیین یکی از ارکان اصلی حیات اجتماعی انسان هستند و از خلال آیین هاست که فرهنگ و معنا تولید شده و در افراد درونی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ماه محرم، یکی از این آیین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و رخداد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w:t>
      </w:r>
      <w:bookmarkStart w:id="274" w:name="pg8714_82571"/>
    </w:p>
    <w:p>
      <w:pPr>
        <w:pStyle w:val="BookText"/>
        <w:rPr/>
      </w:pPr>
      <w:bookmarkEnd w:id="274"/>
      <w:r>
        <w:rPr>
          <w:rFonts w:ascii="IRNazanin" w:hAnsi="IRNazanin" w:eastAsia="IRNazanin"/>
          <w:color w:val="111111"/>
          <w:sz w:val="28"/>
          <w:sz w:val="28"/>
          <w:szCs w:val="28"/>
          <w:rtl w:val="true"/>
          <w:lang w:bidi="fa-IR"/>
        </w:rPr>
        <w:t>عاشورا، در گذر از منشور فرهنگ کهن ایرانی، طیف رنگینی از مراسم عزاداری در ماه محرم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بزرگترین و گسترده ترین مراسم سنتی مذهبی و یکی از برجسته ترین نمونه های میراث فرهنگی معنوی در ایران است که در ژرفترین لایه های فرهنگ ایرانی، با باورهای مذهبی مردم در می آمیزد و در پهنه متکثر و متنوع سنت ها و آداب و رسوم ملی و منطقه ای، رواج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خانمحمدی و یوسفی،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رسومات عزاداری به تناسب تعدد فرهنگ اقوام تشکیل دهنده ایران، تنوع و تکثر در شکل برگزاری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موقعیت ها و شرایطی نظیر جنگ، قحطی، منع های حکومتی، تنش های مذهبی، رویدادهای سیاسی و اجتماعی، به اقتضائات رویدادهای مختلف در طول تاریخ بر چگونگی انجام این مراسمات سایه افکنده و خود را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نهایت مومنان و عزاداران توانسته اند با روش هایی خلاقانه و در قالب و فرم های متفاوت، راهی برای برپایی آیین های عزاداری ماه محرم در هریک از این موقعیت ها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توان ادعا کرد، تجربه شرایط شیوع بیماری همه گیر همچون کرونا، برای عموم مردم و خصوصا نسل جوان کشور،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به تناسب عوارض و سیستم کارکردی اش، نوع و سبک زندگی افراد را در جهات مختلف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و مراسمات مذهبی نیز از این امر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که به عنوان مؤلفه ای موثر و جدید در فرهنگ های مختلف عزاداری در ایران ورود پیدا کرده، در ادامه محصول و تجربه ای ویژه از تجربه عزاداری را برای جماعت شیعی ایران فراهم آورد که لزوم بررسی و پژوهش های بیشتر، جهت شناخت و فهمِ بهترِ سازوکارهای تأثیر گذاری را یادآور می شود</w:t>
      </w:r>
      <w:r>
        <w:rPr>
          <w:rFonts w:eastAsia="IRNazanin" w:cs="IRNazanin"/>
          <w:color w:val="111111"/>
          <w:sz w:val="28"/>
          <w:szCs w:val="28"/>
          <w:rtl w:val="true"/>
          <w:lang w:bidi="fa-IR"/>
        </w:rPr>
        <w:t>.</w:t>
      </w:r>
    </w:p>
    <w:p>
      <w:pPr>
        <w:pStyle w:val="Heading3"/>
        <w:numPr>
          <w:ilvl w:val="2"/>
          <w:numId w:val="1"/>
        </w:numPr>
        <w:rPr/>
      </w:pPr>
      <w:bookmarkStart w:id="275" w:name="__RefHeading___Toc3032752_653776707"/>
      <w:bookmarkStart w:id="276" w:name="_Toc98"/>
      <w:bookmarkEnd w:id="275"/>
      <w:r>
        <w:rPr>
          <w:rtl w:val="true"/>
        </w:rPr>
        <w:t>بروز و ظهور پاندومی بیماری کرونا</w:t>
      </w:r>
      <w:bookmarkEnd w:id="27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شروع، چگونگی شکل گیری و سابقه بیماری کرونا از جمله مواردی هستند که تاکنون مورد مناقشه متخصصین امر بوده و اطلاعات دقیق و یکسانی از آنها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از ماه دسامبر سال </w:t>
      </w:r>
      <w:r>
        <w:rPr>
          <w:rFonts w:eastAsia="IRNazanin" w:cs="IRNazanin"/>
          <w:color w:val="111111"/>
          <w:sz w:val="28"/>
          <w:szCs w:val="28"/>
          <w:lang w:bidi="fa-IR"/>
        </w:rPr>
        <w:t>2019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این ویروس از کشور چین و از شهر ووهان، مرکز استان هوبئی آغاز شده و باسرعت زیادی گسترش یافته و افراد و ارگان </w:t>
      </w:r>
      <w:bookmarkStart w:id="277" w:name="pg8714_82572"/>
    </w:p>
    <w:p>
      <w:pPr>
        <w:pStyle w:val="BookText"/>
        <w:rPr/>
      </w:pPr>
      <w:bookmarkEnd w:id="277"/>
      <w:r>
        <w:rPr>
          <w:rFonts w:ascii="IRNazanin" w:hAnsi="IRNazanin" w:eastAsia="IRNazanin"/>
          <w:color w:val="111111"/>
          <w:sz w:val="28"/>
          <w:sz w:val="28"/>
          <w:szCs w:val="28"/>
          <w:rtl w:val="true"/>
          <w:lang w:bidi="fa-IR"/>
        </w:rPr>
        <w:t>سلامت را کاملا به خود درگیر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ویروس کرونا در سراسر جهان گسترش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پاکزاد و اولیا،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روزافزون این ویروس جهان را وارد مرحله جدیدی از مقابله با این بیماری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شیوه شکل گیری، سرایت و آغاز این بیماری در ایران نیز ابهام وجود دارد و نظرات یکسانی از متخصصین امر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گفته کیانوش جهانپور، رئیس مرکز روابط عمومی وزارت بهداشت، مبنی بر اینک دو مورد مشکوک ابتلا به کرونا در قم مثبت گزارش شده را از اولین تأییدات رسمی وجود این ویروس در کشور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تأییدات رسمی و شیوع جدی و عینی این بیماری، جامعه ایران نیز هرروزه با مرگ تعدادی از افراد مواجهه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کنار توصیه های بهداشتی، وضع انواع قوانین و مقررات جدید از سوی حاکمیت، برای محدود کردن ارتباطات و تجمعات انسانی، به منظور جلوگیری از شیوع این بیماری واگیردار و کشنده، در دستور کار مقامات ذی صلاح قرار گرفت</w:t>
      </w:r>
      <w:r>
        <w:rPr>
          <w:rFonts w:eastAsia="IRNazanin" w:cs="IRNazanin"/>
          <w:color w:val="111111"/>
          <w:sz w:val="28"/>
          <w:szCs w:val="28"/>
          <w:rtl w:val="true"/>
          <w:lang w:bidi="fa-IR"/>
        </w:rPr>
        <w:t>.</w:t>
      </w:r>
    </w:p>
    <w:p>
      <w:pPr>
        <w:pStyle w:val="Heading3"/>
        <w:numPr>
          <w:ilvl w:val="2"/>
          <w:numId w:val="1"/>
        </w:numPr>
        <w:rPr/>
      </w:pPr>
      <w:bookmarkStart w:id="278" w:name="__RefHeading___Toc3032754_653776707"/>
      <w:bookmarkStart w:id="279" w:name="_Toc99"/>
      <w:bookmarkEnd w:id="278"/>
      <w:r>
        <w:rPr>
          <w:rtl w:val="true"/>
        </w:rPr>
        <w:t>مواجهه مناسک مذهبی با بیماری کرونا</w:t>
      </w:r>
      <w:bookmarkEnd w:id="27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و مراسمات مذهبی که مستلزم حضور و تجمع افراد در یک مکان باشد نیز شامل مقررات محدود کننده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تقارن اسفندماه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با ایام ماه رجب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ق، از اولین آیین های دینی که در چند ساله اخیر گسترش فراوانی در ایران داشته و بنا بر مقررات بهداشتی و حاکمیتی، حکم بر عدم برگزاری آن در سراسر کشور داده شد، مراسم مذهبی اعتکاف در سه روزه ایام البیض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ازدیگر مراسمات مذهبی که بنا به ملاحظات بهداشتی مربوط به بیماری کرونا، دستور بر لغو و عدم برگزاری آن داده شد، نمازهای جمعه در تهران و بسیاری از شهرهای کشور از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ایرنا،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تعطیلی تا ماه ها بعد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مساجد و عدم برگزاری نمازهای جماعت و مراسمات مختلف در آن نیز یکی دیگر از محدودیت های اعمال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جشن ها در ماه شعبان، خصوصا مجالس مولودی و شادمانی های جمعی نیمه شعبان، روز میلاد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 و به حالت تعلیق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ماه رمضان، جلسات مناجات خوانی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شبانه همراه با لغو برگزاری مراسمات در مساجد و حسینیه ها با محدودیت مواجهه شد و برگزار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محدودیت ها و تعلیق ها و از ابتدای شیوع بیماری، زیارت در زیارتگاه ها و بارگاه های مقدس نیز محدود شد و حضور در صحن و حیاط های این اماکن نیز تنها با شرایط خاصی امکان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رویدادها در کنار هم و آن هم به گونه ای بی سابقه، شوکی ناگهانی را بر بدنه قشر مذهبی و خصوصا دسته ای از افراد خو کرده با انجام دائمی مناسک،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با نزدیک شدن به شب های قدر و ایام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هیجانات و احساسات معنوی جامعه دینی از فاصله گرفتن و عدم شرکت مستقیم در مجالس و مکان های مذهبی، به غلیان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هیجانات در غالب انتظار و بعضا اعتراض برای مجوز دادن در برگزاری مراسم های این ایام بروز و ظهور پیدا کرد و از زبان علما، خطبا، مداحان و افرادی از این دست که به هر نحوی، تریبونی در اختیار داشتند،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و با توصیه رهبر انقلاب مبنی بر همدلی مسئولان تصمیم گیر در ستاد ملی مقابله باکرونا با احساسات مذهبی افراد جامعه و اهمیت مسئله دعا و عبادت در سطح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اجازه برگزاری مجالس جمعی ایام شب های قدر که مقارن با اواخر اردیبهشت ماه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بود، با رعایت مقرراتی خاص و در زمانی محدود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ایرنا،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زیارتگاه ها از حالت تعطیلی و بسته بودن درآمده و از اوایل خرداد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همراه با صدور پروتکل خاصی نسبت به چگونگی فعالیت زائران، مجوز بازگشایی 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 در طول همین چند ماه که جامعه دینی ایران، مجبور به اعمال تغییرات اجباری در شیوه مواجهه با مناسک و آیین های مذهبی شده بود، شاهد ارائه نظرات، تحلیل ها و در مواردی کشمکش ها و منازعاتی از سوی جریان های فکری مختلف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چه در سطوح عامه مردم و چه در اقشار علما، نخبگان، متخصصان و مسئولان حکومتی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مباحث نیز ذیل چگونگی ادراک و تغییرات احتمالیِ باورهای متدینین و همچنین چگونگی اعمال تغییرات در مناسک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ویژه زیارت و زیارتگاه ها و مجالس جمعی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موقعیت شیوع بیماری کرونا بیان شده و انتشار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پرداختن به </w:t>
      </w:r>
      <w:bookmarkStart w:id="280" w:name="pg8714_82574"/>
    </w:p>
    <w:p>
      <w:pPr>
        <w:pStyle w:val="BookText"/>
        <w:rPr/>
      </w:pPr>
      <w:bookmarkEnd w:id="280"/>
      <w:r>
        <w:rPr>
          <w:rFonts w:ascii="IRNazanin" w:hAnsi="IRNazanin" w:eastAsia="IRNazanin"/>
          <w:color w:val="111111"/>
          <w:sz w:val="28"/>
          <w:sz w:val="28"/>
          <w:szCs w:val="28"/>
          <w:rtl w:val="true"/>
          <w:lang w:bidi="fa-IR"/>
        </w:rPr>
        <w:t>این موضوع، پژوهشی مستقل را می طلبد و در چارچوب این مقاله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عمده مناسبت های مذهبی ماه های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 رجب تا شروع ماه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اکثر رویدادهای اجتماعی کشور به صورت مجازی و غیر تجمعی و در اشکال مختلف فضای مجازی خود را تعریف کرده و به اجرا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به ماه محرم، تب و تاب و هیجانات دوباره ای بر جامعه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و تابی که به تناسب اشتیاق بدنه افرادجامعه شیعی ایران در برگزاری مراسمات عزاداری ماه محرم و نگرانی از عدم برگزاری آن شکل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آیین های عزاداری ماه محرم در کنار سنت زیارت، از مهمترین مکانیزم های هویت دهی جماعت شیعی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هویتی که هر ساله و در ایام ماه محرم باز تولید شده و با شیوه ای منحصر به فرد، موجب استمرار باورها و اعتقادات مذهبی شیعه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 آیین های عزاداری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تعصب خاص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تعصبی که به شکل حساسیت و نگرانی در نحوه برگزارکردن این مناسک عزاداری در شرایط بیماری کرونا خود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رویکردها، اتخاذ استراتژی های تعلیق، تحدید و تغییر در مجالس عزاداری اولین سال مواجهه با پاندومی کرونا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هایی که هر یک، همراه با خلاقیت ها و نوآوری های خاصی همراه شدند</w:t>
      </w:r>
      <w:r>
        <w:rPr>
          <w:rFonts w:eastAsia="IRNazanin" w:cs="IRNazanin"/>
          <w:color w:val="111111"/>
          <w:sz w:val="28"/>
          <w:szCs w:val="28"/>
          <w:rtl w:val="true"/>
          <w:lang w:bidi="fa-IR"/>
        </w:rPr>
        <w:t>.</w:t>
      </w:r>
    </w:p>
    <w:p>
      <w:pPr>
        <w:pStyle w:val="Heading3"/>
        <w:numPr>
          <w:ilvl w:val="2"/>
          <w:numId w:val="1"/>
        </w:numPr>
        <w:rPr/>
      </w:pPr>
      <w:bookmarkStart w:id="281" w:name="__RefHeading___Toc3032756_653776707"/>
      <w:bookmarkStart w:id="282" w:name="_Toc100"/>
      <w:bookmarkEnd w:id="281"/>
      <w:r>
        <w:rPr>
          <w:rtl w:val="true"/>
        </w:rPr>
        <w:t xml:space="preserve">مقررات و شرایط ویژه برگزاری مراسمات عزاداری با وجود احتمال شیوع بیماری کرونا در محرم </w:t>
      </w:r>
      <w:r>
        <w:rPr/>
        <w:t>1399</w:t>
      </w:r>
      <w:r>
        <w:rPr>
          <w:rtl w:val="true"/>
        </w:rPr>
        <w:t>ش</w:t>
      </w:r>
      <w:r>
        <w:rPr>
          <w:rtl w:val="true"/>
        </w:rPr>
        <w:t>/</w:t>
      </w:r>
      <w:r>
        <w:rPr/>
        <w:t>1442</w:t>
      </w:r>
      <w:r>
        <w:rPr>
          <w:rtl w:val="true"/>
        </w:rPr>
        <w:t>ق</w:t>
      </w:r>
      <w:bookmarkEnd w:id="28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بحران شیوع بیماری کرونا در ایام دهه اول محرم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نامه ویژه ای از طرف ستاد ملی مدیریت و مقابله با بیماری کرونا زیر نظر وزارت بهداشت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موارد زیر را شامل می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های عزاداری در محیط های باز با حفظ فاصله فیزیکی بین هر فرد به اندازه چهارمتر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یک و نیم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ماسک برای عزادارن حسینی در تمام مراسم و محافل ضروری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مسن و دارای بیماری های مزمن از شرکت در مجالس عمومی خودداری 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مراسم در فضای باز اولویت اصلی مجالس </w:t>
      </w:r>
      <w:bookmarkStart w:id="283" w:name="pg8714_82575"/>
    </w:p>
    <w:p>
      <w:pPr>
        <w:pStyle w:val="BookText"/>
        <w:rPr/>
      </w:pPr>
      <w:bookmarkEnd w:id="283"/>
      <w:r>
        <w:rPr>
          <w:rFonts w:ascii="IRNazanin" w:hAnsi="IRNazanin" w:eastAsia="IRNazanin"/>
          <w:color w:val="111111"/>
          <w:sz w:val="28"/>
          <w:sz w:val="28"/>
          <w:szCs w:val="28"/>
          <w:rtl w:val="true"/>
          <w:lang w:bidi="fa-IR"/>
        </w:rPr>
        <w:t xml:space="preserve">حسینی باشد، در صورت اضطرار در محیط های بسته می بایست یک چهارم ظرفیت مکان و با حفظ فاصله فیزیکی برگزار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چقدر ارتفاع سقف محیط های بسته بلندتر باشد مثل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فضای باز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تهویه هوا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هیات ها از یک هیات به یک هیات دیگر و تجمع هیات ها، یکی از عواملی است که به شدت در انتقال کرونا موثر است و نباید صورت گیرد؛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زنجیرزنی در دسته های عزاداری، حتما از زنجیرهای شخصی استفاده شود و یا زنجیرها به اشخاص تا پایان دهه عزاداری واگذار شود تا زنجیرها بین افراد دست به دست نشود؛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 سنج، دمام و دیگر ادوات به دلیل تحرک بالای افراد و تجمع افراد یکی از عوامل انتقال کرونا هستند و نباید مورد استفاده قرار بگیرند؛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تمهیداتی انجام پذیرد که در هنگام ورود و خروج عزاداران از مجالس، تجمع نباشد و مردم به نوبت و با فاصله وارد یا خارج شوند؛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الامکان نذورات حسینی به سمت کمک های مومنانه و توزیع مواد غذایی درب منازل برود، اگر در جایی نذر غیرقابل تغییر بود، با نظارت کارشناس های بهداشتی پخت و توزیع صورت بگیرد و به صورت بیرون بر در ظرف های یکبار مصرف به نحوی توزیع شود که تجمع مردم را به دنبال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این آیین نامه بهداشتی که با توصیه های موکد رهبر انقلاب مبنی بر رعایت ضوابط ستاد ملی کرونا همراه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هیات های مذهبی سعی در تناسب و همراهی شیوه برگزاری مراسمات عزاداری با این قوانین و ضوابط را کرده و موجی از تغییرات در فرم، قالب و ابزار مورد استفاده در برگزاری مجالس عزاداری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بهبرخی موارد ایجاد شده در غالب این تغییرات و همراهی ها، اشاره می شود</w:t>
      </w:r>
      <w:r>
        <w:rPr>
          <w:rFonts w:eastAsia="IRNazanin" w:cs="IRNazanin"/>
          <w:color w:val="111111"/>
          <w:sz w:val="28"/>
          <w:szCs w:val="28"/>
          <w:rtl w:val="true"/>
          <w:lang w:bidi="fa-IR"/>
        </w:rPr>
        <w:t>.</w:t>
      </w:r>
    </w:p>
    <w:p>
      <w:pPr>
        <w:pStyle w:val="Heading3"/>
        <w:numPr>
          <w:ilvl w:val="2"/>
          <w:numId w:val="1"/>
        </w:numPr>
        <w:rPr/>
      </w:pPr>
      <w:bookmarkStart w:id="284" w:name="__RefHeading___Toc3032758_653776707"/>
      <w:bookmarkStart w:id="285" w:name="_Toc101"/>
      <w:bookmarkEnd w:id="284"/>
      <w:r>
        <w:rPr>
          <w:rtl w:val="true"/>
        </w:rPr>
        <w:t>ماسک و وسایل متناسب بیماری کرونا با نمادهای عزداری محرم</w:t>
      </w:r>
      <w:bookmarkEnd w:id="28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شروع بیماری کرونا، یکی از توصیه بهداشتی به افراد، استفاده کردن از پوشش ماسک صورت در مواقع حضور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این توصیه، انواع مدل های ماسک با اشکال و طرح های مختلف مناسب با تمامی سنین تولید و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مدل هایی که چند روز مانده به ماه محرم، در بازار عرضه شد، ماسک هایی به رنگ </w:t>
      </w:r>
      <w:bookmarkStart w:id="286" w:name="pg8714_82576"/>
    </w:p>
    <w:p>
      <w:pPr>
        <w:pStyle w:val="BookText"/>
        <w:rPr/>
      </w:pPr>
      <w:bookmarkEnd w:id="286"/>
      <w:r>
        <w:rPr>
          <w:rFonts w:ascii="IRNazanin" w:hAnsi="IRNazanin" w:eastAsia="IRNazanin"/>
          <w:color w:val="111111"/>
          <w:sz w:val="28"/>
          <w:sz w:val="28"/>
          <w:szCs w:val="28"/>
          <w:rtl w:val="true"/>
          <w:lang w:bidi="fa-IR"/>
        </w:rPr>
        <w:t xml:space="preserve">مشکی و با طرح واره هایی از جملاتی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شهید، یا شهید کربلا، یا حضرت علی اصغر، یا حضرت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30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5334120" cy="2730600"/>
                        </a:xfrm>
                        <a:prstGeom prst="rect">
                          <a:avLst/>
                        </a:prstGeom>
                        <a:ln w="0">
                          <a:noFill/>
                        </a:ln>
                      </pic:spPr>
                    </pic:pic>
                  </a:graphicData>
                </a:graphic>
              </wp:inline>
            </w:drawing>
          </mc:Choice>
          <mc:Fallback>
            <w:pict>
              <v:shape id="shape_0" stroked="f" o:allowincell="f" style="position:absolute;margin-left:0pt;margin-top:-215.05pt;width:419.95pt;height:214.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از نگارنده، محرم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 شهر ری</w:t>
      </w:r>
      <w:r>
        <w:rPr>
          <w:rFonts w:eastAsia="IRNazanin" w:cs="IRNazanin"/>
          <w:color w:val="111111"/>
          <w:sz w:val="28"/>
          <w:szCs w:val="28"/>
          <w:rtl w:val="true"/>
          <w:lang w:bidi="fa-IR"/>
        </w:rPr>
        <w:t>)</w:t>
      </w:r>
    </w:p>
    <w:p>
      <w:pPr>
        <w:pStyle w:val="Heading3"/>
        <w:numPr>
          <w:ilvl w:val="2"/>
          <w:numId w:val="1"/>
        </w:numPr>
        <w:rPr/>
      </w:pPr>
      <w:bookmarkStart w:id="287" w:name="__RefHeading___Toc3032760_653776707"/>
      <w:bookmarkStart w:id="288" w:name="_Toc102"/>
      <w:bookmarkEnd w:id="287"/>
      <w:r>
        <w:rPr>
          <w:rtl w:val="true"/>
        </w:rPr>
        <w:t>تابلو و بنرهایی با توصیه های بهداشتی</w:t>
      </w:r>
      <w:bookmarkEnd w:id="28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ساله و به تناسب شروع ماه محرم، مجموعه ای از کتیبه ها، پرچم ها، بنرها و تابلوها برای آذین بندی هیات های عزاداری و همچنین تزیینات کوی و برزن و خیابان های شهر، توسط گروه های مردمی و مسئولان شهرداری،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آذین بندی های همیشگی ماه محرم، متناسب بارویدادی مهم روز، جملات، اشعار و تصاویر جدید اضافه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شهادت سردار قاسم سلیمانی که چند ماه بعد از ماه محرم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یکی از این رویدادها بود که باعث شد، استفاده از تصاویر و سخنان ایشان، پای ثابت بسیاری از آذین بندی های مجالس عزاداری و معابر عمومی در ماه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رویداد ملی، همه گیری بیماری کرونا، چند هفته بعد از شهادت سردار سلیمانی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توصیه به رعایت امور بهداشتی جزو لاینفک آگهی های برگزاری مجالس عزاداری هیات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مجموعه ای از این توصیه ها در غالب کتیبه ها، پارچه نوشت ها، پرچم ها و بنرهای تبلیغاتی در این سال و به صورت خاص با نوشته هایی در باب توصیه های بهداشتی و چگونگی رفتار و اعمال عزاداران در مجالس عزاداری همراه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5"/>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8"/>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39" o:detectmouseclick="t"/>
                <v:stroke color="#3465a4" joinstyle="round" endcap="flat"/>
                <w10:wrap type="none"/>
              </v:shape>
            </w:pict>
          </mc:Fallback>
        </mc:AlternateConten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از نگارنده، محرم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bookmarkStart w:id="289" w:name="pg8714_82579"/>
    </w:p>
    <w:p>
      <w:pPr>
        <w:pStyle w:val="Heading3"/>
        <w:numPr>
          <w:ilvl w:val="2"/>
          <w:numId w:val="1"/>
        </w:numPr>
        <w:rPr/>
      </w:pPr>
      <w:bookmarkStart w:id="290" w:name="__RefHeading___Toc3032762_653776707"/>
      <w:bookmarkStart w:id="291" w:name="_Toc103"/>
      <w:bookmarkEnd w:id="289"/>
      <w:bookmarkEnd w:id="290"/>
      <w:r>
        <w:rPr>
          <w:rtl w:val="true"/>
        </w:rPr>
        <w:t>انجام اعمال بهداشتی ویژه به هنگام ورود به مراسم</w:t>
      </w:r>
      <w:bookmarkEnd w:id="291"/>
    </w:p>
    <w:p>
      <w:pPr>
        <w:pStyle w:val="BookText"/>
        <w:rPr/>
      </w:pPr>
      <w:r>
        <w:rPr>
          <w:rFonts w:ascii="IRNazanin" w:hAnsi="IRNazanin" w:eastAsia="IRNazanin"/>
          <w:color w:val="111111"/>
          <w:sz w:val="28"/>
          <w:sz w:val="28"/>
          <w:szCs w:val="28"/>
          <w:rtl w:val="true"/>
          <w:lang w:bidi="fa-IR"/>
        </w:rPr>
        <w:t>یکی از اقدامات در مبادی ورودی اغلب هیات هایی که تصمیم به برگزاری مجالس عزاداری با وجود این بیماری در محرم امسال کردند، استقرار افرادی جهت انجام امور بهداشتی برای عزاداران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گیت های ورودی به دست های افراد مواد ضدعفونی زده، تب افراد با تب سنج سنجیده شده و از ورود افراد بدون ماسک به مکان برگزاری مراسم جلوگیری به عمل می آمد و اگر اشخاص ماسک به همراه نداشتن، به آنها ماسک اهدا می شد تا در هنگام ورود از آن استفاده کنند</w:t>
      </w:r>
      <w:r>
        <w:rPr>
          <w:rFonts w:eastAsia="IRNazanin" w:cs="IRNazanin"/>
          <w:color w:val="111111"/>
          <w:sz w:val="28"/>
          <w:szCs w:val="28"/>
          <w:rtl w:val="true"/>
          <w:lang w:bidi="fa-IR"/>
        </w:rPr>
        <w:t>.</w:t>
      </w:r>
    </w:p>
    <w:p>
      <w:pPr>
        <w:pStyle w:val="Heading3"/>
        <w:numPr>
          <w:ilvl w:val="2"/>
          <w:numId w:val="1"/>
        </w:numPr>
        <w:rPr/>
      </w:pPr>
      <w:bookmarkStart w:id="292" w:name="__RefHeading___Toc3032764_653776707"/>
      <w:bookmarkStart w:id="293" w:name="_Toc104"/>
      <w:bookmarkEnd w:id="292"/>
      <w:r>
        <w:rPr>
          <w:rtl w:val="true"/>
        </w:rPr>
        <w:t>نشستن با فاصله و زدن ماسک توسط عزاداران</w:t>
      </w:r>
      <w:bookmarkEnd w:id="293"/>
    </w:p>
    <w:p>
      <w:pPr>
        <w:pStyle w:val="BookText"/>
        <w:rPr/>
      </w:pPr>
      <w:r>
        <w:rPr>
          <w:rFonts w:ascii="IRNazanin" w:hAnsi="IRNazanin" w:eastAsia="IRNazanin"/>
          <w:color w:val="111111"/>
          <w:sz w:val="28"/>
          <w:sz w:val="28"/>
          <w:szCs w:val="28"/>
          <w:rtl w:val="true"/>
          <w:lang w:bidi="fa-IR"/>
        </w:rPr>
        <w:t>نشستن و قرار گرفتن با فاصله عزاداران در مجلس و دسته جات عزاداری و زدن ماسک توسط ایشان، یکی دیگر از تغییراتی بود که به صورت عام و عمومی برای هماهنگی با رعایت پروتکل های بهداشتی در هیات های عزاداری امسال ایجاد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33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1"/>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142" o:detectmouseclick="t"/>
                <v:stroke color="#3465a4" joinstyle="round" endcap="flat"/>
                <w10:wrap type="none"/>
              </v:shape>
            </w:pict>
          </mc:Fallback>
        </mc:AlternateConten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از حامد جعفرنژاد، تسنیم،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bookmarkStart w:id="294" w:name="pg8714_82580"/>
    </w:p>
    <w:p>
      <w:pPr>
        <w:pStyle w:val="Heading3"/>
        <w:numPr>
          <w:ilvl w:val="2"/>
          <w:numId w:val="1"/>
        </w:numPr>
        <w:rPr/>
      </w:pPr>
      <w:bookmarkStart w:id="295" w:name="__RefHeading___Toc3032766_653776707"/>
      <w:bookmarkStart w:id="296" w:name="_Toc105"/>
      <w:bookmarkEnd w:id="294"/>
      <w:bookmarkEnd w:id="295"/>
      <w:r>
        <w:rPr>
          <w:rtl w:val="true"/>
        </w:rPr>
        <w:t>برگزاری مراسم در فضاهای باز</w:t>
      </w:r>
      <w:bookmarkEnd w:id="296"/>
    </w:p>
    <w:p>
      <w:pPr>
        <w:pStyle w:val="BookText"/>
        <w:rPr/>
      </w:pPr>
      <w:r>
        <w:rPr>
          <w:rFonts w:ascii="IRNazanin" w:hAnsi="IRNazanin" w:eastAsia="IRNazanin"/>
          <w:color w:val="111111"/>
          <w:sz w:val="28"/>
          <w:sz w:val="28"/>
          <w:szCs w:val="28"/>
          <w:rtl w:val="true"/>
          <w:lang w:bidi="fa-IR"/>
        </w:rPr>
        <w:t>در راستای عمل به دستورالعمل های بهداشتی و قرار نگرفتن جمعیت در یک محیط بسته، بسیاری از هیات های عزاداری به برگزاری مراسمات خود در محیط های باز و غیر مسقف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مراسمات در حیاط های امامزاده ها، مساجد، مدارس، دانشگاه ها، پادگان ها، پارکینگ ها، پارک ها، کوچه ها، محل قبور شهدا و در هر فضایی خارج از هر ساختمان یا مکانی کهسقف دار باشد،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آذین بندی که هر ساله و به مناسبت آغاز دهه محرم، در مکان های بسته و مسقف برگزاری مراسمات صورت می گرفت، به این فضاهای باز و عاری از سقف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68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4"/>
                        <a:stretch/>
                      </pic:blipFill>
                      <pic:spPr>
                        <a:xfrm>
                          <a:off x="0" y="0"/>
                          <a:ext cx="5334120" cy="4368960"/>
                        </a:xfrm>
                        <a:prstGeom prst="rect">
                          <a:avLst/>
                        </a:prstGeom>
                        <a:ln w="0">
                          <a:noFill/>
                        </a:ln>
                      </pic:spPr>
                    </pic:pic>
                  </a:graphicData>
                </a:graphic>
              </wp:inline>
            </w:drawing>
          </mc:Choice>
          <mc:Fallback>
            <w:pict>
              <v:shape id="shape_0" stroked="f" o:allowincell="f" style="position:absolute;margin-left:0pt;margin-top:-344.05pt;width:419.95pt;height:343.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7"/>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48" o:detectmouseclick="t"/>
                <v:stroke color="#3465a4" joinstyle="round" endcap="flat"/>
                <w10:wrap type="none"/>
              </v:shape>
            </w:pict>
          </mc:Fallback>
        </mc:AlternateConten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از نگارنده، ماه محرم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bookmarkStart w:id="297" w:name="pg8714_82582"/>
    </w:p>
    <w:p>
      <w:pPr>
        <w:pStyle w:val="Heading3"/>
        <w:numPr>
          <w:ilvl w:val="2"/>
          <w:numId w:val="1"/>
        </w:numPr>
        <w:rPr/>
      </w:pPr>
      <w:bookmarkStart w:id="298" w:name="__RefHeading___Toc3032768_653776707"/>
      <w:bookmarkStart w:id="299" w:name="_Toc106"/>
      <w:bookmarkEnd w:id="297"/>
      <w:bookmarkEnd w:id="298"/>
      <w:r>
        <w:rPr>
          <w:rtl w:val="true"/>
        </w:rPr>
        <w:t>انواع راهبردها در برگزاری هیات های عزاداری</w:t>
      </w:r>
      <w:bookmarkEnd w:id="299"/>
    </w:p>
    <w:p>
      <w:pPr>
        <w:pStyle w:val="Heading4"/>
        <w:numPr>
          <w:ilvl w:val="3"/>
          <w:numId w:val="1"/>
        </w:numPr>
        <w:rPr/>
      </w:pPr>
      <w:bookmarkStart w:id="300" w:name="__RefHeading___Toc3032770_653776707"/>
      <w:bookmarkStart w:id="301" w:name="_Toc107"/>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با توجه به شیوع بیماری کرونا در محرم سال مذکور، متولیان هیات ها، استراتژی و شیوه های متفاوتی را برای چگونه برگزارکردن مجالس و دسته های عزاداری</w:t>
      </w:r>
      <w:r>
        <w:rPr>
          <w:rStyle w:val="FootnoteAnchor"/>
          <w:rtl w:val="true"/>
        </w:rPr>
        <w:footnoteReference w:id="61"/>
      </w:r>
      <w:r>
        <w:rPr>
          <w:rFonts w:ascii="IRNazanin" w:hAnsi="IRNazanin" w:eastAsia="IRNazanin"/>
          <w:color w:val="111111"/>
          <w:sz w:val="28"/>
          <w:sz w:val="28"/>
          <w:szCs w:val="28"/>
          <w:rtl w:val="true"/>
          <w:lang w:bidi="fa-IR"/>
        </w:rPr>
        <w:t>،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هیات ها، به صورت کلی برگزاری هرگونه مجلس عزاداری را حذف و به حالت تعلیق و تعطیل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که اکثریت هیات های عزاداری را تشکیل می دادند، رویه تغییر در شیوه برگزاری مراسم در تمامی دهه اول محرم در پیش گرفته و سعی در مناسب سازی محیط و شرایط، به تناسب پروتکل های بهداشتی اعلام شده،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هیات هایی نیز بودند که مجالس عزداری را محدود به روزهای عاشورا و تاسوعای حسینی کرده و در باقی روزهای دهه اول مراسمی برگزار نکردند</w:t>
      </w:r>
      <w:r>
        <w:rPr>
          <w:rFonts w:eastAsia="IRNazanin" w:cs="IRNazanin"/>
          <w:color w:val="111111"/>
          <w:sz w:val="28"/>
          <w:szCs w:val="28"/>
          <w:rtl w:val="true"/>
          <w:lang w:bidi="fa-IR"/>
        </w:rPr>
        <w:t>.</w:t>
      </w:r>
    </w:p>
    <w:p>
      <w:pPr>
        <w:pStyle w:val="Heading4"/>
        <w:numPr>
          <w:ilvl w:val="3"/>
          <w:numId w:val="1"/>
        </w:numPr>
        <w:rPr/>
      </w:pPr>
      <w:bookmarkStart w:id="302" w:name="__RefHeading___Toc3032772_653776707"/>
      <w:bookmarkStart w:id="303" w:name="_Toc108"/>
      <w:bookmarkEnd w:id="302"/>
      <w:r>
        <w:rPr/>
        <w:t>1</w:t>
      </w:r>
      <w:r>
        <w:rPr>
          <w:rtl w:val="true"/>
        </w:rPr>
        <w:t>-</w:t>
      </w:r>
      <w:r>
        <w:rPr>
          <w:rtl w:val="true"/>
        </w:rPr>
        <w:t>اتخاذ راهبرد تغییر برای هیات های عزاداری در ایام کرونا؛ برگزاری مجالس روضه در جمع های کم تعداد و در پشت بام منازل، کوی و برزن ها</w:t>
      </w:r>
      <w:bookmarkEnd w:id="303"/>
    </w:p>
    <w:p>
      <w:pPr>
        <w:pStyle w:val="Heading5"/>
        <w:numPr>
          <w:ilvl w:val="4"/>
          <w:numId w:val="1"/>
        </w:numPr>
        <w:rPr/>
      </w:pPr>
      <w:bookmarkStart w:id="304" w:name="__RefHeading___Toc3032774_653776707"/>
      <w:bookmarkStart w:id="305" w:name="_Toc109"/>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یکی از اشکال و فرم های جدید هیات های عزاداری محرم امسال، مراسماتی بود که در پشت بام خانه ها و در کوی و برزن های سطح شهر دیده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مجالسی که با حضور افراد کم، با رعایت موارد بهداشتی و در جمع های کوچک گردهم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اهداف برگزاری اینگونه مجالس عزدارای، ایجاد فرصت و موقعیت جهت حضور افراد به صورت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گروه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و در مکانی که تداعی کننده هیات باشد ودر عین حال، بی نیاز شدن از حضور افراد در هیات هایی بزرگ و با ازدحام زیاد و جمعیت متراکم بود</w:t>
      </w:r>
      <w:r>
        <w:rPr>
          <w:rFonts w:eastAsia="IRNazanin" w:cs="IRNazanin"/>
          <w:color w:val="111111"/>
          <w:sz w:val="28"/>
          <w:szCs w:val="28"/>
          <w:rtl w:val="true"/>
          <w:lang w:bidi="fa-IR"/>
        </w:rPr>
        <w:t>.</w:t>
      </w:r>
    </w:p>
    <w:p>
      <w:pPr>
        <w:pStyle w:val="Heading5"/>
        <w:numPr>
          <w:ilvl w:val="4"/>
          <w:numId w:val="1"/>
        </w:numPr>
        <w:rPr/>
      </w:pPr>
      <w:bookmarkStart w:id="306" w:name="__RefHeading___Toc3032776_653776707"/>
      <w:bookmarkStart w:id="307" w:name="_Toc110"/>
      <w:bookmarkEnd w:id="306"/>
      <w:r>
        <w:rPr/>
        <w:t>2-1</w:t>
      </w:r>
      <w:r>
        <w:rPr>
          <w:rtl w:val="true"/>
        </w:rPr>
        <w:t xml:space="preserve">- </w:t>
      </w:r>
      <w:r>
        <w:rPr>
          <w:rtl w:val="true"/>
        </w:rPr>
        <w:t xml:space="preserve">برگزاری هیات ها و روضه های خانگی </w:t>
      </w:r>
      <w:r>
        <w:rPr>
          <w:rtl w:val="true"/>
        </w:rPr>
        <w:t>(</w:t>
      </w:r>
      <w:r>
        <w:rPr>
          <w:rtl w:val="true"/>
        </w:rPr>
        <w:t>خانوادگی</w:t>
      </w:r>
      <w:r>
        <w:rPr>
          <w:rtl w:val="true"/>
        </w:rPr>
        <w:t>)</w:t>
      </w:r>
      <w:r>
        <w:rPr>
          <w:rtl w:val="true"/>
        </w:rPr>
        <w:t>، با عنوان هر خانه یک حسینیه</w:t>
      </w:r>
      <w:bookmarkEnd w:id="30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هیات و روضه های خانگی، شیوه و روشی مرسوم، در میان مومنان و جامعه ایرانی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مجالسی که توسط زنان و مردان و در قالب هیات های دوره ای و یا </w:t>
      </w:r>
      <w:bookmarkStart w:id="308" w:name="pg8714_82583"/>
    </w:p>
    <w:p>
      <w:pPr>
        <w:pStyle w:val="BookText"/>
        <w:rPr/>
      </w:pPr>
      <w:bookmarkEnd w:id="308"/>
      <w:r>
        <w:rPr>
          <w:rFonts w:ascii="IRNazanin" w:hAnsi="IRNazanin" w:eastAsia="IRNazanin"/>
          <w:color w:val="111111"/>
          <w:sz w:val="28"/>
          <w:sz w:val="28"/>
          <w:szCs w:val="28"/>
          <w:rtl w:val="true"/>
          <w:lang w:bidi="fa-IR"/>
        </w:rPr>
        <w:t>هفتگی در منازل افراد برپا می شود و همچنان نیز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شرایط بیماری کرونا در این مجالس ایجاد کرد، اعمال تغییرات و گسترش برگزاری هیات های خانوادگی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به علت شیوه سرایت این بیماری و وجوب فاصله گرفتن افراد، دیگر امکان حضور تعداد زیاد نفرات در هیات های خانگی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سوق دادن برخی افراد به سمت برگزاری هیات های خانوادگی و محدود به افراد نزدیک و اعضای خانواده در محرم امسال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اینگونه مجالس که با توصیه های برخی علمای دینی نیز همراه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توصیه مدیرکل تبلیغات اسلامی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دیده بان ایران،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منازل همانند هیات های عزاداری با پارچه های مشکی و پرچم های عزا تزیین شده و با حضور فردی سخنران و یا مداح و یا هردو، مراسم عزاداری شکل می گرفت</w:t>
      </w:r>
      <w:r>
        <w:rPr>
          <w:rFonts w:eastAsia="IRNazanin" w:cs="IRNazanin"/>
          <w:color w:val="111111"/>
          <w:sz w:val="28"/>
          <w:szCs w:val="28"/>
          <w:rtl w:val="true"/>
          <w:lang w:bidi="fa-IR"/>
        </w:rPr>
        <w:t>.</w:t>
      </w:r>
    </w:p>
    <w:p>
      <w:pPr>
        <w:pStyle w:val="Heading5"/>
        <w:numPr>
          <w:ilvl w:val="4"/>
          <w:numId w:val="1"/>
        </w:numPr>
        <w:rPr/>
      </w:pPr>
      <w:bookmarkStart w:id="309" w:name="__RefHeading___Toc3032778_653776707"/>
      <w:bookmarkStart w:id="310" w:name="_Toc111"/>
      <w:bookmarkEnd w:id="309"/>
      <w:r>
        <w:rPr/>
        <w:t>3-1</w:t>
      </w:r>
      <w:r>
        <w:rPr>
          <w:rtl w:val="true"/>
        </w:rPr>
        <w:t xml:space="preserve">- </w:t>
      </w:r>
      <w:r>
        <w:rPr>
          <w:rtl w:val="true"/>
        </w:rPr>
        <w:t>برگزاری هیات و روضه های مجازی</w:t>
      </w:r>
      <w:bookmarkEnd w:id="31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تغییرات عمده ای که با شیوع بیماری کرونا در تمامی سطوح برنامه های آموزشی و اجرایی که به نوعی نیاز به حضور و ارتباط بین افراد در یک زمان و مکان معین داشت ایجاد شد، رونق گرفتن بی سابقه و گسترده ازانواع ابزارهای ارتباطی در فضای مجازی و پیام رسان 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های مدارس و دانشگاه ها، ارائه برنامه های متنوع آموزشی در زمینه های مختلف، مجالس عزا و ترحیم و نظایر اینها از اولین مواردی بودند که به گونه ای وسیع، تجربه برگزاری در فضای مجازی را به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مجالس مذهبی مولودی و جشن های ماه شعبان به صورت مجازی، از مواردی بود که درآغاز شیوع بیماری کرونا جرقه آن زده شد و با مناسبت های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های قدر و ایام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ویژه خود را در بین مردم پیدا کرد و در ادامه به یکی از گزینه های رایج در برگزاری مجالس عزاداری ماه محرم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که پوستر اطلاع رسانی آن شامل زمان، افراد سخنران و روضه خوان و لینک آدرس برگزاری اینترنتی بود، از طریق رسانه ها دست به دست شده و انتشار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برگزاری، افراد به تنهایی و یا در حضور افرادی محدود، سخنرانی، روضه خوانی و مداحی کرده و بقیه افراد که در هر مکانی بودند، به صورت انفرادی و از طریق رسانه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موبایل، لب تاپ و نظایر </w:t>
      </w:r>
      <w:bookmarkStart w:id="311" w:name="pg8714_82584"/>
    </w:p>
    <w:p>
      <w:pPr>
        <w:pStyle w:val="BookText"/>
        <w:rPr/>
      </w:pPr>
      <w:bookmarkEnd w:id="311"/>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استماع و تماشا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مجالس عزاداری ماه محرم در بیت رهبری</w:t>
      </w:r>
      <w:r>
        <w:rPr>
          <w:rStyle w:val="FootnoteAnchor"/>
          <w:rtl w:val="true"/>
        </w:rPr>
        <w:footnoteReference w:id="62"/>
      </w:r>
      <w:r>
        <w:rPr>
          <w:rFonts w:ascii="IRNazanin" w:hAnsi="IRNazanin" w:eastAsia="IRNazanin"/>
          <w:color w:val="111111"/>
          <w:sz w:val="28"/>
          <w:sz w:val="28"/>
          <w:szCs w:val="28"/>
          <w:rtl w:val="true"/>
          <w:lang w:bidi="fa-IR"/>
        </w:rPr>
        <w:t xml:space="preserve">، با حضور انحصاری ایشان، سخنران و مداح صورت گرفت و به صورت مجازی در رسانه ها انتشار یافت، از مصادیق استفاده از این شیوه، در برگزاری هیات های عزاداری محرم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تناسب رعایت موارد بهداشتی در شرایط ایجاد شده،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62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52"/>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عصرایران، </w:t>
      </w:r>
      <w:r>
        <w:rPr>
          <w:rFonts w:eastAsia="IRNazanin" w:cs="IRNazanin"/>
          <w:color w:val="111111"/>
          <w:sz w:val="28"/>
          <w:szCs w:val="28"/>
          <w:lang w:bidi="fa-IR"/>
        </w:rPr>
        <w:t>11/5/99</w:t>
      </w:r>
      <w:r>
        <w:rPr>
          <w:rFonts w:eastAsia="IRNazanin" w:cs="IRNazanin"/>
          <w:color w:val="111111"/>
          <w:sz w:val="28"/>
          <w:szCs w:val="28"/>
          <w:rtl w:val="true"/>
          <w:lang w:bidi="fa-IR"/>
        </w:rPr>
        <w:t>)</w:t>
      </w:r>
    </w:p>
    <w:p>
      <w:pPr>
        <w:pStyle w:val="Heading5"/>
        <w:numPr>
          <w:ilvl w:val="4"/>
          <w:numId w:val="1"/>
        </w:numPr>
        <w:rPr/>
      </w:pPr>
      <w:bookmarkStart w:id="312" w:name="__RefHeading___Toc3032780_653776707"/>
      <w:bookmarkStart w:id="313" w:name="_Toc112"/>
      <w:bookmarkEnd w:id="312"/>
      <w:r>
        <w:rPr/>
        <w:t>4-1</w:t>
      </w:r>
      <w:r>
        <w:rPr>
          <w:rtl w:val="true"/>
        </w:rPr>
        <w:t xml:space="preserve">- </w:t>
      </w:r>
      <w:r>
        <w:rPr>
          <w:rtl w:val="true"/>
        </w:rPr>
        <w:t>برگزاریی هیات های ماشینی</w:t>
      </w:r>
      <w:bookmarkEnd w:id="31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تغییرات تقریبا بی سابقه در فرم آیین عزاداری های ماه محرم به دلیل ایجاد فاصله و عدم ایجاد مواجهه نزدیک فیزیکی بین افراد، برگزاری دسته های عزاداری ماشینی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 از مراسم عزاداری، مجموعه ای از خودروها که سرنشین هایی غالبا به صورت افراد خانواده داشتند، در ردیف و ستون هایی به همراه پرچم و نمادهای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خیابان 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یک از این خودرو ها به عنوان عضوی محسوب می شدند که در دسته عزاداری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و در ایام شب های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اولین بار در ایران، مجلس مناجات و </w:t>
      </w:r>
    </w:p>
    <w:p>
      <w:pPr>
        <w:pStyle w:val="BookText"/>
        <w:rPr/>
      </w:pPr>
      <w:r>
        <w:rPr>
          <w:rFonts w:ascii="IRNazanin" w:hAnsi="IRNazanin" w:eastAsia="IRNazanin"/>
          <w:color w:val="111111"/>
          <w:sz w:val="28"/>
          <w:sz w:val="28"/>
          <w:szCs w:val="28"/>
          <w:rtl w:val="true"/>
          <w:lang w:bidi="fa-IR"/>
        </w:rPr>
        <w:t>روضه خوانی خودرویی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فرم آن نیز به این صورت بود که افراد در خودروهای شخصی و در مکانی نسبتا وسیع به ردیف می ایستادن و در طرف مقابل، سکویی قرار داشت که محل استقرار تریبون و اجرای برنامه، برای افراد حاضر در خودروها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اتخاذ این مدل از مراسمات در آیین ها و مناسبت هایدینی دیگر مذاهب، خصوصا در مسیحیت هم سابقه داشته و آنها نیز به این شیوه از اجرای مراسم در ایام کرونا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 توجه به عدم استقبال مناسب مخاطبان از این شیوه برگزاری مجالس، در ماه رمضان این سال کرونایی، مجالس عزاداری محرم، دیگر به این شیوه برگزار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شاهد برگزاری دسته های عزاداری در مواردی محدود و با توضیحی که گذشت، در برخی از خیابان های تهران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49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55"/>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156" o:detectmouseclick="t"/>
                <v:stroke color="#3465a4" joinstyle="round" endcap="flat"/>
                <w10:wrap type="none"/>
              </v:shape>
            </w:pict>
          </mc:Fallback>
        </mc:AlternateConten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جلسه مناجات خوانی ماه رمضان با حضور سعید حدادیان، پارک ارم، اردیبهشت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مشرق نیوز </w:t>
      </w:r>
      <w:r>
        <w:rPr>
          <w:rFonts w:eastAsia="IRNazanin" w:cs="IRNazanin"/>
          <w:color w:val="111111"/>
          <w:sz w:val="28"/>
          <w:szCs w:val="28"/>
          <w:rtl w:val="true"/>
          <w:lang w:bidi="fa-IR"/>
        </w:rPr>
        <w:t xml:space="preserve">) </w:t>
      </w:r>
      <w:bookmarkStart w:id="314" w:name="pg8714_82586"/>
    </w:p>
    <w:p>
      <w:pPr>
        <w:pStyle w:val="BookText"/>
        <w:rPr/>
      </w:pPr>
      <w:bookmarkEnd w:id="31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52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8"/>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عزاداری ماشینی هیات انصارالقائم تهران در روز تاسوعای حسینی،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مشرق نیوز</w:t>
      </w:r>
      <w:r>
        <w:rPr>
          <w:rFonts w:eastAsia="IRNazanin" w:cs="IRNazanin"/>
          <w:color w:val="111111"/>
          <w:sz w:val="28"/>
          <w:szCs w:val="28"/>
          <w:rtl w:val="true"/>
          <w:lang w:bidi="fa-IR"/>
        </w:rPr>
        <w:t>)</w:t>
      </w:r>
    </w:p>
    <w:p>
      <w:pPr>
        <w:pStyle w:val="Heading5"/>
        <w:numPr>
          <w:ilvl w:val="4"/>
          <w:numId w:val="1"/>
        </w:numPr>
        <w:rPr/>
      </w:pPr>
      <w:bookmarkStart w:id="315" w:name="__RefHeading___Toc3032782_653776707"/>
      <w:bookmarkStart w:id="316" w:name="_Toc113"/>
      <w:bookmarkEnd w:id="315"/>
      <w:r>
        <w:rPr/>
        <w:t>5-1</w:t>
      </w:r>
      <w:r>
        <w:rPr>
          <w:rtl w:val="true"/>
        </w:rPr>
        <w:t xml:space="preserve">- </w:t>
      </w:r>
      <w:r>
        <w:rPr>
          <w:rtl w:val="true"/>
        </w:rPr>
        <w:t xml:space="preserve">برگزاری دسته های عزاداری بدون جمعیت </w:t>
      </w:r>
      <w:r>
        <w:rPr>
          <w:rtl w:val="true"/>
        </w:rPr>
        <w:t>(</w:t>
      </w:r>
      <w:r>
        <w:rPr>
          <w:rtl w:val="true"/>
        </w:rPr>
        <w:t>حسینیه های سیار</w:t>
      </w:r>
      <w:r>
        <w:rPr>
          <w:rtl w:val="true"/>
        </w:rPr>
        <w:t>)</w:t>
      </w:r>
      <w:bookmarkEnd w:id="31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امتدادهای مجالس سخنرانی و روضه خوانی ماه محرم، برگزاری دسته جات سینه زنی و زنجیرزنی عزاداران در بیرون از مکان هیات و حرکت در کوچه و خیابان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های عزاداری که در واقع، نمایش بیرونی و علنی آیین عزاداری های ماه محرم بودند به علت شرایط کرونا، دستخوش تغییراتی در شیوه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ماسک زدن و با فاصله ایستادن افراد در دسته های عزاداری، خلاقیتی دیگر از سوی برخی از مداحان و در برخی شهرهای کشور، در چگونگی برگزاری این دسته های عزاداری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 که با عنوان حسینیه های سیار، نامگذاری و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دسته عزاداری از مجموعه سیستم صوتی و پخش صدا که بر یک خودرو قرار گرفته بود به همراه افرادی انگشت شمار برای هدایت و پشتیبانی ابزارآلات و یک مداح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حسینیه های سیار، در ایام دهه اول ماه محرمامسال، در محله های مختلف شهر حرکت کرده و افراد در مقابل منازل و محل کسب و کار خود با سینه زدن و تکرار اشعار، با مداح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شیوه برگزاری دسته های عزادری در سال های گذشته، غالبا این حسینیه های سیار در طول مسیر، مدتی را در مکان هایی توقف کرده و در همین </w:t>
      </w:r>
    </w:p>
    <w:p>
      <w:pPr>
        <w:pStyle w:val="BookText"/>
        <w:rPr/>
      </w:pPr>
      <w:r>
        <w:rPr>
          <w:rFonts w:ascii="IRNazanin" w:hAnsi="IRNazanin" w:eastAsia="IRNazanin"/>
          <w:color w:val="111111"/>
          <w:sz w:val="28"/>
          <w:sz w:val="28"/>
          <w:szCs w:val="28"/>
          <w:rtl w:val="true"/>
          <w:lang w:bidi="fa-IR"/>
        </w:rPr>
        <w:t>حین مداح روضه خوانی کرده و پس از مدتی، دوباره به حرکت خود ادامه می داد که این بار مداح، شعرخوانی متناسب با سینه زنی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61"/>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فارس، تکیه سیار محمود کریمی، شب اول ماه محرم،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از نگارنده، ماه محرم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bookmarkStart w:id="317" w:name="pg8714_82588"/>
    </w:p>
    <w:p>
      <w:pPr>
        <w:pStyle w:val="Heading4"/>
        <w:numPr>
          <w:ilvl w:val="3"/>
          <w:numId w:val="1"/>
        </w:numPr>
        <w:rPr/>
      </w:pPr>
      <w:bookmarkStart w:id="318" w:name="__RefHeading___Toc3032784_653776707"/>
      <w:bookmarkStart w:id="319" w:name="_Toc114"/>
      <w:bookmarkEnd w:id="317"/>
      <w:bookmarkEnd w:id="318"/>
      <w:r>
        <w:rPr/>
        <w:t>2</w:t>
      </w:r>
      <w:r>
        <w:rPr>
          <w:rtl w:val="true"/>
        </w:rPr>
        <w:t xml:space="preserve">- </w:t>
      </w:r>
      <w:r>
        <w:rPr>
          <w:rtl w:val="true"/>
        </w:rPr>
        <w:t>اتخاذ راهبرد تحدید برای هیات ها در ایام کرونا</w:t>
      </w:r>
      <w:bookmarkEnd w:id="319"/>
    </w:p>
    <w:p>
      <w:pPr>
        <w:pStyle w:val="BookText"/>
        <w:rPr/>
      </w:pPr>
      <w:r>
        <w:rPr>
          <w:rFonts w:ascii="IRNazanin" w:hAnsi="IRNazanin" w:eastAsia="IRNazanin"/>
          <w:color w:val="111111"/>
          <w:sz w:val="28"/>
          <w:sz w:val="28"/>
          <w:szCs w:val="28"/>
          <w:rtl w:val="true"/>
          <w:lang w:bidi="fa-IR"/>
        </w:rPr>
        <w:t>یکی دیگر از رویکردهای سه گانه در مواجهه با شرایط کرونا، از سوی برخی متولیان هیات های عزاداری، اتخاذ استراتژی تحدید، در برگزاری مجالس عزاداری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مواجهه، علاوه بر محدودیت هایی که شرایط بیماری کرونا در شیوه برگزاری مجالس تحمیل کرده بود، زمان و ایام برگزاری مراسم عزاداری نیز توسط بانیان و دست اندرکاران هیات ها محدودتر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19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64"/>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165" o:detectmouseclick="t"/>
                <v:stroke color="#3465a4" joinstyle="round" endcap="flat"/>
                <w10:wrap type="none"/>
              </v:shape>
            </w:pict>
          </mc:Fallback>
        </mc:AlternateContent>
      </w:r>
      <w:bookmarkStart w:id="320" w:name="pg8714_82589"/>
    </w:p>
    <w:p>
      <w:pPr>
        <w:pStyle w:val="BookText"/>
        <w:rPr/>
      </w:pPr>
      <w:bookmarkEnd w:id="32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765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67"/>
                        <a:stretch/>
                      </pic:blipFill>
                      <pic:spPr>
                        <a:xfrm>
                          <a:off x="0" y="0"/>
                          <a:ext cx="5334120" cy="5765760"/>
                        </a:xfrm>
                        <a:prstGeom prst="rect">
                          <a:avLst/>
                        </a:prstGeom>
                        <a:ln w="0">
                          <a:noFill/>
                        </a:ln>
                      </pic:spPr>
                    </pic:pic>
                  </a:graphicData>
                </a:graphic>
              </wp:inline>
            </w:drawing>
          </mc:Choice>
          <mc:Fallback>
            <w:pict>
              <v:shape id="shape_0" stroked="f" o:allowincell="f" style="position:absolute;margin-left:0pt;margin-top:-454.05pt;width:419.95pt;height:453.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از نگارنده، محرم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Heading4"/>
        <w:numPr>
          <w:ilvl w:val="3"/>
          <w:numId w:val="1"/>
        </w:numPr>
        <w:rPr/>
      </w:pPr>
      <w:bookmarkStart w:id="321" w:name="__RefHeading___Toc3032786_653776707"/>
      <w:bookmarkStart w:id="322" w:name="_Toc115"/>
      <w:bookmarkEnd w:id="321"/>
      <w:r>
        <w:rPr/>
        <w:t>3</w:t>
      </w:r>
      <w:r>
        <w:rPr>
          <w:rtl w:val="true"/>
        </w:rPr>
        <w:t xml:space="preserve">- </w:t>
      </w:r>
      <w:r>
        <w:rPr>
          <w:rtl w:val="true"/>
        </w:rPr>
        <w:t>اتخاذ راهبرد تعلیق برای هیات ها در ایام کرونا</w:t>
      </w:r>
      <w:bookmarkEnd w:id="32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هیات های عزاداری، رویکرد تعلیق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که غالبا با مضامین خجلت زدگی و با ادبیات حسرت گونه</w:t>
      </w:r>
      <w:r>
        <w:rPr>
          <w:rStyle w:val="FootnoteAnchor"/>
          <w:rtl w:val="true"/>
        </w:rPr>
        <w:footnoteReference w:id="63"/>
      </w:r>
      <w:r>
        <w:rPr>
          <w:rFonts w:ascii="IRNazanin" w:hAnsi="IRNazanin" w:eastAsia="IRNazanin"/>
          <w:color w:val="111111"/>
          <w:sz w:val="28"/>
          <w:sz w:val="28"/>
          <w:szCs w:val="28"/>
          <w:rtl w:val="true"/>
          <w:lang w:bidi="fa-IR"/>
        </w:rPr>
        <w:t>همراه بود، برگزار نکردن مجالس عزاداری به صورت علنی و در محفل عمومی، اعلام شده و برپایی مجالس، به صورت غیرحضوری،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حرفی از حذف کامل مجالس عزاداری ماه محرم به میان نیامده وبر این مطلب با عبارت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هیات تعطیل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هزینه برپایی مجالس عزاداری دهه اول محرم به خدمات </w:t>
      </w:r>
      <w:bookmarkStart w:id="323" w:name="pg8714_82590"/>
    </w:p>
    <w:p>
      <w:pPr>
        <w:pStyle w:val="BookText"/>
        <w:rPr/>
      </w:pPr>
      <w:bookmarkEnd w:id="323"/>
      <w:r>
        <w:rPr>
          <w:rFonts w:ascii="IRNazanin" w:hAnsi="IRNazanin" w:eastAsia="IRNazanin"/>
          <w:color w:val="111111"/>
          <w:sz w:val="28"/>
          <w:sz w:val="28"/>
          <w:szCs w:val="28"/>
          <w:rtl w:val="true"/>
          <w:lang w:bidi="fa-IR"/>
        </w:rPr>
        <w:t>عام المنفعه،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14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70"/>
                        <a:stretch/>
                      </pic:blipFill>
                      <pic:spPr>
                        <a:xfrm>
                          <a:off x="0" y="0"/>
                          <a:ext cx="5334120" cy="4915080"/>
                        </a:xfrm>
                        <a:prstGeom prst="rect">
                          <a:avLst/>
                        </a:prstGeom>
                        <a:ln w="0">
                          <a:noFill/>
                        </a:ln>
                      </pic:spPr>
                    </pic:pic>
                  </a:graphicData>
                </a:graphic>
              </wp:inline>
            </w:drawing>
          </mc:Choice>
          <mc:Fallback>
            <w:pict>
              <v:shape id="shape_0" stroked="f" o:allowincell="f" style="position:absolute;margin-left:0pt;margin-top:-387.05pt;width:419.95pt;height:386.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از نگارنده، محرم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Heading3"/>
        <w:numPr>
          <w:ilvl w:val="2"/>
          <w:numId w:val="1"/>
        </w:numPr>
        <w:rPr/>
      </w:pPr>
      <w:bookmarkStart w:id="324" w:name="__RefHeading___Toc3032788_653776707"/>
      <w:bookmarkStart w:id="325" w:name="_Toc116"/>
      <w:bookmarkEnd w:id="324"/>
      <w:r>
        <w:rPr>
          <w:rtl w:val="true"/>
        </w:rPr>
        <w:t>مروری بر رخدادهای مهمِ مرتبط با چگونگی برگزاری مجالس و آیین های عزاداری ماه محرم در اولین سال مواجهه با شرایط پاندومی ویروس کرونا</w:t>
      </w:r>
      <w:bookmarkEnd w:id="32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ها از منظر همزمانی، نوعی ایستایی و ثبات را نشان می دهند، اما در بستر زمان بیانگر نوعی پویایی و سیالیت برای انطباق با شرایط 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ها در خلال زمان، بسط پیدا کرده و تغییر می کنند، زیرا از یک سو تغییر جامعه در آنها انعکاس می یابد و از سوی دیگر تغییرات در آیین ها مشروعیتپیدا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رحمانی،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عزاداری خصوصا عزاداری های ماه محرم، از قدیمی ترین، محوری ترین ومداوم ترین آیین های مذهب تشیع در بین پیروانشان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آیینی که در طول تاریخ و با انعطافی مثال زدنی، توانسته خود را در قالب فرم و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مختلف و به تناسب فرهنگ ملل و اقوام مختلف به نمایش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مناسک عزاداری، در میانه انواع موقعیت و شرایط سیاسی، حکمرانی و اجتماعی و با فراز و نشیب در وسعت و چگونگی برگزاری، همچنان توانسته است، شورانگیزی و فوق العادگی خود را حفظ کرده و به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ایام عزاداری محرم یکی از مهمترین فضاها برای شناخت جامعه و فرهنگ ایرانی و تحولات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که گاه باید در زمینه شیوه های حکمرانی و رخدادهای سیاسی، اجتماعی و فرهنگی و گاه در شرایط تحمیل شده طبیعی و جوی پیش آمده در محیط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می تواند قرار گرفتن ایام ماه محرم در یکی از فصول سال باشد</w:t>
      </w:r>
      <w:r>
        <w:rPr>
          <w:rStyle w:val="FootnoteAnchor"/>
          <w:rtl w:val="true"/>
        </w:rPr>
        <w:footnoteReference w:id="64"/>
      </w:r>
      <w:r>
        <w:rPr>
          <w:rFonts w:ascii="IRNazanin" w:hAnsi="IRNazanin" w:eastAsia="IRNazanin"/>
          <w:color w:val="111111"/>
          <w:sz w:val="28"/>
          <w:sz w:val="28"/>
          <w:szCs w:val="28"/>
          <w:rtl w:val="true"/>
          <w:lang w:bidi="fa-IR"/>
        </w:rPr>
        <w:t>، که باعث تغییرات شیوه برگزاری آیین عزاداری به تناسب شرایط آب و هوایی و یا پیدایش ناگهانی یک بیماری مسری و همه گیر، چون بیماری کرونا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و با وجود موانع و تحمیلات این بیماری، مجموعه ای از نظرات و پیشنهادهای خلاقانه درباره چگونگی شیوه برگزاری مراسمات عزاداری ماه محرم در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 در رسانه ها و خصوصا فضای مجازی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نظراتی که در رسانه هایمختلف مطرح و مورد بحث، پذیرش، رد و یا تأیید افراد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توان به سخنان حجت الاسلام پناهیان، از سخنرانان و خطبای مطرح و شناخته شده در سالیان اخیر،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مانده به محرم ایراد شد،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رفقا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محرم مونده، هر کس میتونه تو این چهل روز، زیارت عاشورا را بخونه که برای این حاجت که خدا امسال محرم، رونق عزاداری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نگیره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ها و این موانع مانع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امام حسین و قسم به علی اصغر ابا عبدالله حسین و دست های قلم شده ابوالفضل عباس، محرم امسال رو مثل ماه رمضان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و درخواست شما تأثیر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برای چی گریه میکنن؟ میگن مجلس حسینش رو میخاد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بگن هر کدوم برید یه گوشه گریه کنید، بگید مگه فاطمیه هست؟ عاشورا رو باید شلوغ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گرفتاری ها بود و بحث فاصله اجتماعی و بحث تجمعات زیر سقف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میشه </w:t>
      </w:r>
    </w:p>
    <w:p>
      <w:pPr>
        <w:pStyle w:val="BookText"/>
        <w:rPr/>
      </w:pPr>
      <w:r>
        <w:rPr>
          <w:rFonts w:ascii="IRNazanin" w:hAnsi="IRNazanin" w:eastAsia="IRNazanin"/>
          <w:color w:val="111111"/>
          <w:sz w:val="28"/>
          <w:sz w:val="28"/>
          <w:szCs w:val="28"/>
          <w:rtl w:val="true"/>
          <w:lang w:bidi="fa-IR"/>
        </w:rPr>
        <w:t>هیات ها را در فضای باز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پارک ها رو میشه تکیه کرد و به عزاداری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ها از زیر سقف برن بیرون و از یه مقدار عشقشون بزنن و تو محیط مانوس و مالوف همیشگی نباشن، ولی هیات رو رونقشو کم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دسته عزاداری رو رونق 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میریم تو خیابون و با فاصله و ماشین ها و بلندگوها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محرم امسال رونقش بیشتر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بدترین شرایط ما میخایم راه بریم و با فاصله دو متر تو خیابون و روضه خون میخونه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اون وسط دو کلمه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منبر اونقدراهمیت نداره که روضه اهمیت داره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اسلام را این منبرها و روضه ها حفظ کردن و بعد فرمودن همین منبرها را روضه ها حفظ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تا حدیثم بخونه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راه رفتن و سینه زنی وزنجیر زنی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شایدم یه حسنی داشته باشه که همه عشق شما به حسین بفهمن و ببینن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 تو خیابان ها و بیابان ها و محوطه های باز و مهدی حسین را صدا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بیاد ریشه کن میشه همه این بلایا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علیرضا پناهیان در پیامرسان ایتا،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1399</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موضوع برگزاری مراسمات عزاداری در شرایط بیماری کرونا به قدری در میان مومنان و خصوصا روحانیون دینی ایجاد دغدغه کرده بود که از مدتی مانده به آغاز ماه محرم، شاهد برگزاری نشست هایی برای بررسی چگونه برگزار کردن این مراسمات، در ایام پیش 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برگزاری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کرونا و چالش های پیش روی هیات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کتابخانه آیت الله طبسی در شهر قم و با حضور برخی از علما و استادان حوزه علمیه تشکیل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 که با حضور افرادی نظیر حجج اسلام سیدمهدی میرباقری و حسین انصاریان برگزار شد، در مجموع با ابراز ناراحتی از فشارها و تصمیمات حداکثری برای تعطیلی کامل مراسمات عزاداری در این سال، حاضرین خواستار برگزاری آیین عزاداری ماه محرم بر اساس رعایت پروتکل های بهداشتی و در عین حال شورانگیز و گسترده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دیداری دیگر که وزیر بهداشت، دکتر نمکی، با جمعی از وعاظ و مداحان مشهور</w:t>
      </w:r>
      <w:r>
        <w:rPr>
          <w:rStyle w:val="FootnoteAnchor"/>
          <w:rtl w:val="true"/>
        </w:rPr>
        <w:footnoteReference w:id="65"/>
      </w:r>
      <w:r>
        <w:rPr>
          <w:rFonts w:ascii="IRNazanin" w:hAnsi="IRNazanin" w:eastAsia="IRNazanin"/>
          <w:color w:val="111111"/>
          <w:sz w:val="28"/>
          <w:sz w:val="28"/>
          <w:szCs w:val="28"/>
          <w:rtl w:val="true"/>
          <w:lang w:bidi="fa-IR"/>
        </w:rPr>
        <w:t xml:space="preserve">داشتند، تقریبا همگی افراد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برگزاری مراسمات عزاداری با ایجاد تغییرات و شیوه های جدید، متناسب با رعایت موارد بهداشتی تأکید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سخنانی، با مضمون تأکید بر برگزاریمراسمات عزاداری ماه محرم توأم با شیوه هایی منطبق بر رعایت ضوابط بهداشتی، از سوی بسیاری از علما و سخنرانان دینی صورت گرفت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این میان، برخی از خطبا و سخنرانان نیز بودند که با ادبیاتی متفاوت و لحنی اعتراضی و بعضا تند و تیز، به برگزاری مجالس عزاداری ماه محرم به هر قیمتی تأکید کرده، یا اثرگزاری جدی این بیماری در اینگونه مجالس را زیر سوال برده و یا این ویروس را سکولار و بهانه ای برای کمرنگ کردن آیین های دینی می دانستند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ناگفته نماند که این نگرش های متفاوت در چگونگی برگزاری آیین های عزاداری محرم در مواجهه با چالش بیماری کرونا، علاوه بر روحانیون و خطبای دینی در میان قشر مداحان و روضه خوانان نیز به صورت جدی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قشری که نظرات و عملکردشان در زمان معاصر، در زمینه های مختلف و از جمله در انعکاس مباحث موجود در میان عزاداران و در ادامه اتخاذ شیوه برگزاری مجالس عزاداری در شرایط پیش آمده، مهم و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موضع گیری های متفاوت و گاه متناقض، بحث وگفت وگوهای متعدد و گاه همراه با تنش هایی تند و گزنده را در میان اقشارمختلف مردم فراهم می آورد که نمود بارز آن در کامنت هایی، ذیل مطالب مرتبط با مجالس عزاداری، در گروه ها و صفحه های مختلف مجازی، قابل مشاهده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افرادی هم به دلیل شیوع این بیماری در جامعه، بر برگزار نشدن هیات های عزاداری در محرم امسال به عنوان آیینی مستحب تأکید می کردند و برگزاری آن را دلیلی بر مواجهه غیرعقلانی، غیراصولی و حتی خارج از خواست الهی و پیشوایان دینی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یکی از مؤلفه های موثر در ایجاد مباحث مختلف در چگونگی برگزاری مجالس عزاداری، انتشار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و اخبار مختلف از سفرهای تابستانیِ تعداد بی شماری از افراد بود که بدون رعایت شیوه نامه های بهداشتی و با تجمع فشرده جمعیت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واکنش های فراوانی را در بین عموم مردم و عزاداران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حتی برخی، عدم نظارت جدی برای جلوگیری از این سفرها در برابر وضع مقررات سخت در برگزاری مراسم عزاداری محرم قرار داده و انتقاد و اعتراض خود را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خواندن اشعار طنز توسط مجتبی رمضانی، در جشن 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اتفاقا این مراسم با رعایت مناسب پروتکل های بهداشتی همراه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انگاری هیات پره ویروسه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ناقل و شفا تو جاده چالوسه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دریان، آره همه با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دم همه گرم با این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میشنویم از دوست و دشمن بد و بیراه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و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سهممونه تنها از این و 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رو از حضرت صادق داره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و در بحبوحه بحث های و دیدگاه های متفاوت، انبوهی از دل نوشته ها و اشعار بودند که در میان افراد و در فضای مجازی دست به دست شد و حاکی از دلتنگی و حسرت دوری از اماکن مقدسه و مراسمات روضه خوانی و سینه زنی و نگرانی از برگزار نشدن مراسمات ماه محرم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 برایگفتن شعری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مصرع و خلاصه دلم تنگ کربلاست؛ واقعا دلواپسیم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با خودت؛ یکسال را به خاطر یک ماه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من بدون محرم نمی شود؛ مولای من محرم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خدمت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نکن؛ به چه امیدی روزا رو میگذرونی؟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روضه های محرمش؛ خدایا محرمو از ما نگیر؛ تا محرم مرا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لک زده برای حسین؛ خدایا ما را به محرم ارباب برسان؛ تنها امید ما همان چند قطره اشک بر حسین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ما دریغ نکن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اشعاری بلند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کرونا هست ولی پرچم تو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هست اگر، از اَثر ذِکر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فکر کنی سینه زنانت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روضه تو باز محرم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محرم عَلَمَت مثل همیشه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اَنتَ و اُمّی به لب نوکرهاست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مَریضیم که ذکر تو شِفای دل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اَرباب شهیدم به خدا رَمز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ما با کرونا نیست به وَالله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زمانیست که گویند زِ ارباب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ما هم وسط </w:t>
      </w:r>
    </w:p>
    <w:p>
      <w:pPr>
        <w:pStyle w:val="BookText"/>
        <w:rPr/>
      </w:pPr>
      <w:r>
        <w:rPr>
          <w:rFonts w:ascii="IRNazanin" w:hAnsi="IRNazanin" w:eastAsia="IRNazanin"/>
          <w:color w:val="111111"/>
          <w:sz w:val="28"/>
          <w:sz w:val="28"/>
          <w:szCs w:val="28"/>
          <w:rtl w:val="true"/>
          <w:lang w:bidi="fa-IR"/>
        </w:rPr>
        <w:t>روضه بیاید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سر ما باز به دامان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همه حَسرَت زَدگان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دنبال گداست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هست ولی مَحض تَذکرگویم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برپایی این روضه فقط با زهراست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این مطالب، مباحث و شرایط جدید پیش آمده از بیماری کرونا، انتظار و توقعی جدی از سوی افکار عمومی جامعه، جهت مطالبه و شنیدن نظرات و آراء مراجع تقلید را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 چند روز مانده به شروع ماه محرم، پاسخ ایشان برای این سوال که برگزاری آیین های محرم در شرایط کرونا به چه صورتی باید باشد؟ در قالب عباراتی که به صورت اجمالی در تصویر زیر مشاهده می شود،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30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77"/>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ایسنا، </w:t>
      </w:r>
      <w:r>
        <w:rPr>
          <w:rFonts w:eastAsia="IRNazanin" w:cs="IRNazanin"/>
          <w:color w:val="111111"/>
          <w:sz w:val="28"/>
          <w:szCs w:val="28"/>
          <w:lang w:bidi="fa-IR"/>
        </w:rPr>
        <w:t>29/5/99</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انتشار نظرات مراجع تقلید، اکثریت علما، خطبا و مداحان مضامینی همانند سخنان رییس جمهور که دوگانگی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غلط دانسته و بر برگزاری مراسم عزاداری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کشور همراه با رعایت دقیق پروتکل های بهداشتی تأکید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تصریح حجت الاسلام محمد قمی، رییس سازمان تبلیغات اسلامی به عنوان </w:t>
      </w:r>
      <w:bookmarkStart w:id="326" w:name="pg8714_82596"/>
    </w:p>
    <w:p>
      <w:pPr>
        <w:pStyle w:val="BookText"/>
        <w:rPr/>
      </w:pPr>
      <w:bookmarkEnd w:id="326"/>
      <w:r>
        <w:rPr>
          <w:rFonts w:ascii="IRNazanin" w:hAnsi="IRNazanin" w:eastAsia="IRNazanin"/>
          <w:color w:val="111111"/>
          <w:sz w:val="28"/>
          <w:sz w:val="28"/>
          <w:szCs w:val="28"/>
          <w:rtl w:val="true"/>
          <w:lang w:bidi="fa-IR"/>
        </w:rPr>
        <w:t xml:space="preserve">متولی اصلی امور مذهبی در کشور بر همین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سمت و سوی غالب در فضای عمومی جامعه را نیز در جهت اتخاذ این رویکرد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تا آغاز ماه محرم و شروع ایام عزاداری، همچنان مباحث و بعضا تنش هایی که بر اساس نگرش های متفاوت در چگونگی برگزاری مراسمات با وجود شرایط بیماری کرونا بود، ادامه داشت</w:t>
      </w:r>
      <w:r>
        <w:rPr>
          <w:rFonts w:eastAsia="IRNazanin" w:cs="IRNazanin"/>
          <w:color w:val="111111"/>
          <w:sz w:val="28"/>
          <w:szCs w:val="28"/>
          <w:rtl w:val="true"/>
          <w:lang w:bidi="fa-IR"/>
        </w:rPr>
        <w:t>.</w:t>
      </w:r>
    </w:p>
    <w:p>
      <w:pPr>
        <w:pStyle w:val="Heading3"/>
        <w:numPr>
          <w:ilvl w:val="2"/>
          <w:numId w:val="1"/>
        </w:numPr>
        <w:rPr/>
      </w:pPr>
      <w:bookmarkStart w:id="327" w:name="__RefHeading___Toc3032790_653776707"/>
      <w:bookmarkStart w:id="328" w:name="_Toc117"/>
      <w:bookmarkEnd w:id="327"/>
      <w:r>
        <w:rPr>
          <w:rtl w:val="true"/>
        </w:rPr>
        <w:t>نتیجه</w:t>
      </w:r>
      <w:bookmarkEnd w:id="328"/>
    </w:p>
    <w:p>
      <w:pPr>
        <w:pStyle w:val="BookText"/>
        <w:rPr/>
      </w:pPr>
      <w:r>
        <w:rPr>
          <w:rFonts w:ascii="IRNazanin" w:hAnsi="IRNazanin" w:eastAsia="IRNazanin"/>
          <w:color w:val="111111"/>
          <w:sz w:val="28"/>
          <w:sz w:val="28"/>
          <w:szCs w:val="28"/>
          <w:rtl w:val="true"/>
          <w:lang w:bidi="fa-IR"/>
        </w:rPr>
        <w:t>رویکرد هیات های عزاداری بر اساس گزینش هر یک از راهبردهای تعلیق، تحدید و تغییر شیوه های برگزاری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برپایی اکثریت مجالس عزاداری و درگستره ای وسیع تر، انتخاب و به کار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که زمینه را برای شکل گیری خلاقیت های بدیع، هوشمندانه و در عین حال جذاب و کارآمد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این نکته را از یاد برد که با توجه به شرایط بیماری کرونا برای حکومت شیعی ایران، علما، خطبا، متولیان برگزاری جلسات مذهبی، دینداران، عزاداران و عموم مردم در نوع خود بی نظیر و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دلالت مهم، کوله باری از چالش ها و مواجهات جدید، در سطوح مختلف ذهنی و رفتاری را برای این نسل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ذهنی، عاملی برای ایجاد یک چالش اعتقادی درباره چگونگی مکانیزم اثرگزاری یک بیماری، در مجالس مذهبی و مقدسی چون عزاداری های ماه محرم که هویت و حیثیتی خاص برای جماعت شیعی دارد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این مطلب، اتخاذ رفتار و عملکردی متناسب با چگونگی نگرش به این چالش اعتقادی، تجربه ای بی سابقه را برای جامعه به ارمغان آورد که همچنان باید در ابعاد مختلف مورد بررسی قرار گیرد</w:t>
      </w:r>
      <w:r>
        <w:rPr>
          <w:rFonts w:eastAsia="IRNazanin" w:cs="IRNazanin"/>
          <w:color w:val="111111"/>
          <w:sz w:val="28"/>
          <w:szCs w:val="28"/>
          <w:rtl w:val="true"/>
          <w:lang w:bidi="fa-IR"/>
        </w:rPr>
        <w:t>.</w:t>
      </w:r>
    </w:p>
    <w:p>
      <w:pPr>
        <w:pStyle w:val="Heading3"/>
        <w:numPr>
          <w:ilvl w:val="2"/>
          <w:numId w:val="1"/>
        </w:numPr>
        <w:rPr/>
      </w:pPr>
      <w:bookmarkStart w:id="329" w:name="__RefHeading___Toc3032792_653776707"/>
      <w:bookmarkStart w:id="330" w:name="_Toc118"/>
      <w:bookmarkEnd w:id="329"/>
      <w:r>
        <w:rPr>
          <w:rtl w:val="true"/>
        </w:rPr>
        <w:t>منابع</w:t>
      </w:r>
      <w:bookmarkEnd w:id="330"/>
    </w:p>
    <w:p>
      <w:pPr>
        <w:pStyle w:val="Heading4"/>
        <w:numPr>
          <w:ilvl w:val="3"/>
          <w:numId w:val="1"/>
        </w:numPr>
        <w:rPr/>
      </w:pPr>
      <w:bookmarkStart w:id="331" w:name="__RefHeading___Toc3032794_653776707"/>
      <w:bookmarkStart w:id="332" w:name="_Toc119"/>
      <w:bookmarkEnd w:id="331"/>
      <w:r>
        <w:rPr>
          <w:rtl w:val="true"/>
        </w:rPr>
        <w:t>اشاره</w:t>
      </w:r>
      <w:bookmarkEnd w:id="33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اریکسن تامس هیلاند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شناسی چیست؟، ترجمه ابراهیم چگینی، تهران، رهنما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استیونس، الیاده و دیگران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اسطوره و آیین، ترجمه ابوالقاسم اسماعیل پور </w:t>
      </w:r>
      <w:bookmarkStart w:id="333" w:name="pg8714_82597"/>
    </w:p>
    <w:p>
      <w:pPr>
        <w:pStyle w:val="BookText"/>
        <w:rPr/>
      </w:pPr>
      <w:bookmarkEnd w:id="333"/>
      <w:r>
        <w:rPr>
          <w:rFonts w:ascii="IRNazanin" w:hAnsi="IRNazanin" w:eastAsia="IRNazanin"/>
          <w:color w:val="111111"/>
          <w:sz w:val="28"/>
          <w:sz w:val="28"/>
          <w:szCs w:val="28"/>
          <w:rtl w:val="true"/>
          <w:lang w:bidi="fa-IR"/>
        </w:rPr>
        <w:t>مطلق، تهران، هیرمند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انگروزینو مایکل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مردم نگاری، ترجمه جبار رحمانی و محمد رسولی، تهران، نشر فرهنگ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پاکزاد بهنوش و محمدباقر اولیا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پاندومی کرونا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دکمه ری استارت کره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دانشگاه علوم پزشکی شهیدصدوقی یزد، دوره بیست وهشتم، شماره 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خان محمدی کریم و محدثه یوسفی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انسان شناختی پدیده نخل گردانی در 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شیعه شناسی، سال پانزدهم،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دورکیم امیل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صوربنیانی حیات دینی، ترجمه باقر پرهام، تهران،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رحمانی، جبار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و اسطوره درایران شیعی، تهران، خیمه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و هنر در فرهنگ ایرانی، تهران، اندیشه 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هیات های عزاداری در جامعه ایران، اصفهان، آرما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رضوی زاده، ندا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و تجربه زیسته زائران پیاده ایرانی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مطالعات و تحقیقات اجتماعی در ایران، دوره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کرسول، جان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پویش کیفی و طرح پژوهشی، ترجمه حسن دانایی فرد و حسین کاظمی، تهران، صفار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مارچسیون، جولیان ام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هدایت و ارائه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سیدقاسم حسنی، تهران، جامعه شناسان</w:t>
      </w:r>
      <w:r>
        <w:rPr>
          <w:rFonts w:eastAsia="IRNazanin" w:cs="IRNazanin"/>
          <w:color w:val="111111"/>
          <w:sz w:val="28"/>
          <w:szCs w:val="28"/>
          <w:rtl w:val="true"/>
          <w:lang w:bidi="fa-IR"/>
        </w:rPr>
        <w:t>.</w:t>
      </w:r>
    </w:p>
    <w:p>
      <w:pPr>
        <w:pStyle w:val="Heading4"/>
        <w:numPr>
          <w:ilvl w:val="3"/>
          <w:numId w:val="1"/>
        </w:numPr>
        <w:rPr/>
      </w:pPr>
      <w:bookmarkStart w:id="334" w:name="__RefHeading___Toc3032796_653776707"/>
      <w:bookmarkStart w:id="335" w:name="_Toc120"/>
      <w:bookmarkEnd w:id="334"/>
      <w:r>
        <w:rPr>
          <w:rtl w:val="true"/>
        </w:rPr>
        <w:t>سایت ها</w:t>
      </w:r>
      <w:bookmarkEnd w:id="335"/>
    </w:p>
    <w:p>
      <w:pPr>
        <w:pStyle w:val="BookText"/>
        <w:rPr/>
      </w:pPr>
      <w:r>
        <w:rPr>
          <w:rFonts w:ascii="IRNazanin" w:hAnsi="IRNazanin" w:eastAsia="IRNazanin"/>
          <w:color w:val="111111"/>
          <w:sz w:val="28"/>
          <w:sz w:val="28"/>
          <w:szCs w:val="28"/>
          <w:rtl w:val="true"/>
          <w:lang w:bidi="fa-IR"/>
        </w:rPr>
        <w:t>انتخاب، پناهیان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ها و حیاط مدرسه ها عزاداری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_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www.entekhab.ir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ایرنا، پروتکل بازگشایی اماکن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www.irna.ir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ایرنا، دستورالعمل برگزاری مراسم شبهای قدر ابلاغ شد،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www.irna.ir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ایسنا، دیدگاه مراجع عظام تقلید درباره برگزاری مراسم عزاداری ماه محرم در شرایط </w:t>
      </w:r>
    </w:p>
    <w:p>
      <w:pPr>
        <w:pStyle w:val="BookText"/>
        <w:rPr/>
      </w:pPr>
      <w:r>
        <w:rPr>
          <w:rFonts w:ascii="IRNazanin" w:hAnsi="IRNazanin" w:eastAsia="IRNazanin"/>
          <w:color w:val="111111"/>
          <w:sz w:val="28"/>
          <w:sz w:val="28"/>
          <w:szCs w:val="28"/>
          <w:rtl w:val="true"/>
          <w:lang w:bidi="fa-IR"/>
        </w:rPr>
        <w:t xml:space="preserve">کرونا،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www.isna.ir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آنا، مراسم محرم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قوانینی برگزار می شود؟،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www.ana.press</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تسنیم، اهمیت مراسم دعا و شب های قدر، سخنان رهبر انقلاب،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www.tasnimnews.com</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تسنیم، ایجاد دوگانه عزاداری و سلامت غلط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www.tasnimnews.com</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تسنیم، مراسم محرم بر خلاف میل دشمنان پرشورتر برگزار می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www.tasnimnews.com</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جمهوری اسلامی، معیار برگزاری مراسم عزاداری محرم ضوابط ستاد ملی مقابله با کرونا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www.irna.ir</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عصر ایران، ابتکار یک هیأت مذهبی در برگزاری مراسم عزاداری ماه محرم،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www.asriran.com</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فارس </w:t>
      </w:r>
      <w:r>
        <w:rPr>
          <w:rFonts w:eastAsia="Times New Roman" w:cs="Times New Roman" w:ascii="Times New Roman" w:hAnsi="Times New Roman"/>
          <w:color w:val="111111"/>
          <w:sz w:val="28"/>
          <w:szCs w:val="28"/>
          <w:lang w:val="en-US" w:bidi="en-US"/>
        </w:rPr>
        <w:t>www.farsnews.ir</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مشرق نیوز </w:t>
      </w:r>
      <w:r>
        <w:rPr>
          <w:rFonts w:eastAsia="Times New Roman" w:cs="Times New Roman" w:ascii="Times New Roman" w:hAnsi="Times New Roman"/>
          <w:color w:val="111111"/>
          <w:sz w:val="28"/>
          <w:szCs w:val="28"/>
          <w:lang w:val="en-US" w:bidi="en-US"/>
        </w:rPr>
        <w:t>www.mashreghnews.ir</w:t>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8714_82600"/>
      <w:bookmarkStart w:id="337" w:name="pg8714_82600"/>
      <w:bookmarkEnd w:id="337"/>
    </w:p>
    <w:p>
      <w:pPr>
        <w:pStyle w:val="Heading2"/>
        <w:numPr>
          <w:ilvl w:val="1"/>
          <w:numId w:val="1"/>
        </w:numPr>
        <w:rPr/>
      </w:pPr>
      <w:bookmarkStart w:id="338" w:name="pg8714_82600"/>
      <w:bookmarkStart w:id="339" w:name="__RefHeading___Toc3032798_653776707"/>
      <w:bookmarkStart w:id="340" w:name="_Toc121"/>
      <w:bookmarkEnd w:id="338"/>
      <w:bookmarkEnd w:id="339"/>
      <w:r>
        <w:rPr>
          <w:rtl w:val="true"/>
        </w:rPr>
        <w:t>نکته هایی از معارف حسینی</w:t>
      </w:r>
      <w:bookmarkEnd w:id="340"/>
    </w:p>
    <w:p>
      <w:pPr>
        <w:pStyle w:val="Heading3"/>
        <w:numPr>
          <w:ilvl w:val="2"/>
          <w:numId w:val="1"/>
        </w:numPr>
        <w:rPr/>
      </w:pPr>
      <w:bookmarkStart w:id="341" w:name="__RefHeading___Toc3032800_653776707"/>
      <w:bookmarkStart w:id="342" w:name="_Toc122"/>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3"/>
        <w:numPr>
          <w:ilvl w:val="2"/>
          <w:numId w:val="1"/>
        </w:numPr>
        <w:rPr/>
      </w:pPr>
      <w:bookmarkStart w:id="343" w:name="__RefHeading___Toc3032802_653776707"/>
      <w:bookmarkStart w:id="344" w:name="_Toc123"/>
      <w:bookmarkEnd w:id="343"/>
      <w:r>
        <w:rPr>
          <w:rtl w:val="true"/>
        </w:rPr>
        <w:t>دوست خدا</w:t>
      </w:r>
      <w:bookmarkEnd w:id="344"/>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با بچه ها مشغول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 و می خواست او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و آن طرف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خندید تا اینکه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را زیر چانه و دست دیگر خود را پشت سر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بلند کرد و دهان مبارک خود را به دهان او نهاد و او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 من از حسینم، کسی که او را دوست بدارد ، خدا او را دوست دارد</w:t>
      </w:r>
      <w:r>
        <w:rPr>
          <w:rFonts w:eastAsia="IRNazanin" w:cs="IRNazanin"/>
          <w:color w:val="111111"/>
          <w:sz w:val="28"/>
          <w:szCs w:val="28"/>
          <w:rtl w:val="true"/>
          <w:lang w:bidi="fa-IR"/>
        </w:rPr>
        <w:t>».</w:t>
      </w:r>
    </w:p>
    <w:p>
      <w:pPr>
        <w:pStyle w:val="Heading3"/>
        <w:numPr>
          <w:ilvl w:val="2"/>
          <w:numId w:val="1"/>
        </w:numPr>
        <w:rPr/>
      </w:pPr>
      <w:bookmarkStart w:id="345" w:name="__RefHeading___Toc3032804_653776707"/>
      <w:bookmarkStart w:id="346" w:name="_Toc124"/>
      <w:bookmarkEnd w:id="345"/>
      <w:r>
        <w:rPr>
          <w:rtl w:val="true"/>
        </w:rPr>
        <w:t xml:space="preserve">عطای پیامبر </w:t>
      </w:r>
      <w:r>
        <w:rPr>
          <w:rtl w:val="true"/>
        </w:rPr>
        <w:t>(</w:t>
      </w:r>
      <w:r>
        <w:rPr>
          <w:rtl w:val="true"/>
        </w:rPr>
        <w:t>صلی الله علیه و آله و سلم</w:t>
      </w:r>
      <w:r>
        <w:rPr>
          <w:rtl w:val="true"/>
        </w:rPr>
        <w:t>)</w:t>
      </w:r>
      <w:bookmarkEnd w:id="346"/>
    </w:p>
    <w:p>
      <w:p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نزد پدر گرامی خود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چیزی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هیبت و سیادت خود را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 وجود خودم را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Heading3"/>
        <w:numPr>
          <w:ilvl w:val="2"/>
          <w:numId w:val="1"/>
        </w:numPr>
        <w:rPr/>
      </w:pPr>
      <w:bookmarkStart w:id="347" w:name="__RefHeading___Toc3032806_653776707"/>
      <w:bookmarkStart w:id="348" w:name="_Toc125"/>
      <w:bookmarkEnd w:id="347"/>
      <w:r>
        <w:rPr>
          <w:rtl w:val="true"/>
        </w:rPr>
        <w:t xml:space="preserve">یاد پیامبر </w:t>
      </w:r>
      <w:r>
        <w:rPr>
          <w:rtl w:val="true"/>
        </w:rPr>
        <w:t>(</w:t>
      </w:r>
      <w:r>
        <w:rPr>
          <w:rtl w:val="true"/>
        </w:rPr>
        <w:t>صلی الله علیه و آله و سلم</w:t>
      </w:r>
      <w:r>
        <w:rPr>
          <w:rtl w:val="true"/>
        </w:rPr>
        <w:t>)</w:t>
      </w:r>
      <w:bookmarkEnd w:id="34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وقت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بینم، چشمانم پر از اشک می شود؛ </w:t>
      </w:r>
      <w:bookmarkStart w:id="349" w:name="pg8714_82601"/>
    </w:p>
    <w:p>
      <w:pPr>
        <w:pStyle w:val="BookText"/>
        <w:rPr/>
      </w:pPr>
      <w:bookmarkEnd w:id="349"/>
      <w:r>
        <w:rPr>
          <w:rFonts w:ascii="IRNazanin" w:hAnsi="IRNazanin" w:eastAsia="IRNazanin"/>
          <w:color w:val="111111"/>
          <w:sz w:val="28"/>
          <w:sz w:val="28"/>
          <w:szCs w:val="28"/>
          <w:rtl w:val="true"/>
          <w:lang w:bidi="fa-IR"/>
        </w:rPr>
        <w:t xml:space="preserve">چرا که روزی آمد و در بغل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دهانش را به دهان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او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حسن را دوست دارم و دوست دارم کسی که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جمله را سه بار مرتبه تکرار کرد</w:t>
      </w:r>
      <w:r>
        <w:rPr>
          <w:rFonts w:eastAsia="IRNazanin" w:cs="IRNazanin"/>
          <w:color w:val="111111"/>
          <w:sz w:val="28"/>
          <w:szCs w:val="28"/>
          <w:rtl w:val="true"/>
          <w:lang w:bidi="fa-IR"/>
        </w:rPr>
        <w:t>.</w:t>
      </w:r>
    </w:p>
    <w:p>
      <w:pPr>
        <w:pStyle w:val="Heading3"/>
        <w:numPr>
          <w:ilvl w:val="2"/>
          <w:numId w:val="1"/>
        </w:numPr>
        <w:rPr/>
      </w:pPr>
      <w:bookmarkStart w:id="350" w:name="__RefHeading___Toc3032808_653776707"/>
      <w:bookmarkStart w:id="351" w:name="_Toc126"/>
      <w:bookmarkEnd w:id="350"/>
      <w:r>
        <w:rPr>
          <w:rtl w:val="true"/>
        </w:rPr>
        <w:t xml:space="preserve">دوستی حسین </w:t>
      </w:r>
      <w:r>
        <w:rPr>
          <w:rtl w:val="true"/>
        </w:rPr>
        <w:t>(</w:t>
      </w:r>
      <w:r>
        <w:rPr>
          <w:rtl w:val="true"/>
        </w:rPr>
        <w:t>علیه السلام</w:t>
      </w:r>
      <w:r>
        <w:rPr>
          <w:rtl w:val="true"/>
        </w:rPr>
        <w:t>)</w:t>
      </w:r>
      <w:bookmarkEnd w:id="351"/>
    </w:p>
    <w:p>
      <w:pPr>
        <w:pStyle w:val="BookText"/>
        <w:rPr/>
      </w:pPr>
      <w:r>
        <w:rPr>
          <w:rFonts w:ascii="IRNazanin" w:hAnsi="IRNazanin" w:eastAsia="IRNazanin"/>
          <w:color w:val="111111"/>
          <w:sz w:val="28"/>
          <w:sz w:val="28"/>
          <w:szCs w:val="28"/>
          <w:rtl w:val="true"/>
          <w:lang w:bidi="fa-IR"/>
        </w:rPr>
        <w:t>ابوذر 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و ذریه آنها را، از روی اخلاص و پاکی، دوست داشته باشد، صورتش به آتش جهنم نمی سوزد</w:t>
      </w:r>
      <w:r>
        <w:rPr>
          <w:rFonts w:eastAsia="IRNazanin" w:cs="IRNazanin"/>
          <w:color w:val="111111"/>
          <w:sz w:val="28"/>
          <w:szCs w:val="28"/>
          <w:rtl w:val="true"/>
          <w:lang w:bidi="fa-IR"/>
        </w:rPr>
        <w:t>».</w:t>
      </w:r>
    </w:p>
    <w:p>
      <w:pPr>
        <w:pStyle w:val="Heading3"/>
        <w:numPr>
          <w:ilvl w:val="2"/>
          <w:numId w:val="1"/>
        </w:numPr>
        <w:rPr/>
      </w:pPr>
      <w:bookmarkStart w:id="352" w:name="__RefHeading___Toc3032810_653776707"/>
      <w:bookmarkStart w:id="353" w:name="_Toc127"/>
      <w:bookmarkEnd w:id="352"/>
      <w:r>
        <w:rPr>
          <w:rtl w:val="true"/>
        </w:rPr>
        <w:t xml:space="preserve">همنشینان پیامبر </w:t>
      </w:r>
      <w:r>
        <w:rPr>
          <w:rtl w:val="true"/>
        </w:rPr>
        <w:t>(</w:t>
      </w:r>
      <w:r>
        <w:rPr>
          <w:rtl w:val="true"/>
        </w:rPr>
        <w:t>صلی الله علیه و آله و سلم</w:t>
      </w:r>
      <w:r>
        <w:rPr>
          <w:rtl w:val="true"/>
        </w:rPr>
        <w:t>)</w:t>
      </w:r>
      <w:bookmarkEnd w:id="353"/>
    </w:p>
    <w:p>
      <w:pPr>
        <w:pStyle w:val="BookText"/>
        <w:rPr/>
      </w:pPr>
      <w:r>
        <w:rPr>
          <w:rFonts w:ascii="IRNazanin" w:hAnsi="IRNazanin" w:eastAsia="IRNazanin"/>
          <w:color w:val="111111"/>
          <w:sz w:val="28"/>
          <w:sz w:val="28"/>
          <w:szCs w:val="28"/>
          <w:rtl w:val="true"/>
          <w:lang w:bidi="fa-IR"/>
        </w:rPr>
        <w:t xml:space="preserve">در روایتی از علی بن جعفر از برادرش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دو را و پدر و مادر آنها را دوست بدارد، در بهشت همنشین من است</w:t>
      </w:r>
      <w:r>
        <w:rPr>
          <w:rFonts w:eastAsia="IRNazanin" w:cs="IRNazanin"/>
          <w:color w:val="111111"/>
          <w:sz w:val="28"/>
          <w:szCs w:val="28"/>
          <w:rtl w:val="true"/>
          <w:lang w:bidi="fa-IR"/>
        </w:rPr>
        <w:t>».</w:t>
      </w:r>
    </w:p>
    <w:p>
      <w:pPr>
        <w:pStyle w:val="Heading3"/>
        <w:numPr>
          <w:ilvl w:val="2"/>
          <w:numId w:val="1"/>
        </w:numPr>
        <w:rPr/>
      </w:pPr>
      <w:bookmarkStart w:id="354" w:name="__RefHeading___Toc3032812_653776707"/>
      <w:bookmarkStart w:id="355" w:name="_Toc128"/>
      <w:bookmarkEnd w:id="354"/>
      <w:r>
        <w:rPr>
          <w:rtl w:val="true"/>
        </w:rPr>
        <w:t xml:space="preserve">زیر عبای پیامبر </w:t>
      </w:r>
      <w:r>
        <w:rPr>
          <w:rtl w:val="true"/>
        </w:rPr>
        <w:t>(</w:t>
      </w:r>
      <w:r>
        <w:rPr>
          <w:rtl w:val="true"/>
        </w:rPr>
        <w:t>صلی الله علیه و آله و سلم</w:t>
      </w:r>
      <w:r>
        <w:rPr>
          <w:rtl w:val="true"/>
        </w:rPr>
        <w:t>)</w:t>
      </w:r>
      <w:bookmarkEnd w:id="355"/>
    </w:p>
    <w:p>
      <w:pPr>
        <w:pStyle w:val="BookText"/>
        <w:rPr/>
      </w:pPr>
      <w:r>
        <w:rPr>
          <w:rFonts w:ascii="IRNazanin" w:hAnsi="IRNazanin" w:eastAsia="IRNazanin"/>
          <w:color w:val="111111"/>
          <w:sz w:val="28"/>
          <w:sz w:val="28"/>
          <w:szCs w:val="28"/>
          <w:rtl w:val="true"/>
          <w:lang w:bidi="fa-IR"/>
        </w:rPr>
        <w:t>اسامه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به خانه ما آمد که در را باز کردم، دیدم حضرت چیزی زیر عبا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عبایش را کنار زد، دیدم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پسر من و پسران دختران من هستند،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دوست دارم و دوست دارم کسی را که آنها را دوست بدارد</w:t>
      </w:r>
      <w:r>
        <w:rPr>
          <w:rFonts w:eastAsia="IRNazanin" w:cs="IRNazanin"/>
          <w:color w:val="111111"/>
          <w:sz w:val="28"/>
          <w:szCs w:val="28"/>
          <w:rtl w:val="true"/>
          <w:lang w:bidi="fa-IR"/>
        </w:rPr>
        <w:t>».</w:t>
      </w:r>
    </w:p>
    <w:p>
      <w:pPr>
        <w:pStyle w:val="Heading3"/>
        <w:numPr>
          <w:ilvl w:val="2"/>
          <w:numId w:val="1"/>
        </w:numPr>
        <w:rPr/>
      </w:pPr>
      <w:bookmarkStart w:id="356" w:name="__RefHeading___Toc3032814_653776707"/>
      <w:bookmarkStart w:id="357" w:name="_Toc129"/>
      <w:bookmarkEnd w:id="356"/>
      <w:r>
        <w:rPr>
          <w:rtl w:val="true"/>
        </w:rPr>
        <w:t>کودک پاک</w:t>
      </w:r>
      <w:bookmarkEnd w:id="35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پاکیزه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پاکیزه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گرفت، زبان مبارکش را در دهان او قرار داد و نوزاد آن را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چشمان او را بوسید و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قوما هم </w:t>
      </w:r>
      <w:bookmarkStart w:id="358" w:name="pg8714_82602"/>
    </w:p>
    <w:p>
      <w:pPr>
        <w:pStyle w:val="BookText"/>
        <w:rPr/>
      </w:pPr>
      <w:bookmarkEnd w:id="358"/>
      <w:r>
        <w:rPr>
          <w:rFonts w:ascii="IRNazanin" w:hAnsi="IRNazanin" w:eastAsia="IRNazanin"/>
          <w:color w:val="111111"/>
          <w:sz w:val="28"/>
          <w:sz w:val="28"/>
          <w:szCs w:val="28"/>
          <w:rtl w:val="true"/>
          <w:lang w:bidi="fa-IR"/>
        </w:rPr>
        <w:t>قاتلوک یا بنی؛ خدا لعنت کند قومی را که تو را بکشند</w:t>
      </w:r>
      <w:r>
        <w:rPr>
          <w:rFonts w:eastAsia="IRNazanin" w:cs="IRNazanin"/>
          <w:color w:val="111111"/>
          <w:sz w:val="28"/>
          <w:szCs w:val="28"/>
          <w:rtl w:val="true"/>
          <w:lang w:bidi="fa-IR"/>
        </w:rPr>
        <w:t>».</w:t>
      </w:r>
    </w:p>
    <w:p>
      <w:pPr>
        <w:pStyle w:val="Heading3"/>
        <w:numPr>
          <w:ilvl w:val="2"/>
          <w:numId w:val="1"/>
        </w:numPr>
        <w:rPr/>
      </w:pPr>
      <w:bookmarkStart w:id="359" w:name="__RefHeading___Toc3032816_653776707"/>
      <w:bookmarkStart w:id="360" w:name="_Toc130"/>
      <w:bookmarkEnd w:id="359"/>
      <w:r>
        <w:rPr>
          <w:rtl w:val="true"/>
        </w:rPr>
        <w:t xml:space="preserve">دوست دوست حسین </w:t>
      </w:r>
      <w:r>
        <w:rPr>
          <w:rtl w:val="true"/>
        </w:rPr>
        <w:t>(</w:t>
      </w:r>
      <w:r>
        <w:rPr>
          <w:rtl w:val="true"/>
        </w:rPr>
        <w:t>علیه السلام</w:t>
      </w:r>
      <w:r>
        <w:rPr>
          <w:rtl w:val="true"/>
        </w:rPr>
        <w:t>)</w:t>
      </w:r>
      <w:bookmarkEnd w:id="360"/>
    </w:p>
    <w:p>
      <w:pPr>
        <w:pStyle w:val="BookText"/>
        <w:rPr/>
      </w:pPr>
      <w:r>
        <w:rPr>
          <w:rFonts w:ascii="IRNazanin" w:hAnsi="IRNazanin" w:eastAsia="IRNazanin"/>
          <w:color w:val="111111"/>
          <w:sz w:val="28"/>
          <w:sz w:val="28"/>
          <w:szCs w:val="28"/>
          <w:rtl w:val="true"/>
          <w:lang w:bidi="fa-IR"/>
        </w:rPr>
        <w:t>حذیفه یمانی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 حسین پسر علی است، بشناسید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است، دوستدار او بهشت است و دوست دوست حسین، هم در بهشت است</w:t>
      </w:r>
      <w:r>
        <w:rPr>
          <w:rFonts w:eastAsia="IRNazanin" w:cs="IRNazanin"/>
          <w:color w:val="111111"/>
          <w:sz w:val="28"/>
          <w:szCs w:val="28"/>
          <w:rtl w:val="true"/>
          <w:lang w:bidi="fa-IR"/>
        </w:rPr>
        <w:t>».</w:t>
      </w:r>
    </w:p>
    <w:p>
      <w:pPr>
        <w:pStyle w:val="Heading3"/>
        <w:numPr>
          <w:ilvl w:val="2"/>
          <w:numId w:val="1"/>
        </w:numPr>
        <w:rPr/>
      </w:pPr>
      <w:bookmarkStart w:id="361" w:name="__RefHeading___Toc3032818_653776707"/>
      <w:bookmarkStart w:id="362" w:name="_Toc131"/>
      <w:bookmarkEnd w:id="361"/>
      <w:r>
        <w:rPr>
          <w:rtl w:val="true"/>
        </w:rPr>
        <w:t>تشویق</w:t>
      </w:r>
      <w:bookmarkEnd w:id="36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کشتی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که کودک بودند، شروع به کشتی گرفتن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تشویق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بچه بزرگتر حمایت می کنی؟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من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می کنم، این است که جبرئیل را دیدم که برای تشویق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زد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8714_82604"/>
      <w:bookmarkStart w:id="364" w:name="pg8714_82604"/>
      <w:bookmarkEnd w:id="364"/>
    </w:p>
    <w:p>
      <w:pPr>
        <w:pStyle w:val="Heading2"/>
        <w:numPr>
          <w:ilvl w:val="1"/>
          <w:numId w:val="1"/>
        </w:numPr>
        <w:rPr/>
      </w:pPr>
      <w:bookmarkStart w:id="365" w:name="pg8714_82604"/>
      <w:bookmarkStart w:id="366" w:name="__RefHeading___Toc3032820_653776707"/>
      <w:bookmarkStart w:id="367" w:name="_Toc132"/>
      <w:bookmarkEnd w:id="365"/>
      <w:bookmarkEnd w:id="366"/>
      <w:r>
        <w:rPr>
          <w:rtl w:val="true"/>
        </w:rPr>
        <w:t>معرفی کتاب</w:t>
      </w:r>
      <w:bookmarkEnd w:id="367"/>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علي الفتلاوي، الشعائر الحسينيه بين المشروعيه و الاتهام بالبدعه،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العتبه الحسينيه المقدسه،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الشعائر الحسینیه به جنبه های گوناگونی از شعائر و آداب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اصل رساله دوره تحصیلات تکمیلی در جامعه المصطفی بوده که بعدها به صورت کتاب از سوی حرم مطهر حسینی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سه فصل 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بررسی موضوع شعائر حسینی از زوایای مختلف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به بررسی کلیدواژه های مربوط به موضوع کتاب در زبان عربی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شعائر دینی در سایر ادیان ابراهیمی مانند یهودیت و مسیحیت مورد بررسی قرار گرفته و با ادله گوناگون و مستند به منابع متقن اشاره می شود که سایر ادیان، شعائر زیارتی و دینی مشابهی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بر مصائب آن حضرت توسط سایر پیامبران الهی از جمله مباحث مطرح شده در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اینها در جهان اسلام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نیز بر مصائب آن حضرت اشک ماتم ریختند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 امویان و عباسیان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خلفای </w:t>
      </w:r>
    </w:p>
    <w:p>
      <w:pPr>
        <w:pStyle w:val="BookText"/>
        <w:rPr/>
      </w:pPr>
      <w:r>
        <w:rPr>
          <w:rFonts w:ascii="IRNazanin" w:hAnsi="IRNazanin" w:eastAsia="IRNazanin"/>
          <w:color w:val="111111"/>
          <w:sz w:val="28"/>
          <w:sz w:val="28"/>
          <w:szCs w:val="28"/>
          <w:rtl w:val="true"/>
          <w:lang w:bidi="fa-IR"/>
        </w:rPr>
        <w:t>اموی و عباسی سعی در مخفی کردن و یا محو هرگونه نشانه ای از واقعه کربلا را داشتند،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تبعیت از آنان علمای بزرگ شیعه سعی در ترغیب کردن شیعیان به زیارت آن حضرت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مشروعیت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اصحاب آن حضرت ورای هرگونه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روایات و فروانی زیارتنامه های صادر شده در خصوص آن حضرت گواهی روشن بر اهمیت صیانت از خط سیر نجات بخش و حیات بخش سیره حسینی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کتاب، برخی از عمده ایرادات و شبهات مطرح شده از سوی معترضان به شعائر حسینی مطرح شده و به آنها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این کتاب از بیش از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خلاصه ای سودمند از این کتاب می تواند سودمند واقع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000/600/3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 فصل نامه بین المللی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Vol.8, No.29, Spring 2023</w:t>
      </w:r>
    </w:p>
    <w:p>
      <w:pPr>
        <w:pStyle w:val="BookText"/>
        <w:rPr/>
      </w:pPr>
      <w:r>
        <w:rPr>
          <w:rFonts w:eastAsia="Times New Roman" w:cs="Times New Roman" w:ascii="Times New Roman" w:hAnsi="Times New Roman"/>
          <w:color w:val="111111"/>
          <w:sz w:val="28"/>
          <w:szCs w:val="28"/>
          <w:lang w:val="en-US" w:bidi="en-US"/>
        </w:rPr>
        <w:t>International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MuhammadHusayn Mardani Nowkandeh</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Montazeri,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Mailing address: International of Hussaini Reaserch Studies, Floor 3 No 16.9th Alley, Shahid Hadi Banayist, Piruzi Ave., Tehran 1735813677 http://www.maarefehosseini.ir 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On the Martyrdom of Ali alAkbar</w:t>
      </w:r>
    </w:p>
    <w:p>
      <w:pPr>
        <w:pStyle w:val="BookText"/>
        <w:rPr/>
      </w:pPr>
      <w:r>
        <w:rPr>
          <w:rFonts w:eastAsia="Times New Roman" w:cs="Times New Roman" w:ascii="Times New Roman" w:hAnsi="Times New Roman"/>
          <w:color w:val="111111"/>
          <w:sz w:val="28"/>
          <w:szCs w:val="28"/>
          <w:lang w:val="en-US" w:bidi="en-US"/>
        </w:rPr>
        <w:t>Dr. Muhammad Salem Mohseni</w:t>
      </w:r>
    </w:p>
    <w:p>
      <w:pPr>
        <w:pStyle w:val="BookText"/>
        <w:rPr/>
      </w:pPr>
      <w:r>
        <w:rPr>
          <w:rFonts w:eastAsia="Times New Roman" w:cs="Times New Roman" w:ascii="Times New Roman" w:hAnsi="Times New Roman"/>
          <w:color w:val="111111"/>
          <w:sz w:val="28"/>
          <w:szCs w:val="28"/>
          <w:lang w:val="en-US" w:bidi="en-US"/>
        </w:rPr>
        <w:t>Ali alAkbar defended his faith and father to the last drop of his blood on Ashura. Based on historical evidence, aged over Yo, he was the eldest son of Imam alHusayn and the first of the Hashimids who joined the battlefield. He was a very brave combatant and fought fiersely. He continued fighting until Murrah b. Munqidh alAbdi attacked and injured him. When he fell down injured, the rest of enemy soldiers attacked him and tore his body into pieces. Upon his tragic martyrdom fate, Imam alHusayn and Zaynab rushed to him. There Imam alHusayn ordered other Hashimid youths to take his mutilated body to the tent where other martyrs were laid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Ashura, Ali alAkbar, martyrdom, Murrah b. Munqidh alAbdi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Study of the Genres of Ashurathemed Poems Composed after the Islamic Revolution of Iran</w:t>
      </w:r>
    </w:p>
    <w:p>
      <w:pPr>
        <w:pStyle w:val="BookText"/>
        <w:rPr/>
      </w:pPr>
      <w:r>
        <w:rPr>
          <w:rFonts w:eastAsia="Times New Roman" w:cs="Times New Roman" w:ascii="Times New Roman" w:hAnsi="Times New Roman"/>
          <w:color w:val="111111"/>
          <w:sz w:val="28"/>
          <w:szCs w:val="28"/>
          <w:lang w:val="en-US" w:bidi="en-US"/>
        </w:rPr>
        <w:t>Sakineh Mahdavi Kalateh Now, Dr. Mahmoud Firoozi Moqaddam Dr. Mahyar Alavi Moqaddam, Dr. Ali Sadeqimanesh</w:t>
      </w:r>
    </w:p>
    <w:p>
      <w:pPr>
        <w:pStyle w:val="BookText"/>
        <w:rPr/>
      </w:pPr>
      <w:r>
        <w:rPr>
          <w:rFonts w:eastAsia="Times New Roman" w:cs="Times New Roman" w:ascii="Times New Roman" w:hAnsi="Times New Roman"/>
          <w:color w:val="111111"/>
          <w:sz w:val="28"/>
          <w:szCs w:val="28"/>
          <w:lang w:val="en-US" w:bidi="en-US"/>
        </w:rPr>
        <w:t>Ashurathemed poetry deals with the event of Ashura. This type of poetry has received much more attention after the Islamic Revolution in Iran. It was especially favored during the eightyear imposed war, with depictions of various personalities, whether positive or negative. It was very much in vogue when people needed more inspiration and encouragement. Vivid poetic descriptions are abundant in them, coupled with rich rhetorical figures on voca, lexical, syntactic, and rhetorical planes</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Ritual poetry, Ashurathemed poetry, Islamic Revolution, layered stylistics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Jawn: An Enlightened Servant of Imam alHusayn</w:t>
      </w:r>
    </w:p>
    <w:p>
      <w:pPr>
        <w:pStyle w:val="BookText"/>
        <w:rPr/>
      </w:pPr>
      <w:r>
        <w:rPr>
          <w:rFonts w:eastAsia="Times New Roman" w:cs="Times New Roman" w:ascii="Times New Roman" w:hAnsi="Times New Roman"/>
          <w:color w:val="111111"/>
          <w:sz w:val="28"/>
          <w:szCs w:val="28"/>
          <w:lang w:val="en-US" w:bidi="en-US"/>
        </w:rPr>
        <w:t>Dr. Ali Farsi Madan</w:t>
      </w:r>
    </w:p>
    <w:p>
      <w:pPr>
        <w:pStyle w:val="BookText"/>
        <w:rPr/>
      </w:pPr>
      <w:r>
        <w:rPr>
          <w:rFonts w:eastAsia="Times New Roman" w:cs="Times New Roman" w:ascii="Times New Roman" w:hAnsi="Times New Roman"/>
          <w:color w:val="111111"/>
          <w:sz w:val="28"/>
          <w:szCs w:val="28"/>
          <w:lang w:val="en-US" w:bidi="en-US"/>
        </w:rPr>
        <w:t>Earlier, Jawn had been a servant of Fadl b. Abd Allah b. Abd alMuttalib. Imam Ali freed him and sent him on mission to serve Abu Dhar alGhifari. After the death of Abu Dhar at Rabadhah, he returned to Medina and joined Imam Ali after whom he joined Imam alHasan. Then he joined Imam al- Husayn and accompanied him from Medina to Karbala where he repaired the weapons of the companions of Imam alHusayn. On Ashura, despite Imam alHusayn's exempting him from joining the battlefield, he joined the jihad and achieved martyrdom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Jawn, Abu Dhar, Karbala, Ashura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Manifestations of the Husayni Spirit in the Poems of alJawahiri Dr. Reza Arab Baferani Dr. Ahmad Mohammadiyan</w:t>
      </w:r>
    </w:p>
    <w:p>
      <w:pPr>
        <w:pStyle w:val="BookText"/>
        <w:rPr/>
      </w:pPr>
      <w:r>
        <w:rPr>
          <w:rFonts w:eastAsia="Times New Roman" w:cs="Times New Roman" w:ascii="Times New Roman" w:hAnsi="Times New Roman"/>
          <w:color w:val="111111"/>
          <w:sz w:val="28"/>
          <w:szCs w:val="28"/>
          <w:lang w:val="en-US" w:bidi="en-US"/>
        </w:rPr>
        <w:t>Ashura has since proved an impetus and an eternal source of inspiration for many poets. The Iraqi poet, Muhammad Mahdi alJawahiri, composed an `aynrhymed qasida on Ahura. It has been subject to various studies. In it, the poet delves into various reasons why the Ashura episode has not been appreciated as it really deserves, often subject to various distortions. He finally comes up with his expressing his staunch belief in Imam alHusayn Keywords: alJawahiri, qasidah, Imam alHusayn, certainty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Critical View of Using Unacceptable Similes by Some Devitees of the Ahl alBayt</w:t>
      </w:r>
    </w:p>
    <w:p>
      <w:pPr>
        <w:pStyle w:val="BookText"/>
        <w:rPr/>
      </w:pPr>
      <w:r>
        <w:rPr>
          <w:rFonts w:eastAsia="Times New Roman" w:cs="Times New Roman" w:ascii="Times New Roman" w:hAnsi="Times New Roman"/>
          <w:color w:val="111111"/>
          <w:sz w:val="28"/>
          <w:szCs w:val="28"/>
          <w:lang w:val="en-US" w:bidi="en-US"/>
        </w:rPr>
        <w:t>Muhammad Jafar Milan Nourani</w:t>
      </w:r>
    </w:p>
    <w:p>
      <w:pPr>
        <w:pStyle w:val="BookText"/>
        <w:rPr/>
      </w:pPr>
      <w:r>
        <w:rPr>
          <w:rFonts w:eastAsia="Times New Roman" w:cs="Times New Roman" w:ascii="Times New Roman" w:hAnsi="Times New Roman"/>
          <w:color w:val="111111"/>
          <w:sz w:val="28"/>
          <w:szCs w:val="28"/>
          <w:lang w:val="en-US" w:bidi="en-US"/>
        </w:rPr>
        <w:t>Majid Sarkoubi</w:t>
      </w:r>
    </w:p>
    <w:p>
      <w:pPr>
        <w:pStyle w:val="BookText"/>
        <w:rPr/>
      </w:pPr>
      <w:r>
        <w:rPr>
          <w:rFonts w:eastAsia="Times New Roman" w:cs="Times New Roman" w:ascii="Times New Roman" w:hAnsi="Times New Roman"/>
          <w:color w:val="111111"/>
          <w:sz w:val="28"/>
          <w:szCs w:val="28"/>
          <w:lang w:val="en-US" w:bidi="en-US"/>
        </w:rPr>
        <w:t>Applying individual tastes and temperaments while performing religious rites often bring about some tensions. This holds true in the case of applying unpleasant designations to oneself when comparing oneself to any of the Ahl alBayt. This practice is frowned upon in the hadith, hence strictly prohibited</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Ahl alBayt, mourning, Shah Abbas, Nader Shah, inappropriate designations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Ethnography of Changes in Public Mourning Ceremonies in the Time of the Coronavirus Pandemic: 1399 Sh/ 1442 AH/ 2020</w:t>
      </w:r>
    </w:p>
    <w:p>
      <w:pPr>
        <w:pStyle w:val="BookText"/>
        <w:rPr/>
      </w:pPr>
      <w:r>
        <w:rPr>
          <w:rFonts w:eastAsia="Times New Roman" w:cs="Times New Roman" w:ascii="Times New Roman" w:hAnsi="Times New Roman"/>
          <w:color w:val="111111"/>
          <w:sz w:val="28"/>
          <w:szCs w:val="28"/>
          <w:lang w:val="en-US" w:bidi="en-US"/>
        </w:rPr>
        <w:t>Akram Garrousi, Dr. Saeed Tavoosi Masroor</w:t>
      </w:r>
    </w:p>
    <w:p>
      <w:pPr>
        <w:pStyle w:val="BookText"/>
        <w:rPr/>
      </w:pPr>
      <w:r>
        <w:rPr>
          <w:rFonts w:eastAsia="Times New Roman" w:cs="Times New Roman" w:ascii="Times New Roman" w:hAnsi="Times New Roman"/>
          <w:color w:val="111111"/>
          <w:sz w:val="28"/>
          <w:szCs w:val="28"/>
          <w:lang w:val="en-US" w:bidi="en-US"/>
        </w:rPr>
        <w:t>The Muharram mourning ceremonies have long made an identitycreating and dynamic ceremonies of the Shia. Although heavily influenced by other external conditions, people always revived this rite. The corona virus that attacked Iran in the later months of 1398Sh/ 2019, and continued for around two years, mainly in 1399Sh/ 2020, people showed their sagacious attention to both observing the health conditions and holding the religious rites at the same time</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Ethnography, mourning rituals, Muharram month, corona virus,shamsi year 2020</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فلسفه اسلامی و مدرس جامعة المصطفی العالمیه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ms.muhseni@yahoo.com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در مبحث بعدی بررسی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تعبیرات منابع، اندکی تفاوت دارند و در أمالی صدوق بخش آخر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سعد قطع الله رحمک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در منابع مختلف با تفاوتی در عبارات و تعداد ابیات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مطابق ارشاد مفید نقل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منابع یاد شده در بیان گزارش، اندکی تفاوت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این مطلب را اضافه کرده که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زبانت را بیاور و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او را مکید و انگشترش را داد و گفت در دهانت بگذار و به نبرد بازگرد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قاتل علی اکبر در برخی کتاب ها مانند مقتل خوارزمی، مُثیر الأحزان و لهوف، مُنقِذ بن مُرة عبدی ضبط شده است؛ اما در منابع قدیمی تر مانند تَسمیة مَن قُتل مع الحسین، الطبقات الکبری، أنساب الأشراف، الأخبار الطُوال، تاریخ الطبری، شرح الأخبار، مقاتل الطالبیین، الإرشاد، المناقب، تذکرة الخواص و زیارت ناحیه مقدسه، مُرة بن مُنقِذ عبدی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فَقَطَعُوهُ بِأَسْيَافِهِم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 به معانی مختلف از جمله نیازمندی و اعضای بدن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وقتی به صورت اِرباً اِرباً و با فعل قَطَعَ استعمال شود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قَطعتُه اِرباً 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قطع کردن را بیان می کند،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قَطعتُه عضواً عضواً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او را عضو عضو و قطعه قطعه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ارب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خَدَّه عَلَی 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لهوف روایت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گروه زبان و ادبیات فارسی، واحد تربت حیدریه، دانشگاه آزاد اسلامی، تربت حیدریه،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sakinemahdavi32@gmail.com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استادیار گروه زبان و ادبیات فارسی، واحد تربت حیدریه، دانشگاه آزاد اسلامی، تربت حیدریه،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firouzimoghaddam@gmail.com</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زبان و ادبیات فارسی، دانشگاه حکیم سبزواری، سبزوار،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m.alavi2007@yahoo.com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زبان و ادبیات فارسی، دانشگاه حکیم سبزواری، سبزوار،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a.sadeghimanesh@hsu.ac.ir</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 اخیر به جای معنی شناسی و کاربرد شناسی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 التحصیل سطح چهار حوزه علمیه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alifarsimadan98@gmail.com</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نفر شامل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مقداد، أبوذر و حذيفة بن 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طوسى،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که می 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و دیده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بصیره و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بینائی چشم و قدرت ادراک دل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راغب،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جَوْنٍ مَوْلَى أَبِي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مشهدى،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شهید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السَّلامُ عَلى جُونِ بْنِ حَرِيٍّ مَوْلى ابِي ذَرِّ الْغفارِيِّ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سکون ثانيه، و باء موحده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روستاهاى مدينه که در سه مايلى آن شهر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حموى،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کفار، ضرب شمشیر سیاه را چگونه می بینید؟ به شمشیر ضربه ای از فرزند محمد، از آنها با زبان و دست حمایت می کنم، در حالی که به بهشت در روز قیامت امیدوارم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حسينى موسوى،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مجلسى،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زبان و ادبیات عربی دانشگاه علوم اسلامی رضوی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arabbafarani.135@gmail.com</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دانشگاه علوم اسلامی رضوی، استاد مدعو جامعة المصطفی العالمیه نمایندگی گلستان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mohamadian313@gmail.com</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ای روح بلندی که با رسالتی نازل شد و بعد مدتی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با نشریه عروة الوثقی تقسیم کنندگان محبت و وحدت را به جلو هدایت کرد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امام است و چگونه امامی است و اگر او را امام خطاب نکنی بر تو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دارای درک و فهمی نیستی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من ای عزیز بلند مرتبه، تو دارای منن هستی و راهنما می باشی، ای بلند مرتبه که خدا خواسته تا او را رهبر این انقلاب اسلامی قرار دهد، تو در صلح جایگاه های بلندی دارای که کسی نمی تواند به آن جایگاه برسد و در روز جنگ و مبارزه دارای شمشیری هستی که کُند نمی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می دانی زخمی های مجروحان مانند دهان است یا نمی 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دهانی ست که مانند مدعیان سخن نمی گوید و مانند انسان های ترسو هم طلب رحم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 جعفر رویاپردازی نمی کنم و کسی خون طلب دارد و خون خواه است بیدار است و خواب نمی بیند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شاعر درخشان احمد شوقی را گرفت و او را ساکن قبر کرد و ما آمدیم، در حالی آماده ایم تا عزاداری کنیم گویا اینکه او دیروز در بین حاضران نبود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وزید و عشق را در ما برانگیخت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قلب او به خاطر شما به جوشش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سرزمین فارس است و هوای آن مطبوع مثل نسیم صبحگاهی است و آسمان آن را شاخسار و برگ درختان پوشانده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شمران، گل های باغ، هواها و آب زلالش باعث تعجب من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از وطنی که به تو غمناک ترین و دل انگیزترین صحن ها، ابرها، درخشش خورشید وماه، گرما و سرمای شب و سحر را بر تو آشکار می سازد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ایروانی زاده و دیگران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مظالم اجتماعی در شعر جواهری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در دست مستضعفین دارم و به آنها ظلم هایی را نشان می دهم که کلمات در بیان آن ناتوانند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مخالف مردم به طور کلی در زندگی و تفکر هستم و ضد مردم در دین هستم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خداوند و نوری که ادیان روشنی بخش با آن راه آشکار و روشن به تصویر می کشند ایمان آوردم و همه داعیان به حق و مصلحان هدایت گر از عجم و عرب را از گمراهی مصون داشتم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ست که ابا دارد از اینکه ذلیل و مقهور شود و مرگ را بر صبر بر عار آسان تر 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علی همچون شیر بیشه ای راه می پیماید و گرگ های جنگل او را احاطه کرده اند و او را صحرا در پیش گرفته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 الحسین سلام ها و درودهای معطری که بوی آن همه جا را فرا گرفته است در روز عید غدیر بر تو باد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فداى جايگاه تو که همه جا را به روشن ترين شکل نور بخشیدی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یکتایی که در میان ماندگاران بی نظیر هستی و تا کنون از تنهایی خارج نشده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تو را بوییدم نسیم به وزیدن در آمد این بوی کرامت از سزمین بی کرامت برمی خیزد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 را غرق در خاکى مى سازم که چهره سازش ناپذير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افتاده است و سم ستوران بر آن فرود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هرگز تن به خوارى نداد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دستی از داخل ضریح سرخ در حالی که انگشتش بریده است به سوی این عالم پر از خواری ظلم اشاره می کند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اینکه این دنیای خشک ضمیر را به دنیای سر سبز و پر گیاه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کند و این آدم های کوچک را که از ترس خوار شدند را به یک حرم امن ببرد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ماده 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احمد بن يحيى سوال شد که به چه مناسبت به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بتول گفته شده است؟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عفاف، فضيلت، دين، شخصيت و حسب از زنان زمان خود و زنان تمامى امت ممتاز و جدا است، و گفته شده به خاطر بريدن و برکنارى آن حضرت از دنيا به سوى خداوند متعال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ابن مغازلی آمده است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تو را و خاندان و شیعیان و دوستداران شیعیان تو را آمرزیده است، پس مژده باد تو را که تو اَنزع بطین هستی، از شرک بریده ای و از علم سرشاری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فرزند بتول بس مرا اینکه فرزند زهرای اطهر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 و این گواه من بر آنچه ادعا کردم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فرزندی که مانند او زاییده نشده است و مانند او شیر نخورده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فرزند مرد بطینی که شکم باره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 مررد جوانمردِ بی زرهِ کم مو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فعولن فعولن فعولن فعولن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سرود جاودانگى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حرکت مداوم او در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کسى که مردم را بر مرکب زمان نشانده اى و آنان را به سمت جاودانگى سوق مى دهى و دست همه را مى گيرى و هرآنچه از راه مى رسد نيز تابع اين اصالت است و به دنبال آن روان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ممحض در تاریخ تو شدم و توجهی به نقل راویان نکردم و فریب نخوردم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پشت مراسم عزادارى هاى ظاهرى و تهى از معنى دست هاى سياستمداران زيرکى است که از عشق مردم سوءاستفاده کرده و سعى در رنگ آميزى عاشورا به ميل خويش مى نمايند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چيره دستان زيرکى که از اندوه دردناک عشاق براى مقاصد خود بهره جسته اند و سوگوارى هاى تصنعى و آميخته با سجع و پريشان نمودن مو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غبارى را بر حقيقت بزرگ عاشورا پوشانده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زنگار ساليان متمادى و حجاب پرده هاى نيرنگ را از چهره عاشورا به سويى مى زنم و به دنبال حقيقت حقيقى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همه تصنعات به دور است، مى گردم و او را چنانکه هست مى يابم، شخصيتى که هرگز کسى را به هيبت و جذابيت او، نديده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چیزی از این عظیم تر است است که گوشت بدن تو به روی شمشیرها تکه تکه 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و یاد تو را مقدس شمردم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که شک، ديوانه وار خود را به چهار ديوارى سينه ام مى کوبد، ياد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دلم را مالامال مى سازد، اين ياد پاک، ابر حجاب گونه اى را که وحشت و نگرانى بر او پوشانده به يک سو مى زند، اما هربار از جهتى کنار مى رود و جهتى ديگر را مى پوشاند، نوگرايى و تجدّد روزگار بر پرده هاى ترديدم مى افزايد و نمى گذارد نسيم هاى پاکى که از انفاس قدسى برمى خيزد، اين غبار را بزدايد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فرماندهی تو شدند و اقرار و اعتراف خود را سریع به تو تقدیم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تاریکی های فکرم روشن شد و اعوجاج اندیشه ام برطرف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ایمان آوردم ایمان کسی در شک ها جز عقل راهنما نمی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به ظلم ستیزی، وحی الهی، فیض نبوت از منبع آن در یک جوهر خالص جمع شده است و از طمع حریصان دور مانده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دین و کارشناسی ارشد مؤسسۀ مذاهب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Bna4086@gmail.com</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تفسیر تطبیقی جامعه المصطفی العالمیه شعبه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Majidsarkoobi1363@gmail.com</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اخْسَؤُا فِیها وَ لا تُکَلِّمُون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اخسئ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عرب به راندن سگ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راغب اصفهانى،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 در فارسی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کریم هم دقیقاً لفظی را که برای راندن سگ به کار برده می شود، درمورد گناهکاران شراب خوار می فرماید تا تحقیرشان کند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وقتی ظاهر تو را می بینم، تشبیه رسول خدا را مطابق با واقع می یابم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Douglas</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جامعه شناسی دانشگاه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garousi91@gmail.com</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هیات علمی دانشگاه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saeed.tavoosi@gmail.com</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ضمائم مجالس عزاداری ماه محرم، در اغلب هیات های عزاداری، راه اندازی دسته های عزداری سینه زنی یا زنجیرزنی، با حضور و حرکت عزاداران در کوی و برزن و بیرون از محل برگزاری سخنرانی و روضه خوانی بعد از آن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ساله، با حضور ایشان و در شب های هفتم تا دوازدهم ماه محرم و با همراهی جمعیت انبوهی برگزار می 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جان حلالمان کن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های قمری به صورت چرخشی و در طول حدود سی سال، مقارن تمامی فصول سال قرار می گیرند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 اسلام پناهیان، عالی، صدیقی، مهدوی، سرلک، بی آزار و آقایان واعظی، طاهری، پویانفر 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سخنان حجت الاسلام سیدحسین مومنی، حجت الاسلام حامدکاشانی، حجت الاسلام حسینی قمی، آیت الله مهدی یثربی، آیت الله سیدعلی میلانی، آیت الله احمد علم الهدی 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سخنان حجج اسلام سید مهدی فقیه امامی، سیدعباس موسوی مطلق، سیدصادق غروی، شیخ مهدی حسن آبادی 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3.jpeg"/><Relationship Id="rId133" Type="http://schemas.openxmlformats.org/officeDocument/2006/relationships/image" Target="media/image3.jpeg"/><Relationship Id="rId134" Type="http://schemas.openxmlformats.org/officeDocument/2006/relationships/footer" Target="footer127.xml"/><Relationship Id="rId135" Type="http://schemas.openxmlformats.org/officeDocument/2006/relationships/image" Target="media/image4.jpeg"/><Relationship Id="rId136" Type="http://schemas.openxmlformats.org/officeDocument/2006/relationships/image" Target="media/image4.jpeg"/><Relationship Id="rId137" Type="http://schemas.openxmlformats.org/officeDocument/2006/relationships/footer" Target="footer128.xml"/><Relationship Id="rId138" Type="http://schemas.openxmlformats.org/officeDocument/2006/relationships/image" Target="media/image5.jpeg"/><Relationship Id="rId139" Type="http://schemas.openxmlformats.org/officeDocument/2006/relationships/image" Target="media/image5.jpeg"/><Relationship Id="rId140" Type="http://schemas.openxmlformats.org/officeDocument/2006/relationships/footer" Target="footer129.xml"/><Relationship Id="rId141" Type="http://schemas.openxmlformats.org/officeDocument/2006/relationships/image" Target="media/image6.jpeg"/><Relationship Id="rId142" Type="http://schemas.openxmlformats.org/officeDocument/2006/relationships/image" Target="media/image6.jpeg"/><Relationship Id="rId143" Type="http://schemas.openxmlformats.org/officeDocument/2006/relationships/footer" Target="footer130.xml"/><Relationship Id="rId144" Type="http://schemas.openxmlformats.org/officeDocument/2006/relationships/image" Target="media/image7.jpeg"/><Relationship Id="rId145" Type="http://schemas.openxmlformats.org/officeDocument/2006/relationships/image" Target="media/image7.jpeg"/><Relationship Id="rId146" Type="http://schemas.openxmlformats.org/officeDocument/2006/relationships/footer" Target="footer131.xml"/><Relationship Id="rId147" Type="http://schemas.openxmlformats.org/officeDocument/2006/relationships/image" Target="media/image8.jpeg"/><Relationship Id="rId148" Type="http://schemas.openxmlformats.org/officeDocument/2006/relationships/image" Target="media/image8.jpeg"/><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image" Target="media/image9.jpeg"/><Relationship Id="rId153" Type="http://schemas.openxmlformats.org/officeDocument/2006/relationships/image" Target="media/image9.jpeg"/><Relationship Id="rId154" Type="http://schemas.openxmlformats.org/officeDocument/2006/relationships/footer" Target="footer135.xml"/><Relationship Id="rId155" Type="http://schemas.openxmlformats.org/officeDocument/2006/relationships/image" Target="media/image10.jpeg"/><Relationship Id="rId156" Type="http://schemas.openxmlformats.org/officeDocument/2006/relationships/image" Target="media/image10.jpeg"/><Relationship Id="rId157" Type="http://schemas.openxmlformats.org/officeDocument/2006/relationships/footer" Target="footer136.xml"/><Relationship Id="rId158" Type="http://schemas.openxmlformats.org/officeDocument/2006/relationships/image" Target="media/image11.jpeg"/><Relationship Id="rId159" Type="http://schemas.openxmlformats.org/officeDocument/2006/relationships/image" Target="media/image11.jpeg"/><Relationship Id="rId160" Type="http://schemas.openxmlformats.org/officeDocument/2006/relationships/footer" Target="footer137.xml"/><Relationship Id="rId161" Type="http://schemas.openxmlformats.org/officeDocument/2006/relationships/image" Target="media/image12.jpeg"/><Relationship Id="rId162" Type="http://schemas.openxmlformats.org/officeDocument/2006/relationships/image" Target="media/image12.jpeg"/><Relationship Id="rId163" Type="http://schemas.openxmlformats.org/officeDocument/2006/relationships/footer" Target="footer138.xml"/><Relationship Id="rId164" Type="http://schemas.openxmlformats.org/officeDocument/2006/relationships/image" Target="media/image13.jpeg"/><Relationship Id="rId165" Type="http://schemas.openxmlformats.org/officeDocument/2006/relationships/image" Target="media/image13.jpeg"/><Relationship Id="rId166" Type="http://schemas.openxmlformats.org/officeDocument/2006/relationships/footer" Target="footer139.xml"/><Relationship Id="rId167" Type="http://schemas.openxmlformats.org/officeDocument/2006/relationships/image" Target="media/image14.jpeg"/><Relationship Id="rId168" Type="http://schemas.openxmlformats.org/officeDocument/2006/relationships/image" Target="media/image14.jpeg"/><Relationship Id="rId169" Type="http://schemas.openxmlformats.org/officeDocument/2006/relationships/footer" Target="footer140.xml"/><Relationship Id="rId170" Type="http://schemas.openxmlformats.org/officeDocument/2006/relationships/image" Target="media/image15.jpeg"/><Relationship Id="rId171" Type="http://schemas.openxmlformats.org/officeDocument/2006/relationships/image" Target="media/image15.jpeg"/><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image" Target="media/image16.jpeg"/><Relationship Id="rId178" Type="http://schemas.openxmlformats.org/officeDocument/2006/relationships/image" Target="media/image16.jpeg"/><Relationship Id="rId179" Type="http://schemas.openxmlformats.org/officeDocument/2006/relationships/footer" Target="footer146.xml"/><Relationship Id="rId180" Type="http://schemas.openxmlformats.org/officeDocument/2006/relationships/footer" Target="footer147.xml"/><Relationship Id="rId181" Type="http://schemas.openxmlformats.org/officeDocument/2006/relationships/footer" Target="footer148.xml"/><Relationship Id="rId182" Type="http://schemas.openxmlformats.org/officeDocument/2006/relationships/footer" Target="footer149.xml"/><Relationship Id="rId183" Type="http://schemas.openxmlformats.org/officeDocument/2006/relationships/footer" Target="footer150.xml"/><Relationship Id="rId184" Type="http://schemas.openxmlformats.org/officeDocument/2006/relationships/footer" Target="footer151.xml"/><Relationship Id="rId185" Type="http://schemas.openxmlformats.org/officeDocument/2006/relationships/footer" Target="footer152.xml"/><Relationship Id="rId186" Type="http://schemas.openxmlformats.org/officeDocument/2006/relationships/footer" Target="footer153.xml"/><Relationship Id="rId187" Type="http://schemas.openxmlformats.org/officeDocument/2006/relationships/footer" Target="footer154.xml"/><Relationship Id="rId188" Type="http://schemas.openxmlformats.org/officeDocument/2006/relationships/footer" Target="footer155.xml"/><Relationship Id="rId189" Type="http://schemas.openxmlformats.org/officeDocument/2006/relationships/footer" Target="footer156.xml"/><Relationship Id="rId190" Type="http://schemas.openxmlformats.org/officeDocument/2006/relationships/footer" Target="footer157.xml"/><Relationship Id="rId191" Type="http://schemas.openxmlformats.org/officeDocument/2006/relationships/footer" Target="footer158.xml"/><Relationship Id="rId192" Type="http://schemas.openxmlformats.org/officeDocument/2006/relationships/footer" Target="footer159.xml"/><Relationship Id="rId193" Type="http://schemas.openxmlformats.org/officeDocument/2006/relationships/footer" Target="footer160.xml"/><Relationship Id="rId194" Type="http://schemas.openxmlformats.org/officeDocument/2006/relationships/footer" Target="footer161.xml"/><Relationship Id="rId195" Type="http://schemas.openxmlformats.org/officeDocument/2006/relationships/footer" Target="footer162.xml"/><Relationship Id="rId196" Type="http://schemas.openxmlformats.org/officeDocument/2006/relationships/footer" Target="footer163.xml"/><Relationship Id="rId197" Type="http://schemas.openxmlformats.org/officeDocument/2006/relationships/footer" Target="footer164.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65.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44532</Words>
  <Characters>178598</Characters>
  <CharactersWithSpaces>222055</CharactersWithSpaces>
  <Paragraphs>1236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2026-08-20T04:05:06Z</dcterms:created>
  <dc:creator>ghaemiyeh.com</dc:creator>
  <dc:description/>
  <dc:language>en-US</dc:language>
  <cp:lastModifiedBy/>
  <dcterms:modified xsi:type="dcterms:W3CDTF">2026-08-20T07:35:14Z</dcterms:modified>
  <cp:revision>1</cp:revision>
  <dc:subject/>
  <dc:title>پژوهش نامه معارف حسینی 29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