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Hukum murtad hak Allah atau manusia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9448_653776707">
            <w:r>
              <w:rPr>
                <w:webHidden/>
                <w:rStyle w:val="IndexLink"/>
              </w:rPr>
              <w:t>BOOK ID</w:t>
              <w:tab/>
              <w:t>5</w:t>
            </w:r>
          </w:hyperlink>
        </w:p>
        <w:p>
          <w:pPr>
            <w:pStyle w:val="Contents2"/>
            <w:tabs>
              <w:tab w:val="clear" w:pos="8743"/>
              <w:tab w:val="right" w:pos="9026" w:leader="dot"/>
            </w:tabs>
            <w:bidi w:val="0"/>
            <w:rPr/>
          </w:pPr>
          <w:hyperlink w:anchor="__RefHeading___Toc419450_653776707">
            <w:r>
              <w:rPr>
                <w:webHidden/>
                <w:rStyle w:val="IndexLink"/>
              </w:rPr>
              <w:t>Point</w:t>
              <w:tab/>
              <w:t>5</w:t>
            </w:r>
          </w:hyperlink>
        </w:p>
        <w:p>
          <w:pPr>
            <w:pStyle w:val="Contents2"/>
            <w:tabs>
              <w:tab w:val="clear" w:pos="8743"/>
              <w:tab w:val="right" w:pos="9026" w:leader="dot"/>
            </w:tabs>
            <w:bidi w:val="0"/>
            <w:rPr/>
          </w:pPr>
          <w:hyperlink w:anchor="__RefHeading___Toc419452_653776707">
            <w:r>
              <w:rPr>
                <w:webHidden/>
                <w:rStyle w:val="IndexLink"/>
              </w:rPr>
              <w:t>Daftar Isi</w:t>
              <w:tab/>
              <w:t>9</w:t>
            </w:r>
          </w:hyperlink>
        </w:p>
        <w:p>
          <w:pPr>
            <w:pStyle w:val="Contents2"/>
            <w:tabs>
              <w:tab w:val="clear" w:pos="8743"/>
              <w:tab w:val="right" w:pos="9026" w:leader="dot"/>
            </w:tabs>
            <w:bidi w:val="0"/>
            <w:rPr/>
          </w:pPr>
          <w:hyperlink w:anchor="__RefHeading___Toc419454_653776707">
            <w:r>
              <w:rPr>
                <w:webHidden/>
                <w:rStyle w:val="IndexLink"/>
              </w:rPr>
              <w:t>Pengantar IICT</w:t>
              <w:tab/>
              <w:t>13</w:t>
            </w:r>
          </w:hyperlink>
        </w:p>
        <w:p>
          <w:pPr>
            <w:pStyle w:val="Contents2"/>
            <w:tabs>
              <w:tab w:val="clear" w:pos="8743"/>
              <w:tab w:val="right" w:pos="9026" w:leader="dot"/>
            </w:tabs>
            <w:bidi w:val="0"/>
            <w:rPr/>
          </w:pPr>
          <w:hyperlink w:anchor="__RefHeading___Toc419456_653776707">
            <w:r>
              <w:rPr>
                <w:webHidden/>
                <w:rStyle w:val="IndexLink"/>
              </w:rPr>
              <w:t>Pendahuluan</w:t>
              <w:tab/>
              <w:t>15</w:t>
            </w:r>
          </w:hyperlink>
        </w:p>
        <w:p>
          <w:pPr>
            <w:pStyle w:val="Contents2"/>
            <w:tabs>
              <w:tab w:val="clear" w:pos="8743"/>
              <w:tab w:val="right" w:pos="9026" w:leader="dot"/>
            </w:tabs>
            <w:bidi w:val="0"/>
            <w:rPr/>
          </w:pPr>
          <w:hyperlink w:anchor="__RefHeading___Toc419458_653776707">
            <w:r>
              <w:rPr>
                <w:webHidden/>
                <w:rStyle w:val="IndexLink"/>
              </w:rPr>
              <w:t>Tujuan dan Signifikansi</w:t>
              <w:tab/>
              <w:t>15</w:t>
            </w:r>
          </w:hyperlink>
        </w:p>
        <w:p>
          <w:pPr>
            <w:pStyle w:val="Contents2"/>
            <w:tabs>
              <w:tab w:val="clear" w:pos="8743"/>
              <w:tab w:val="right" w:pos="9026" w:leader="dot"/>
            </w:tabs>
            <w:bidi w:val="0"/>
            <w:rPr/>
          </w:pPr>
          <w:hyperlink w:anchor="__RefHeading___Toc419460_653776707">
            <w:r>
              <w:rPr>
                <w:webHidden/>
                <w:rStyle w:val="IndexLink"/>
              </w:rPr>
              <w:t>Rumusan Masalah</w:t>
              <w:tab/>
              <w:t>16</w:t>
            </w:r>
          </w:hyperlink>
        </w:p>
        <w:p>
          <w:pPr>
            <w:pStyle w:val="Contents2"/>
            <w:tabs>
              <w:tab w:val="clear" w:pos="8743"/>
              <w:tab w:val="right" w:pos="9026" w:leader="dot"/>
            </w:tabs>
            <w:bidi w:val="0"/>
            <w:rPr/>
          </w:pPr>
          <w:hyperlink w:anchor="__RefHeading___Toc419462_653776707">
            <w:r>
              <w:rPr>
                <w:webHidden/>
                <w:rStyle w:val="IndexLink"/>
              </w:rPr>
              <w:t>Hipotesis</w:t>
              <w:tab/>
              <w:t>16</w:t>
            </w:r>
          </w:hyperlink>
        </w:p>
        <w:p>
          <w:pPr>
            <w:pStyle w:val="Contents2"/>
            <w:tabs>
              <w:tab w:val="clear" w:pos="8743"/>
              <w:tab w:val="right" w:pos="9026" w:leader="dot"/>
            </w:tabs>
            <w:bidi w:val="0"/>
            <w:rPr/>
          </w:pPr>
          <w:hyperlink w:anchor="__RefHeading___Toc419464_653776707">
            <w:r>
              <w:rPr>
                <w:webHidden/>
                <w:rStyle w:val="IndexLink"/>
              </w:rPr>
              <w:t>Sistematika Penelitian</w:t>
              <w:tab/>
              <w:t>17</w:t>
            </w:r>
          </w:hyperlink>
        </w:p>
        <w:p>
          <w:pPr>
            <w:pStyle w:val="Contents2"/>
            <w:tabs>
              <w:tab w:val="clear" w:pos="8743"/>
              <w:tab w:val="right" w:pos="9026" w:leader="dot"/>
            </w:tabs>
            <w:bidi w:val="0"/>
            <w:rPr/>
          </w:pPr>
          <w:hyperlink w:anchor="__RefHeading___Toc419466_653776707">
            <w:r>
              <w:rPr>
                <w:webHidden/>
                <w:rStyle w:val="IndexLink"/>
              </w:rPr>
              <w:t>BAB I: Kerangka Umum:Pengertian dan Landasan Teori</w:t>
              <w:tab/>
              <w:t>21</w:t>
            </w:r>
          </w:hyperlink>
        </w:p>
        <w:p>
          <w:pPr>
            <w:pStyle w:val="Contents3"/>
            <w:tabs>
              <w:tab w:val="clear" w:pos="8459"/>
              <w:tab w:val="right" w:pos="9026" w:leader="dot"/>
            </w:tabs>
            <w:bidi w:val="0"/>
            <w:rPr/>
          </w:pPr>
          <w:hyperlink w:anchor="__RefHeading___Toc419468_653776707">
            <w:r>
              <w:rPr>
                <w:webHidden/>
                <w:rStyle w:val="IndexLink"/>
              </w:rPr>
              <w:t>Point</w:t>
              <w:tab/>
              <w:t>21</w:t>
            </w:r>
          </w:hyperlink>
        </w:p>
        <w:p>
          <w:pPr>
            <w:pStyle w:val="Contents3"/>
            <w:tabs>
              <w:tab w:val="clear" w:pos="8459"/>
              <w:tab w:val="right" w:pos="9026" w:leader="dot"/>
            </w:tabs>
            <w:bidi w:val="0"/>
            <w:rPr/>
          </w:pPr>
          <w:hyperlink w:anchor="__RefHeading___Toc419470_653776707">
            <w:r>
              <w:rPr>
                <w:webHidden/>
                <w:rStyle w:val="IndexLink"/>
              </w:rPr>
              <w:t>Definisi dan Relasi Kemurtadan-Penistaan Simbol Agama</w:t>
              <w:tab/>
              <w:t>21</w:t>
            </w:r>
          </w:hyperlink>
        </w:p>
        <w:p>
          <w:pPr>
            <w:pStyle w:val="Contents3"/>
            <w:tabs>
              <w:tab w:val="clear" w:pos="8459"/>
              <w:tab w:val="right" w:pos="9026" w:leader="dot"/>
            </w:tabs>
            <w:bidi w:val="0"/>
            <w:rPr/>
          </w:pPr>
          <w:hyperlink w:anchor="__RefHeading___Toc419472_653776707">
            <w:r>
              <w:rPr>
                <w:webHidden/>
                <w:rStyle w:val="IndexLink"/>
              </w:rPr>
              <w:t>Murtad</w:t>
              <w:tab/>
              <w:t>21</w:t>
            </w:r>
          </w:hyperlink>
        </w:p>
        <w:p>
          <w:pPr>
            <w:pStyle w:val="Contents3"/>
            <w:tabs>
              <w:tab w:val="clear" w:pos="8459"/>
              <w:tab w:val="right" w:pos="9026" w:leader="dot"/>
            </w:tabs>
            <w:bidi w:val="0"/>
            <w:rPr/>
          </w:pPr>
          <w:hyperlink w:anchor="__RefHeading___Toc419474_653776707">
            <w:r>
              <w:rPr>
                <w:webHidden/>
                <w:rStyle w:val="IndexLink"/>
              </w:rPr>
              <w:t>Penistaan Simbol Sakral</w:t>
              <w:tab/>
              <w:t>23</w:t>
            </w:r>
          </w:hyperlink>
        </w:p>
        <w:p>
          <w:pPr>
            <w:pStyle w:val="Contents3"/>
            <w:tabs>
              <w:tab w:val="clear" w:pos="8459"/>
              <w:tab w:val="right" w:pos="9026" w:leader="dot"/>
            </w:tabs>
            <w:bidi w:val="0"/>
            <w:rPr/>
          </w:pPr>
          <w:hyperlink w:anchor="__RefHeading___Toc419476_653776707">
            <w:r>
              <w:rPr>
                <w:webHidden/>
                <w:rStyle w:val="IndexLink"/>
              </w:rPr>
              <w:t>Sistem Hukum Islam</w:t>
              <w:tab/>
              <w:t>23</w:t>
            </w:r>
          </w:hyperlink>
        </w:p>
        <w:p>
          <w:pPr>
            <w:pStyle w:val="Contents3"/>
            <w:tabs>
              <w:tab w:val="clear" w:pos="8459"/>
              <w:tab w:val="right" w:pos="9026" w:leader="dot"/>
            </w:tabs>
            <w:bidi w:val="0"/>
            <w:rPr/>
          </w:pPr>
          <w:hyperlink w:anchor="__RefHeading___Toc419478_653776707">
            <w:r>
              <w:rPr>
                <w:webHidden/>
                <w:rStyle w:val="IndexLink"/>
              </w:rPr>
              <w:t>Sistem Hukum Barat</w:t>
              <w:tab/>
              <w:t>28</w:t>
            </w:r>
          </w:hyperlink>
        </w:p>
        <w:p>
          <w:pPr>
            <w:pStyle w:val="Contents3"/>
            <w:tabs>
              <w:tab w:val="clear" w:pos="8459"/>
              <w:tab w:val="right" w:pos="9026" w:leader="dot"/>
            </w:tabs>
            <w:bidi w:val="0"/>
            <w:rPr/>
          </w:pPr>
          <w:hyperlink w:anchor="__RefHeading___Toc419480_653776707">
            <w:r>
              <w:rPr>
                <w:webHidden/>
                <w:rStyle w:val="IndexLink"/>
              </w:rPr>
              <w:t>Relasi Kemurtadan-Penistaan Simbol Sakral</w:t>
              <w:tab/>
              <w:t>31</w:t>
            </w:r>
          </w:hyperlink>
        </w:p>
        <w:p>
          <w:pPr>
            <w:pStyle w:val="Contents3"/>
            <w:tabs>
              <w:tab w:val="clear" w:pos="8459"/>
              <w:tab w:val="right" w:pos="9026" w:leader="dot"/>
            </w:tabs>
            <w:bidi w:val="0"/>
            <w:rPr/>
          </w:pPr>
          <w:hyperlink w:anchor="__RefHeading___Toc419482_653776707">
            <w:r>
              <w:rPr>
                <w:webHidden/>
                <w:rStyle w:val="IndexLink"/>
              </w:rPr>
              <w:t>Definisi dan Bentuk Konkret Ajaran Niscaya</w:t>
              <w:tab/>
              <w:t>34</w:t>
            </w:r>
          </w:hyperlink>
        </w:p>
        <w:p>
          <w:pPr>
            <w:pStyle w:val="Contents3"/>
            <w:tabs>
              <w:tab w:val="clear" w:pos="8459"/>
              <w:tab w:val="right" w:pos="9026" w:leader="dot"/>
            </w:tabs>
            <w:bidi w:val="0"/>
            <w:rPr/>
          </w:pPr>
          <w:hyperlink w:anchor="__RefHeading___Toc419484_653776707">
            <w:r>
              <w:rPr>
                <w:webHidden/>
                <w:rStyle w:val="IndexLink"/>
              </w:rPr>
              <w:t>Pengertian</w:t>
              <w:tab/>
              <w:t>34</w:t>
            </w:r>
          </w:hyperlink>
        </w:p>
        <w:p>
          <w:pPr>
            <w:pStyle w:val="Contents3"/>
            <w:tabs>
              <w:tab w:val="clear" w:pos="8459"/>
              <w:tab w:val="right" w:pos="9026" w:leader="dot"/>
            </w:tabs>
            <w:bidi w:val="0"/>
            <w:rPr/>
          </w:pPr>
          <w:hyperlink w:anchor="__RefHeading___Toc419486_653776707">
            <w:r>
              <w:rPr>
                <w:webHidden/>
                <w:rStyle w:val="IndexLink"/>
              </w:rPr>
              <w:t>4. Bentuk Konkret</w:t>
              <w:tab/>
              <w:t>36</w:t>
            </w:r>
          </w:hyperlink>
        </w:p>
        <w:p>
          <w:pPr>
            <w:pStyle w:val="Contents3"/>
            <w:tabs>
              <w:tab w:val="clear" w:pos="8459"/>
              <w:tab w:val="right" w:pos="9026" w:leader="dot"/>
            </w:tabs>
            <w:bidi w:val="0"/>
            <w:rPr/>
          </w:pPr>
          <w:hyperlink w:anchor="__RefHeading___Toc419488_653776707">
            <w:r>
              <w:rPr>
                <w:webHidden/>
                <w:rStyle w:val="IndexLink"/>
              </w:rPr>
              <w:t>Kemurtadan dan Landasan Syariatnya</w:t>
              <w:tab/>
              <w:t>39</w:t>
            </w:r>
          </w:hyperlink>
        </w:p>
        <w:p>
          <w:pPr>
            <w:pStyle w:val="Contents3"/>
            <w:tabs>
              <w:tab w:val="clear" w:pos="8459"/>
              <w:tab w:val="right" w:pos="9026" w:leader="dot"/>
            </w:tabs>
            <w:bidi w:val="0"/>
            <w:rPr/>
          </w:pPr>
          <w:hyperlink w:anchor="__RefHeading___Toc419490_653776707">
            <w:r>
              <w:rPr>
                <w:webHidden/>
                <w:rStyle w:val="IndexLink"/>
              </w:rPr>
              <w:t>Kritik atas Landasan Riwayat</w:t>
              <w:tab/>
              <w:t>39</w:t>
            </w:r>
          </w:hyperlink>
        </w:p>
        <w:p>
          <w:pPr>
            <w:pStyle w:val="Contents3"/>
            <w:tabs>
              <w:tab w:val="clear" w:pos="8459"/>
              <w:tab w:val="right" w:pos="9026" w:leader="dot"/>
            </w:tabs>
            <w:bidi w:val="0"/>
            <w:rPr/>
          </w:pPr>
          <w:hyperlink w:anchor="__RefHeading___Toc419492_653776707">
            <w:r>
              <w:rPr>
                <w:webHidden/>
                <w:rStyle w:val="IndexLink"/>
              </w:rPr>
              <w:t>Kritik atas Landasan Al-Qur'an</w:t>
              <w:tab/>
              <w:t>42</w:t>
            </w:r>
          </w:hyperlink>
        </w:p>
        <w:p>
          <w:pPr>
            <w:pStyle w:val="Contents3"/>
            <w:tabs>
              <w:tab w:val="clear" w:pos="8459"/>
              <w:tab w:val="right" w:pos="9026" w:leader="dot"/>
            </w:tabs>
            <w:bidi w:val="0"/>
            <w:rPr/>
          </w:pPr>
          <w:hyperlink w:anchor="__RefHeading___Toc419494_653776707">
            <w:r>
              <w:rPr>
                <w:webHidden/>
                <w:rStyle w:val="IndexLink"/>
              </w:rPr>
              <w:t>Kritik atas Penegakan Hukum di Masa Kegaiban</w:t>
              <w:tab/>
              <w:t>46</w:t>
            </w:r>
          </w:hyperlink>
        </w:p>
        <w:p>
          <w:pPr>
            <w:pStyle w:val="Contents3"/>
            <w:tabs>
              <w:tab w:val="clear" w:pos="8459"/>
              <w:tab w:val="right" w:pos="9026" w:leader="dot"/>
            </w:tabs>
            <w:bidi w:val="0"/>
            <w:rPr/>
          </w:pPr>
          <w:hyperlink w:anchor="__RefHeading___Toc419496_653776707">
            <w:r>
              <w:rPr>
                <w:webHidden/>
                <w:rStyle w:val="IndexLink"/>
              </w:rPr>
              <w:t>Ikhtisar</w:t>
              <w:tab/>
              <w:t>56</w:t>
            </w:r>
          </w:hyperlink>
        </w:p>
        <w:p>
          <w:pPr>
            <w:pStyle w:val="Contents2"/>
            <w:tabs>
              <w:tab w:val="clear" w:pos="8743"/>
              <w:tab w:val="right" w:pos="9026" w:leader="dot"/>
            </w:tabs>
            <w:bidi w:val="0"/>
            <w:rPr/>
          </w:pPr>
          <w:hyperlink w:anchor="__RefHeading___Toc419498_653776707">
            <w:r>
              <w:rPr>
                <w:webHidden/>
                <w:rStyle w:val="IndexLink"/>
              </w:rPr>
              <w:t>BAB II:Kemurtadan dalam Konteks Intelektualitas dan Ilmiah</w:t>
              <w:tab/>
              <w:t>63</w:t>
            </w:r>
          </w:hyperlink>
        </w:p>
        <w:p>
          <w:pPr>
            <w:pStyle w:val="Contents3"/>
            <w:tabs>
              <w:tab w:val="clear" w:pos="8459"/>
              <w:tab w:val="right" w:pos="9026" w:leader="dot"/>
            </w:tabs>
            <w:bidi w:val="0"/>
            <w:rPr/>
          </w:pPr>
          <w:hyperlink w:anchor="__RefHeading___Toc419500_653776707">
            <w:r>
              <w:rPr>
                <w:webHidden/>
                <w:rStyle w:val="IndexLink"/>
              </w:rPr>
              <w:t>Point</w:t>
              <w:tab/>
              <w:t>63</w:t>
            </w:r>
          </w:hyperlink>
        </w:p>
        <w:p>
          <w:pPr>
            <w:pStyle w:val="Contents3"/>
            <w:tabs>
              <w:tab w:val="clear" w:pos="8459"/>
              <w:tab w:val="right" w:pos="9026" w:leader="dot"/>
            </w:tabs>
            <w:bidi w:val="0"/>
            <w:rPr/>
          </w:pPr>
          <w:hyperlink w:anchor="__RefHeading___Toc419502_653776707">
            <w:r>
              <w:rPr>
                <w:webHidden/>
                <w:rStyle w:val="IndexLink"/>
              </w:rPr>
              <w:t>Kemurtadan dan Keraguan Ushuluddin</w:t>
              <w:tab/>
              <w:t>64</w:t>
            </w:r>
          </w:hyperlink>
        </w:p>
        <w:p>
          <w:pPr>
            <w:pStyle w:val="Contents3"/>
            <w:tabs>
              <w:tab w:val="clear" w:pos="8459"/>
              <w:tab w:val="right" w:pos="9026" w:leader="dot"/>
            </w:tabs>
            <w:bidi w:val="0"/>
            <w:rPr/>
          </w:pPr>
          <w:hyperlink w:anchor="__RefHeading___Toc419504_653776707">
            <w:r>
              <w:rPr>
                <w:webHidden/>
                <w:rStyle w:val="IndexLink"/>
              </w:rPr>
              <w:t>Pandangan Fukaha</w:t>
              <w:tab/>
              <w:t>64</w:t>
            </w:r>
          </w:hyperlink>
        </w:p>
        <w:p>
          <w:pPr>
            <w:pStyle w:val="Contents3"/>
            <w:tabs>
              <w:tab w:val="clear" w:pos="8459"/>
              <w:tab w:val="right" w:pos="9026" w:leader="dot"/>
            </w:tabs>
            <w:bidi w:val="0"/>
            <w:rPr/>
          </w:pPr>
          <w:hyperlink w:anchor="__RefHeading___Toc419506_653776707">
            <w:r>
              <w:rPr>
                <w:webHidden/>
                <w:rStyle w:val="IndexLink"/>
              </w:rPr>
              <w:t>Evaluasi Kritis</w:t>
              <w:tab/>
              <w:t>66</w:t>
            </w:r>
          </w:hyperlink>
        </w:p>
        <w:p>
          <w:pPr>
            <w:pStyle w:val="Contents3"/>
            <w:tabs>
              <w:tab w:val="clear" w:pos="8459"/>
              <w:tab w:val="right" w:pos="9026" w:leader="dot"/>
            </w:tabs>
            <w:bidi w:val="0"/>
            <w:rPr/>
          </w:pPr>
          <w:hyperlink w:anchor="__RefHeading___Toc419508_653776707">
            <w:r>
              <w:rPr>
                <w:webHidden/>
                <w:rStyle w:val="IndexLink"/>
              </w:rPr>
              <w:t>Makna Kafir</w:t>
              <w:tab/>
              <w:t>66</w:t>
            </w:r>
          </w:hyperlink>
        </w:p>
        <w:p>
          <w:pPr>
            <w:pStyle w:val="Contents3"/>
            <w:tabs>
              <w:tab w:val="clear" w:pos="8459"/>
              <w:tab w:val="right" w:pos="9026" w:leader="dot"/>
            </w:tabs>
            <w:bidi w:val="0"/>
            <w:rPr/>
          </w:pPr>
          <w:hyperlink w:anchor="__RefHeading___Toc419510_653776707">
            <w:r>
              <w:rPr>
                <w:webHidden/>
                <w:rStyle w:val="IndexLink"/>
              </w:rPr>
              <w:t>Makna 'Lemah Pikiran'</w:t>
              <w:tab/>
              <w:t>67</w:t>
            </w:r>
          </w:hyperlink>
        </w:p>
        <w:p>
          <w:pPr>
            <w:pStyle w:val="Contents3"/>
            <w:tabs>
              <w:tab w:val="clear" w:pos="8459"/>
              <w:tab w:val="right" w:pos="9026" w:leader="dot"/>
            </w:tabs>
            <w:bidi w:val="0"/>
            <w:rPr/>
          </w:pPr>
          <w:hyperlink w:anchor="__RefHeading___Toc419512_653776707">
            <w:r>
              <w:rPr>
                <w:webHidden/>
                <w:rStyle w:val="IndexLink"/>
              </w:rPr>
              <w:t>Keraguan dan Bisikan Hati</w:t>
              <w:tab/>
              <w:t>68</w:t>
            </w:r>
          </w:hyperlink>
        </w:p>
        <w:p>
          <w:pPr>
            <w:pStyle w:val="Contents3"/>
            <w:tabs>
              <w:tab w:val="clear" w:pos="8459"/>
              <w:tab w:val="right" w:pos="9026" w:leader="dot"/>
            </w:tabs>
            <w:bidi w:val="0"/>
            <w:rPr/>
          </w:pPr>
          <w:hyperlink w:anchor="__RefHeading___Toc419514_653776707">
            <w:r>
              <w:rPr>
                <w:webHidden/>
                <w:rStyle w:val="IndexLink"/>
              </w:rPr>
              <w:t>Munafik Sehukum Muslim</w:t>
              <w:tab/>
              <w:t>73</w:t>
            </w:r>
          </w:hyperlink>
        </w:p>
        <w:p>
          <w:pPr>
            <w:pStyle w:val="Contents3"/>
            <w:tabs>
              <w:tab w:val="clear" w:pos="8459"/>
              <w:tab w:val="right" w:pos="9026" w:leader="dot"/>
            </w:tabs>
            <w:bidi w:val="0"/>
            <w:rPr/>
          </w:pPr>
          <w:hyperlink w:anchor="__RefHeading___Toc419516_653776707">
            <w:r>
              <w:rPr>
                <w:webHidden/>
                <w:rStyle w:val="IndexLink"/>
              </w:rPr>
              <w:t>Relasi Dua Pengingkaran: Ajaran Niscaya dan Eksistensi Agama</w:t>
              <w:tab/>
              <w:t>76</w:t>
            </w:r>
          </w:hyperlink>
        </w:p>
        <w:p>
          <w:pPr>
            <w:pStyle w:val="Contents3"/>
            <w:tabs>
              <w:tab w:val="clear" w:pos="8459"/>
              <w:tab w:val="right" w:pos="9026" w:leader="dot"/>
            </w:tabs>
            <w:bidi w:val="0"/>
            <w:rPr/>
          </w:pPr>
          <w:hyperlink w:anchor="__RefHeading___Toc419518_653776707">
            <w:r>
              <w:rPr>
                <w:webHidden/>
                <w:rStyle w:val="IndexLink"/>
              </w:rPr>
              <w:t>Teori Variabel Independen</w:t>
              <w:tab/>
              <w:t>76</w:t>
            </w:r>
          </w:hyperlink>
        </w:p>
        <w:p>
          <w:pPr>
            <w:pStyle w:val="Contents3"/>
            <w:tabs>
              <w:tab w:val="clear" w:pos="8459"/>
              <w:tab w:val="right" w:pos="9026" w:leader="dot"/>
            </w:tabs>
            <w:bidi w:val="0"/>
            <w:rPr/>
          </w:pPr>
          <w:hyperlink w:anchor="__RefHeading___Toc419520_653776707">
            <w:r>
              <w:rPr>
                <w:webHidden/>
                <w:rStyle w:val="IndexLink"/>
              </w:rPr>
              <w:t>Teori Implikasi</w:t>
              <w:tab/>
              <w:t>78</w:t>
            </w:r>
          </w:hyperlink>
        </w:p>
        <w:p>
          <w:pPr>
            <w:pStyle w:val="Contents3"/>
            <w:tabs>
              <w:tab w:val="clear" w:pos="8459"/>
              <w:tab w:val="right" w:pos="9026" w:leader="dot"/>
            </w:tabs>
            <w:bidi w:val="0"/>
            <w:rPr/>
          </w:pPr>
          <w:hyperlink w:anchor="__RefHeading___Toc419522_653776707">
            <w:r>
              <w:rPr>
                <w:webHidden/>
                <w:rStyle w:val="IndexLink"/>
              </w:rPr>
              <w:t>Kemurtadan Intelektual</w:t>
              <w:tab/>
              <w:t>83</w:t>
            </w:r>
          </w:hyperlink>
        </w:p>
        <w:p>
          <w:pPr>
            <w:pStyle w:val="Contents3"/>
            <w:tabs>
              <w:tab w:val="clear" w:pos="8459"/>
              <w:tab w:val="right" w:pos="9026" w:leader="dot"/>
            </w:tabs>
            <w:bidi w:val="0"/>
            <w:rPr/>
          </w:pPr>
          <w:hyperlink w:anchor="__RefHeading___Toc419524_653776707">
            <w:r>
              <w:rPr>
                <w:webHidden/>
                <w:rStyle w:val="IndexLink"/>
              </w:rPr>
              <w:t>Mengingkari Prinsip Tauhid dan Kenabian</w:t>
              <w:tab/>
              <w:t>83</w:t>
            </w:r>
          </w:hyperlink>
        </w:p>
        <w:p>
          <w:pPr>
            <w:pStyle w:val="Contents3"/>
            <w:tabs>
              <w:tab w:val="clear" w:pos="8459"/>
              <w:tab w:val="right" w:pos="9026" w:leader="dot"/>
            </w:tabs>
            <w:bidi w:val="0"/>
            <w:rPr/>
          </w:pPr>
          <w:hyperlink w:anchor="__RefHeading___Toc419526_653776707">
            <w:r>
              <w:rPr>
                <w:webHidden/>
                <w:rStyle w:val="IndexLink"/>
              </w:rPr>
              <w:t>Mengingkari Ajaran Niscaya</w:t>
              <w:tab/>
              <w:t>84</w:t>
            </w:r>
          </w:hyperlink>
        </w:p>
        <w:p>
          <w:pPr>
            <w:pStyle w:val="Contents3"/>
            <w:tabs>
              <w:tab w:val="clear" w:pos="8459"/>
              <w:tab w:val="right" w:pos="9026" w:leader="dot"/>
            </w:tabs>
            <w:bidi w:val="0"/>
            <w:rPr/>
          </w:pPr>
          <w:hyperlink w:anchor="__RefHeading___Toc419528_653776707">
            <w:r>
              <w:rPr>
                <w:webHidden/>
                <w:rStyle w:val="IndexLink"/>
              </w:rPr>
              <w:t>Kemurtadan Intelektual berdasarkan Teori Variabel Independen</w:t>
              <w:tab/>
              <w:t>93</w:t>
            </w:r>
          </w:hyperlink>
        </w:p>
        <w:p>
          <w:pPr>
            <w:pStyle w:val="Contents3"/>
            <w:tabs>
              <w:tab w:val="clear" w:pos="8459"/>
              <w:tab w:val="right" w:pos="9026" w:leader="dot"/>
            </w:tabs>
            <w:bidi w:val="0"/>
            <w:rPr/>
          </w:pPr>
          <w:hyperlink w:anchor="__RefHeading___Toc419530_653776707">
            <w:r>
              <w:rPr>
                <w:webHidden/>
                <w:rStyle w:val="IndexLink"/>
              </w:rPr>
              <w:t>Kemurtadan Intelektual di Era Awal Islam</w:t>
              <w:tab/>
              <w:t>95</w:t>
            </w:r>
          </w:hyperlink>
        </w:p>
        <w:p>
          <w:pPr>
            <w:pStyle w:val="Contents3"/>
            <w:tabs>
              <w:tab w:val="clear" w:pos="8459"/>
              <w:tab w:val="right" w:pos="9026" w:leader="dot"/>
            </w:tabs>
            <w:bidi w:val="0"/>
            <w:rPr/>
          </w:pPr>
          <w:hyperlink w:anchor="__RefHeading___Toc419532_653776707">
            <w:r>
              <w:rPr>
                <w:webHidden/>
                <w:rStyle w:val="IndexLink"/>
              </w:rPr>
              <w:t>Periode Abu Bakar</w:t>
              <w:tab/>
              <w:t>95</w:t>
            </w:r>
          </w:hyperlink>
        </w:p>
        <w:p>
          <w:pPr>
            <w:pStyle w:val="Contents3"/>
            <w:tabs>
              <w:tab w:val="clear" w:pos="8459"/>
              <w:tab w:val="right" w:pos="9026" w:leader="dot"/>
            </w:tabs>
            <w:bidi w:val="0"/>
            <w:rPr/>
          </w:pPr>
          <w:hyperlink w:anchor="__RefHeading___Toc419534_653776707">
            <w:r>
              <w:rPr>
                <w:webHidden/>
                <w:rStyle w:val="IndexLink"/>
              </w:rPr>
              <w:t>Periode Ali bin Abi Thalib</w:t>
              <w:tab/>
              <w:t>97</w:t>
            </w:r>
          </w:hyperlink>
        </w:p>
        <w:p>
          <w:pPr>
            <w:pStyle w:val="Contents3"/>
            <w:tabs>
              <w:tab w:val="clear" w:pos="8459"/>
              <w:tab w:val="right" w:pos="9026" w:leader="dot"/>
            </w:tabs>
            <w:bidi w:val="0"/>
            <w:rPr/>
          </w:pPr>
          <w:hyperlink w:anchor="__RefHeading___Toc419536_653776707">
            <w:r>
              <w:rPr>
                <w:webHidden/>
                <w:rStyle w:val="IndexLink"/>
              </w:rPr>
              <w:t>Ikhtisar</w:t>
              <w:tab/>
              <w:t>99</w:t>
            </w:r>
          </w:hyperlink>
        </w:p>
        <w:p>
          <w:pPr>
            <w:pStyle w:val="Contents2"/>
            <w:tabs>
              <w:tab w:val="clear" w:pos="8743"/>
              <w:tab w:val="right" w:pos="9026" w:leader="dot"/>
            </w:tabs>
            <w:bidi w:val="0"/>
            <w:rPr/>
          </w:pPr>
          <w:hyperlink w:anchor="__RefHeading___Toc419538_653776707">
            <w:r>
              <w:rPr>
                <w:webHidden/>
                <w:rStyle w:val="IndexLink"/>
              </w:rPr>
              <w:t>BAB III:Eksekusi Hukuman Murtad dan Penista Simbol Sakral</w:t>
              <w:tab/>
              <w:t>107</w:t>
            </w:r>
          </w:hyperlink>
        </w:p>
        <w:p>
          <w:pPr>
            <w:pStyle w:val="Contents3"/>
            <w:tabs>
              <w:tab w:val="clear" w:pos="8459"/>
              <w:tab w:val="right" w:pos="9026" w:leader="dot"/>
            </w:tabs>
            <w:bidi w:val="0"/>
            <w:rPr/>
          </w:pPr>
          <w:hyperlink w:anchor="__RefHeading___Toc419540_653776707">
            <w:r>
              <w:rPr>
                <w:webHidden/>
                <w:rStyle w:val="IndexLink"/>
              </w:rPr>
              <w:t>Point</w:t>
              <w:tab/>
              <w:t>107</w:t>
            </w:r>
          </w:hyperlink>
        </w:p>
        <w:p>
          <w:pPr>
            <w:pStyle w:val="Contents3"/>
            <w:tabs>
              <w:tab w:val="clear" w:pos="8459"/>
              <w:tab w:val="right" w:pos="9026" w:leader="dot"/>
            </w:tabs>
            <w:bidi w:val="0"/>
            <w:rPr/>
          </w:pPr>
          <w:hyperlink w:anchor="__RefHeading___Toc419542_653776707">
            <w:r>
              <w:rPr>
                <w:webHidden/>
                <w:rStyle w:val="IndexLink"/>
              </w:rPr>
              <w:t>Eksekusi Hukuman Murtad</w:t>
              <w:tab/>
              <w:t>107</w:t>
            </w:r>
          </w:hyperlink>
        </w:p>
        <w:p>
          <w:pPr>
            <w:pStyle w:val="Contents3"/>
            <w:tabs>
              <w:tab w:val="clear" w:pos="8459"/>
              <w:tab w:val="right" w:pos="9026" w:leader="dot"/>
            </w:tabs>
            <w:bidi w:val="0"/>
            <w:rPr/>
          </w:pPr>
          <w:hyperlink w:anchor="__RefHeading___Toc419544_653776707">
            <w:r>
              <w:rPr>
                <w:webHidden/>
                <w:rStyle w:val="IndexLink"/>
              </w:rPr>
              <w:t>Eksekusi Hukuman Penista Simbol Sakral</w:t>
              <w:tab/>
              <w:t>109</w:t>
            </w:r>
          </w:hyperlink>
        </w:p>
        <w:p>
          <w:pPr>
            <w:pStyle w:val="Contents3"/>
            <w:tabs>
              <w:tab w:val="clear" w:pos="8459"/>
              <w:tab w:val="right" w:pos="9026" w:leader="dot"/>
            </w:tabs>
            <w:bidi w:val="0"/>
            <w:rPr/>
          </w:pPr>
          <w:hyperlink w:anchor="__RefHeading___Toc419546_653776707">
            <w:r>
              <w:rPr>
                <w:webHidden/>
                <w:rStyle w:val="IndexLink"/>
              </w:rPr>
              <w:t>Hukuman Penistaan Simbol Sakral</w:t>
              <w:tab/>
              <w:t>109</w:t>
            </w:r>
          </w:hyperlink>
        </w:p>
        <w:p>
          <w:pPr>
            <w:pStyle w:val="Contents3"/>
            <w:tabs>
              <w:tab w:val="clear" w:pos="8459"/>
              <w:tab w:val="right" w:pos="9026" w:leader="dot"/>
            </w:tabs>
            <w:bidi w:val="0"/>
            <w:rPr/>
          </w:pPr>
          <w:hyperlink w:anchor="__RefHeading___Toc419548_653776707">
            <w:r>
              <w:rPr>
                <w:webHidden/>
                <w:rStyle w:val="IndexLink"/>
              </w:rPr>
              <w:t>Hukuman Penistaan Simbol Sakral oleh Pemerintah Islam</w:t>
              <w:tab/>
              <w:t>113</w:t>
            </w:r>
          </w:hyperlink>
        </w:p>
        <w:p>
          <w:pPr>
            <w:pStyle w:val="Contents3"/>
            <w:tabs>
              <w:tab w:val="clear" w:pos="8459"/>
              <w:tab w:val="right" w:pos="9026" w:leader="dot"/>
            </w:tabs>
            <w:bidi w:val="0"/>
            <w:rPr/>
          </w:pPr>
          <w:hyperlink w:anchor="__RefHeading___Toc419550_653776707">
            <w:r>
              <w:rPr>
                <w:webHidden/>
                <w:rStyle w:val="IndexLink"/>
              </w:rPr>
              <w:t>Ikhtisar</w:t>
              <w:tab/>
              <w:t>116</w:t>
            </w:r>
          </w:hyperlink>
        </w:p>
        <w:p>
          <w:pPr>
            <w:pStyle w:val="Contents2"/>
            <w:tabs>
              <w:tab w:val="clear" w:pos="8743"/>
              <w:tab w:val="right" w:pos="9026" w:leader="dot"/>
            </w:tabs>
            <w:bidi w:val="0"/>
            <w:rPr/>
          </w:pPr>
          <w:hyperlink w:anchor="__RefHeading___Toc419552_653776707">
            <w:r>
              <w:rPr>
                <w:webHidden/>
                <w:rStyle w:val="IndexLink"/>
              </w:rPr>
              <w:t>BAB IV Falsafah Kemurtadan dan Penistaan Simbol Sakral</w:t>
              <w:tab/>
              <w:t>119</w:t>
            </w:r>
          </w:hyperlink>
        </w:p>
        <w:p>
          <w:pPr>
            <w:pStyle w:val="Contents3"/>
            <w:tabs>
              <w:tab w:val="clear" w:pos="8459"/>
              <w:tab w:val="right" w:pos="9026" w:leader="dot"/>
            </w:tabs>
            <w:bidi w:val="0"/>
            <w:rPr/>
          </w:pPr>
          <w:hyperlink w:anchor="__RefHeading___Toc419554_653776707">
            <w:r>
              <w:rPr>
                <w:webHidden/>
                <w:rStyle w:val="IndexLink"/>
              </w:rPr>
              <w:t>Point</w:t>
              <w:tab/>
              <w:t>119</w:t>
            </w:r>
          </w:hyperlink>
        </w:p>
        <w:p>
          <w:pPr>
            <w:pStyle w:val="Contents3"/>
            <w:tabs>
              <w:tab w:val="clear" w:pos="8459"/>
              <w:tab w:val="right" w:pos="9026" w:leader="dot"/>
            </w:tabs>
            <w:bidi w:val="0"/>
            <w:rPr/>
          </w:pPr>
          <w:hyperlink w:anchor="__RefHeading___Toc419556_653776707">
            <w:r>
              <w:rPr>
                <w:webHidden/>
                <w:rStyle w:val="IndexLink"/>
              </w:rPr>
              <w:t>Falsafah Pidana Kemurtadan</w:t>
              <w:tab/>
              <w:t>119</w:t>
            </w:r>
          </w:hyperlink>
        </w:p>
        <w:p>
          <w:pPr>
            <w:pStyle w:val="Contents3"/>
            <w:tabs>
              <w:tab w:val="clear" w:pos="8459"/>
              <w:tab w:val="right" w:pos="9026" w:leader="dot"/>
            </w:tabs>
            <w:bidi w:val="0"/>
            <w:rPr/>
          </w:pPr>
          <w:hyperlink w:anchor="__RefHeading___Toc419558_653776707">
            <w:r>
              <w:rPr>
                <w:webHidden/>
                <w:rStyle w:val="IndexLink"/>
              </w:rPr>
              <w:t>Ancaman Ketertiban Umum dan Etika Sosial</w:t>
              <w:tab/>
              <w:t>120</w:t>
            </w:r>
          </w:hyperlink>
        </w:p>
        <w:p>
          <w:pPr>
            <w:pStyle w:val="Contents3"/>
            <w:tabs>
              <w:tab w:val="clear" w:pos="8459"/>
              <w:tab w:val="right" w:pos="9026" w:leader="dot"/>
            </w:tabs>
            <w:bidi w:val="0"/>
            <w:rPr/>
          </w:pPr>
          <w:hyperlink w:anchor="__RefHeading___Toc419560_653776707">
            <w:r>
              <w:rPr>
                <w:webHidden/>
                <w:rStyle w:val="IndexLink"/>
              </w:rPr>
              <w:t>Definisi</w:t>
              <w:tab/>
              <w:t>120</w:t>
            </w:r>
          </w:hyperlink>
        </w:p>
        <w:p>
          <w:pPr>
            <w:pStyle w:val="Contents3"/>
            <w:tabs>
              <w:tab w:val="clear" w:pos="8459"/>
              <w:tab w:val="right" w:pos="9026" w:leader="dot"/>
            </w:tabs>
            <w:bidi w:val="0"/>
            <w:rPr/>
          </w:pPr>
          <w:hyperlink w:anchor="__RefHeading___Toc419562_653776707">
            <w:r>
              <w:rPr>
                <w:webHidden/>
                <w:rStyle w:val="IndexLink"/>
              </w:rPr>
              <w:t>Peran Agama</w:t>
              <w:tab/>
              <w:t>120</w:t>
            </w:r>
          </w:hyperlink>
        </w:p>
        <w:p>
          <w:pPr>
            <w:pStyle w:val="Contents3"/>
            <w:tabs>
              <w:tab w:val="clear" w:pos="8459"/>
              <w:tab w:val="right" w:pos="9026" w:leader="dot"/>
            </w:tabs>
            <w:bidi w:val="0"/>
            <w:rPr/>
          </w:pPr>
          <w:hyperlink w:anchor="__RefHeading___Toc419564_653776707">
            <w:r>
              <w:rPr>
                <w:webHidden/>
                <w:rStyle w:val="IndexLink"/>
              </w:rPr>
              <w:t>Relasi Kemurtadan dan Hukum Eksekutif</w:t>
              <w:tab/>
              <w:t>123</w:t>
            </w:r>
          </w:hyperlink>
        </w:p>
        <w:p>
          <w:pPr>
            <w:pStyle w:val="Contents3"/>
            <w:tabs>
              <w:tab w:val="clear" w:pos="8459"/>
              <w:tab w:val="right" w:pos="9026" w:leader="dot"/>
            </w:tabs>
            <w:bidi w:val="0"/>
            <w:rPr/>
          </w:pPr>
          <w:hyperlink w:anchor="__RefHeading___Toc419566_653776707">
            <w:r>
              <w:rPr>
                <w:webHidden/>
                <w:rStyle w:val="IndexLink"/>
              </w:rPr>
              <w:t>Batas Kebebasan Berekspresi di Barat</w:t>
              <w:tab/>
              <w:t>128</w:t>
            </w:r>
          </w:hyperlink>
        </w:p>
        <w:p>
          <w:pPr>
            <w:pStyle w:val="Contents3"/>
            <w:tabs>
              <w:tab w:val="clear" w:pos="8459"/>
              <w:tab w:val="right" w:pos="9026" w:leader="dot"/>
            </w:tabs>
            <w:bidi w:val="0"/>
            <w:rPr/>
          </w:pPr>
          <w:hyperlink w:anchor="__RefHeading___Toc419568_653776707">
            <w:r>
              <w:rPr>
                <w:webHidden/>
                <w:rStyle w:val="IndexLink"/>
              </w:rPr>
              <w:t>Falsafah Pidana Penistaan Simbol Sakral</w:t>
              <w:tab/>
              <w:t>133</w:t>
            </w:r>
          </w:hyperlink>
        </w:p>
        <w:p>
          <w:pPr>
            <w:pStyle w:val="Contents3"/>
            <w:tabs>
              <w:tab w:val="clear" w:pos="8459"/>
              <w:tab w:val="right" w:pos="9026" w:leader="dot"/>
            </w:tabs>
            <w:bidi w:val="0"/>
            <w:rPr/>
          </w:pPr>
          <w:hyperlink w:anchor="__RefHeading___Toc419570_653776707">
            <w:r>
              <w:rPr>
                <w:webHidden/>
                <w:rStyle w:val="IndexLink"/>
              </w:rPr>
              <w:t>Ikhtisar</w:t>
              <w:tab/>
              <w:t>138</w:t>
            </w:r>
          </w:hyperlink>
        </w:p>
        <w:p>
          <w:pPr>
            <w:pStyle w:val="Contents2"/>
            <w:tabs>
              <w:tab w:val="clear" w:pos="8743"/>
              <w:tab w:val="right" w:pos="9026" w:leader="dot"/>
            </w:tabs>
            <w:bidi w:val="0"/>
            <w:rPr/>
          </w:pPr>
          <w:hyperlink w:anchor="__RefHeading___Toc419572_653776707">
            <w:r>
              <w:rPr>
                <w:webHidden/>
                <w:rStyle w:val="IndexLink"/>
              </w:rPr>
              <w:t>Daftar Pustaka</w:t>
              <w:tab/>
              <w:t>143</w:t>
            </w:r>
          </w:hyperlink>
        </w:p>
        <w:p>
          <w:pPr>
            <w:pStyle w:val="Contents2"/>
            <w:tabs>
              <w:tab w:val="clear" w:pos="8743"/>
              <w:tab w:val="right" w:pos="9026" w:leader="dot"/>
            </w:tabs>
            <w:bidi w:val="0"/>
            <w:rPr/>
          </w:pPr>
          <w:hyperlink w:anchor="__RefHeading___Toc419574_653776707">
            <w:r>
              <w:rPr>
                <w:webHidden/>
                <w:rStyle w:val="IndexLink"/>
              </w:rPr>
              <w:t>Indeks</w:t>
              <w:tab/>
              <w:t>151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391_42873"/>
      <w:bookmarkStart w:id="1" w:name="pg6391_42873"/>
      <w:bookmarkEnd w:id="1"/>
    </w:p>
    <w:p>
      <w:pPr>
        <w:pStyle w:val="Heading2"/>
        <w:numPr>
          <w:ilvl w:val="1"/>
          <w:numId w:val="1"/>
        </w:numPr>
        <w:bidi w:val="0"/>
        <w:jc w:val="left"/>
        <w:rPr/>
      </w:pPr>
      <w:bookmarkStart w:id="2" w:name="pg6391_42873"/>
      <w:bookmarkStart w:id="3" w:name="__RefHeading___Toc419448_653776707"/>
      <w:bookmarkStart w:id="4" w:name="_Toc1"/>
      <w:bookmarkEnd w:id="2"/>
      <w:bookmarkEnd w:id="3"/>
      <w:r>
        <w:rPr/>
        <w:t>BOOK ID</w:t>
      </w:r>
      <w:bookmarkEnd w:id="4"/>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سیدحسین،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Hasyim, Sayyid Husain</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ارت‍داد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Hukum murtad hak Allah atau manusia[Book]‏</w:t>
      </w:r>
      <w:r>
        <w:rPr>
          <w:rFonts w:eastAsia="Times New Roman" w:cs="Times New Roman" w:ascii="Times New Roman" w:hAnsi="Times New Roman"/>
          <w:color w:val="111111"/>
          <w:sz w:val="28"/>
          <w:szCs w:val="28"/>
          <w:lang w:val="en-US"/>
        </w:rPr>
        <w:t>‫‭/ Sayyid Husain Hasyimi‏</w:t>
      </w:r>
      <w:r>
        <w:rPr>
          <w:rFonts w:eastAsia="Times New Roman" w:cs="Times New Roman" w:ascii="Times New Roman" w:hAnsi="Times New Roman"/>
          <w:color w:val="111111"/>
          <w:sz w:val="28"/>
          <w:szCs w:val="28"/>
          <w:lang w:val="en-US"/>
        </w:rPr>
        <w:t>‫‭; penterjemah: Nasir Dimyati.</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Qom‏</w:t>
      </w:r>
      <w:r>
        <w:rPr>
          <w:rFonts w:eastAsia="Times New Roman" w:cs="Times New Roman" w:ascii="Times New Roman" w:hAnsi="Times New Roman"/>
          <w:color w:val="111111"/>
          <w:sz w:val="28"/>
          <w:szCs w:val="28"/>
          <w:lang w:val="en-US"/>
        </w:rPr>
        <w:t>‫‭: pusat penerbitan danpenterjemahan internasional al Musthafa‏</w:t>
      </w:r>
      <w:r>
        <w:rPr>
          <w:rFonts w:eastAsia="Times New Roman" w:cs="Times New Roman" w:ascii="Times New Roman" w:hAnsi="Times New Roman"/>
          <w:color w:val="111111"/>
          <w:sz w:val="28"/>
          <w:szCs w:val="28"/>
          <w:lang w:val="en-US"/>
        </w:rPr>
        <w:t>‫‭, 2014‏</w:t>
      </w:r>
      <w:r>
        <w:rPr>
          <w:rFonts w:eastAsia="Times New Roman" w:cs="Times New Roman" w:ascii="Times New Roman" w:hAnsi="Times New Roman"/>
          <w:color w:val="111111"/>
          <w:sz w:val="28"/>
          <w:szCs w:val="28"/>
          <w:lang w:val="en-US"/>
        </w:rPr>
        <w:t>‫‭= 1393.</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۲۷۶</w:t>
      </w:r>
      <w:r>
        <w:rPr>
          <w:rFonts w:eastAsia="IRNazanin" w:cs="IRNazanin"/>
          <w:color w:val="111111"/>
          <w:sz w:val="28"/>
          <w:szCs w:val="28"/>
          <w:lang w:bidi="fa-IR"/>
        </w:rPr>
        <w:t>/</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نمایندگی المصطفی در اندونزی‏‫؛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‫‭978-964-195-061-5</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دیمیاطیناصر، مترجم</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DimyatiNasir</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Almustafa International University</w:t>
      </w:r>
      <w:r>
        <w:rPr>
          <w:rFonts w:eastAsia="Times New Roman" w:cs="Times New Roman" w:ascii="Times New Roman" w:hAnsi="Times New Roman"/>
          <w:color w:val="111111"/>
          <w:sz w:val="28"/>
          <w:szCs w:val="28"/>
          <w:lang w:val="en-US"/>
        </w:rPr>
        <w:t>‪Almustafa International Translation and Publication center</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ه‍۲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‌‬۴۰۴۹۵۱۹ ۱۳۹۳</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۳۶۴۹۵۰۹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19450_653776707"/>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Hukum Murtad</w:t>
      </w:r>
    </w:p>
    <w:p>
      <w:pPr>
        <w:pStyle w:val="BookText"/>
        <w:bidi w:val="0"/>
        <w:jc w:val="both"/>
        <w:rPr/>
      </w:pPr>
      <w:r>
        <w:rPr>
          <w:rFonts w:eastAsia="Times New Roman" w:cs="Times New Roman" w:ascii="Times New Roman" w:hAnsi="Times New Roman"/>
          <w:color w:val="111111"/>
          <w:sz w:val="28"/>
          <w:szCs w:val="28"/>
          <w:lang w:val="en-US"/>
        </w:rPr>
        <w:t>Hak Allah Atau Manusia</w:t>
      </w:r>
    </w:p>
    <w:p>
      <w:pPr>
        <w:pStyle w:val="BookText"/>
        <w:bidi w:val="0"/>
        <w:jc w:val="both"/>
        <w:rPr/>
      </w:pPr>
      <w:r>
        <w:rPr>
          <w:rFonts w:eastAsia="Times New Roman" w:cs="Times New Roman" w:ascii="Times New Roman" w:hAnsi="Times New Roman"/>
          <w:color w:val="111111"/>
          <w:sz w:val="28"/>
          <w:szCs w:val="28"/>
          <w:lang w:val="en-US"/>
        </w:rPr>
        <w:t>Sayyid Husain Hasyimi</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Nasir Dimyati</w:t>
      </w:r>
    </w:p>
    <w:p>
      <w:pPr>
        <w:pStyle w:val="BookText"/>
        <w:bidi w:val="0"/>
        <w:jc w:val="both"/>
        <w:rPr/>
      </w:pPr>
      <w:r>
        <w:rPr/>
        <mc:AlternateContent>
          <mc:Choice Requires="wps">
            <w:drawing>
              <wp:inline distT="0" distB="0" distL="0" distR="0">
                <wp:extent cx="787400" cy="889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787320" cy="888840"/>
                        </a:xfrm>
                        <a:prstGeom prst="rect">
                          <a:avLst/>
                        </a:prstGeom>
                        <a:ln w="0">
                          <a:noFill/>
                        </a:ln>
                      </pic:spPr>
                    </pic:pic>
                  </a:graphicData>
                </a:graphic>
              </wp:inline>
            </w:drawing>
          </mc:Choice>
          <mc:Fallback>
            <w:pict>
              <v:shape id="shape_0" stroked="f" o:allowincell="f" style="position:absolute;margin-left:0pt;margin-top:-70.05pt;width:61.95pt;height:6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Hukum Murtad Hak Allah Atau Manusia</w:t>
      </w:r>
    </w:p>
    <w:p>
      <w:pPr>
        <w:pStyle w:val="BookText"/>
        <w:bidi w:val="0"/>
        <w:jc w:val="both"/>
        <w:rPr/>
      </w:pPr>
      <w:r>
        <w:rPr>
          <w:rFonts w:eastAsia="Times New Roman" w:cs="Times New Roman" w:ascii="Times New Roman" w:hAnsi="Times New Roman"/>
          <w:color w:val="111111"/>
          <w:sz w:val="28"/>
          <w:szCs w:val="28"/>
          <w:lang w:val="en-US"/>
        </w:rPr>
        <w:t>penulis: Sayyid Husain Hasyimi</w:t>
      </w:r>
    </w:p>
    <w:p>
      <w:pPr>
        <w:pStyle w:val="BookText"/>
        <w:bidi w:val="0"/>
        <w:jc w:val="both"/>
        <w:rPr/>
      </w:pPr>
      <w:r>
        <w:rPr>
          <w:rFonts w:eastAsia="Times New Roman" w:cs="Times New Roman" w:ascii="Times New Roman" w:hAnsi="Times New Roman"/>
          <w:color w:val="111111"/>
          <w:sz w:val="28"/>
          <w:szCs w:val="28"/>
          <w:lang w:val="en-US"/>
        </w:rPr>
        <w:t>penerjemah: Nasir Dimyati</w:t>
      </w:r>
    </w:p>
    <w:p>
      <w:pPr>
        <w:pStyle w:val="BookText"/>
        <w:bidi w:val="0"/>
        <w:jc w:val="both"/>
        <w:rPr/>
      </w:pPr>
      <w:r>
        <w:rPr>
          <w:rFonts w:eastAsia="Times New Roman" w:cs="Times New Roman" w:ascii="Times New Roman" w:hAnsi="Times New Roman"/>
          <w:color w:val="111111"/>
          <w:sz w:val="28"/>
          <w:szCs w:val="28"/>
          <w:lang w:val="en-US"/>
        </w:rPr>
        <w:t>cetakan: pertama, 1393 sh/2014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978-964-195-061-5</w:t>
      </w:r>
    </w:p>
    <w:p>
      <w:pPr>
        <w:pStyle w:val="BookText"/>
        <w:bidi w:val="0"/>
        <w:jc w:val="both"/>
        <w:rPr/>
      </w:pPr>
      <w:r>
        <w:rPr>
          <w:rFonts w:ascii="IRNazanin" w:hAnsi="IRNazanin" w:eastAsia="IRNazanin"/>
          <w:color w:val="111111"/>
          <w:sz w:val="28"/>
          <w:sz w:val="28"/>
          <w:szCs w:val="28"/>
          <w:rtl w:val="true"/>
          <w:lang w:bidi="fa-IR"/>
        </w:rPr>
        <w:t>ارتداد و آزادی</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واله</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هاشمی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دیمیاطی</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IRAN,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ORAN,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 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www.pub.miu.ac.ir miup@pub.miu.ac.ir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6391_42880"/>
    </w:p>
    <w:p>
      <w:pPr>
        <w:pStyle w:val="Heading2"/>
        <w:numPr>
          <w:ilvl w:val="1"/>
          <w:numId w:val="1"/>
        </w:numPr>
        <w:bidi w:val="0"/>
        <w:jc w:val="left"/>
        <w:rPr/>
      </w:pPr>
      <w:bookmarkStart w:id="8" w:name="__RefHeading___Toc419452_653776707"/>
      <w:bookmarkStart w:id="9" w:name="_Toc3"/>
      <w:bookmarkEnd w:id="7"/>
      <w:bookmarkEnd w:id="8"/>
      <w:r>
        <w:rPr/>
        <w:t>Daftar Isi</w:t>
      </w:r>
      <w:bookmarkEnd w:id="9"/>
    </w:p>
    <w:p>
      <w:pPr>
        <w:pStyle w:val="BookText"/>
        <w:bidi w:val="0"/>
        <w:jc w:val="both"/>
        <w:rPr/>
      </w:pPr>
      <w:r>
        <w:rPr>
          <w:rFonts w:eastAsia="Times New Roman" w:cs="Times New Roman" w:ascii="Times New Roman" w:hAnsi="Times New Roman"/>
          <w:color w:val="111111"/>
          <w:sz w:val="28"/>
          <w:szCs w:val="28"/>
          <w:lang w:val="en-US"/>
        </w:rPr>
        <w:t>PENGANTAR IICT -- ix</w:t>
      </w:r>
    </w:p>
    <w:p>
      <w:pPr>
        <w:pStyle w:val="BookText"/>
        <w:bidi w:val="0"/>
        <w:jc w:val="both"/>
        <w:rPr/>
      </w:pPr>
      <w:r>
        <w:rPr>
          <w:rFonts w:eastAsia="Times New Roman" w:cs="Times New Roman" w:ascii="Times New Roman" w:hAnsi="Times New Roman"/>
          <w:color w:val="111111"/>
          <w:sz w:val="28"/>
          <w:szCs w:val="28"/>
          <w:lang w:val="en-US"/>
        </w:rPr>
        <w:t>Pendahuluan — xi</w:t>
      </w:r>
    </w:p>
    <w:p>
      <w:pPr>
        <w:pStyle w:val="BookText"/>
        <w:bidi w:val="0"/>
        <w:jc w:val="both"/>
        <w:rPr/>
      </w:pPr>
      <w:r>
        <w:rPr>
          <w:rFonts w:eastAsia="Times New Roman" w:cs="Times New Roman" w:ascii="Times New Roman" w:hAnsi="Times New Roman"/>
          <w:color w:val="111111"/>
          <w:sz w:val="28"/>
          <w:szCs w:val="28"/>
          <w:lang w:val="en-US"/>
        </w:rPr>
        <w:t>Tujuan dan Signifikansi — xi</w:t>
      </w:r>
    </w:p>
    <w:p>
      <w:pPr>
        <w:pStyle w:val="BookText"/>
        <w:bidi w:val="0"/>
        <w:jc w:val="both"/>
        <w:rPr/>
      </w:pPr>
      <w:r>
        <w:rPr>
          <w:rFonts w:eastAsia="Times New Roman" w:cs="Times New Roman" w:ascii="Times New Roman" w:hAnsi="Times New Roman"/>
          <w:color w:val="111111"/>
          <w:sz w:val="28"/>
          <w:szCs w:val="28"/>
          <w:lang w:val="en-US"/>
        </w:rPr>
        <w:t>Rumusan Masalah — xii</w:t>
      </w:r>
    </w:p>
    <w:p>
      <w:pPr>
        <w:pStyle w:val="BookText"/>
        <w:bidi w:val="0"/>
        <w:jc w:val="both"/>
        <w:rPr/>
      </w:pPr>
      <w:r>
        <w:rPr>
          <w:rFonts w:eastAsia="Times New Roman" w:cs="Times New Roman" w:ascii="Times New Roman" w:hAnsi="Times New Roman"/>
          <w:color w:val="111111"/>
          <w:sz w:val="28"/>
          <w:szCs w:val="28"/>
          <w:lang w:val="en-US"/>
        </w:rPr>
        <w:t>Hipotesis — xii</w:t>
      </w:r>
    </w:p>
    <w:p>
      <w:pPr>
        <w:pStyle w:val="BookText"/>
        <w:bidi w:val="0"/>
        <w:jc w:val="both"/>
        <w:rPr/>
      </w:pPr>
      <w:r>
        <w:rPr>
          <w:rFonts w:eastAsia="Times New Roman" w:cs="Times New Roman" w:ascii="Times New Roman" w:hAnsi="Times New Roman"/>
          <w:color w:val="111111"/>
          <w:sz w:val="28"/>
          <w:szCs w:val="28"/>
          <w:lang w:val="en-US"/>
        </w:rPr>
        <w:t>Sistematika Penelitian — xiii</w:t>
      </w:r>
    </w:p>
    <w:p>
      <w:pPr>
        <w:pStyle w:val="BookText"/>
        <w:bidi w:val="0"/>
        <w:jc w:val="both"/>
        <w:rPr/>
      </w:pPr>
      <w:r>
        <w:rPr>
          <w:rFonts w:eastAsia="Times New Roman" w:cs="Times New Roman" w:ascii="Times New Roman" w:hAnsi="Times New Roman"/>
          <w:color w:val="111111"/>
          <w:sz w:val="28"/>
          <w:szCs w:val="28"/>
          <w:lang w:val="en-US"/>
        </w:rPr>
        <w:t>Bab I: Kerangka Umum: Pengertian dan Landasan Teori - 1</w:t>
      </w:r>
    </w:p>
    <w:p>
      <w:pPr>
        <w:pStyle w:val="BookText"/>
        <w:bidi w:val="0"/>
        <w:jc w:val="both"/>
        <w:rPr/>
      </w:pPr>
      <w:r>
        <w:rPr>
          <w:rFonts w:eastAsia="Times New Roman" w:cs="Times New Roman" w:ascii="Times New Roman" w:hAnsi="Times New Roman"/>
          <w:color w:val="111111"/>
          <w:sz w:val="28"/>
          <w:szCs w:val="28"/>
          <w:lang w:val="en-US"/>
        </w:rPr>
        <w:t>Definisi dan Relasi Kemurtadan-Penistaan Simbol Agama - 1</w:t>
      </w:r>
    </w:p>
    <w:p>
      <w:pPr>
        <w:pStyle w:val="BookText"/>
        <w:bidi w:val="0"/>
        <w:jc w:val="both"/>
        <w:rPr/>
      </w:pPr>
      <w:r>
        <w:rPr>
          <w:rFonts w:eastAsia="Times New Roman" w:cs="Times New Roman" w:ascii="Times New Roman" w:hAnsi="Times New Roman"/>
          <w:color w:val="111111"/>
          <w:sz w:val="28"/>
          <w:szCs w:val="28"/>
          <w:lang w:val="en-US"/>
        </w:rPr>
        <w:t>Murtad – 1</w:t>
      </w:r>
    </w:p>
    <w:p>
      <w:pPr>
        <w:pStyle w:val="BookText"/>
        <w:bidi w:val="0"/>
        <w:jc w:val="both"/>
        <w:rPr/>
      </w:pPr>
      <w:r>
        <w:rPr>
          <w:rFonts w:eastAsia="Times New Roman" w:cs="Times New Roman" w:ascii="Times New Roman" w:hAnsi="Times New Roman"/>
          <w:color w:val="111111"/>
          <w:sz w:val="28"/>
          <w:szCs w:val="28"/>
          <w:lang w:val="en-US"/>
        </w:rPr>
        <w:t>Penistaan Simbol Sakral — 3</w:t>
      </w:r>
    </w:p>
    <w:p>
      <w:pPr>
        <w:pStyle w:val="BookText"/>
        <w:bidi w:val="0"/>
        <w:jc w:val="both"/>
        <w:rPr/>
      </w:pPr>
      <w:r>
        <w:rPr>
          <w:rFonts w:eastAsia="Times New Roman" w:cs="Times New Roman" w:ascii="Times New Roman" w:hAnsi="Times New Roman"/>
          <w:color w:val="111111"/>
          <w:sz w:val="28"/>
          <w:szCs w:val="28"/>
          <w:lang w:val="en-US"/>
        </w:rPr>
        <w:t>Sistem Hukum Islam — 3</w:t>
      </w:r>
    </w:p>
    <w:p>
      <w:pPr>
        <w:pStyle w:val="BookText"/>
        <w:bidi w:val="0"/>
        <w:jc w:val="both"/>
        <w:rPr/>
      </w:pPr>
      <w:r>
        <w:rPr>
          <w:rFonts w:eastAsia="Times New Roman" w:cs="Times New Roman" w:ascii="Times New Roman" w:hAnsi="Times New Roman"/>
          <w:color w:val="111111"/>
          <w:sz w:val="28"/>
          <w:szCs w:val="28"/>
          <w:lang w:val="en-US"/>
        </w:rPr>
        <w:t>Sistem Hukum Barat — 8</w:t>
      </w:r>
    </w:p>
    <w:p>
      <w:pPr>
        <w:pStyle w:val="BookText"/>
        <w:bidi w:val="0"/>
        <w:jc w:val="both"/>
        <w:rPr/>
      </w:pPr>
      <w:r>
        <w:rPr>
          <w:rFonts w:eastAsia="Times New Roman" w:cs="Times New Roman" w:ascii="Times New Roman" w:hAnsi="Times New Roman"/>
          <w:color w:val="111111"/>
          <w:sz w:val="28"/>
          <w:szCs w:val="28"/>
          <w:lang w:val="en-US"/>
        </w:rPr>
        <w:t>Relasi Kemurtadan-Penistaan Simbol Sakral — 11</w:t>
      </w:r>
    </w:p>
    <w:p>
      <w:pPr>
        <w:pStyle w:val="BookText"/>
        <w:bidi w:val="0"/>
        <w:jc w:val="both"/>
        <w:rPr/>
      </w:pPr>
      <w:r>
        <w:rPr>
          <w:rFonts w:eastAsia="Times New Roman" w:cs="Times New Roman" w:ascii="Times New Roman" w:hAnsi="Times New Roman"/>
          <w:color w:val="111111"/>
          <w:sz w:val="28"/>
          <w:szCs w:val="28"/>
          <w:lang w:val="en-US"/>
        </w:rPr>
        <w:t>Definisi dan Bentuk Konkret Ajaran Niscaya — 14</w:t>
      </w:r>
    </w:p>
    <w:p>
      <w:pPr>
        <w:pStyle w:val="BookText"/>
        <w:bidi w:val="0"/>
        <w:jc w:val="both"/>
        <w:rPr/>
      </w:pPr>
      <w:r>
        <w:rPr>
          <w:rFonts w:eastAsia="Times New Roman" w:cs="Times New Roman" w:ascii="Times New Roman" w:hAnsi="Times New Roman"/>
          <w:color w:val="111111"/>
          <w:sz w:val="28"/>
          <w:szCs w:val="28"/>
          <w:lang w:val="en-US"/>
        </w:rPr>
        <w:t>Pengertian — 14</w:t>
      </w:r>
    </w:p>
    <w:p>
      <w:pPr>
        <w:pStyle w:val="BookText"/>
        <w:bidi w:val="0"/>
        <w:jc w:val="both"/>
        <w:rPr/>
      </w:pPr>
      <w:r>
        <w:rPr>
          <w:rFonts w:eastAsia="Times New Roman" w:cs="Times New Roman" w:ascii="Times New Roman" w:hAnsi="Times New Roman"/>
          <w:color w:val="111111"/>
          <w:sz w:val="28"/>
          <w:szCs w:val="28"/>
          <w:lang w:val="en-US"/>
        </w:rPr>
        <w:t>Bentuk Konkret – 16</w:t>
      </w:r>
    </w:p>
    <w:p>
      <w:pPr>
        <w:pStyle w:val="BookText"/>
        <w:bidi w:val="0"/>
        <w:jc w:val="both"/>
        <w:rPr/>
      </w:pPr>
      <w:r>
        <w:rPr>
          <w:rFonts w:eastAsia="Times New Roman" w:cs="Times New Roman" w:ascii="Times New Roman" w:hAnsi="Times New Roman"/>
          <w:color w:val="111111"/>
          <w:sz w:val="28"/>
          <w:szCs w:val="28"/>
          <w:lang w:val="en-US"/>
        </w:rPr>
        <w:t>Kemurtadan dan Landasan Syariatnya — 19</w:t>
      </w:r>
    </w:p>
    <w:p>
      <w:pPr>
        <w:pStyle w:val="BookText"/>
        <w:bidi w:val="0"/>
        <w:jc w:val="both"/>
        <w:rPr/>
      </w:pPr>
      <w:r>
        <w:rPr>
          <w:rFonts w:eastAsia="Times New Roman" w:cs="Times New Roman" w:ascii="Times New Roman" w:hAnsi="Times New Roman"/>
          <w:color w:val="111111"/>
          <w:sz w:val="28"/>
          <w:szCs w:val="28"/>
          <w:lang w:val="en-US"/>
        </w:rPr>
        <w:t>Kritik atas Landasan Riwayat — 19</w:t>
      </w:r>
    </w:p>
    <w:p>
      <w:pPr>
        <w:pStyle w:val="BookText"/>
        <w:bidi w:val="0"/>
        <w:jc w:val="both"/>
        <w:rPr/>
      </w:pPr>
      <w:r>
        <w:rPr>
          <w:rFonts w:eastAsia="Times New Roman" w:cs="Times New Roman" w:ascii="Times New Roman" w:hAnsi="Times New Roman"/>
          <w:color w:val="111111"/>
          <w:sz w:val="28"/>
          <w:szCs w:val="28"/>
          <w:lang w:val="en-US"/>
        </w:rPr>
        <w:t>Kritik atas Landasan Al-Qur'an — 22</w:t>
      </w:r>
    </w:p>
    <w:p>
      <w:pPr>
        <w:pStyle w:val="BookText"/>
        <w:bidi w:val="0"/>
        <w:jc w:val="both"/>
        <w:rPr/>
      </w:pPr>
      <w:r>
        <w:rPr>
          <w:rFonts w:eastAsia="Times New Roman" w:cs="Times New Roman" w:ascii="Times New Roman" w:hAnsi="Times New Roman"/>
          <w:color w:val="111111"/>
          <w:sz w:val="28"/>
          <w:szCs w:val="28"/>
          <w:lang w:val="en-US"/>
        </w:rPr>
        <w:t>Kritik atas Penegakan Hukum di Masa Kegaiban — 26</w:t>
      </w:r>
    </w:p>
    <w:p>
      <w:pPr>
        <w:pStyle w:val="BookText"/>
        <w:bidi w:val="0"/>
        <w:jc w:val="both"/>
        <w:rPr/>
      </w:pPr>
      <w:r>
        <w:rPr>
          <w:rFonts w:eastAsia="Times New Roman" w:cs="Times New Roman" w:ascii="Times New Roman" w:hAnsi="Times New Roman"/>
          <w:color w:val="111111"/>
          <w:sz w:val="28"/>
          <w:szCs w:val="28"/>
          <w:lang w:val="en-US"/>
        </w:rPr>
        <w:t>Ikhtisar — 36</w:t>
      </w:r>
    </w:p>
    <w:p>
      <w:pPr>
        <w:pStyle w:val="BookText"/>
        <w:bidi w:val="0"/>
        <w:jc w:val="both"/>
        <w:rPr/>
      </w:pPr>
      <w:r>
        <w:rPr>
          <w:rFonts w:eastAsia="Times New Roman" w:cs="Times New Roman" w:ascii="Times New Roman" w:hAnsi="Times New Roman"/>
          <w:color w:val="111111"/>
          <w:sz w:val="28"/>
          <w:szCs w:val="28"/>
          <w:lang w:val="en-US"/>
        </w:rPr>
        <w:t>Bab II: Kemurtadan dalam konteks Intelektualitas dan Ilmiah — 43</w:t>
      </w:r>
    </w:p>
    <w:p>
      <w:pPr>
        <w:pStyle w:val="BookText"/>
        <w:bidi w:val="0"/>
        <w:jc w:val="both"/>
        <w:rPr/>
      </w:pPr>
      <w:r>
        <w:rPr>
          <w:rFonts w:eastAsia="Times New Roman" w:cs="Times New Roman" w:ascii="Times New Roman" w:hAnsi="Times New Roman"/>
          <w:color w:val="111111"/>
          <w:sz w:val="28"/>
          <w:szCs w:val="28"/>
          <w:lang w:val="en-US"/>
        </w:rPr>
        <w:t>Kemurtadan dan keraguan Ushuluddin - 44</w:t>
      </w:r>
    </w:p>
    <w:p>
      <w:pPr>
        <w:pStyle w:val="BookText"/>
        <w:bidi w:val="0"/>
        <w:jc w:val="both"/>
        <w:rPr/>
      </w:pPr>
      <w:r>
        <w:rPr>
          <w:rFonts w:eastAsia="Times New Roman" w:cs="Times New Roman" w:ascii="Times New Roman" w:hAnsi="Times New Roman"/>
          <w:color w:val="111111"/>
          <w:sz w:val="28"/>
          <w:szCs w:val="28"/>
          <w:lang w:val="en-US"/>
        </w:rPr>
        <w:t>Pandangan Fukaha — 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Evaluasi Kritis — 46 </w:t>
      </w:r>
    </w:p>
    <w:p>
      <w:pPr>
        <w:pStyle w:val="BookText"/>
        <w:bidi w:val="0"/>
        <w:rPr/>
      </w:pPr>
      <w:r>
        <w:rPr>
          <w:rFonts w:eastAsia="Times New Roman" w:cs="Times New Roman" w:ascii="Times New Roman" w:hAnsi="Times New Roman"/>
          <w:color w:val="111111"/>
          <w:sz w:val="28"/>
          <w:szCs w:val="28"/>
          <w:lang w:val="en-US"/>
        </w:rPr>
        <w:t>Makna Kafir — 46</w:t>
      </w:r>
    </w:p>
    <w:p>
      <w:pPr>
        <w:pStyle w:val="BookText"/>
        <w:bidi w:val="0"/>
        <w:jc w:val="both"/>
        <w:rPr/>
      </w:pPr>
      <w:r>
        <w:rPr>
          <w:rFonts w:eastAsia="Times New Roman" w:cs="Times New Roman" w:ascii="Times New Roman" w:hAnsi="Times New Roman"/>
          <w:color w:val="111111"/>
          <w:sz w:val="28"/>
          <w:szCs w:val="28"/>
          <w:lang w:val="en-US"/>
        </w:rPr>
        <w:t>Makna 'Lemah Pikiran' — 47</w:t>
      </w:r>
    </w:p>
    <w:p>
      <w:pPr>
        <w:pStyle w:val="BookText"/>
        <w:bidi w:val="0"/>
        <w:jc w:val="both"/>
        <w:rPr/>
      </w:pPr>
      <w:r>
        <w:rPr>
          <w:rFonts w:eastAsia="Times New Roman" w:cs="Times New Roman" w:ascii="Times New Roman" w:hAnsi="Times New Roman"/>
          <w:color w:val="111111"/>
          <w:sz w:val="28"/>
          <w:szCs w:val="28"/>
          <w:lang w:val="en-US"/>
        </w:rPr>
        <w:t>Keraguan dan Bisikan Hati — 48</w:t>
      </w:r>
    </w:p>
    <w:p>
      <w:pPr>
        <w:pStyle w:val="BookText"/>
        <w:bidi w:val="0"/>
        <w:jc w:val="both"/>
        <w:rPr/>
      </w:pPr>
      <w:r>
        <w:rPr>
          <w:rFonts w:eastAsia="Times New Roman" w:cs="Times New Roman" w:ascii="Times New Roman" w:hAnsi="Times New Roman"/>
          <w:color w:val="111111"/>
          <w:sz w:val="28"/>
          <w:szCs w:val="28"/>
          <w:lang w:val="en-US"/>
        </w:rPr>
        <w:t>Munafik Sehukum Muslim — 53</w:t>
      </w:r>
    </w:p>
    <w:p>
      <w:pPr>
        <w:pStyle w:val="BookText"/>
        <w:bidi w:val="0"/>
        <w:jc w:val="both"/>
        <w:rPr/>
      </w:pPr>
      <w:r>
        <w:rPr>
          <w:rFonts w:eastAsia="Times New Roman" w:cs="Times New Roman" w:ascii="Times New Roman" w:hAnsi="Times New Roman"/>
          <w:color w:val="111111"/>
          <w:sz w:val="28"/>
          <w:szCs w:val="28"/>
          <w:lang w:val="en-US"/>
        </w:rPr>
        <w:t>Relasi Dua Pengingkaran: Ajaran Niscaya dan Eksistensi Agama — 56</w:t>
      </w:r>
    </w:p>
    <w:p>
      <w:pPr>
        <w:pStyle w:val="BookText"/>
        <w:bidi w:val="0"/>
        <w:jc w:val="both"/>
        <w:rPr/>
      </w:pPr>
      <w:r>
        <w:rPr>
          <w:rFonts w:eastAsia="Times New Roman" w:cs="Times New Roman" w:ascii="Times New Roman" w:hAnsi="Times New Roman"/>
          <w:color w:val="111111"/>
          <w:sz w:val="28"/>
          <w:szCs w:val="28"/>
          <w:lang w:val="en-US"/>
        </w:rPr>
        <w:t>Teori Variabel Independen — 56</w:t>
      </w:r>
    </w:p>
    <w:p>
      <w:pPr>
        <w:pStyle w:val="BookText"/>
        <w:bidi w:val="0"/>
        <w:jc w:val="both"/>
        <w:rPr/>
      </w:pPr>
      <w:r>
        <w:rPr>
          <w:rFonts w:eastAsia="Times New Roman" w:cs="Times New Roman" w:ascii="Times New Roman" w:hAnsi="Times New Roman"/>
          <w:color w:val="111111"/>
          <w:sz w:val="28"/>
          <w:szCs w:val="28"/>
          <w:lang w:val="en-US"/>
        </w:rPr>
        <w:t>Teori Implikasi — 58</w:t>
      </w:r>
    </w:p>
    <w:p>
      <w:pPr>
        <w:pStyle w:val="BookText"/>
        <w:bidi w:val="0"/>
        <w:jc w:val="both"/>
        <w:rPr/>
      </w:pPr>
      <w:r>
        <w:rPr>
          <w:rFonts w:eastAsia="Times New Roman" w:cs="Times New Roman" w:ascii="Times New Roman" w:hAnsi="Times New Roman"/>
          <w:color w:val="111111"/>
          <w:sz w:val="28"/>
          <w:szCs w:val="28"/>
          <w:lang w:val="en-US"/>
        </w:rPr>
        <w:t>Kemurtadan Intelektual — 63</w:t>
      </w:r>
    </w:p>
    <w:p>
      <w:pPr>
        <w:pStyle w:val="BookText"/>
        <w:bidi w:val="0"/>
        <w:jc w:val="both"/>
        <w:rPr/>
      </w:pPr>
      <w:r>
        <w:rPr>
          <w:rFonts w:eastAsia="Times New Roman" w:cs="Times New Roman" w:ascii="Times New Roman" w:hAnsi="Times New Roman"/>
          <w:color w:val="111111"/>
          <w:sz w:val="28"/>
          <w:szCs w:val="28"/>
          <w:lang w:val="en-US"/>
        </w:rPr>
        <w:t>Mengingkari Prinsip Tauhid dan Kenabian — 63</w:t>
      </w:r>
    </w:p>
    <w:p>
      <w:pPr>
        <w:pStyle w:val="BookText"/>
        <w:bidi w:val="0"/>
        <w:jc w:val="both"/>
        <w:rPr/>
      </w:pPr>
      <w:r>
        <w:rPr>
          <w:rFonts w:eastAsia="Times New Roman" w:cs="Times New Roman" w:ascii="Times New Roman" w:hAnsi="Times New Roman"/>
          <w:color w:val="111111"/>
          <w:sz w:val="28"/>
          <w:szCs w:val="28"/>
          <w:lang w:val="en-US"/>
        </w:rPr>
        <w:t>Mengingkari Ajaran Niscaya — 64</w:t>
      </w:r>
    </w:p>
    <w:p>
      <w:pPr>
        <w:pStyle w:val="BookText"/>
        <w:bidi w:val="0"/>
        <w:jc w:val="both"/>
        <w:rPr/>
      </w:pPr>
      <w:r>
        <w:rPr>
          <w:rFonts w:eastAsia="Times New Roman" w:cs="Times New Roman" w:ascii="Times New Roman" w:hAnsi="Times New Roman"/>
          <w:color w:val="111111"/>
          <w:sz w:val="28"/>
          <w:szCs w:val="28"/>
          <w:lang w:val="en-US"/>
        </w:rPr>
        <w:t>Kemurtadan Intelektual tidak Berdasarkan Teori Variabel Independen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Kemurtadan Intelektual Berdasarkan Teori Variabel Independen — 73</w:t>
      </w:r>
    </w:p>
    <w:p>
      <w:pPr>
        <w:pStyle w:val="BookText"/>
        <w:bidi w:val="0"/>
        <w:jc w:val="both"/>
        <w:rPr/>
      </w:pPr>
      <w:r>
        <w:rPr>
          <w:rFonts w:eastAsia="Times New Roman" w:cs="Times New Roman" w:ascii="Times New Roman" w:hAnsi="Times New Roman"/>
          <w:color w:val="111111"/>
          <w:sz w:val="28"/>
          <w:szCs w:val="28"/>
          <w:lang w:val="en-US"/>
        </w:rPr>
        <w:t>Kemurtadan Intelektual di Era Awal Islam — 75</w:t>
      </w:r>
    </w:p>
    <w:p>
      <w:pPr>
        <w:pStyle w:val="BookText"/>
        <w:bidi w:val="0"/>
        <w:jc w:val="both"/>
        <w:rPr/>
      </w:pPr>
      <w:r>
        <w:rPr>
          <w:rFonts w:eastAsia="Times New Roman" w:cs="Times New Roman" w:ascii="Times New Roman" w:hAnsi="Times New Roman"/>
          <w:color w:val="111111"/>
          <w:sz w:val="28"/>
          <w:szCs w:val="28"/>
          <w:lang w:val="en-US"/>
        </w:rPr>
        <w:t>Periode Abu Bakar — 75</w:t>
      </w:r>
    </w:p>
    <w:p>
      <w:pPr>
        <w:pStyle w:val="BookText"/>
        <w:bidi w:val="0"/>
        <w:jc w:val="both"/>
        <w:rPr/>
      </w:pPr>
      <w:r>
        <w:rPr>
          <w:rFonts w:eastAsia="Times New Roman" w:cs="Times New Roman" w:ascii="Times New Roman" w:hAnsi="Times New Roman"/>
          <w:color w:val="111111"/>
          <w:sz w:val="28"/>
          <w:szCs w:val="28"/>
          <w:lang w:val="en-US"/>
        </w:rPr>
        <w:t>Periode Ali bin Abi Thalib — 77</w:t>
      </w:r>
    </w:p>
    <w:p>
      <w:pPr>
        <w:pStyle w:val="BookText"/>
        <w:bidi w:val="0"/>
        <w:jc w:val="both"/>
        <w:rPr/>
      </w:pPr>
      <w:r>
        <w:rPr>
          <w:rFonts w:eastAsia="Times New Roman" w:cs="Times New Roman" w:ascii="Times New Roman" w:hAnsi="Times New Roman"/>
          <w:color w:val="111111"/>
          <w:sz w:val="28"/>
          <w:szCs w:val="28"/>
          <w:lang w:val="en-US"/>
        </w:rPr>
        <w:t>Ikhtisar — 79</w:t>
      </w:r>
    </w:p>
    <w:p>
      <w:pPr>
        <w:pStyle w:val="BookText"/>
        <w:bidi w:val="0"/>
        <w:jc w:val="both"/>
        <w:rPr/>
      </w:pPr>
      <w:r>
        <w:rPr>
          <w:rFonts w:eastAsia="Times New Roman" w:cs="Times New Roman" w:ascii="Times New Roman" w:hAnsi="Times New Roman"/>
          <w:color w:val="111111"/>
          <w:sz w:val="28"/>
          <w:szCs w:val="28"/>
          <w:lang w:val="en-US"/>
        </w:rPr>
        <w:t>Bab III: Eksekusi Hukuman Murtad dan Penista Simbol Sakral — 87</w:t>
      </w:r>
    </w:p>
    <w:p>
      <w:pPr>
        <w:pStyle w:val="BookText"/>
        <w:bidi w:val="0"/>
        <w:jc w:val="both"/>
        <w:rPr/>
      </w:pPr>
      <w:r>
        <w:rPr>
          <w:rFonts w:eastAsia="Times New Roman" w:cs="Times New Roman" w:ascii="Times New Roman" w:hAnsi="Times New Roman"/>
          <w:color w:val="111111"/>
          <w:sz w:val="28"/>
          <w:szCs w:val="28"/>
          <w:lang w:val="en-US"/>
        </w:rPr>
        <w:t>Eksekusi Hukuman Murtad — 87</w:t>
      </w:r>
    </w:p>
    <w:p>
      <w:pPr>
        <w:pStyle w:val="BookText"/>
        <w:bidi w:val="0"/>
        <w:jc w:val="both"/>
        <w:rPr/>
      </w:pPr>
      <w:r>
        <w:rPr>
          <w:rFonts w:eastAsia="Times New Roman" w:cs="Times New Roman" w:ascii="Times New Roman" w:hAnsi="Times New Roman"/>
          <w:color w:val="111111"/>
          <w:sz w:val="28"/>
          <w:szCs w:val="28"/>
          <w:lang w:val="en-US"/>
        </w:rPr>
        <w:t>Eksekusi Hukuman Penista Simbol Sakral — 89</w:t>
      </w:r>
    </w:p>
    <w:p>
      <w:pPr>
        <w:pStyle w:val="BookText"/>
        <w:bidi w:val="0"/>
        <w:jc w:val="both"/>
        <w:rPr/>
      </w:pPr>
      <w:r>
        <w:rPr>
          <w:rFonts w:eastAsia="Times New Roman" w:cs="Times New Roman" w:ascii="Times New Roman" w:hAnsi="Times New Roman"/>
          <w:color w:val="111111"/>
          <w:sz w:val="28"/>
          <w:szCs w:val="28"/>
          <w:lang w:val="en-US"/>
        </w:rPr>
        <w:t>Hukuman Penistaan Simbol Sakral — 89</w:t>
      </w:r>
    </w:p>
    <w:p>
      <w:pPr>
        <w:pStyle w:val="BookText"/>
        <w:bidi w:val="0"/>
        <w:jc w:val="both"/>
        <w:rPr/>
      </w:pPr>
      <w:r>
        <w:rPr>
          <w:rFonts w:eastAsia="Times New Roman" w:cs="Times New Roman" w:ascii="Times New Roman" w:hAnsi="Times New Roman"/>
          <w:color w:val="111111"/>
          <w:sz w:val="28"/>
          <w:szCs w:val="28"/>
          <w:lang w:val="en-US"/>
        </w:rPr>
        <w:t>Hukuman Penistaan Simbol Sakral oleh Pemerintah Islam — 93</w:t>
      </w:r>
    </w:p>
    <w:p>
      <w:pPr>
        <w:pStyle w:val="BookText"/>
        <w:bidi w:val="0"/>
        <w:jc w:val="both"/>
        <w:rPr/>
      </w:pPr>
      <w:r>
        <w:rPr>
          <w:rFonts w:eastAsia="Times New Roman" w:cs="Times New Roman" w:ascii="Times New Roman" w:hAnsi="Times New Roman"/>
          <w:color w:val="111111"/>
          <w:sz w:val="28"/>
          <w:szCs w:val="28"/>
          <w:lang w:val="en-US"/>
        </w:rPr>
        <w:t>Ikhtisar — 96</w:t>
      </w:r>
    </w:p>
    <w:p>
      <w:pPr>
        <w:pStyle w:val="BookText"/>
        <w:bidi w:val="0"/>
        <w:jc w:val="both"/>
        <w:rPr/>
      </w:pPr>
      <w:r>
        <w:rPr>
          <w:rFonts w:eastAsia="Times New Roman" w:cs="Times New Roman" w:ascii="Times New Roman" w:hAnsi="Times New Roman"/>
          <w:color w:val="111111"/>
          <w:sz w:val="28"/>
          <w:szCs w:val="28"/>
          <w:lang w:val="en-US"/>
        </w:rPr>
        <w:t>Bab IV: Falsafah Kemurtadan dan Penistaan Simbol Sakral — 99</w:t>
      </w:r>
    </w:p>
    <w:p>
      <w:pPr>
        <w:pStyle w:val="BookText"/>
        <w:bidi w:val="0"/>
        <w:jc w:val="both"/>
        <w:rPr/>
      </w:pPr>
      <w:r>
        <w:rPr>
          <w:rFonts w:eastAsia="Times New Roman" w:cs="Times New Roman" w:ascii="Times New Roman" w:hAnsi="Times New Roman"/>
          <w:color w:val="111111"/>
          <w:sz w:val="28"/>
          <w:szCs w:val="28"/>
          <w:lang w:val="en-US"/>
        </w:rPr>
        <w:t>Falsafah Pidana Kemurtadan — 99</w:t>
      </w:r>
    </w:p>
    <w:p>
      <w:pPr>
        <w:pStyle w:val="BookText"/>
        <w:bidi w:val="0"/>
        <w:jc w:val="both"/>
        <w:rPr/>
      </w:pPr>
      <w:r>
        <w:rPr>
          <w:rFonts w:eastAsia="Times New Roman" w:cs="Times New Roman" w:ascii="Times New Roman" w:hAnsi="Times New Roman"/>
          <w:color w:val="111111"/>
          <w:sz w:val="28"/>
          <w:szCs w:val="28"/>
          <w:lang w:val="en-US"/>
        </w:rPr>
        <w:t>Ancaman Ketertiban Umum dan Etika Sosial — 100</w:t>
      </w:r>
    </w:p>
    <w:p>
      <w:pPr>
        <w:pStyle w:val="BookText"/>
        <w:bidi w:val="0"/>
        <w:jc w:val="both"/>
        <w:rPr/>
      </w:pPr>
      <w:r>
        <w:rPr>
          <w:rFonts w:eastAsia="Times New Roman" w:cs="Times New Roman" w:ascii="Times New Roman" w:hAnsi="Times New Roman"/>
          <w:color w:val="111111"/>
          <w:sz w:val="28"/>
          <w:szCs w:val="28"/>
          <w:lang w:val="en-US"/>
        </w:rPr>
        <w:t>Definisi — 100</w:t>
      </w:r>
    </w:p>
    <w:p>
      <w:pPr>
        <w:pStyle w:val="BookText"/>
        <w:bidi w:val="0"/>
        <w:jc w:val="both"/>
        <w:rPr/>
      </w:pPr>
      <w:r>
        <w:rPr>
          <w:rFonts w:eastAsia="Times New Roman" w:cs="Times New Roman" w:ascii="Times New Roman" w:hAnsi="Times New Roman"/>
          <w:color w:val="111111"/>
          <w:sz w:val="28"/>
          <w:szCs w:val="28"/>
          <w:lang w:val="en-US"/>
        </w:rPr>
        <w:t>Peran Agama — 100</w:t>
      </w:r>
    </w:p>
    <w:p>
      <w:pPr>
        <w:pStyle w:val="BookText"/>
        <w:bidi w:val="0"/>
        <w:jc w:val="both"/>
        <w:rPr/>
      </w:pPr>
      <w:r>
        <w:rPr>
          <w:rFonts w:eastAsia="Times New Roman" w:cs="Times New Roman" w:ascii="Times New Roman" w:hAnsi="Times New Roman"/>
          <w:color w:val="111111"/>
          <w:sz w:val="28"/>
          <w:szCs w:val="28"/>
          <w:lang w:val="en-US"/>
        </w:rPr>
        <w:t>Relasi Kemurtadan dan Hukum Eksekutif — 103</w:t>
      </w:r>
    </w:p>
    <w:p>
      <w:pPr>
        <w:pStyle w:val="BookText"/>
        <w:bidi w:val="0"/>
        <w:jc w:val="both"/>
        <w:rPr/>
      </w:pPr>
      <w:r>
        <w:rPr>
          <w:rFonts w:eastAsia="Times New Roman" w:cs="Times New Roman" w:ascii="Times New Roman" w:hAnsi="Times New Roman"/>
          <w:color w:val="111111"/>
          <w:sz w:val="28"/>
          <w:szCs w:val="28"/>
          <w:lang w:val="en-US"/>
        </w:rPr>
        <w:t>Batas Kebebasan Berekspresi di Barat - 108</w:t>
      </w:r>
    </w:p>
    <w:p>
      <w:pPr>
        <w:pStyle w:val="BookText"/>
        <w:bidi w:val="0"/>
        <w:jc w:val="both"/>
        <w:rPr/>
      </w:pPr>
      <w:r>
        <w:rPr>
          <w:rFonts w:eastAsia="Times New Roman" w:cs="Times New Roman" w:ascii="Times New Roman" w:hAnsi="Times New Roman"/>
          <w:color w:val="111111"/>
          <w:sz w:val="28"/>
          <w:szCs w:val="28"/>
          <w:lang w:val="en-US"/>
        </w:rPr>
        <w:t>Falsafah Pidana Penistaan Simbol Sakral — 113</w:t>
      </w:r>
    </w:p>
    <w:p>
      <w:pPr>
        <w:pStyle w:val="BookText"/>
        <w:bidi w:val="0"/>
        <w:jc w:val="both"/>
        <w:rPr/>
      </w:pPr>
      <w:r>
        <w:rPr>
          <w:rFonts w:eastAsia="Times New Roman" w:cs="Times New Roman" w:ascii="Times New Roman" w:hAnsi="Times New Roman"/>
          <w:color w:val="111111"/>
          <w:sz w:val="28"/>
          <w:szCs w:val="28"/>
          <w:lang w:val="en-US"/>
        </w:rPr>
        <w:t>Ikhtisar – 118</w:t>
      </w:r>
    </w:p>
    <w:p>
      <w:pPr>
        <w:pStyle w:val="BookText"/>
        <w:bidi w:val="0"/>
        <w:jc w:val="both"/>
        <w:rPr/>
      </w:pPr>
      <w:r>
        <w:rPr>
          <w:rFonts w:eastAsia="Times New Roman" w:cs="Times New Roman" w:ascii="Times New Roman" w:hAnsi="Times New Roman"/>
          <w:color w:val="111111"/>
          <w:sz w:val="28"/>
          <w:szCs w:val="28"/>
          <w:lang w:val="en-US"/>
        </w:rPr>
        <w:t>Daftar Pustaka — 123</w:t>
      </w:r>
    </w:p>
    <w:p>
      <w:pPr>
        <w:pStyle w:val="BookText"/>
        <w:bidi w:val="0"/>
        <w:jc w:val="both"/>
        <w:rPr/>
      </w:pPr>
      <w:r>
        <w:rPr>
          <w:rFonts w:eastAsia="Times New Roman" w:cs="Times New Roman" w:ascii="Times New Roman" w:hAnsi="Times New Roman"/>
          <w:color w:val="111111"/>
          <w:sz w:val="28"/>
          <w:szCs w:val="28"/>
          <w:lang w:val="en-US"/>
        </w:rPr>
        <w:t>INDEKS - 131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LAMPIRAN - 135 </w:t>
      </w:r>
    </w:p>
    <w:p>
      <w:pPr>
        <w:pStyle w:val="BookText"/>
        <w:bidi w:val="0"/>
        <w:rPr/>
      </w:pPr>
      <w:r>
        <w:rPr>
          <w:rFonts w:eastAsia="Times New Roman" w:cs="Times New Roman" w:ascii="Times New Roman" w:hAnsi="Times New Roman"/>
          <w:color w:val="111111"/>
          <w:sz w:val="28"/>
          <w:szCs w:val="28"/>
          <w:lang w:val="en-US"/>
        </w:rPr>
        <w:t>Transliterasi Arab</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495800" cy="3302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495680" cy="3301920"/>
                        </a:xfrm>
                        <a:prstGeom prst="rect">
                          <a:avLst/>
                        </a:prstGeom>
                        <a:ln w="0">
                          <a:noFill/>
                        </a:ln>
                      </pic:spPr>
                    </pic:pic>
                  </a:graphicData>
                </a:graphic>
              </wp:inline>
            </w:drawing>
          </mc:Choice>
          <mc:Fallback>
            <w:pict>
              <v:shape id="shape_0" stroked="f" o:allowincell="f" style="position:absolute;margin-left:0pt;margin-top:-260.05pt;width:353.95pt;height:25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Transliterasi Persia</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3390900" cy="3810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3390840" cy="3809880"/>
                        </a:xfrm>
                        <a:prstGeom prst="rect">
                          <a:avLst/>
                        </a:prstGeom>
                        <a:ln w="0">
                          <a:noFill/>
                        </a:ln>
                      </pic:spPr>
                    </pic:pic>
                  </a:graphicData>
                </a:graphic>
              </wp:inline>
            </w:drawing>
          </mc:Choice>
          <mc:Fallback>
            <w:pict>
              <v:shape id="shape_0" stroked="f" o:allowincell="f" style="position:absolute;margin-left:0pt;margin-top:-300.05pt;width:266.95pt;height:299.95pt;mso-wrap-style:none;v-text-anchor:middle;mso-position-horizontal:left;mso-position-vertical:top" type="_x0000_t75">
                <v:imagedata r:id="rId18" o:detectmouseclick="t"/>
                <v:stroke color="#3465a4" joinstyle="round" endcap="flat"/>
                <w10:wrap type="none"/>
              </v:shape>
            </w:pict>
          </mc:Fallback>
        </mc:AlternateContent>
      </w:r>
      <w:bookmarkStart w:id="10" w:name="pg6391_42888"/>
    </w:p>
    <w:p>
      <w:pPr>
        <w:pStyle w:val="Heading2"/>
        <w:numPr>
          <w:ilvl w:val="1"/>
          <w:numId w:val="1"/>
        </w:numPr>
        <w:bidi w:val="0"/>
        <w:jc w:val="left"/>
        <w:rPr/>
      </w:pPr>
      <w:bookmarkStart w:id="11" w:name="__RefHeading___Toc419454_653776707"/>
      <w:bookmarkStart w:id="12" w:name="_Toc4"/>
      <w:bookmarkEnd w:id="10"/>
      <w:bookmarkEnd w:id="11"/>
      <w:r>
        <w:rPr/>
        <w:t>Pengantar IICT</w:t>
      </w:r>
      <w:bookmarkEnd w:id="12"/>
    </w:p>
    <w:p>
      <w:pPr>
        <w:pStyle w:val="BookText"/>
        <w:bidi w:val="0"/>
        <w:jc w:val="both"/>
        <w:rPr/>
      </w:pPr>
      <w:r>
        <w:rPr>
          <w:rFonts w:eastAsia="Times New Roman" w:cs="Times New Roman" w:ascii="Times New Roman" w:hAnsi="Times New Roman"/>
          <w:color w:val="111111"/>
          <w:sz w:val="28"/>
          <w:szCs w:val="28"/>
          <w:lang w:val="en-US"/>
        </w:rPr>
        <w:t>Institute for Islamic Culture and Thought (IICT) berdiri dan memulai  aktivitasnya pada 1372 HS/1994 M diatas sebuah paradigma pemikiran pembaruan.</w:t>
      </w:r>
    </w:p>
    <w:p>
      <w:pPr>
        <w:pStyle w:val="BookText"/>
        <w:bidi w:val="0"/>
        <w:jc w:val="both"/>
        <w:rPr/>
      </w:pPr>
      <w:r>
        <w:rPr>
          <w:rFonts w:eastAsia="Times New Roman" w:cs="Times New Roman" w:ascii="Times New Roman" w:hAnsi="Times New Roman"/>
          <w:color w:val="111111"/>
          <w:sz w:val="28"/>
          <w:szCs w:val="28"/>
          <w:lang w:val="en-US"/>
        </w:rPr>
        <w:t>Hingga kini, konstruksi pemikiran sarjana dunia Islam dapat diklasifikasi ke dalam  tiga tipe, yakni tradisionalisme, modernisme, dan modernisme religius. Kaum  tradisionalis, dalam interaksi mereka dengan modernitas, menghadapi berbagai  konsep dan teori baru, menempatkan tradisi sebagai prinsip yang tak bisa “disentuh”  dalam kondisi apa pun.</w:t>
      </w:r>
    </w:p>
    <w:p>
      <w:pPr>
        <w:pStyle w:val="BookText"/>
        <w:bidi w:val="0"/>
        <w:jc w:val="both"/>
        <w:rPr/>
      </w:pPr>
      <w:r>
        <w:rPr>
          <w:rFonts w:eastAsia="Times New Roman" w:cs="Times New Roman" w:ascii="Times New Roman" w:hAnsi="Times New Roman"/>
          <w:color w:val="111111"/>
          <w:sz w:val="28"/>
          <w:szCs w:val="28"/>
          <w:lang w:val="en-US"/>
        </w:rPr>
        <w:t>Dalam rangka melindungi tradisi, mereka mereaksi modernitas secara negatif.</w:t>
      </w:r>
    </w:p>
    <w:p>
      <w:pPr>
        <w:pStyle w:val="BookText"/>
        <w:bidi w:val="0"/>
        <w:jc w:val="both"/>
        <w:rPr/>
      </w:pPr>
      <w:r>
        <w:rPr>
          <w:rFonts w:eastAsia="Times New Roman" w:cs="Times New Roman" w:ascii="Times New Roman" w:hAnsi="Times New Roman"/>
          <w:color w:val="111111"/>
          <w:sz w:val="28"/>
          <w:szCs w:val="28"/>
          <w:lang w:val="en-US"/>
        </w:rPr>
        <w:t>Dampaknya, upaya dekonstruksi pemikiran dan reproduksi pemahaman aktual  terhadap teks agama yang kompatibel dengan aneka ragam kebutuhan masyarakat,  dalam paradigma ini, tampaknya tidak mungkin lagi ditempuh.</w:t>
      </w:r>
    </w:p>
    <w:p>
      <w:pPr>
        <w:pStyle w:val="BookText"/>
        <w:bidi w:val="0"/>
        <w:jc w:val="both"/>
        <w:rPr/>
      </w:pPr>
      <w:r>
        <w:rPr>
          <w:rFonts w:eastAsia="Times New Roman" w:cs="Times New Roman" w:ascii="Times New Roman" w:hAnsi="Times New Roman"/>
          <w:color w:val="111111"/>
          <w:sz w:val="28"/>
          <w:szCs w:val="28"/>
          <w:lang w:val="en-US"/>
        </w:rPr>
        <w:t>Sementara dari sisi lain, kaum modernis berdiri pada posisi diametris di hadapan  kaum tradisionalis, sedemikian rupa hingga dalam interaksi dengan berbagai konsep  modernitas dan pemikiran modern, mereka menempatkan modernitas sebagai nilai  prinsipal dan mengkontekstualisasikan tradisi sesuai dengan konsepkonsep-nya.</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Apabila dampak paradigma tradisionalisme itu muncul dalam bentuk  kejumudan, fundamentalisme, dan keterbelakangan, paradigma modernisme  justru pada gilirannya berujung pada negasi total terhadap tradisi dan sebaliknya  menumbuhkan paradigma humanisme serta mendukung dominasi sekularisme  dalam seluruh aspek masyarakat. Di antara dua paradigma ini, modernisme  religius,dan terutama paradigma pemikiran pembaruan-tampil konsisten dalam  menjunjung tinggi tradisi sebagai prinsip sepanjang pergaulannya dengan konsep-  konsep modernitas, sekaligus berupaya mendekonstruksi dan mereproduksi  pemikiran baru dengan cara menyaring konsep-konsep modernitas dengan filter  tradisi. Dalam mekanisme inilah terma-terma seperti: kebebasan, kesetaraan,  dan demokrasi agama menemukan makna khasnya jika dibandingkan dengan </w:t>
      </w:r>
    </w:p>
    <w:p>
      <w:pPr>
        <w:pStyle w:val="BookText"/>
        <w:bidi w:val="0"/>
        <w:rPr/>
      </w:pPr>
      <w:r>
        <w:rPr>
          <w:rFonts w:eastAsia="Times New Roman" w:cs="Times New Roman" w:ascii="Times New Roman" w:hAnsi="Times New Roman"/>
          <w:color w:val="111111"/>
          <w:sz w:val="28"/>
          <w:szCs w:val="28"/>
          <w:lang w:val="en-US"/>
        </w:rPr>
        <w:t>kebebasan, demokrasi, dan keadilan sosial sebagaimana yang dipahami dalam  paradigma</w:t>
      </w:r>
    </w:p>
    <w:p>
      <w:pPr>
        <w:pStyle w:val="BookText"/>
        <w:bidi w:val="0"/>
        <w:jc w:val="both"/>
        <w:rPr/>
      </w:pPr>
      <w:r>
        <w:rPr>
          <w:rFonts w:eastAsia="Times New Roman" w:cs="Times New Roman" w:ascii="Times New Roman" w:hAnsi="Times New Roman"/>
          <w:color w:val="111111"/>
          <w:sz w:val="28"/>
          <w:szCs w:val="28"/>
          <w:lang w:val="en-US"/>
        </w:rPr>
        <w:t>modern.</w:t>
      </w:r>
    </w:p>
    <w:p>
      <w:pPr>
        <w:pStyle w:val="BookText"/>
        <w:bidi w:val="0"/>
        <w:jc w:val="both"/>
        <w:rPr/>
      </w:pPr>
      <w:r>
        <w:rPr>
          <w:rFonts w:eastAsia="Times New Roman" w:cs="Times New Roman" w:ascii="Times New Roman" w:hAnsi="Times New Roman"/>
          <w:color w:val="111111"/>
          <w:sz w:val="28"/>
          <w:szCs w:val="28"/>
          <w:lang w:val="en-US"/>
        </w:rPr>
        <w:t>Berbasis di atas akal dan rasionalitas, paradigma pemikiran pembaruan  meletakkan pandangan dunia Islam sebagai sudut pandangnya dalam upaya  mendefinisikan realitas, mencapai kebenaran, dan menjelaskan sistem nilai. Atas  dasar ini pula, tentu saja, ia melaksanakan agenda penggagasan teori dan reproduksi  pemikiran dalam berbagai bidang: hukum, budaya, ekonomi, politik, dan sosial.</w:t>
      </w:r>
    </w:p>
    <w:p>
      <w:pPr>
        <w:pStyle w:val="BookText"/>
        <w:bidi w:val="0"/>
        <w:jc w:val="both"/>
        <w:rPr/>
      </w:pPr>
      <w:r>
        <w:rPr>
          <w:rFonts w:eastAsia="Times New Roman" w:cs="Times New Roman" w:ascii="Times New Roman" w:hAnsi="Times New Roman"/>
          <w:color w:val="111111"/>
          <w:sz w:val="28"/>
          <w:szCs w:val="28"/>
          <w:lang w:val="en-US"/>
        </w:rPr>
        <w:t>Berkaitan dengan hal ini, IICT hingga kini telah mendistribusikan lebih dari  enam ratus karya ilmiah ke pasar penerbitan di tingkat internasional. Tidak hanya  menanggapi kritis sekularisme dan humanisme sebagai dua pandangan dunia yang  dominan di Barat, karya-karya ini juga dengan kekuatan kritis yang sebanding  menganalisis dan menyangkal paradigma kaum tradisionalis muslim, sekaligus  mengolah pemikiran baru di atas jalur tradisi dalam kerangka rasionalitas Islam  dan basis-basis yang aksiomatis dan logis.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Hujjatul Islam Prof. Ali Akbar Rasyad  Direktur INSTITUTE FOR ISLAMIC CULTURE AND THOUGHT (IICT) </w:t>
      </w:r>
      <w:bookmarkStart w:id="13" w:name="pg6391_42892"/>
    </w:p>
    <w:p>
      <w:pPr>
        <w:pStyle w:val="Heading2"/>
        <w:numPr>
          <w:ilvl w:val="1"/>
          <w:numId w:val="1"/>
        </w:numPr>
        <w:bidi w:val="0"/>
        <w:jc w:val="left"/>
        <w:rPr/>
      </w:pPr>
      <w:bookmarkStart w:id="14" w:name="__RefHeading___Toc419456_653776707"/>
      <w:bookmarkStart w:id="15" w:name="_Toc5"/>
      <w:bookmarkEnd w:id="13"/>
      <w:bookmarkEnd w:id="14"/>
      <w:r>
        <w:rPr/>
        <w:t>Pendahuluan</w:t>
      </w:r>
      <w:bookmarkEnd w:id="15"/>
    </w:p>
    <w:p>
      <w:pPr>
        <w:pStyle w:val="Heading2"/>
        <w:numPr>
          <w:ilvl w:val="1"/>
          <w:numId w:val="1"/>
        </w:numPr>
        <w:bidi w:val="0"/>
        <w:jc w:val="left"/>
        <w:rPr/>
      </w:pPr>
      <w:bookmarkStart w:id="16" w:name="__RefHeading___Toc419458_653776707"/>
      <w:bookmarkStart w:id="17" w:name="_Toc6"/>
      <w:bookmarkEnd w:id="16"/>
      <w:r>
        <w:rPr/>
        <w:t>Tujuan dan Signifikansi</w:t>
      </w:r>
      <w:bookmarkEnd w:id="17"/>
    </w:p>
    <w:p>
      <w:pPr>
        <w:pStyle w:val="BookText"/>
        <w:bidi w:val="0"/>
        <w:jc w:val="both"/>
        <w:rPr/>
      </w:pPr>
      <w:r>
        <w:rPr>
          <w:rFonts w:eastAsia="Times New Roman" w:cs="Times New Roman" w:ascii="Times New Roman" w:hAnsi="Times New Roman"/>
          <w:color w:val="111111"/>
          <w:sz w:val="28"/>
          <w:szCs w:val="28"/>
          <w:lang w:val="en-US"/>
        </w:rPr>
        <w:t>Di tengah kehidupan generasi muda dewasa ini arus informasi begitu gencarnya.</w:t>
      </w:r>
    </w:p>
    <w:p>
      <w:pPr>
        <w:pStyle w:val="BookText"/>
        <w:bidi w:val="0"/>
        <w:jc w:val="both"/>
        <w:rPr/>
      </w:pPr>
      <w:r>
        <w:rPr>
          <w:rFonts w:eastAsia="Times New Roman" w:cs="Times New Roman" w:ascii="Times New Roman" w:hAnsi="Times New Roman"/>
          <w:color w:val="111111"/>
          <w:sz w:val="28"/>
          <w:szCs w:val="28"/>
          <w:lang w:val="en-US"/>
        </w:rPr>
        <w:t>Media-media penyedia informasi juga terdiri dari banyak pilihan, baik media  konvensional maupun yang bersifat media alternatif seperti situs-situs berita dan  informasi, forum-forum diskusi di internet, maupun situs-situs jaringan sosial.</w:t>
      </w:r>
    </w:p>
    <w:p>
      <w:pPr>
        <w:pStyle w:val="BookText"/>
        <w:bidi w:val="0"/>
        <w:jc w:val="both"/>
        <w:rPr/>
      </w:pPr>
      <w:r>
        <w:rPr>
          <w:rFonts w:eastAsia="Times New Roman" w:cs="Times New Roman" w:ascii="Times New Roman" w:hAnsi="Times New Roman"/>
          <w:color w:val="111111"/>
          <w:sz w:val="28"/>
          <w:szCs w:val="28"/>
          <w:lang w:val="en-US"/>
        </w:rPr>
        <w:t>Secara sadar atau tidak, kita banyak menemukan informasi yang memasok deras  kontroversi di seputar hubungan antara bertindak murtad dan menistakan simbol-  simbol agama dengan hak asasi manusia, termasuk dengan kebebasan berpendapat  (freedom of expression), berkeyakinan, bertukar kepercayaan, atau berpindah agama.</w:t>
      </w:r>
    </w:p>
    <w:p>
      <w:pPr>
        <w:pStyle w:val="BookText"/>
        <w:bidi w:val="0"/>
        <w:jc w:val="both"/>
        <w:rPr/>
      </w:pPr>
      <w:r>
        <w:rPr>
          <w:rFonts w:eastAsia="Times New Roman" w:cs="Times New Roman" w:ascii="Times New Roman" w:hAnsi="Times New Roman"/>
          <w:color w:val="111111"/>
          <w:sz w:val="28"/>
          <w:szCs w:val="28"/>
          <w:lang w:val="en-US"/>
        </w:rPr>
        <w:t>Dengan kata lain, pasokan informasi yang melimpah itu menjadi sesuatu yang bisa  berdampak serius dalam konteks kehidupan beragama. Sebab seringkali prinsip-  prinsip kebebasan berpikir seperti yang sering diintrodusir menyerempet pada  nilai-nilai paling hakiki dalam sebuah keyakinan.</w:t>
      </w:r>
    </w:p>
    <w:p>
      <w:pPr>
        <w:pStyle w:val="BookText"/>
        <w:bidi w:val="0"/>
        <w:jc w:val="both"/>
        <w:rPr/>
      </w:pPr>
      <w:r>
        <w:rPr>
          <w:rFonts w:eastAsia="Times New Roman" w:cs="Times New Roman" w:ascii="Times New Roman" w:hAnsi="Times New Roman"/>
          <w:color w:val="111111"/>
          <w:sz w:val="28"/>
          <w:szCs w:val="28"/>
          <w:lang w:val="en-US"/>
        </w:rPr>
        <w:t>Tentu saja penting untuk diikhtiarkan sejumlah langkah untuk memberikan  semacam panduan kepada generasi muda, khususnya mereka yang saat ini  menduduki kursi perguruan tinggi dalam upaya memahami secara lebih  lengkap nilai-nilai agamanya. Anak-anak muda di kampus yang memang  menjadi konsumen informasi perlu dibekali dengan pemahaman yang lebih  luas mengenai dampak-dampak arus informasi dalam pembentukan pikiran  dan keyakinannya.</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Tentu saja langkah-langkah itu harus mencakup beberapa hal. Pertama,  menjelaskan fatwa fikih mengenai tindakan murtad yang terkait dengan prinsip  kebebasan, seraya menguraikan aspek filosofisnya. Kedua, membandingkan  aturan ini dengan beberapa aturan seputar kemurtadan di sejumlah negara Barat,  khususnya Amerika dan Inggris. Semua itu diharapkan dapat memberi jawaban  sekaligus meredakan kontroversi tersebut. </w:t>
      </w:r>
      <w:bookmarkStart w:id="18" w:name="pg6391_42894"/>
    </w:p>
    <w:p>
      <w:pPr>
        <w:pStyle w:val="Heading2"/>
        <w:numPr>
          <w:ilvl w:val="1"/>
          <w:numId w:val="1"/>
        </w:numPr>
        <w:bidi w:val="0"/>
        <w:jc w:val="left"/>
        <w:rPr/>
      </w:pPr>
      <w:bookmarkStart w:id="19" w:name="__RefHeading___Toc419460_653776707"/>
      <w:bookmarkStart w:id="20" w:name="_Toc7"/>
      <w:bookmarkEnd w:id="18"/>
      <w:bookmarkEnd w:id="19"/>
      <w:r>
        <w:rPr/>
        <w:t>Rumusan Masalah</w:t>
      </w:r>
      <w:bookmarkEnd w:id="20"/>
    </w:p>
    <w:p>
      <w:pPr>
        <w:pStyle w:val="BookText"/>
        <w:bidi w:val="0"/>
        <w:jc w:val="both"/>
        <w:rPr/>
      </w:pPr>
      <w:r>
        <w:rPr>
          <w:rFonts w:eastAsia="Times New Roman" w:cs="Times New Roman" w:ascii="Times New Roman" w:hAnsi="Times New Roman"/>
          <w:color w:val="111111"/>
          <w:sz w:val="28"/>
          <w:szCs w:val="28"/>
          <w:lang w:val="en-US"/>
        </w:rPr>
        <w:t>Pertanyaan mendasar dalam pembahasan mengenai kemurtadan dapat diajukan  dalam beberapa poin, antara lain: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Apakah mengajukan pertanyaan ilmiah dan menyatakan keraguan terhadap  ajaran agama niscaya mengakibatkan kemurtadan?  2. Apakah pengingkaran terhadap suatu ajaran niscaya (dharûrî) agama,  sejauh diupayakan melalui telaah teoretis dan ilmiah, akan menimbulkan  kemurtadan?  3. Apakah menerima aturan Islam berkenaan dengan kemurtadan yang berarti  menolak kebebasan berpendapat dan berkeyakinan? Ketika telah memilih  Islam, apakah hak seseorang menukar agama menjadi hilang?  4. Apa falsafah dari predikat kriminal pada kemurtadan dan penistaan simbol  sakral keagamaan? Apakah dalam perspektif Islam, predikat kriminal bagi  kemurtadan dan penistaan simbol sakral keagamaan merupakan predikat  mandiri dan substansial, ataukah hanya predikat aksidental dan indikatif?  Dengan rumusan lain, apakah kemurtadan dikategorikan sebagai kriminal  lantaran merugikan orang lain dan merusak ketertiban dan etika sosial?  Atau pada dasarnya, predikat ini merupakan hukum politis dan eksekutif  negara?  Dalam perspektif hukum di sejumlah negara Barat, penistaan simbol sakral  keagamaan dan adakalanya, kemurtadan, dikategorisasi sebagai tindakan  kriminal. Apakah kategorisasi itu didasarkan pada pelanggaran terhadap  etika sosial atau argumentasi lain?  Sementara beberapa negara lain telah menghapus aturan tindak kemurtadan  dan penistaan simbol sakral keagamaan dari sistem hukum mereka. Yang  menjadi pertanyaan apakah keputusan itu dalam rangka menghargai hak  asasi manusia atau karena surutnya peran agama?  5. Apakah penetapan hukum murtad dan eksekusinya (termasuk penistaan  terhadap simbol keagamaan) harus berlangsung di bawah pengawasan  negara? Ataukah siapa saja boleh melakukannya?</w:t>
      </w:r>
    </w:p>
    <w:p>
      <w:pPr>
        <w:pStyle w:val="Heading2"/>
        <w:numPr>
          <w:ilvl w:val="1"/>
          <w:numId w:val="1"/>
        </w:numPr>
        <w:bidi w:val="0"/>
        <w:jc w:val="left"/>
        <w:rPr/>
      </w:pPr>
      <w:bookmarkStart w:id="21" w:name="__RefHeading___Toc419462_653776707"/>
      <w:bookmarkStart w:id="22" w:name="_Toc8"/>
      <w:bookmarkEnd w:id="21"/>
      <w:r>
        <w:rPr/>
        <w:t>Hipotesis</w:t>
      </w:r>
      <w:bookmarkEnd w:id="22"/>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Perdebatan, sikap kritis dan sanggahan ilmiah terhadap ajaran niscaya  (dharûrî) agama yang menjadi sumber kontroversi, tidak mengakibatkan  kemurtadan, kecuali jika itu dilakukan dengan motif merusak pemerintahan  Islam dan menularkan skeptisisme dalam masyarakat religius. Dalam</w:t>
      </w:r>
      <w:bookmarkStart w:id="23" w:name="pg6391_42895"/>
    </w:p>
    <w:p>
      <w:pPr>
        <w:pStyle w:val="BookText"/>
        <w:bidi w:val="0"/>
        <w:rPr/>
      </w:pPr>
      <w:bookmarkEnd w:id="23"/>
      <w:r>
        <w:rPr>
          <w:rFonts w:eastAsia="Times New Roman" w:cs="Times New Roman" w:ascii="Times New Roman" w:hAnsi="Times New Roman"/>
          <w:color w:val="111111"/>
          <w:sz w:val="28"/>
          <w:szCs w:val="28"/>
          <w:lang w:val="en-US"/>
        </w:rPr>
        <w:t>undang-undang dan praktik yang berlaku di negara-negara Barat, kebebasan  berekspresi tidak diakui jika mengganggu struktur masyarakat demokratis.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Kebebasan berekspresi --sekalipun dalam konsep Barat-- tidak berarti absolut  atau tetap memiliki pengecualian. Bahkan dalam beberapa dokumen PBB  tentang hak asasi manusia, kebebasan berpendapat juga memiliki batasan.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Kemurtadan dalam perspektif Islam memiliki syarat mendetail dan  kompleks, serta tidak dapat dikategorikan begitu saja. Penetapan hukum  murtad dan eksekusinya (bahkan terhadap pelaku penistaan simbol sakral  agama) harus di bawah pengawasan pemerintahan Islam.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Kemurtadan yang menyertakan sikap menolak dan mengingkari prinsip  keyakinan Kristen (Ketuhanan, Nabi Isa as, dan Injil) dalam sistem hukum  Common Law dikategorikan sebagai tindak kriminal. Pakar hukum Barat  meyakini bahwa pada praktiknya, pengadilan mengacu mengenai kategori  ini hanya dalam kasus penistaan simbol sakral agama Kristen, bukan agama  lain. Mereka tidak memperlakukan perkara kemurtadan sebagai kriminalitas.</w:t>
      </w:r>
    </w:p>
    <w:p>
      <w:pPr>
        <w:pStyle w:val="BookText"/>
        <w:bidi w:val="0"/>
        <w:jc w:val="both"/>
        <w:rPr/>
      </w:pPr>
      <w:r>
        <w:rPr>
          <w:rFonts w:eastAsia="Times New Roman" w:cs="Times New Roman" w:ascii="Times New Roman" w:hAnsi="Times New Roman"/>
          <w:color w:val="111111"/>
          <w:sz w:val="28"/>
          <w:szCs w:val="28"/>
          <w:lang w:val="en-US"/>
        </w:rPr>
        <w:t>Namun begitu, secara teoretis, istilah blasphemy (memfitnah) didefinisikan  secara luas oleh mereka hingga mencakup tindak kemurtadan.</w:t>
      </w:r>
    </w:p>
    <w:p>
      <w:pPr>
        <w:pStyle w:val="BookText"/>
        <w:bidi w:val="0"/>
        <w:jc w:val="both"/>
        <w:rPr/>
      </w:pPr>
      <w:r>
        <w:rPr>
          <w:rFonts w:eastAsia="Times New Roman" w:cs="Times New Roman" w:ascii="Times New Roman" w:hAnsi="Times New Roman"/>
          <w:color w:val="111111"/>
          <w:sz w:val="28"/>
          <w:szCs w:val="28"/>
          <w:lang w:val="en-US"/>
        </w:rPr>
        <w:t>Karena itulah duduk dasar persoalan kemurtadan di sejumlah negara maju  seperti Inggris, hingga hari ini memiliki tempat dalam hukum dan undang-  undang. Telah disebutkan bahwa pakar hukum mereka meyakini bahwa  pada praktiknya aturan ini digunakan hanya dalam kasus penistaan simbol  sakral agama. Sebagai pengusung sistem hukum Common Law, Inggris  memanfaatkan aturan tersebut hanya untuk melindungi agama Kristen saja.</w:t>
      </w:r>
    </w:p>
    <w:p>
      <w:pPr>
        <w:pStyle w:val="BookText"/>
        <w:bidi w:val="0"/>
        <w:jc w:val="both"/>
        <w:rPr/>
      </w:pPr>
      <w:r>
        <w:rPr>
          <w:rFonts w:eastAsia="Times New Roman" w:cs="Times New Roman" w:ascii="Times New Roman" w:hAnsi="Times New Roman"/>
          <w:color w:val="111111"/>
          <w:sz w:val="28"/>
          <w:szCs w:val="28"/>
          <w:lang w:val="en-US"/>
        </w:rPr>
        <w:t>Di sisi lain, perlu diingat, Inggris bukanlah negara berdasarkan agama.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Bila dikomparasikan dengan perspektif Barat, sebetulnya pembahasan  seputar kemurtadan dan penistaan simbol sakral agama dalam perspektif  Islam, dari beberapa aspeknya, ternyata lebih sesuai dengan prinsip hak asasi  manusia masa kini.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Merujuk substansi dominan dalam aturan fikih Islam tentang kemurtadan,  dapat disimpulkan bahwa predikat kriminal pada kemurtadan tidak bersifat  independen. Dengan ungkapan lain, predikat ini ditetapkan syariat lantaran  tindak kemurtadan mengganggu ketertiban masyarakat Islam dan etika sosial.</w:t>
      </w:r>
    </w:p>
    <w:p>
      <w:pPr>
        <w:pStyle w:val="Heading2"/>
        <w:numPr>
          <w:ilvl w:val="1"/>
          <w:numId w:val="1"/>
        </w:numPr>
        <w:bidi w:val="0"/>
        <w:jc w:val="left"/>
        <w:rPr/>
      </w:pPr>
      <w:bookmarkStart w:id="24" w:name="__RefHeading___Toc419464_653776707"/>
      <w:bookmarkStart w:id="25" w:name="_Toc9"/>
      <w:bookmarkEnd w:id="24"/>
      <w:r>
        <w:rPr/>
        <w:t>Sistematika Penelitian</w:t>
      </w:r>
      <w:bookmarkEnd w:id="2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Karya penelitan ini terdiri dari empat bab. Bab I mengetengahkan hal-ihwal  definisi dan batasan konseptual kemurtadan. Etimologi dan definisi operasional </w:t>
      </w:r>
    </w:p>
    <w:p>
      <w:pPr>
        <w:pStyle w:val="BookText"/>
        <w:bidi w:val="0"/>
        <w:rPr/>
      </w:pPr>
      <w:r>
        <w:rPr>
          <w:rFonts w:eastAsia="Times New Roman" w:cs="Times New Roman" w:ascii="Times New Roman" w:hAnsi="Times New Roman"/>
          <w:color w:val="111111"/>
          <w:sz w:val="28"/>
          <w:szCs w:val="28"/>
          <w:lang w:val="en-US"/>
        </w:rPr>
        <w:t>kemurtadan akan mengawali pembahasan pada bagian ini. Pembahasan diurai  sampai menelaah penistaan terhadap simbol sakral dan relasinya dengan  kemurtadan. Sementara itu, pembahasan kedua akan mengupas ajaran niscaya  (dharûrî) agama dan mengidentifikasi bentuk-bentuk konkretnya.</w:t>
      </w:r>
    </w:p>
    <w:p>
      <w:pPr>
        <w:pStyle w:val="BookText"/>
        <w:bidi w:val="0"/>
        <w:jc w:val="both"/>
        <w:rPr/>
      </w:pPr>
      <w:r>
        <w:rPr>
          <w:rFonts w:eastAsia="Times New Roman" w:cs="Times New Roman" w:ascii="Times New Roman" w:hAnsi="Times New Roman"/>
          <w:color w:val="111111"/>
          <w:sz w:val="28"/>
          <w:szCs w:val="28"/>
          <w:lang w:val="en-US"/>
        </w:rPr>
        <w:t>Bab II menelaah ‘Kemurtadan Diskursif dan Teoretis' sebagai tema sentral dalam  membahas kemurtadan. Di dalamnya akan dikaji, apakah sekadar meragukan  ajaran niscaya agama akan menyebabkan kemurtadan? Demikian pula apakah  pengingkaran terhadap ajaran tersebut berdasarkan penalaran dan argumentasi  mengakibatkan kemurtadan? Sekalipun kenyataannya atau menurut sebagian  orang argumentasi itu tidak benar, sebagaimana yang dilakukan sebagian pemikir  dan filosof.</w:t>
      </w:r>
    </w:p>
    <w:p>
      <w:pPr>
        <w:pStyle w:val="BookText"/>
        <w:bidi w:val="0"/>
        <w:jc w:val="both"/>
        <w:rPr/>
      </w:pPr>
      <w:r>
        <w:rPr>
          <w:rFonts w:eastAsia="Times New Roman" w:cs="Times New Roman" w:ascii="Times New Roman" w:hAnsi="Times New Roman"/>
          <w:color w:val="111111"/>
          <w:sz w:val="28"/>
          <w:szCs w:val="28"/>
          <w:lang w:val="en-US"/>
        </w:rPr>
        <w:t>Sebelum menjawab pertanyaan di atas, perlu ditelaah beberapa pertanyaan  seperti apakah ingkar terhadap ajaran niscaya agama an sich menjadi variabel  independen (sabab mustaqil) terjadinya kemurtadan? Atau, ingkar itu disebut  variabel kemurtadan manakala berdampak pada pengingkaran Tuhan dan atau  Nabi?  Ihwal mengingkari ajaran niscaya agama sebagai variabel kemurtadan yang  independen atau bukan, merupakan persoalan mendasar. Untuk itu, pertama-  tama, ini mesti dipaparkan secara luas, untuk kemudian dikaji khusus: apakah  sekadar keraguan terhadap ajaran niscaya agama, atau keraguan yang muncul dari  kerancuan intelektual (syubhah), dikategorikan sebagai kemurtadan?  Bab III mengkhususkan uraian seputar eksekusi hukuman terhadap kemurtadan  dan penistaan simbol sakral agama. Yakni apakah dalam perspektif Islam eksekusi  hukuman ini termasuk kewenangan institusional khusus pemerintahan Islam?  Ataukah terdapat legitimasi bagi pribadi-pribadi untuk melaksanakannya? Masalah  ini dikemukakan dalam dua sesi pembahasan. Kesimpulannya eksekusi hukuman  kemurtadan dan penistaan simbol sakral agama pada masa eksisnya pemerintahan  Islam merupakan kewenangan khusus pemerintahan Islam.</w:t>
      </w:r>
    </w:p>
    <w:p>
      <w:pPr>
        <w:pStyle w:val="BookText"/>
        <w:bidi w:val="0"/>
        <w:jc w:val="both"/>
        <w:rPr/>
      </w:pPr>
      <w:r>
        <w:rPr>
          <w:rFonts w:eastAsia="Times New Roman" w:cs="Times New Roman" w:ascii="Times New Roman" w:hAnsi="Times New Roman"/>
          <w:color w:val="111111"/>
          <w:sz w:val="28"/>
          <w:szCs w:val="28"/>
          <w:lang w:val="en-US"/>
        </w:rPr>
        <w:t>Filosofi kemurtadan dan penistaan simbol sakral agama akan dibahas panjang  lebar dalam Bab IV. Di dalamnya juga akan dicermati, kendati kemurtadan terjadi  hanya lantaran aksi pengingkaran, tetapi penelitian terhadap bentuk-bentuk  konkretnya pada masa para Imam Ahlul Bait justru mengapirmasi sebuah hipotesis.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Yakni, pada praktiknya, hal yang menjadi fokus sensitif (para Imam) hanyalah  kemurtadan via penistaan simbol sakral agama, atau kondisi-kondisi pengingkaran  terhadap ajaran niscaya agama bermakna sebagai propaganda terencana untuk  menentang agama. </w:t>
      </w:r>
    </w:p>
    <w:p>
      <w:pPr>
        <w:pStyle w:val="BookText"/>
        <w:bidi w:val="0"/>
        <w:rPr/>
      </w:pPr>
      <w:r>
        <w:rPr>
          <w:rFonts w:eastAsia="Times New Roman" w:cs="Times New Roman" w:ascii="Times New Roman" w:hAnsi="Times New Roman"/>
          <w:color w:val="111111"/>
          <w:sz w:val="28"/>
          <w:szCs w:val="28"/>
          <w:lang w:val="en-US"/>
        </w:rPr>
        <w:t>Dengan ungkapan lain kemurtadan memiliki definisi, cakupan, dan prasyarat  yang berkaitan dengannya. Dari sana, dapat disimpulkan bahwa kemurtadan pada  hakikatnya merupakan ekspresi pengingkaran agama dan ajakan melawan (agama)  yang didorong motif kebencian dan sikap bermusuhan; bukan berlandaskan pada  argumentasi logis yang bersumber dari kerancuan intelektual, kekeliruan, atau  ketidaktahuan.</w:t>
      </w:r>
    </w:p>
    <w:p>
      <w:pPr>
        <w:pStyle w:val="BookText"/>
        <w:bidi w:val="0"/>
        <w:jc w:val="both"/>
        <w:rPr/>
      </w:pPr>
      <w:r>
        <w:rPr>
          <w:rFonts w:eastAsia="Times New Roman" w:cs="Times New Roman" w:ascii="Times New Roman" w:hAnsi="Times New Roman"/>
          <w:color w:val="111111"/>
          <w:sz w:val="28"/>
          <w:szCs w:val="28"/>
          <w:lang w:val="en-US"/>
        </w:rPr>
        <w:t>Atas dasar itu, esensi kemurtadan dapat diamati sebagai seruan melawan agama  dan berujung ancaman terhadap sistem dan etika sosial Islam. Ini sama halnya  dengan sebagian pakar hukum Inggris sekarang yang memaknai tindak penistaan  simbol sakral sebagai sebuah kondisi yang dirancang untuk merusak tatanan sosial.</w:t>
      </w:r>
    </w:p>
    <w:p>
      <w:pPr>
        <w:pStyle w:val="BookText"/>
        <w:bidi w:val="0"/>
        <w:jc w:val="both"/>
        <w:rPr/>
      </w:pPr>
      <w:r>
        <w:rPr>
          <w:rFonts w:eastAsia="Times New Roman" w:cs="Times New Roman" w:ascii="Times New Roman" w:hAnsi="Times New Roman"/>
          <w:color w:val="111111"/>
          <w:sz w:val="28"/>
          <w:szCs w:val="28"/>
          <w:lang w:val="en-US"/>
        </w:rPr>
        <w:t>Peradilan Amerika juga menyatakan tindak tersebut sebagai kriminal hanya dengan  mempertimbangkan aspek negatifnya terhadap sistem dan moralitas publik.</w:t>
      </w:r>
    </w:p>
    <w:p>
      <w:pPr>
        <w:pStyle w:val="BookText"/>
        <w:bidi w:val="0"/>
        <w:jc w:val="both"/>
        <w:rPr/>
      </w:pPr>
      <w:r>
        <w:rPr>
          <w:rFonts w:eastAsia="Times New Roman" w:cs="Times New Roman" w:ascii="Times New Roman" w:hAnsi="Times New Roman"/>
          <w:color w:val="111111"/>
          <w:sz w:val="28"/>
          <w:szCs w:val="28"/>
          <w:lang w:val="en-US"/>
        </w:rPr>
        <w:t>Kiranya perlu dicermati bagaimana pembenaran dunia Barat terhadap  hukuman pada penistaan simbol sakral keagamaan berlangsung dengan kondisinya  dewasa ini. Pertama, saat ini, di negara-negara Barat tak ada lagi hubungan saling  kebergantungan antara masyarakat dan agama Kristen. Kedua, teks wahyu agama  Kristen berbeda dengan agama Islam. Teks keagamaan Kristen tidak cukup kredibel  sekalipun bagi penganutnya. Lain dari itu, alih-alih teks agama di sana sekarang  dianut sebagai paket hukum dan ketentuan yang dikhususkan bagi kalangan  penganutnya, justru diperlakukan tak lebih dari bunga-rampai norma perilaku  (etiket) yang sudah mengalami distorsi. Ilmuwan Barat bahkan mengakui bahwa  hukum Gereja tidak bersumber dari wahyu.</w:t>
      </w:r>
    </w:p>
    <w:p>
      <w:pPr>
        <w:pStyle w:val="BookText"/>
        <w:bidi w:val="0"/>
        <w:jc w:val="both"/>
        <w:rPr/>
      </w:pPr>
      <w:r>
        <w:rPr>
          <w:rFonts w:eastAsia="Times New Roman" w:cs="Times New Roman" w:ascii="Times New Roman" w:hAnsi="Times New Roman"/>
          <w:color w:val="111111"/>
          <w:sz w:val="28"/>
          <w:szCs w:val="28"/>
          <w:lang w:val="en-US"/>
        </w:rPr>
        <w:t>Perlu juga diingatkan, definisi penistaan simbol sakral religius dalam sistem  hukum Common Law juga mencakup tindak kemurtadan, dengan istilah blasphemy  (pemfitnahan). Kendati dalam hal ini kalangan pakar hukum Inggris menekankan  bahwa secara praktis, kasus-kasus penistaan simbol sakral agama Kristen saja yang  mendapat sanksi hukum.</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Akhir kata, saya sampaikan terima kasih kepada seluruh pihak yang telah  bekerja sama dalam menerbitkan buku ini, khususnya kepada pimpinan Lembaga  Penelitian Budaya dan Pemikiran Islam (Pazhuhesygoh-e Farhang va Andisyeh-e  Eslomi) dan Pusat Pemikiran Generasi Muda (Ko-nûn-e Andisyeh-e Javon).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6" w:name="pg6393_42920"/>
      <w:bookmarkStart w:id="27" w:name="pg6393_42920"/>
      <w:bookmarkEnd w:id="27"/>
    </w:p>
    <w:p>
      <w:pPr>
        <w:pStyle w:val="Heading2"/>
        <w:numPr>
          <w:ilvl w:val="1"/>
          <w:numId w:val="1"/>
        </w:numPr>
        <w:bidi w:val="0"/>
        <w:jc w:val="left"/>
        <w:rPr/>
      </w:pPr>
      <w:bookmarkStart w:id="28" w:name="pg6393_42920"/>
      <w:bookmarkStart w:id="29" w:name="__RefHeading___Toc419466_653776707"/>
      <w:bookmarkStart w:id="30" w:name="_Toc10"/>
      <w:bookmarkEnd w:id="28"/>
      <w:bookmarkEnd w:id="29"/>
      <w:r>
        <w:rPr/>
        <w:t>BAB I: Kerangka Umum:Pengertian dan Landasan Teori</w:t>
      </w:r>
      <w:bookmarkEnd w:id="30"/>
    </w:p>
    <w:p>
      <w:pPr>
        <w:pStyle w:val="Heading3"/>
        <w:numPr>
          <w:ilvl w:val="2"/>
          <w:numId w:val="1"/>
        </w:numPr>
        <w:bidi w:val="0"/>
        <w:jc w:val="left"/>
        <w:rPr/>
      </w:pPr>
      <w:bookmarkStart w:id="31" w:name="__RefHeading___Toc419468_653776707"/>
      <w:bookmarkStart w:id="32" w:name="_Toc11"/>
      <w:bookmarkEnd w:id="31"/>
      <w:r>
        <w:rPr/>
        <w:t>Point</w:t>
      </w:r>
      <w:bookmarkEnd w:id="32"/>
    </w:p>
    <w:p>
      <w:pPr>
        <w:pStyle w:val="BookText"/>
        <w:bidi w:val="0"/>
        <w:jc w:val="both"/>
        <w:rPr/>
      </w:pPr>
      <w:r>
        <w:rPr>
          <w:rFonts w:eastAsia="Times New Roman" w:cs="Times New Roman" w:ascii="Times New Roman" w:hAnsi="Times New Roman"/>
          <w:color w:val="111111"/>
          <w:sz w:val="28"/>
          <w:szCs w:val="28"/>
          <w:lang w:val="en-US"/>
        </w:rPr>
        <w:t>Bab ini membahas definisi, arti konseptual, dan basis teoretis kemurtadan.</w:t>
      </w:r>
    </w:p>
    <w:p>
      <w:pPr>
        <w:pStyle w:val="BookText"/>
        <w:bidi w:val="0"/>
        <w:jc w:val="both"/>
        <w:rPr/>
      </w:pPr>
      <w:r>
        <w:rPr>
          <w:rFonts w:eastAsia="Times New Roman" w:cs="Times New Roman" w:ascii="Times New Roman" w:hAnsi="Times New Roman"/>
          <w:color w:val="111111"/>
          <w:sz w:val="28"/>
          <w:szCs w:val="28"/>
          <w:lang w:val="en-US"/>
        </w:rPr>
        <w:t>Pembahasan pertama mengulas etimologi dan definisi operasional kemurtadan,  penistaan simbol sakral agama, serta relasi keduanya. Pembahasan kedua menelaah  ajaran niscaya agama dan bentuk-bentuk konkretnya. Adapun teks-teks (landasan)  hukum yang berkaitan dengan kemurtadan dan isu-isu kontroversial diseputarnya  akan menempati pembahasan ketiga.</w:t>
      </w:r>
    </w:p>
    <w:p>
      <w:pPr>
        <w:pStyle w:val="Heading3"/>
        <w:numPr>
          <w:ilvl w:val="2"/>
          <w:numId w:val="1"/>
        </w:numPr>
        <w:bidi w:val="0"/>
        <w:jc w:val="left"/>
        <w:rPr/>
      </w:pPr>
      <w:bookmarkStart w:id="33" w:name="__RefHeading___Toc419470_653776707"/>
      <w:bookmarkStart w:id="34" w:name="_Toc12"/>
      <w:bookmarkEnd w:id="33"/>
      <w:r>
        <w:rPr/>
        <w:t>Definisi dan Relasi Kemurtadan-Penistaan Simbol Agama</w:t>
      </w:r>
      <w:bookmarkEnd w:id="34"/>
    </w:p>
    <w:p>
      <w:pPr>
        <w:pStyle w:val="Heading3"/>
        <w:numPr>
          <w:ilvl w:val="2"/>
          <w:numId w:val="1"/>
        </w:numPr>
        <w:bidi w:val="0"/>
        <w:jc w:val="left"/>
        <w:rPr/>
      </w:pPr>
      <w:bookmarkStart w:id="35" w:name="__RefHeading___Toc419472_653776707"/>
      <w:bookmarkStart w:id="36" w:name="_Toc13"/>
      <w:bookmarkEnd w:id="35"/>
      <w:r>
        <w:rPr/>
        <w:t>Murtad</w:t>
      </w:r>
      <w:bookmarkEnd w:id="36"/>
    </w:p>
    <w:p>
      <w:pPr>
        <w:pStyle w:val="BookText"/>
        <w:bidi w:val="0"/>
        <w:jc w:val="both"/>
        <w:rPr/>
      </w:pPr>
      <w:r>
        <w:rPr>
          <w:rFonts w:eastAsia="Times New Roman" w:cs="Times New Roman" w:ascii="Times New Roman" w:hAnsi="Times New Roman"/>
          <w:color w:val="111111"/>
          <w:sz w:val="28"/>
          <w:szCs w:val="28"/>
          <w:lang w:val="en-US"/>
        </w:rPr>
        <w:t>Secara etimologis, irtidâd ‘kemurtadan' berarti ‘kembali’. Kata Arab ini berakar  pada kata riddah.</w:t>
      </w:r>
      <w:r>
        <w:rPr>
          <w:rStyle w:val="FootnoteAnchor"/>
        </w:rPr>
        <w:footnoteReference w:id="2"/>
      </w:r>
      <w:r>
        <w:rPr>
          <w:rFonts w:eastAsia="Times New Roman" w:cs="Times New Roman" w:ascii="Times New Roman" w:hAnsi="Times New Roman"/>
          <w:color w:val="111111"/>
          <w:sz w:val="28"/>
          <w:szCs w:val="28"/>
          <w:lang w:val="en-US"/>
        </w:rPr>
        <w:t>Seorang pakar bahasa Arab, Raghib Ishfahani, menyatakan:</w:t>
      </w:r>
    </w:p>
    <w:p>
      <w:pPr>
        <w:pStyle w:val="BookText"/>
        <w:bidi w:val="0"/>
        <w:jc w:val="both"/>
        <w:rPr/>
      </w:pPr>
      <w:r>
        <w:rPr>
          <w:rFonts w:eastAsia="Times New Roman" w:cs="Times New Roman" w:ascii="Times New Roman" w:hAnsi="Times New Roman"/>
          <w:color w:val="111111"/>
          <w:sz w:val="28"/>
          <w:szCs w:val="28"/>
          <w:lang w:val="en-US"/>
        </w:rPr>
        <w:t>Irtidad dan riddah berarti kembali dari satu jalan yang sebelumnya dilewati.</w:t>
      </w:r>
    </w:p>
    <w:p>
      <w:pPr>
        <w:pStyle w:val="BookText"/>
        <w:bidi w:val="0"/>
        <w:jc w:val="both"/>
        <w:rPr/>
      </w:pPr>
      <w:r>
        <w:rPr>
          <w:rFonts w:eastAsia="Times New Roman" w:cs="Times New Roman" w:ascii="Times New Roman" w:hAnsi="Times New Roman"/>
          <w:color w:val="111111"/>
          <w:sz w:val="28"/>
          <w:szCs w:val="28"/>
          <w:lang w:val="en-US"/>
        </w:rPr>
        <w:t>Dengan perbedaan; riddah digunakan hanya untuk kaum kafir, sedangkan  irtidad digunakan untuk kaum kafir dan selainnya.</w:t>
      </w:r>
      <w:r>
        <w:rPr>
          <w:rStyle w:val="FootnoteAnchor"/>
        </w:rPr>
        <w:footnoteReference w:id="3"/>
      </w:r>
      <w:r>
        <w:rPr>
          <w:rFonts w:eastAsia="Times New Roman" w:cs="Times New Roman" w:ascii="Times New Roman" w:hAnsi="Times New Roman"/>
          <w:color w:val="111111"/>
          <w:sz w:val="28"/>
          <w:szCs w:val="28"/>
          <w:lang w:val="en-US"/>
        </w:rPr>
        <w:t xml:space="preserve"> Dalam terminologifikih, irtidad (atau kemurtadan) memerlukan definisi dan batasan  yang lebih terperinci karena sebagian besar pembahasannya dipengaruhi kejelasan  definisi operasional, batasan detail, dan ruang lingkup kemurtadan itu sendiri.</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fukaha Syiah menerima definisi kemurtadan hanya pada batasan berikut: </w:t>
      </w:r>
    </w:p>
    <w:p>
      <w:pPr>
        <w:pStyle w:val="BookText"/>
        <w:bidi w:val="0"/>
        <w:rPr/>
      </w:pPr>
      <w:r>
        <w:rPr>
          <w:rFonts w:eastAsia="Times New Roman" w:cs="Times New Roman" w:ascii="Times New Roman" w:hAnsi="Times New Roman"/>
          <w:color w:val="111111"/>
          <w:sz w:val="28"/>
          <w:szCs w:val="28"/>
          <w:lang w:val="en-US"/>
        </w:rPr>
        <w:t>Murtad adalah menjadi kafir sesudah beriman.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Salah satu fukaha Syiah lainnya, Syaikh Thusi, mendefinisikan murtad sebagai  berikut:</w:t>
      </w:r>
    </w:p>
    <w:p>
      <w:pPr>
        <w:pStyle w:val="BookText"/>
        <w:bidi w:val="0"/>
        <w:jc w:val="both"/>
        <w:rPr/>
      </w:pPr>
      <w:r>
        <w:rPr>
          <w:rFonts w:eastAsia="Times New Roman" w:cs="Times New Roman" w:ascii="Times New Roman" w:hAnsi="Times New Roman"/>
          <w:color w:val="111111"/>
          <w:sz w:val="28"/>
          <w:szCs w:val="28"/>
          <w:lang w:val="en-US"/>
        </w:rPr>
        <w:t>Murtad adalah menjadi kafir setelah memeluk Islam, entah individu itu  (telah) Muslim sejak awal lalu menjadi murtad (murtadd fithri), atau individu  itu sebelumnya kafir, kemudian memeluk Islam dan kembali kafir (murtadd  millî).</w:t>
      </w:r>
      <w:r>
        <w:rPr>
          <w:rStyle w:val="FootnoteAnchor"/>
        </w:rPr>
        <w:footnoteReference w:id="5"/>
      </w:r>
      <w:r>
        <w:rPr>
          <w:rFonts w:eastAsia="Times New Roman" w:cs="Times New Roman" w:ascii="Times New Roman" w:hAnsi="Times New Roman"/>
          <w:color w:val="111111"/>
          <w:sz w:val="28"/>
          <w:szCs w:val="28"/>
          <w:lang w:val="en-US"/>
        </w:rPr>
        <w:t xml:space="preserve"> Kalangan fukaha lainnya mengemukakan definisi yang lebih terperinci. Abu  Shalah Halabi, yang juga salah satu fukaha Syiah, menyatakan:</w:t>
      </w:r>
    </w:p>
    <w:p>
      <w:pPr>
        <w:pStyle w:val="BookText"/>
        <w:bidi w:val="0"/>
        <w:jc w:val="both"/>
        <w:rPr/>
      </w:pPr>
      <w:r>
        <w:rPr>
          <w:rFonts w:eastAsia="Times New Roman" w:cs="Times New Roman" w:ascii="Times New Roman" w:hAnsi="Times New Roman"/>
          <w:color w:val="111111"/>
          <w:sz w:val="28"/>
          <w:szCs w:val="28"/>
          <w:lang w:val="en-US"/>
        </w:rPr>
        <w:t>Murtad adalah ekspresi identitas kekafiran setelah menyatakan kelmanan. Ini  meniscayakan pengingkaran atas kenabian para utusan Tuhan atau salah satu  dari ajaran niscaya agama. Sebagai contoh, mengingkari kewajiban shalat dan  zakat, atau menyangkal keharaman zina dan meminum minuman keras.</w:t>
      </w:r>
      <w:r>
        <w:rPr>
          <w:rStyle w:val="FootnoteAnchor"/>
        </w:rPr>
        <w:footnoteReference w:id="6"/>
      </w:r>
      <w:r>
        <w:rPr>
          <w:rFonts w:eastAsia="Times New Roman" w:cs="Times New Roman" w:ascii="Times New Roman" w:hAnsi="Times New Roman"/>
          <w:color w:val="111111"/>
          <w:sz w:val="28"/>
          <w:szCs w:val="28"/>
          <w:lang w:val="en-US"/>
        </w:rPr>
        <w:t xml:space="preserve"> Allamah Hilli, salah satu fakih terkemuka Syiah, membawakan definisi  murtad secara lebih cermat dan spesifik, sekaligus menyebutkan beberapa pola  tindakannya:</w:t>
      </w:r>
    </w:p>
    <w:p>
      <w:pPr>
        <w:pStyle w:val="BookText"/>
        <w:bidi w:val="0"/>
        <w:jc w:val="both"/>
        <w:rPr/>
      </w:pPr>
      <w:r>
        <w:rPr>
          <w:rFonts w:eastAsia="Times New Roman" w:cs="Times New Roman" w:ascii="Times New Roman" w:hAnsi="Times New Roman"/>
          <w:color w:val="111111"/>
          <w:sz w:val="28"/>
          <w:szCs w:val="28"/>
          <w:lang w:val="en-US"/>
        </w:rPr>
        <w:t>Murtad berarti setelah menjadi Muslim, seseorang kemudian menjadi kafir...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Murtad dapat terjadi dengan salah satu tindakan berikut: bersujud di hadapan  berhala, menyembah matahari, membuang Al-Qur'an ke tempat sampah, serta  tindakan lainnya yang jelas-jelas bernuansa pelecehan. Atau lewat ucapan,  misalnya mengatakan kalimat yang jelas-jelas mengingkari suatu kewajiban  atau keharaman sesuatu yang merupakan ihwal penting dalam agama, terlepas  apakah ucapan itu didasari kebencian atau bertolak dari keyakinan tertentu atau  bermaksud melecehkan.</w:t>
      </w:r>
      <w:r>
        <w:rPr>
          <w:rStyle w:val="FootnoteAnchor"/>
        </w:rPr>
        <w:footnoteReference w:id="7"/>
      </w:r>
      <w:r>
        <w:rPr>
          <w:rFonts w:eastAsia="Times New Roman" w:cs="Times New Roman" w:ascii="Times New Roman" w:hAnsi="Times New Roman"/>
          <w:color w:val="111111"/>
          <w:sz w:val="28"/>
          <w:szCs w:val="28"/>
          <w:lang w:val="en-US"/>
        </w:rPr>
        <w:t xml:space="preserve"> Fukaha prominen Syiah lainnya Kasyif Githa, mendefinisikan murtad sama  dengan yang sebelumnya. Mengingkari Nabi atau kitab suci samawi, yang dalam  perspektif Islam merupakan prinsip, digolongkan sebagai kemurtadan. Masih  menurutnya, mengingkari Hari Kiamat juga dikategorikan sebagai bentuk </w:t>
      </w:r>
      <w:bookmarkStart w:id="37" w:name="pg6393_42924"/>
    </w:p>
    <w:p>
      <w:pPr>
        <w:pStyle w:val="BookText"/>
        <w:bidi w:val="0"/>
        <w:rPr/>
      </w:pPr>
      <w:bookmarkEnd w:id="37"/>
      <w:r>
        <w:rPr>
          <w:rFonts w:eastAsia="Times New Roman" w:cs="Times New Roman" w:ascii="Times New Roman" w:hAnsi="Times New Roman"/>
          <w:color w:val="111111"/>
          <w:sz w:val="28"/>
          <w:szCs w:val="28"/>
          <w:lang w:val="en-US"/>
        </w:rPr>
        <w:t xml:space="preserve">kemurtadan. </w:t>
      </w:r>
      <w:r>
        <w:rPr>
          <w:rStyle w:val="FootnoteAnchor"/>
        </w:rPr>
        <w:footnoteReference w:id="8"/>
      </w:r>
      <w:r>
        <w:rPr>
          <w:rFonts w:eastAsia="Times New Roman" w:cs="Times New Roman" w:ascii="Times New Roman" w:hAnsi="Times New Roman"/>
          <w:color w:val="111111"/>
          <w:sz w:val="28"/>
          <w:szCs w:val="28"/>
          <w:lang w:val="en-US"/>
        </w:rPr>
        <w:t>Namun, sebagian fukaha berpendapat bahwa mengingkari Hari  Kiamat bersifat tentatif. Sementara itusebagian lain memastikan bahwa Hari  Kiamat merupakan ajaran niscaya agama. Pendapat terakhir ini menyatakan bahwa  mengingkari Hari Kiamat identik dengan mengingkari tauhid dan kenabian;  tindakan yang menyebabkan kemurtadan.</w:t>
      </w:r>
      <w:r>
        <w:rPr>
          <w:rStyle w:val="FootnoteAnchor"/>
        </w:rPr>
        <w:footnoteReference w:id="9"/>
      </w:r>
      <w:r>
        <w:rPr>
          <w:rFonts w:eastAsia="Times New Roman" w:cs="Times New Roman" w:ascii="Times New Roman" w:hAnsi="Times New Roman"/>
          <w:color w:val="111111"/>
          <w:sz w:val="28"/>
          <w:szCs w:val="28"/>
          <w:lang w:val="en-US"/>
        </w:rPr>
        <w:t xml:space="preserve"> Definisi mirip dengan di atas juga diajukan oleh Kasyif Litsam, fakih kenamaan  Syiah. Dia menekankan bahwa tindakan murtad harus dilandasi pengetahuan,  adapun mengingkari ajaran niscaya agama dikarenakan kebodohan, tidak  dikategorikan sebagai tindak kemurtadan.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Dia menyatakan, “Kemurtadan tidak terjadi dengan mengingkari ajaran niscaya atau meyakini ke-  tiadaannya jika dia tidak mengerti.”</w:t>
      </w:r>
    </w:p>
    <w:p>
      <w:pPr>
        <w:pStyle w:val="BookText"/>
        <w:bidi w:val="0"/>
        <w:jc w:val="both"/>
        <w:rPr/>
      </w:pPr>
      <w:r>
        <w:rPr>
          <w:rFonts w:eastAsia="Times New Roman" w:cs="Times New Roman" w:ascii="Times New Roman" w:hAnsi="Times New Roman"/>
          <w:color w:val="111111"/>
          <w:sz w:val="28"/>
          <w:szCs w:val="28"/>
          <w:lang w:val="en-US"/>
        </w:rPr>
        <w:t>Poin penting yang perlu diperhatikan dari keterangan Kasyif Litsam dan sebagian  besar fukaha lainnya adalah identifikasi bentuk konkret kemurtadan dalam upaya  mereka mendefinisikan subjek masalah. Ini menimbulkan pertanyaan seputar relasi  kemurtadan dengan penistaan simbol sakral keagamaan.</w:t>
      </w:r>
    </w:p>
    <w:p>
      <w:pPr>
        <w:pStyle w:val="BookText"/>
        <w:bidi w:val="0"/>
        <w:jc w:val="both"/>
        <w:rPr/>
      </w:pPr>
      <w:r>
        <w:rPr>
          <w:rFonts w:eastAsia="Times New Roman" w:cs="Times New Roman" w:ascii="Times New Roman" w:hAnsi="Times New Roman"/>
          <w:color w:val="111111"/>
          <w:sz w:val="28"/>
          <w:szCs w:val="28"/>
          <w:lang w:val="en-US"/>
        </w:rPr>
        <w:t>Berkenaan dengan hal tersebut sepatutnya dikemukakan definisi dan batasan  dari penistaan segala hal yang disakralkan. Pembahasan ini akan difokuskan  pada problematik kemurtadan dan (dalam hubungannya dengan) kebebasan  berpendapat. Selanjutnya, pengertian ini akan ditelaah dari sudut pandang sistem  hukum Common Law yang dianut beberapa negara, seperti Inggris.</w:t>
      </w:r>
    </w:p>
    <w:p>
      <w:pPr>
        <w:pStyle w:val="Heading3"/>
        <w:numPr>
          <w:ilvl w:val="2"/>
          <w:numId w:val="1"/>
        </w:numPr>
        <w:bidi w:val="0"/>
        <w:jc w:val="left"/>
        <w:rPr/>
      </w:pPr>
      <w:bookmarkStart w:id="38" w:name="__RefHeading___Toc419474_653776707"/>
      <w:bookmarkStart w:id="39" w:name="_Toc14"/>
      <w:bookmarkEnd w:id="38"/>
      <w:r>
        <w:rPr/>
        <w:t>Penistaan Simbol Sakral</w:t>
      </w:r>
      <w:bookmarkEnd w:id="39"/>
    </w:p>
    <w:p>
      <w:pPr>
        <w:pStyle w:val="BookText"/>
        <w:bidi w:val="0"/>
        <w:jc w:val="both"/>
        <w:rPr/>
      </w:pPr>
      <w:r>
        <w:rPr>
          <w:rFonts w:eastAsia="Times New Roman" w:cs="Times New Roman" w:ascii="Times New Roman" w:hAnsi="Times New Roman"/>
          <w:color w:val="111111"/>
          <w:sz w:val="28"/>
          <w:szCs w:val="28"/>
          <w:lang w:val="en-US"/>
        </w:rPr>
        <w:t>Berikut ini akan dikemukakan definisi penistaan simbol sakral, seraya  memperhatikan isu kebebasan berpendapat. Akan dibahas pula sejauh mana  cakupan konseptual ihwal penistaan simbol sakral keagamaan. Dengan rumusan  lain, apakah kriminalitas penistaan simbol sakral dalam sistem hukum Islam dan  Common Law hanya menyangkut simbol sakral agama tertentu, atau termasuk pula  simbol sakral agama lain?</w:t>
      </w:r>
    </w:p>
    <w:p>
      <w:pPr>
        <w:pStyle w:val="Heading3"/>
        <w:numPr>
          <w:ilvl w:val="2"/>
          <w:numId w:val="1"/>
        </w:numPr>
        <w:bidi w:val="0"/>
        <w:jc w:val="left"/>
        <w:rPr/>
      </w:pPr>
      <w:bookmarkStart w:id="40" w:name="__RefHeading___Toc419476_653776707"/>
      <w:bookmarkStart w:id="41" w:name="_Toc15"/>
      <w:bookmarkEnd w:id="40"/>
      <w:r>
        <w:rPr/>
        <w:t>Sistem Hukum Islam</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Perspektif Syiah  Dalam pandangan fukaha Syiah, penistaan terhadap simbol sakral agama akan </w:t>
      </w:r>
    </w:p>
    <w:p>
      <w:pPr>
        <w:pStyle w:val="BookText"/>
        <w:bidi w:val="0"/>
        <w:rPr/>
      </w:pPr>
      <w:r>
        <w:rPr>
          <w:rFonts w:eastAsia="Times New Roman" w:cs="Times New Roman" w:ascii="Times New Roman" w:hAnsi="Times New Roman"/>
          <w:color w:val="111111"/>
          <w:sz w:val="28"/>
          <w:szCs w:val="28"/>
          <w:lang w:val="en-US"/>
        </w:rPr>
        <w:t>dinyatakan sebagai tindak kriminal, misalnya jika Nabi Islam Saw dan atau para  Imam Ahlul Bait dihinakan atau dilecehkan (ihầnah aw istihzâ).</w:t>
      </w:r>
      <w:r>
        <w:rPr>
          <w:rStyle w:val="FootnoteAnchor"/>
        </w:rPr>
        <w:footnoteReference w:id="11"/>
      </w:r>
      <w:r>
        <w:rPr>
          <w:rFonts w:eastAsia="Times New Roman" w:cs="Times New Roman" w:ascii="Times New Roman" w:hAnsi="Times New Roman"/>
          <w:color w:val="111111"/>
          <w:sz w:val="28"/>
          <w:szCs w:val="28"/>
          <w:lang w:val="en-US"/>
        </w:rPr>
        <w:t>Mayoritas fukaha  Syiah berpendapat bahwa penistaan terhadap Siti Fathimah Zahra (yang dipandang  sebagai bagian dari Ahlul Bait Nabi Saw) juga termasuk dalam kategori ini.</w:t>
      </w:r>
      <w:r>
        <w:rPr>
          <w:rStyle w:val="FootnoteAnchor"/>
        </w:rPr>
        <w:footnoteReference w:id="12"/>
      </w:r>
      <w:r>
        <w:rPr>
          <w:rFonts w:eastAsia="Times New Roman" w:cs="Times New Roman" w:ascii="Times New Roman" w:hAnsi="Times New Roman"/>
          <w:color w:val="111111"/>
          <w:sz w:val="28"/>
          <w:szCs w:val="28"/>
          <w:lang w:val="en-US"/>
        </w:rPr>
        <w:t xml:space="preserve"> Dengan satu kriteria umum dapat dirumuskan, penistaan terhadap perkara apa  saja yang bersifat niscaya (dharûrî) dan pasti-jelas (qathî) dalam pandangan Islam,  adalah tindak kriminal. Misalnya seperti menistakan Al-Qur'an, Masjidil Haram,  Ka'bah, syiar Allah Swt, dan semua hal yang secara prinsipal disakralkan dalam  Islam. Kendati memang dari segi bobot hukuman,</w:t>
      </w:r>
      <w:r>
        <w:rPr>
          <w:rStyle w:val="FootnoteAnchor"/>
        </w:rPr>
        <w:footnoteReference w:id="13"/>
      </w:r>
      <w:r>
        <w:rPr>
          <w:rFonts w:eastAsia="Times New Roman" w:cs="Times New Roman" w:ascii="Times New Roman" w:hAnsi="Times New Roman"/>
          <w:color w:val="111111"/>
          <w:sz w:val="28"/>
          <w:szCs w:val="28"/>
          <w:lang w:val="en-US"/>
        </w:rPr>
        <w:t>ada perbedaan satu kasus  dengan lainnya.</w:t>
      </w:r>
      <w:r>
        <w:rPr>
          <w:rStyle w:val="FootnoteAnchor"/>
        </w:rPr>
        <w:footnoteReference w:id="14"/>
      </w:r>
      <w:r>
        <w:rPr>
          <w:rFonts w:eastAsia="Times New Roman" w:cs="Times New Roman" w:ascii="Times New Roman" w:hAnsi="Times New Roman"/>
          <w:color w:val="111111"/>
          <w:sz w:val="28"/>
          <w:szCs w:val="28"/>
          <w:lang w:val="en-US"/>
        </w:rPr>
        <w:t xml:space="preserve"> Berdasarkan kaidah haramnya penistaan simbol sakral, dengan demikian aksi  apapun yang diarahkan untuk menistakan simbol sakral agama adalah haram.</w:t>
      </w:r>
      <w:r>
        <w:rPr>
          <w:rStyle w:val="FootnoteAnchor"/>
        </w:rPr>
        <w:footnoteReference w:id="15"/>
      </w:r>
      <w:r>
        <w:rPr>
          <w:rFonts w:eastAsia="Times New Roman" w:cs="Times New Roman" w:ascii="Times New Roman" w:hAnsi="Times New Roman"/>
          <w:color w:val="111111"/>
          <w:sz w:val="28"/>
          <w:szCs w:val="28"/>
          <w:lang w:val="en-US"/>
        </w:rPr>
        <w:t xml:space="preserve"> Namun demikian, kategorisasi penistaan simbol sakral yang bukan setingkat  ajaran niscaya agama, masih diperlukan argumentasi khusus. Atas dasar ini, setiap  penistaan terhadap simbol sakral yang berhubungan dengan seluruh agama Ilahi,  termasuk juga dengan Islam, berada dalam ranah hukum penistaan tersebut.</w:t>
      </w:r>
    </w:p>
    <w:p>
      <w:pPr>
        <w:pStyle w:val="BookText"/>
        <w:bidi w:val="0"/>
        <w:jc w:val="both"/>
        <w:rPr/>
      </w:pPr>
      <w:r>
        <w:rPr>
          <w:rFonts w:eastAsia="Times New Roman" w:cs="Times New Roman" w:ascii="Times New Roman" w:hAnsi="Times New Roman"/>
          <w:color w:val="111111"/>
          <w:sz w:val="28"/>
          <w:szCs w:val="28"/>
          <w:lang w:val="en-US"/>
        </w:rPr>
        <w:t>Sebagai contoh, keharusan menghormati para Nabi atau Taurat dan Injil autentik  yang belum diselewengkan.</w:t>
      </w:r>
    </w:p>
    <w:p>
      <w:pPr>
        <w:pStyle w:val="BookText"/>
        <w:bidi w:val="0"/>
        <w:jc w:val="both"/>
        <w:rPr/>
      </w:pPr>
      <w:r>
        <w:rPr>
          <w:rFonts w:eastAsia="Times New Roman" w:cs="Times New Roman" w:ascii="Times New Roman" w:hAnsi="Times New Roman"/>
          <w:color w:val="111111"/>
          <w:sz w:val="28"/>
          <w:szCs w:val="28"/>
          <w:lang w:val="en-US"/>
        </w:rPr>
        <w:t>Lain dari itu sejumlah fukaha prominen Syiah menerangkan bahwa penistaan  dan penghinaan terhadap para Nabi juga berdampak hukuman yang berlaku pada  penistaan terhadap Nabi Saw dan para Imam suci. Syahid Tsani termasuk fukaha  yang berpendapat bahwa menistakan para nabi sama dengan menistakan Nabi  Saw. Kedua pelakunya layak dijatuhi hukuman.</w:t>
      </w:r>
      <w:r>
        <w:rPr>
          <w:rStyle w:val="FootnoteAnchor"/>
        </w:rPr>
        <w:footnoteReference w:id="16"/>
      </w:r>
      <w:r>
        <w:rPr>
          <w:rFonts w:eastAsia="Times New Roman" w:cs="Times New Roman" w:ascii="Times New Roman" w:hAnsi="Times New Roman"/>
          <w:color w:val="111111"/>
          <w:sz w:val="28"/>
          <w:szCs w:val="28"/>
          <w:lang w:val="en-US"/>
        </w:rPr>
        <w:t>Masih menurutnya, penistaan  terhadap para Nabi selain Nabi Saw itu dilarang, karena Islam mengharuskan mereka  dihormati dan diagungkan. Oleh sebab itu, melecehkan mereka mengakibatkan  kemurtadan.</w:t>
      </w:r>
      <w:r>
        <w:rPr>
          <w:rStyle w:val="FootnoteAnchor"/>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Karena itulah, mencela mereka adalah kemurtadan.”</w:t>
      </w:r>
    </w:p>
    <w:p>
      <w:pPr>
        <w:pStyle w:val="BookText"/>
        <w:bidi w:val="0"/>
        <w:rPr/>
      </w:pPr>
      <w:r>
        <w:rPr>
          <w:rFonts w:eastAsia="Times New Roman" w:cs="Times New Roman" w:ascii="Times New Roman" w:hAnsi="Times New Roman"/>
          <w:color w:val="111111"/>
          <w:sz w:val="28"/>
          <w:szCs w:val="28"/>
          <w:lang w:val="en-US"/>
        </w:rPr>
        <w:t>Tampaknya konsekuensi dari argumentasi logis yang dikemukakan Syahid Tsani  menunjukkan larangan atas tindak penistaan simbol sakral seluruh agama Ilahi,  termasuk simbol sakral Islam. Sebagai contoh, berdasarkan keterangan tegas Al-  Qur'an, sosok Siti Maryam AS merupakan figur perempuan suci di masanya. Lantaran  tuduhan yang tidak senonoh,</w:t>
      </w:r>
      <w:r>
        <w:rPr>
          <w:rStyle w:val="FootnoteAnchor"/>
        </w:rPr>
        <w:footnoteReference w:id="18"/>
      </w:r>
      <w:r>
        <w:rPr>
          <w:rFonts w:eastAsia="Times New Roman" w:cs="Times New Roman" w:ascii="Times New Roman" w:hAnsi="Times New Roman"/>
          <w:color w:val="111111"/>
          <w:sz w:val="28"/>
          <w:szCs w:val="28"/>
          <w:lang w:val="en-US"/>
        </w:rPr>
        <w:t>Al-Qur’an lantas menegaskan kesuciannyal</w:t>
      </w:r>
      <w:r>
        <w:rPr>
          <w:rStyle w:val="FootnoteAnchor"/>
        </w:rPr>
        <w:footnoteReference w:id="19"/>
      </w:r>
      <w:r>
        <w:rPr>
          <w:rFonts w:eastAsia="Times New Roman" w:cs="Times New Roman" w:ascii="Times New Roman" w:hAnsi="Times New Roman"/>
          <w:color w:val="111111"/>
          <w:sz w:val="28"/>
          <w:szCs w:val="28"/>
          <w:lang w:val="en-US"/>
        </w:rPr>
        <w:t>sekaligus  menyebutnya sebagai perempuan par excellence.</w:t>
      </w:r>
      <w:r>
        <w:rPr>
          <w:rStyle w:val="FootnoteAnchor"/>
        </w:rPr>
        <w:footnoteReference w:id="20"/>
      </w:r>
      <w:r>
        <w:rPr>
          <w:rFonts w:eastAsia="Times New Roman" w:cs="Times New Roman" w:ascii="Times New Roman" w:hAnsi="Times New Roman"/>
          <w:color w:val="111111"/>
          <w:sz w:val="28"/>
          <w:szCs w:val="28"/>
          <w:lang w:val="en-US"/>
        </w:rPr>
        <w:t>Siapapun yang melontarkan  tuduhan keji terhadap perempuan mulia ini akan dianggap menistakan simbol sakral  Islam. Tindakan itu akan diidentikkan dengan penistaan atas ibunda Nabi Islam Saw  atau putri Beliau yang, karenanya, layak diganjar hukuman (sekaligus dikategorikan  sebagai penistaan atas pribadi para nabi).</w:t>
      </w:r>
    </w:p>
    <w:p>
      <w:pPr>
        <w:pStyle w:val="BookText"/>
        <w:bidi w:val="0"/>
        <w:jc w:val="both"/>
        <w:rPr/>
      </w:pPr>
      <w:r>
        <w:rPr>
          <w:rFonts w:eastAsia="Times New Roman" w:cs="Times New Roman" w:ascii="Times New Roman" w:hAnsi="Times New Roman"/>
          <w:color w:val="111111"/>
          <w:sz w:val="28"/>
          <w:szCs w:val="28"/>
          <w:lang w:val="en-US"/>
        </w:rPr>
        <w:t>Contoh lainnya, penistaan terhadap Injil dan Taurat yang autentik. Pada hemat  Al-Qur'an, kedua kitab suci itu --selama belum diselewengkan-- mengandung  kesucian dan nilai sakral seperti Al-Qur'an.</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Al-Maidah [5]: 46), dan “Sesungguhnya Kami telah menurunkan Taurat; di dalamnya terdapat petunjuk  dan cahaya” (Al-Maidah (5): 44).</w:t>
      </w:r>
    </w:p>
    <w:p>
      <w:pPr>
        <w:pStyle w:val="BookText"/>
        <w:bidi w:val="0"/>
        <w:jc w:val="both"/>
        <w:rPr/>
      </w:pPr>
      <w:r>
        <w:rPr>
          <w:rFonts w:eastAsia="Times New Roman" w:cs="Times New Roman" w:ascii="Times New Roman" w:hAnsi="Times New Roman"/>
          <w:color w:val="111111"/>
          <w:sz w:val="28"/>
          <w:szCs w:val="28"/>
          <w:lang w:val="en-US"/>
        </w:rPr>
        <w:t>Syaikh Abu Shaleh Halabi, nama besar lain dari jajaran fukaha Syiah, terang-  terangan menyamakan penistaan terhadap seorang nabi dengan penistaan terhadap  Nabi Muhammad Saw.</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Oleh karena itu berdasarkan kaidah fikih Syiah dosa penistaan simbol sakral  agama bisa mencakup penistaan terhadap Nabi selain Nabi Muhammad Saw.</w:t>
      </w:r>
    </w:p>
    <w:p>
      <w:pPr>
        <w:pStyle w:val="BookText"/>
        <w:bidi w:val="0"/>
        <w:jc w:val="both"/>
        <w:rPr/>
      </w:pPr>
      <w:r>
        <w:rPr>
          <w:rFonts w:eastAsia="Times New Roman" w:cs="Times New Roman" w:ascii="Times New Roman" w:hAnsi="Times New Roman"/>
          <w:color w:val="111111"/>
          <w:sz w:val="28"/>
          <w:szCs w:val="28"/>
          <w:lang w:val="en-US"/>
        </w:rPr>
        <w:t>Memang, hanya beberapa fukaha Syiah saja yang jelas-jelas menyatakan seperti itu.</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Namun demikian tidak ada fukaha yang secara jelas menentang pendapat ini. Oleh  karena itu tidaklah berlebihan jika dikatakan bahwa hal itu adalah pendapat para  fukaha. Inilah barangkali alasan Ibnu Zuhrah mengklaim adanya ijma' (konsensus)  dalam masalah ini.</w:t>
      </w:r>
      <w:r>
        <w:rPr>
          <w:rStyle w:val="FootnoteAnchor"/>
        </w:rPr>
        <w:footnoteReference w:id="22"/>
      </w:r>
    </w:p>
    <w:p>
      <w:pPr>
        <w:pStyle w:val="BookText"/>
        <w:bidi w:val="0"/>
        <w:rPr/>
      </w:pPr>
      <w:r>
        <w:rPr>
          <w:rFonts w:eastAsia="Times New Roman" w:cs="Times New Roman" w:ascii="Times New Roman" w:hAnsi="Times New Roman"/>
          <w:color w:val="111111"/>
          <w:sz w:val="28"/>
          <w:szCs w:val="28"/>
          <w:lang w:val="en-US"/>
        </w:rPr>
        <w:t>Setelah menukil pendapat Syahid Tsani dan klaim konsensus Ibnu Zuhrah,  Sahib Jawahir</w:t>
      </w:r>
      <w:r>
        <w:rPr>
          <w:rStyle w:val="FootnoteAnchor"/>
        </w:rPr>
        <w:footnoteReference w:id="23"/>
      </w:r>
      <w:r>
        <w:rPr>
          <w:rFonts w:eastAsia="Times New Roman" w:cs="Times New Roman" w:ascii="Times New Roman" w:hAnsi="Times New Roman"/>
          <w:color w:val="111111"/>
          <w:sz w:val="28"/>
          <w:szCs w:val="28"/>
          <w:lang w:val="en-US"/>
        </w:rPr>
        <w:t>menunjukkan kecenderungannya pada pendapat ini. Ia meyakini  bahwa riwayat dari Nabi Saw secara jelas menyatakan hukuman mati bagi  orang yang mencela seorang Nabi.</w:t>
      </w:r>
      <w:r>
        <w:rPr>
          <w:rStyle w:val="FootnoteAnchor"/>
        </w:rPr>
        <w:footnoteReference w:id="24"/>
      </w:r>
      <w:r>
        <w:rPr>
          <w:rFonts w:eastAsia="Times New Roman" w:cs="Times New Roman" w:ascii="Times New Roman" w:hAnsi="Times New Roman"/>
          <w:color w:val="111111"/>
          <w:sz w:val="28"/>
          <w:szCs w:val="28"/>
          <w:lang w:val="en-US"/>
        </w:rPr>
        <w:t>Riwayat ini tercatat dalam sejumlah buku  referensi muktabar Syiah.</w:t>
      </w:r>
      <w:r>
        <w:rPr>
          <w:rStyle w:val="FootnoteAnchor"/>
        </w:rPr>
        <w:footnoteReference w:id="25"/>
      </w:r>
      <w:r>
        <w:rPr>
          <w:rFonts w:eastAsia="Times New Roman" w:cs="Times New Roman" w:ascii="Times New Roman" w:hAnsi="Times New Roman"/>
          <w:color w:val="111111"/>
          <w:sz w:val="28"/>
          <w:szCs w:val="28"/>
          <w:lang w:val="en-US"/>
        </w:rPr>
        <w:t>Namun sekelompok fukaha tidak merujuknya untuk  mengategorikan para nabi selain Nabi Muhammad Saw sebagai simbol sakral Islam.</w:t>
      </w:r>
    </w:p>
    <w:p>
      <w:pPr>
        <w:pStyle w:val="BookText"/>
        <w:bidi w:val="0"/>
        <w:jc w:val="both"/>
        <w:rPr/>
      </w:pPr>
      <w:r>
        <w:rPr>
          <w:rFonts w:eastAsia="Times New Roman" w:cs="Times New Roman" w:ascii="Times New Roman" w:hAnsi="Times New Roman"/>
          <w:color w:val="111111"/>
          <w:sz w:val="28"/>
          <w:szCs w:val="28"/>
          <w:lang w:val="en-US"/>
        </w:rPr>
        <w:t>Dalam pasal 513 Undang-Undang Pidana Islam Iran (Ta'zirat) tahun 1375  HS, berdasarkan hukum Islam, termaktub bahwa penistaan salah satu Nabi Allah  terlarang dan dinyatakan sebagai tindak kriminal.</w:t>
      </w:r>
      <w:r>
        <w:rPr>
          <w:rStyle w:val="FootnoteAnchor"/>
        </w:rPr>
        <w:footnoteReference w:id="26"/>
      </w:r>
      <w:r>
        <w:rPr>
          <w:rFonts w:eastAsia="Times New Roman" w:cs="Times New Roman" w:ascii="Times New Roman" w:hAnsi="Times New Roman"/>
          <w:color w:val="111111"/>
          <w:sz w:val="28"/>
          <w:szCs w:val="28"/>
          <w:lang w:val="en-US"/>
        </w:rPr>
        <w:t xml:space="preserve"> Perspektif Mazhab Lain  Tidak terdapat perbedaan berarti di antara mazhab-mazhab Islam dengan Syiah  sekaitan dengan luasnya makna penistaan simbol sakral, termasuk syarat-syarat  yang berkaitan dengannya.</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Mazhab Malikiyah berkeyakinan bahwa konsekuensi dari penistaan terhadap  Nabi Muhammad Saw dan atau Nabi lain adalah hukuman mati.</w:t>
      </w:r>
      <w:r>
        <w:rPr>
          <w:rStyle w:val="FootnoteAnchor"/>
        </w:rPr>
        <w:footnoteReference w:id="27"/>
      </w:r>
      <w:r>
        <w:rPr>
          <w:rFonts w:eastAsia="Times New Roman" w:cs="Times New Roman" w:ascii="Times New Roman" w:hAnsi="Times New Roman"/>
          <w:color w:val="111111"/>
          <w:sz w:val="28"/>
          <w:szCs w:val="28"/>
          <w:lang w:val="en-US"/>
        </w:rPr>
        <w:t>Oleh karena  itu, para fukaha Malikiyah secara jelas mengategorikan penistaan Nabi lain sebagai  penistaan atas simbol sakral Islam.</w:t>
      </w:r>
      <w:r>
        <w:rPr>
          <w:rStyle w:val="FootnoteAnchor"/>
        </w:rPr>
        <w:footnoteReference w:id="28"/>
      </w:r>
      <w:r>
        <w:rPr>
          <w:rFonts w:eastAsia="Times New Roman" w:cs="Times New Roman" w:ascii="Times New Roman" w:hAnsi="Times New Roman"/>
          <w:color w:val="111111"/>
          <w:sz w:val="28"/>
          <w:szCs w:val="28"/>
          <w:lang w:val="en-US"/>
        </w:rPr>
        <w:t xml:space="preserve"> Ahli fikih mazhab Hanbaliyah meyakini bahwa penistaan terhadap Tuhan,  Nabi Muhammad Saw, nabi lain, dan atau kitab suci, menyebabkan kekafiran.</w:t>
      </w:r>
      <w:r>
        <w:rPr>
          <w:rStyle w:val="FootnoteAnchor"/>
        </w:rPr>
        <w:footnoteReference w:id="29"/>
      </w:r>
    </w:p>
    <w:p>
      <w:pPr>
        <w:pStyle w:val="BookText"/>
        <w:bidi w:val="0"/>
        <w:rPr/>
      </w:pPr>
      <w:r>
        <w:rPr>
          <w:rFonts w:eastAsia="Times New Roman" w:cs="Times New Roman" w:ascii="Times New Roman" w:hAnsi="Times New Roman"/>
          <w:color w:val="111111"/>
          <w:sz w:val="28"/>
          <w:szCs w:val="28"/>
          <w:lang w:val="en-US"/>
        </w:rPr>
        <w:t>Demikian pula sebagian ahli fikih mazhab Syafi'iyah bahkan membahas penistaan  yang dilakukan kaum kafir dzimmi (kafir yang hidup dalam hukum Islam dan  terikat perjanjian keamanan). Yakni setiap bentuk penistaan terhadap Al-Qur'an,  Tuhan, Nabi Islam Saw, dan nabi lain mengakibatkan batalnya perjanjian keamanan  mereka dengan catatan: konvensi itu menyertakan syarat di atas.</w:t>
      </w:r>
      <w:r>
        <w:rPr>
          <w:rStyle w:val="FootnoteAnchor"/>
        </w:rPr>
        <w:footnoteReference w:id="30"/>
      </w:r>
      <w:r>
        <w:rPr>
          <w:rFonts w:eastAsia="Times New Roman" w:cs="Times New Roman" w:ascii="Times New Roman" w:hAnsi="Times New Roman"/>
          <w:color w:val="111111"/>
          <w:sz w:val="28"/>
          <w:szCs w:val="28"/>
          <w:lang w:val="en-US"/>
        </w:rPr>
        <w:t xml:space="preserve"> Berbeda halnya dengan Hanafiyah. Mazhab ini tidak menganggap penistaan  yang dilakukan kaum kafir dzimmi terhadap Nabi Muhammad Saw sebagai  sebab mereka divonis hukuman, sekalipun itu termasuk perbuatan yang dilarang.</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Mengingat penistaan kaum kafir dzimmi terhadap Nabi Muhammad Saw hanya  menambah kekafiran maka mereka tidak harus diganjar hukuman.</w:t>
      </w:r>
      <w:r>
        <w:rPr>
          <w:rStyle w:val="FootnoteAnchor"/>
        </w:rPr>
        <w:footnoteReference w:id="31"/>
      </w:r>
      <w:r>
        <w:rPr>
          <w:rFonts w:eastAsia="Times New Roman" w:cs="Times New Roman" w:ascii="Times New Roman" w:hAnsi="Times New Roman"/>
          <w:color w:val="111111"/>
          <w:sz w:val="28"/>
          <w:szCs w:val="28"/>
          <w:lang w:val="en-US"/>
        </w:rPr>
        <w:t xml:space="preserve"> Sementara dalam pandangan mazhab Zaidiyah, penistaan Nabi Muhammad  Saw mengakibatkan hukuman mati.</w:t>
      </w:r>
      <w:r>
        <w:rPr>
          <w:rStyle w:val="FootnoteAnchor"/>
        </w:rPr>
        <w:footnoteReference w:id="32"/>
      </w:r>
      <w:r>
        <w:rPr>
          <w:rFonts w:eastAsia="Times New Roman" w:cs="Times New Roman" w:ascii="Times New Roman" w:hAnsi="Times New Roman"/>
          <w:color w:val="111111"/>
          <w:sz w:val="28"/>
          <w:szCs w:val="28"/>
          <w:lang w:val="en-US"/>
        </w:rPr>
        <w:t xml:space="preserve"> Sampai di sini dapat disimpulkan bahwa kalangan fukaha segenap mazhab  Islam pada ghalibnya memandang penistaan terhadap Nabi termasuk dalam  konteks penistaan simbol sakral keagamaan. Dari sumber-sumber hadis mereka  ada sejumlah riwayat khusus tentang perkara ini bahwa setiap penista Nabi Allah  harus diganjar hukuman mati.</w:t>
      </w:r>
      <w:r>
        <w:rPr>
          <w:rStyle w:val="FootnoteAnchor"/>
        </w:rPr>
        <w:footnoteReference w:id="33"/>
      </w:r>
      <w:r>
        <w:rPr>
          <w:rFonts w:eastAsia="Times New Roman" w:cs="Times New Roman" w:ascii="Times New Roman" w:hAnsi="Times New Roman"/>
          <w:color w:val="111111"/>
          <w:sz w:val="28"/>
          <w:szCs w:val="28"/>
          <w:lang w:val="en-US"/>
        </w:rPr>
        <w:t xml:space="preserve"> Berkaitan dengan itu, boleh jadi suatu kritik diajukan bahwa Islam menggunakan  dasar internal dalam melindungi kesakralan simbol agama lain. Misalnya, dalam  kasus para Nabi. Kritik ini dapat ditanggapi dengan beberapa argumen. Pertama,  dalam konteks ini, tidak berpengaruh apakah dasar perlindungan hukum bagi  agama Tuhan lainnya, dalam konsep Islam, bersifat internal atau eksternal, terutama  dari segi efek perlindungan dan pengaruh positif dari sikap menghormati agama  lain. Demikian halnya dalam perspektif hak asasi manusia, sebuah undang-undang  disebut memenuhi kriteria dan logis manakala lebih koheren dengan semangat  hak asasi manusia. Adapun apa dasar penetapan undang-undang itu, entah bersifat </w:t>
      </w:r>
      <w:bookmarkStart w:id="42" w:name="pg6393_42933"/>
    </w:p>
    <w:p>
      <w:pPr>
        <w:pStyle w:val="BookText"/>
        <w:bidi w:val="0"/>
        <w:rPr/>
      </w:pPr>
      <w:bookmarkEnd w:id="42"/>
      <w:r>
        <w:rPr>
          <w:rFonts w:eastAsia="Times New Roman" w:cs="Times New Roman" w:ascii="Times New Roman" w:hAnsi="Times New Roman"/>
          <w:color w:val="111111"/>
          <w:sz w:val="28"/>
          <w:szCs w:val="28"/>
          <w:lang w:val="en-US"/>
        </w:rPr>
        <w:t>internal maupun eksternal, tidak terlalu penting untuk dipertimbangkan.</w:t>
      </w:r>
    </w:p>
    <w:p>
      <w:pPr>
        <w:pStyle w:val="BookText"/>
        <w:bidi w:val="0"/>
        <w:jc w:val="both"/>
        <w:rPr/>
      </w:pPr>
      <w:r>
        <w:rPr>
          <w:rFonts w:eastAsia="Times New Roman" w:cs="Times New Roman" w:ascii="Times New Roman" w:hAnsi="Times New Roman"/>
          <w:color w:val="111111"/>
          <w:sz w:val="28"/>
          <w:szCs w:val="28"/>
          <w:lang w:val="en-US"/>
        </w:rPr>
        <w:t>Kedua, hal ini juga berlaku pada konvensi dan hukum positif. Misalnya,  konvensi internasional akan memiliki kekuatan hukumnya di sebuah negara bila  telah diratifikasi dan ditetapkan melalui undang-undang internal negara tersebut.</w:t>
      </w:r>
    </w:p>
    <w:p>
      <w:pPr>
        <w:pStyle w:val="BookText"/>
        <w:bidi w:val="0"/>
        <w:jc w:val="both"/>
        <w:rPr/>
      </w:pPr>
      <w:r>
        <w:rPr>
          <w:rFonts w:eastAsia="Times New Roman" w:cs="Times New Roman" w:ascii="Times New Roman" w:hAnsi="Times New Roman"/>
          <w:color w:val="111111"/>
          <w:sz w:val="28"/>
          <w:szCs w:val="28"/>
          <w:lang w:val="en-US"/>
        </w:rPr>
        <w:t>Ketiga, Injil juga menghormati Nabi Musa as dan para Nabi lainnya. Kitab suci  bahkan mengabarkan ihwal yang berkaitan dengan Rasulullah, Muhammad Saw.</w:t>
      </w:r>
    </w:p>
    <w:p>
      <w:pPr>
        <w:pStyle w:val="BookText"/>
        <w:bidi w:val="0"/>
        <w:jc w:val="both"/>
        <w:rPr/>
      </w:pPr>
      <w:r>
        <w:rPr>
          <w:rFonts w:eastAsia="Times New Roman" w:cs="Times New Roman" w:ascii="Times New Roman" w:hAnsi="Times New Roman"/>
          <w:color w:val="111111"/>
          <w:sz w:val="28"/>
          <w:szCs w:val="28"/>
          <w:lang w:val="en-US"/>
        </w:rPr>
        <w:t>Dengan demikian doktrin Kristen dan hukum yang berlaku di Inggris memiliki  dasar internal berkenaan dengan perlindungan atas kesakralan simbol agama lain,  kendati hal ini tidak dijumpai pada level praktis.</w:t>
      </w:r>
    </w:p>
    <w:p>
      <w:pPr>
        <w:pStyle w:val="Heading3"/>
        <w:numPr>
          <w:ilvl w:val="2"/>
          <w:numId w:val="1"/>
        </w:numPr>
        <w:bidi w:val="0"/>
        <w:jc w:val="left"/>
        <w:rPr/>
      </w:pPr>
      <w:bookmarkStart w:id="43" w:name="__RefHeading___Toc419478_653776707"/>
      <w:bookmarkStart w:id="44" w:name="_Toc16"/>
      <w:bookmarkEnd w:id="43"/>
      <w:r>
        <w:rPr/>
        <w:t>Sistem Hukum Barat</w:t>
      </w:r>
      <w:bookmarkEnd w:id="44"/>
    </w:p>
    <w:p>
      <w:pPr>
        <w:pStyle w:val="BookText"/>
        <w:bidi w:val="0"/>
        <w:jc w:val="both"/>
        <w:rPr/>
      </w:pPr>
      <w:r>
        <w:rPr>
          <w:rFonts w:eastAsia="Times New Roman" w:cs="Times New Roman" w:ascii="Times New Roman" w:hAnsi="Times New Roman"/>
          <w:color w:val="111111"/>
          <w:sz w:val="28"/>
          <w:szCs w:val="28"/>
          <w:lang w:val="en-US"/>
        </w:rPr>
        <w:t>Dalam agama Yahudi dan Kristen, kemurtadan dikenal sebagai tindak kriminal:</w:t>
      </w:r>
    </w:p>
    <w:p>
      <w:pPr>
        <w:pStyle w:val="BookText"/>
        <w:bidi w:val="0"/>
        <w:jc w:val="both"/>
        <w:rPr/>
      </w:pPr>
      <w:r>
        <w:rPr>
          <w:rFonts w:eastAsia="Times New Roman" w:cs="Times New Roman" w:ascii="Times New Roman" w:hAnsi="Times New Roman"/>
          <w:color w:val="111111"/>
          <w:sz w:val="28"/>
          <w:szCs w:val="28"/>
          <w:lang w:val="en-US"/>
        </w:rPr>
        <w:t>pelakunya dijatuhi hukuman mati. Berkenaan dengan itu, Bibel yang diakui (sebagai  kitab autentik keagamaan) oleh para penganut Kristen dan Yahudi, menyatakan:</w:t>
      </w:r>
    </w:p>
    <w:p>
      <w:pPr>
        <w:pStyle w:val="BookText"/>
        <w:bidi w:val="0"/>
        <w:jc w:val="both"/>
        <w:rPr/>
      </w:pPr>
      <w:r>
        <w:rPr>
          <w:rFonts w:eastAsia="Times New Roman" w:cs="Times New Roman" w:ascii="Times New Roman" w:hAnsi="Times New Roman"/>
          <w:color w:val="111111"/>
          <w:sz w:val="28"/>
          <w:szCs w:val="28"/>
          <w:lang w:val="en-US"/>
        </w:rPr>
        <w:t xml:space="preserve">Jika di antara kalian terdapat peramal atau penafsir mimpi, lalu dia berkata  bahwa Nabi menyembah Tuhan yang lain, bunuhlah peramal itu. Jika kerabat  terdekatmu atau sahabat karibmu menyerukan Tuhan yang lain, umumkanlah  seruannya. Janganlah kalian mengasihinya; bunuhlah dengan tangan kalian  sendiri, atau hujani dia dengan batu. </w:t>
      </w:r>
      <w:r>
        <w:rPr>
          <w:rStyle w:val="FootnoteAnchor"/>
        </w:rPr>
        <w:footnoteReference w:id="34"/>
      </w:r>
      <w:r>
        <w:rPr>
          <w:rFonts w:eastAsia="Times New Roman" w:cs="Times New Roman" w:ascii="Times New Roman" w:hAnsi="Times New Roman"/>
          <w:color w:val="111111"/>
          <w:sz w:val="28"/>
          <w:szCs w:val="28"/>
          <w:lang w:val="en-US"/>
        </w:rPr>
        <w:t xml:space="preserve"> Hal di atas juga koheren dengan Common Law sebagai sistem hukum yang  sangat dipengaruhi hukum Gereja. Dewasa ini, sejumlah negara Barat, di antaranya  Inggris dan Amerika, menganut sistem hukum ini. Atas dasar itu, penistaan simbol  suci sudah dikenal sejak lama dengan predikat blasphemy.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Berdasarkan definisi terkait yang dirumuskan pakar hukum Barat, predikat itu  tidak hanya meliputi penistaan simbol suci, tetapi juga mencakup kemurtadan  Sebab berdasarkan definisi tersebut, setiap pengingkaran terhadap nilai kebenaran  ajaran Kristen, Injil, dan atau eksistensi Tuhan merupakan bentuk konkret dari  tindak kriminal (penistaan) tadi.</w:t>
      </w:r>
      <w:r>
        <w:rPr>
          <w:rStyle w:val="FootnoteAnchor"/>
        </w:rPr>
        <w:footnoteReference w:id="35"/>
      </w:r>
      <w:r>
        <w:rPr>
          <w:rFonts w:eastAsia="Times New Roman" w:cs="Times New Roman" w:ascii="Times New Roman" w:hAnsi="Times New Roman"/>
          <w:color w:val="111111"/>
          <w:sz w:val="28"/>
          <w:szCs w:val="28"/>
          <w:lang w:val="en-US"/>
        </w:rPr>
        <w:t xml:space="preserve">Beberapa di antara mereka bahkan berpendapat  bahwa secara konvensional pemahaman primer kaidah ini, dalam sistem Common  Law, jauh lebih luas. Artinya, segala bentuk tindakan yang sesuai kaidah agama  Kristen berhubungan dengan kepentingan umum dinilai sangat vital. Sedemikian </w:t>
      </w:r>
    </w:p>
    <w:p>
      <w:pPr>
        <w:pStyle w:val="BookText"/>
        <w:bidi w:val="0"/>
        <w:rPr/>
      </w:pPr>
      <w:r>
        <w:rPr>
          <w:rFonts w:eastAsia="Times New Roman" w:cs="Times New Roman" w:ascii="Times New Roman" w:hAnsi="Times New Roman"/>
          <w:color w:val="111111"/>
          <w:sz w:val="28"/>
          <w:szCs w:val="28"/>
          <w:lang w:val="en-US"/>
        </w:rPr>
        <w:t xml:space="preserve">vitalnya, sampai-sampai tak seorang pun dibolehkan mengingkarinya. </w:t>
      </w:r>
      <w:r>
        <w:rPr>
          <w:rStyle w:val="FootnoteAnchor"/>
        </w:rPr>
        <w:footnoteReference w:id="36"/>
      </w:r>
      <w:r>
        <w:rPr>
          <w:rFonts w:eastAsia="Times New Roman" w:cs="Times New Roman" w:ascii="Times New Roman" w:hAnsi="Times New Roman"/>
          <w:color w:val="111111"/>
          <w:sz w:val="28"/>
          <w:szCs w:val="28"/>
          <w:lang w:val="en-US"/>
        </w:rPr>
        <w:t xml:space="preserve"> Dapat dikatakan bahwa berdasarkan Common Law, arti asal dari kata blasphemy  lebih general dari kemurtadan</w:t>
      </w:r>
      <w:r>
        <w:rPr>
          <w:rStyle w:val="FootnoteAnchor"/>
        </w:rPr>
        <w:footnoteReference w:id="37"/>
      </w:r>
      <w:r>
        <w:rPr>
          <w:rFonts w:eastAsia="Times New Roman" w:cs="Times New Roman" w:ascii="Times New Roman" w:hAnsi="Times New Roman"/>
          <w:color w:val="111111"/>
          <w:sz w:val="28"/>
          <w:szCs w:val="28"/>
          <w:lang w:val="en-US"/>
        </w:rPr>
        <w:t>dan penistaan simbol suci. Karena, dalam definisi  yang telah disebutkan, hanya pengingkaran terhadap ajaran niscaya agama Kristen  yang layak diganjar hukuman, sekalipun tanpa unsur penistaan.</w:t>
      </w:r>
    </w:p>
    <w:p>
      <w:pPr>
        <w:pStyle w:val="BookText"/>
        <w:bidi w:val="0"/>
        <w:jc w:val="both"/>
        <w:rPr/>
      </w:pPr>
      <w:r>
        <w:rPr>
          <w:rFonts w:eastAsia="Times New Roman" w:cs="Times New Roman" w:ascii="Times New Roman" w:hAnsi="Times New Roman"/>
          <w:color w:val="111111"/>
          <w:sz w:val="28"/>
          <w:szCs w:val="28"/>
          <w:lang w:val="en-US"/>
        </w:rPr>
        <w:t>Sejumlah buku bertema hukum yang terbit beberapa tahun terakhir juga  menekankan makna umum yang mencakup kemurtadan.</w:t>
      </w:r>
      <w:r>
        <w:rPr>
          <w:rStyle w:val="FootnoteAnchor"/>
        </w:rPr>
        <w:footnoteReference w:id="38"/>
      </w:r>
      <w:r>
        <w:rPr>
          <w:rFonts w:eastAsia="Times New Roman" w:cs="Times New Roman" w:ascii="Times New Roman" w:hAnsi="Times New Roman"/>
          <w:color w:val="111111"/>
          <w:sz w:val="28"/>
          <w:szCs w:val="28"/>
          <w:lang w:val="en-US"/>
        </w:rPr>
        <w:t>Namun dikarenakan  luasnya pengertian blasphemy secara hukum, dalam beberapa tahun belakangan ini  di Inggris muncul kritik terhadap agama Kristen. Kalau saja dibubuhi penghinaan  pelecehan, akan berdampak hukuman.</w:t>
      </w:r>
      <w:r>
        <w:rPr>
          <w:rStyle w:val="FootnoteAnchor"/>
        </w:rPr>
        <w:footnoteReference w:id="39"/>
      </w:r>
      <w:r>
        <w:rPr>
          <w:rFonts w:eastAsia="Times New Roman" w:cs="Times New Roman" w:ascii="Times New Roman" w:hAnsi="Times New Roman"/>
          <w:color w:val="111111"/>
          <w:sz w:val="28"/>
          <w:szCs w:val="28"/>
          <w:lang w:val="en-US"/>
        </w:rPr>
        <w:t>Berdasarkan undang-undang Inggris,  predikat kriminal hanya diberlakukan pada tindak mengingkari kebenaran ajaran  Kristen dan keautentikan Injil—terlepas apakah tindakan itu dinyatakan berupa  tulisan, penerbitan, pendidikan, dan atau statement yang disertai pesan normatif.</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Terhadap tindakan itu, ada sekian hukuman beragam yang telah diprediksikan. Ini  yang lantas membuat heran banyak kalangan.</w:t>
      </w:r>
      <w:r>
        <w:rPr>
          <w:rStyle w:val="FootnoteAnchor"/>
        </w:rPr>
        <w:footnoteReference w:id="40"/>
      </w:r>
      <w:r>
        <w:rPr>
          <w:rFonts w:eastAsia="Times New Roman" w:cs="Times New Roman" w:ascii="Times New Roman" w:hAnsi="Times New Roman"/>
          <w:color w:val="111111"/>
          <w:sz w:val="28"/>
          <w:szCs w:val="28"/>
          <w:lang w:val="en-US"/>
        </w:rPr>
        <w:t xml:space="preserve"> Kajian seputar skala pengertian blasphemy dalam Common Law dengan  memperhatikan kekuatan hukumnya dalam tata hukum Inggris dewasa ini,  menimbulkan persoalan yang lebih serius: apa kriteria dan logika yang berlaku di  Inggris sehingga berdasarkan kaidah tersebut, negara hanya melindungi simbol  sakral Kristen; perlakuan istimewa yang tidak diperoleh agama lain? Bukankah  aturan itu jelas-jelas bertentangan dengan antidiskriminasi antarpemeluk agama,  sebagaimana ditegaskan dalam sekian banyak konvensi internasional HAM?  Coba simak kasus penistaan Salman Rushdie lewat karya tulisnya Ayat-ayat  Setan, terhadap sosok Rasulullah Saw. Bagaimana pengadilan Inggris itu berdalih  bahwa aturan blasphemy berlaku efektif hanya pada kasus penistaan simbol sakral </w:t>
      </w:r>
    </w:p>
    <w:p>
      <w:pPr>
        <w:pStyle w:val="BookText"/>
        <w:bidi w:val="0"/>
        <w:rPr/>
      </w:pPr>
      <w:r>
        <w:rPr>
          <w:rFonts w:eastAsia="Times New Roman" w:cs="Times New Roman" w:ascii="Times New Roman" w:hAnsi="Times New Roman"/>
          <w:color w:val="111111"/>
          <w:sz w:val="28"/>
          <w:szCs w:val="28"/>
          <w:lang w:val="en-US"/>
        </w:rPr>
        <w:t>Kristen, sementara untuk agama lain, tidak.</w:t>
      </w:r>
      <w:r>
        <w:rPr>
          <w:rStyle w:val="FootnoteAnchor"/>
        </w:rPr>
        <w:footnoteReference w:id="41"/>
      </w:r>
      <w:r>
        <w:rPr>
          <w:rFonts w:eastAsia="Times New Roman" w:cs="Times New Roman" w:ascii="Times New Roman" w:hAnsi="Times New Roman"/>
          <w:color w:val="111111"/>
          <w:sz w:val="28"/>
          <w:szCs w:val="28"/>
          <w:lang w:val="en-US"/>
        </w:rPr>
        <w:t xml:space="preserve"> Sejumlah pakar hukum Barat yang bersikap netral menentang putusan  pengadilan Inggris. Selain mengapresiasi protes kaum Muslimin, mereka menilai  kecenderungan membatasi efektivitas hukum untuk golongan tertentu dikategorikan  sebagai tindak diskriminasi pada ranah agama. Kesimpulan mereka undang-undang  itu bertentangan dengan pasal 9 dan 14 Konvensi Eropa tentang HAM. Konvensi  itu menyatakan bahwa setiap diskriminasi berdasarkan agama adalah terlarang. </w:t>
      </w:r>
      <w:r>
        <w:rPr>
          <w:rStyle w:val="FootnoteAnchor"/>
        </w:rPr>
        <w:footnoteReference w:id="42"/>
      </w:r>
      <w:r>
        <w:rPr>
          <w:rFonts w:eastAsia="Times New Roman" w:cs="Times New Roman" w:ascii="Times New Roman" w:hAnsi="Times New Roman"/>
          <w:color w:val="111111"/>
          <w:sz w:val="28"/>
          <w:szCs w:val="28"/>
          <w:lang w:val="en-US"/>
        </w:rPr>
        <w:t xml:space="preserve"> Ada juga sebagian pakar hukum Barat yang mengajukan beberapa saran sebagai  jalan keluar. Di dalamnya mereka mendesak agar undang-undang yang berlaku di  Inggris seputar penistaan simbol sakral juga memberi perlindungan hukum yang  setara kepada agama lain.</w:t>
      </w:r>
      <w:r>
        <w:rPr>
          <w:rStyle w:val="FootnoteAnchor"/>
        </w:rPr>
        <w:footnoteReference w:id="43"/>
      </w:r>
      <w:r>
        <w:rPr>
          <w:rFonts w:eastAsia="Times New Roman" w:cs="Times New Roman" w:ascii="Times New Roman" w:hAnsi="Times New Roman"/>
          <w:color w:val="111111"/>
          <w:sz w:val="28"/>
          <w:szCs w:val="28"/>
          <w:lang w:val="en-US"/>
        </w:rPr>
        <w:t xml:space="preserve"> Demikian pula dalam tata hukum Amerika. Kurang dari tiga dekade terakhir,  tepatnya sampai tahun 1970, penista simbol sakral divonis hukuman mati.</w:t>
      </w:r>
    </w:p>
    <w:p>
      <w:pPr>
        <w:pStyle w:val="BookText"/>
        <w:bidi w:val="0"/>
        <w:jc w:val="both"/>
        <w:rPr/>
      </w:pPr>
      <w:r>
        <w:rPr>
          <w:rFonts w:eastAsia="Times New Roman" w:cs="Times New Roman" w:ascii="Times New Roman" w:hAnsi="Times New Roman"/>
          <w:color w:val="111111"/>
          <w:sz w:val="28"/>
          <w:szCs w:val="28"/>
          <w:lang w:val="en-US"/>
        </w:rPr>
        <w:t>Sebuah media online di sana, Constitutional Rights Foundation (CRF), yang  menyoroti diskursus hak-hak asasi Amerika pernah menerbitkan satu makalah yang  menguntungkan posisi Salman Rusdhie.</w:t>
      </w:r>
      <w:r>
        <w:rPr>
          <w:rStyle w:val="FootnoteAnchor"/>
        </w:rPr>
        <w:footnoteReference w:id="44"/>
      </w:r>
      <w:r>
        <w:rPr>
          <w:rFonts w:eastAsia="Times New Roman" w:cs="Times New Roman" w:ascii="Times New Roman" w:hAnsi="Times New Roman"/>
          <w:color w:val="111111"/>
          <w:sz w:val="28"/>
          <w:szCs w:val="28"/>
          <w:lang w:val="en-US"/>
        </w:rPr>
        <w:t>Pembelaan tegasnya dibubuhi sebuah poin  menarik bahwa sebelum tahun 1970, telah diberlakukan hukuman mati terhadap  tindak penistaan simbol sakral di sejumlah negara bagian Amerika Serikat.</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United States, prosecutions for blasphemy, though always rare, did not officially end until the  early 1970s ... Prosecutions for blasphemy are not unknown in America history. Both the Virginia  and Massachusetts Bay colonies passed laws providing the death penalty for blasphemy.</w:t>
      </w:r>
    </w:p>
    <w:p>
      <w:pPr>
        <w:pStyle w:val="BookText"/>
        <w:bidi w:val="0"/>
        <w:jc w:val="both"/>
        <w:rPr/>
      </w:pPr>
      <w:r>
        <w:rPr>
          <w:rFonts w:eastAsia="Times New Roman" w:cs="Times New Roman" w:ascii="Times New Roman" w:hAnsi="Times New Roman"/>
          <w:color w:val="111111"/>
          <w:sz w:val="28"/>
          <w:szCs w:val="28"/>
          <w:lang w:val="en-US"/>
        </w:rPr>
        <w:t>Dalam  upaya melengkapi landasan hukumnya, majalah itu bahkan bersandar pada laporan  sebuah arsip hukum. Tercatat di dalamnya empat nama Quakers Protestant telah  dijatuhi hukuman mati, dan berhasil dieksekusi pada 1659.</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When they violated their banishment and returned to the colony, they were all hanged in 1659–60."</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Kasus lain adalah penistaan simbol sakral di New York. Pengacara pihak</w:t>
      </w:r>
      <w:bookmarkStart w:id="45" w:name="pg6393_42939"/>
    </w:p>
    <w:p>
      <w:pPr>
        <w:pStyle w:val="BookText"/>
        <w:bidi w:val="0"/>
        <w:rPr/>
      </w:pPr>
      <w:bookmarkEnd w:id="45"/>
      <w:r>
        <w:rPr>
          <w:rFonts w:eastAsia="Times New Roman" w:cs="Times New Roman" w:ascii="Times New Roman" w:hAnsi="Times New Roman"/>
          <w:color w:val="111111"/>
          <w:sz w:val="28"/>
          <w:szCs w:val="28"/>
          <w:lang w:val="en-US"/>
        </w:rPr>
        <w:t>terdakwa (ruggles) memanfaatkan kekosongan undang-undang yang mengatur  hukuman pelaku penistaan simbol sakral di negara bagian tersebut sebagai dalih.</w:t>
      </w:r>
    </w:p>
    <w:p>
      <w:pPr>
        <w:pStyle w:val="BookText"/>
        <w:bidi w:val="0"/>
        <w:jc w:val="both"/>
        <w:rPr/>
      </w:pPr>
      <w:r>
        <w:rPr>
          <w:rFonts w:eastAsia="Times New Roman" w:cs="Times New Roman" w:ascii="Times New Roman" w:hAnsi="Times New Roman"/>
          <w:color w:val="111111"/>
          <w:sz w:val="28"/>
          <w:szCs w:val="28"/>
          <w:lang w:val="en-US"/>
        </w:rPr>
        <w:t>Dia bermaksud membebaskan kliennya dari tuduhan menista Isa Al-Masih a.s.</w:t>
      </w:r>
    </w:p>
    <w:p>
      <w:pPr>
        <w:pStyle w:val="BookText"/>
        <w:bidi w:val="0"/>
        <w:jc w:val="both"/>
        <w:rPr/>
      </w:pPr>
      <w:r>
        <w:rPr>
          <w:rFonts w:eastAsia="Times New Roman" w:cs="Times New Roman" w:ascii="Times New Roman" w:hAnsi="Times New Roman"/>
          <w:color w:val="111111"/>
          <w:sz w:val="28"/>
          <w:szCs w:val="28"/>
          <w:lang w:val="en-US"/>
        </w:rPr>
        <w:t>dan Siti Maryam a.s. Namun, mahkamah agung AS sepakat menolak permohonan  peninjauan ulang kasus ini berdasarkan dalih yang diajukan tadi. Argumentasinya,  undang-undang blasphemy yang diakui sebagai warisan sistem Common Law  dinilai telah memadai untuk memvonis penista simbol sakral Kristen sebagai  pelaku kriminal. Berdasarkan tafsir terhadap undang-undang ini, pengadilan New  York menyatakan bahwa penistaan terhadap Isa Al-Masih a.s. selain mengganggu  ketertiban umum, juga merusak etika sosial.</w:t>
      </w:r>
      <w:r>
        <w:rPr>
          <w:rStyle w:val="FootnoteAnchor"/>
        </w:rPr>
        <w:footnoteReference w:id="46"/>
      </w:r>
      <w:r>
        <w:rPr>
          <w:rFonts w:eastAsia="Times New Roman" w:cs="Times New Roman" w:ascii="Times New Roman" w:hAnsi="Times New Roman"/>
          <w:color w:val="111111"/>
          <w:sz w:val="28"/>
          <w:szCs w:val="28"/>
          <w:lang w:val="en-US"/>
        </w:rPr>
        <w:t xml:space="preserve"> Dari uraian seputar sistem hukum Common Law, dapat disaksikan adanya  campur-aduk antara kemurtadan dan penistaan simbol sakral. Memang, saat ini  hanya penistaan simbol sakral saja yang diakui sebagai tindak kriminal. Namun  demikian, jalur hukum untuk mengidentifikasi status kriminal pada kemurtadan  dalam aturan blasphemy warisan Common Law ini, masih tetap terbuka. Dewasa ini  aturan tersebut tidak lagi diacu sebagai dasar hukum. Alasannya masyarakat Barat  sudah tidak punya keterikatan emosional dengan simbol sakral keagamaan. Oleh  karena itu, penistaan simbol sakral dan seruan menentang Kristen (yang sudah  diselewengkan dan bercampur mitos) tidak akan mengusik emosi, etika sosial, dan  etika publik. Jika kondisi ini lalu muncul di negara-negara tersebut, tentunya-  menurut aturan-penista simbol sakral dan orang murtad akan diperlakukan  sebagai pelaku kriminalitas dengan catatan: tindakan itu bertentangan dengan  tatanan dan etika sosialnya sendiri.</w:t>
      </w:r>
    </w:p>
    <w:p>
      <w:pPr>
        <w:pStyle w:val="BookText"/>
        <w:bidi w:val="0"/>
        <w:jc w:val="both"/>
        <w:rPr/>
      </w:pPr>
      <w:r>
        <w:rPr>
          <w:rFonts w:eastAsia="Times New Roman" w:cs="Times New Roman" w:ascii="Times New Roman" w:hAnsi="Times New Roman"/>
          <w:color w:val="111111"/>
          <w:sz w:val="28"/>
          <w:szCs w:val="28"/>
          <w:lang w:val="en-US"/>
        </w:rPr>
        <w:t>Dibandingkan dengan Common Law dalam hal melindungi agama samawi lain,  hukum Islam jelas memiliki tingkat relevansi yang lebih tinggi dengan butir-butir HAM.</w:t>
      </w:r>
    </w:p>
    <w:p>
      <w:pPr>
        <w:pStyle w:val="Heading3"/>
        <w:numPr>
          <w:ilvl w:val="2"/>
          <w:numId w:val="1"/>
        </w:numPr>
        <w:bidi w:val="0"/>
        <w:jc w:val="left"/>
        <w:rPr/>
      </w:pPr>
      <w:bookmarkStart w:id="46" w:name="__RefHeading___Toc419480_653776707"/>
      <w:bookmarkStart w:id="47" w:name="_Toc17"/>
      <w:bookmarkEnd w:id="46"/>
      <w:r>
        <w:rPr/>
        <w:t>Relasi Kemurtadan-Penistaan Simbol Sakral</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telah disebutkan, dalam rangka mendefinisikan kemurtadan,  kalangan fukaha menerangkannya sebegitu rupa hingga pada sebagian kasus juga  mencakup penistaan simbol sakral. Sebab dalam definisi dinyatakan penistaan </w:t>
      </w:r>
    </w:p>
    <w:p>
      <w:pPr>
        <w:pStyle w:val="BookText"/>
        <w:bidi w:val="0"/>
        <w:rPr/>
      </w:pPr>
      <w:r>
        <w:rPr>
          <w:rFonts w:eastAsia="Times New Roman" w:cs="Times New Roman" w:ascii="Times New Roman" w:hAnsi="Times New Roman"/>
          <w:color w:val="111111"/>
          <w:sz w:val="28"/>
          <w:szCs w:val="28"/>
          <w:lang w:val="en-US"/>
        </w:rPr>
        <w:t>simbol sakral agama lewat kata-kata maupun tindakan menyebabkan terjadinya  kemurtadan.</w:t>
      </w:r>
      <w:r>
        <w:rPr>
          <w:rStyle w:val="FootnoteAnchor"/>
        </w:rPr>
        <w:footnoteReference w:id="47"/>
      </w:r>
      <w:r>
        <w:rPr>
          <w:rFonts w:eastAsia="Times New Roman" w:cs="Times New Roman" w:ascii="Times New Roman" w:hAnsi="Times New Roman"/>
          <w:color w:val="111111"/>
          <w:sz w:val="28"/>
          <w:szCs w:val="28"/>
          <w:lang w:val="en-US"/>
        </w:rPr>
        <w:t xml:space="preserve"> Masalahnya menjadi kian rumit tatkala sebagian fukaha mengidentifikasi  kemurtadan penista Nabi dan para Imam sebagai faktor penyebab jatuhnya  hukuman atas perbuatan tersebut.</w:t>
      </w:r>
      <w:r>
        <w:rPr>
          <w:rStyle w:val="FootnoteAnchor"/>
        </w:rPr>
        <w:footnoteReference w:id="48"/>
      </w:r>
      <w:r>
        <w:rPr>
          <w:rFonts w:eastAsia="Times New Roman" w:cs="Times New Roman" w:ascii="Times New Roman" w:hAnsi="Times New Roman"/>
          <w:color w:val="111111"/>
          <w:sz w:val="28"/>
          <w:szCs w:val="28"/>
          <w:lang w:val="en-US"/>
        </w:rPr>
        <w:t>Padahal jenis hukuman murtad berbeda dengan  jenis hukuman menista para Nabi dan Imam. Diantara perbedaan signifikan dua  jenis ini: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Eksekusi Hukuman  Merujuk pendapat banyak fukaha, setiap orang berhak mengeksekusi  hukuman terhadap orang yang menista para nabi dan imam maksum.</w:t>
      </w:r>
    </w:p>
    <w:p>
      <w:pPr>
        <w:pStyle w:val="BookText"/>
        <w:bidi w:val="0"/>
        <w:jc w:val="both"/>
        <w:rPr/>
      </w:pPr>
      <w:r>
        <w:rPr>
          <w:rFonts w:eastAsia="Times New Roman" w:cs="Times New Roman" w:ascii="Times New Roman" w:hAnsi="Times New Roman"/>
          <w:color w:val="111111"/>
          <w:sz w:val="28"/>
          <w:szCs w:val="28"/>
          <w:lang w:val="en-US"/>
        </w:rPr>
        <w:t>Namun, pada kasus murtad tugas ini sepenuhnya berada pada kewenangan  pemerintah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Pihak Tervonis  Jika perempuan divonis sebagai murtad, hukuman yang dijatuhkan  padanya lebih ringan dibanding dengan yang dijatuhkan pada laki-  laki (hukuman mati). Selain itu hukuman atas kemurtadan tidak dapat  diberlakukan pada non-Muslim. Sebaliknya hukuman menista para nabi  dan imam maksum tidak berbeda antara laki-laki dan perempuan, juga  tidak antara Muslim dan non-Muslim.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Hukuman penistaan ini tetap tidak  berlaku pada non-Muslim sekalipun dia kemudian menjadi Muslim setelah  dijatuhi hukuman. Hal ini berdasarkan kaidah jubb yang mengatakan ‘Islam  menghapus catatan lampau'. Artinya, hukuman itu dianulir baginya.</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Penerimaan Taubat  Taubat kaum perempuan dan pelaku murtad millî (orang yang lahir dari  ayah-ibu non-Muslim) terkabulkan. Namun berkenaan dengan pengabulan  taubat kaum laki-laki yang murtad fithri, terdapat perbedaan pandangan.</w:t>
      </w:r>
    </w:p>
    <w:p>
      <w:pPr>
        <w:pStyle w:val="BookText"/>
        <w:bidi w:val="0"/>
        <w:jc w:val="both"/>
        <w:rPr/>
      </w:pPr>
      <w:r>
        <w:rPr>
          <w:rFonts w:eastAsia="Times New Roman" w:cs="Times New Roman" w:ascii="Times New Roman" w:hAnsi="Times New Roman"/>
          <w:color w:val="111111"/>
          <w:sz w:val="28"/>
          <w:szCs w:val="28"/>
          <w:lang w:val="en-US"/>
        </w:rPr>
        <w:t>Sebagian besar pakar berpendapat bahwa taubat mereka tidak terkabulkan.</w:t>
      </w:r>
    </w:p>
    <w:p>
      <w:pPr>
        <w:pStyle w:val="BookText"/>
        <w:bidi w:val="0"/>
        <w:jc w:val="both"/>
        <w:rPr/>
      </w:pPr>
      <w:r>
        <w:rPr>
          <w:rFonts w:eastAsia="Times New Roman" w:cs="Times New Roman" w:ascii="Times New Roman" w:hAnsi="Times New Roman"/>
          <w:color w:val="111111"/>
          <w:sz w:val="28"/>
          <w:szCs w:val="28"/>
          <w:lang w:val="en-US"/>
        </w:rPr>
        <w:t>Adapun taubat yang dilakukan orang yang menista Nabi Saw dan Imam  maksum menurut keyakinan para fukaha tidak akan terkabulkan, kecuali si  penista berstatus kafir kemudian menjadi Muslim.</w:t>
      </w:r>
    </w:p>
    <w:p>
      <w:pPr>
        <w:pStyle w:val="BookText"/>
        <w:bidi w:val="0"/>
        <w:jc w:val="both"/>
        <w:rPr/>
      </w:pPr>
      <w:r>
        <w:rPr>
          <w:rFonts w:eastAsia="Times New Roman" w:cs="Times New Roman" w:ascii="Times New Roman" w:hAnsi="Times New Roman"/>
          <w:color w:val="111111"/>
          <w:sz w:val="28"/>
          <w:szCs w:val="28"/>
          <w:lang w:val="en-US"/>
        </w:rPr>
        <w:t>Oleh karena itu, dengan mencermati perbedaan dan hukuman dari dua tindak  kriminal di atas (kemurtadan dan penistaan), maka kriteria khusus masing-masing  harus dirumuskan secara tegas. Dalam rangka ini perlu digarisbawahi bahwa status  kriminal pada penistaan Nabi Saw dan para imam maksum terbuktikan dengan  argumen khusus. Oleh karena itu tindakan ini dikategorikan sebagai kriminalitas  tersendiri dhukumnya juga khusus. Dengan demikian, penistaan itu tidak masuk  dalam kategori kemurtadan.</w:t>
      </w:r>
    </w:p>
    <w:p>
      <w:pPr>
        <w:pStyle w:val="BookText"/>
        <w:bidi w:val="0"/>
        <w:jc w:val="both"/>
        <w:rPr/>
      </w:pPr>
      <w:r>
        <w:rPr>
          <w:rFonts w:eastAsia="Times New Roman" w:cs="Times New Roman" w:ascii="Times New Roman" w:hAnsi="Times New Roman"/>
          <w:color w:val="111111"/>
          <w:sz w:val="28"/>
          <w:szCs w:val="28"/>
          <w:lang w:val="en-US"/>
        </w:rPr>
        <w:t xml:space="preserve">Memang, ada banyak kesamaan dengan tindakan murtad sehingga dalam  keterangan beberapa fukaha, dinyatakan bahwa penista Nabi Saw dan para  Imam sama hukumnya dengan orang murtad. </w:t>
      </w:r>
      <w:r>
        <w:rPr>
          <w:rStyle w:val="FootnoteAnchor"/>
        </w:rPr>
        <w:footnoteReference w:id="49"/>
      </w:r>
      <w:r>
        <w:rPr>
          <w:rFonts w:eastAsia="Times New Roman" w:cs="Times New Roman" w:ascii="Times New Roman" w:hAnsi="Times New Roman"/>
          <w:color w:val="111111"/>
          <w:sz w:val="28"/>
          <w:szCs w:val="28"/>
          <w:lang w:val="en-US"/>
        </w:rPr>
        <w:t>Adakalanya penetapan hukuman  bagi penista Nabi Saw dan para imam maksum bahkan berpijak pada argumen  kemurtadan.</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170, "Argumen atas hukum mati bagi siapa saja yang menista Nabi Saw ialah kepastian, kewajiban  mengagungkannya yang sudah sangat jelas dan terang. Maka, orang yang menista beliau adalah  pengingkar kewajiban pasti dan jelas tersebut, dan dia melakukan sebalik kejelasan pasti agama  yang telah diketahuinya, seperti melemparkan kitab suci ke kotoran, menghina Allah, agama, Islam,  ibadah, simbol Allah. Dalam Syarh Al-Syarâ'i dinukilkan bahwa hukum bolehnya membunuh  penista itu telah menjadi titik konsensus."</w:t>
      </w:r>
    </w:p>
    <w:p>
      <w:pPr>
        <w:pStyle w:val="BookText"/>
        <w:bidi w:val="0"/>
        <w:jc w:val="both"/>
        <w:rPr/>
      </w:pPr>
      <w:r>
        <w:rPr>
          <w:rFonts w:eastAsia="Times New Roman" w:cs="Times New Roman" w:ascii="Times New Roman" w:hAnsi="Times New Roman"/>
          <w:color w:val="111111"/>
          <w:sz w:val="28"/>
          <w:szCs w:val="28"/>
          <w:lang w:val="en-US"/>
        </w:rPr>
        <w:t>Kendati demikian tindak menista itu tetap memiliki hukum khas  yang tidak mengikuti hukum kemurtadan. Adapun penistaan terang-terangan  terhadap simbol sakral dan ajaran niscaya agama seperti Al-Qur'an dan Ka'bah,  termasuk dalam kriminalitas murtad, tentu saja mengikuti kaidah hukumnya.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Hanya yang perlu dicatat bahwa dampak hukuman dua tindak kriminal ini  (pengingkaran ajaran niscaya agama dan penistaan terhadap simbol sakral) tidak </w:t>
      </w:r>
      <w:bookmarkStart w:id="48" w:name="pg6393_42945"/>
    </w:p>
    <w:p>
      <w:pPr>
        <w:pStyle w:val="BookText"/>
        <w:bidi w:val="0"/>
        <w:rPr/>
      </w:pPr>
      <w:bookmarkEnd w:id="48"/>
      <w:r>
        <w:rPr>
          <w:rFonts w:eastAsia="Times New Roman" w:cs="Times New Roman" w:ascii="Times New Roman" w:hAnsi="Times New Roman"/>
          <w:color w:val="111111"/>
          <w:sz w:val="28"/>
          <w:szCs w:val="28"/>
          <w:lang w:val="en-US"/>
        </w:rPr>
        <w:t>dapat diterapkan pada tindak kriminal penistaan terhadap simbol sakral yang tidak  dasar (seperti penistaan terhadap imam yang punya dalil khusus, dan merupakan  simbol sakral menurut mazhab Ahlul Bait-penj.).</w:t>
      </w:r>
    </w:p>
    <w:p>
      <w:pPr>
        <w:pStyle w:val="BookText"/>
        <w:bidi w:val="0"/>
        <w:jc w:val="both"/>
        <w:rPr/>
      </w:pPr>
      <w:r>
        <w:rPr>
          <w:rFonts w:eastAsia="Times New Roman" w:cs="Times New Roman" w:ascii="Times New Roman" w:hAnsi="Times New Roman"/>
          <w:color w:val="111111"/>
          <w:sz w:val="28"/>
          <w:szCs w:val="28"/>
          <w:lang w:val="en-US"/>
        </w:rPr>
        <w:t>Alhasil hipotesis awal dapat ditelusuri secara lebih serius. Sekalipun dalam  praktiknya kemurtadan bisa saja terjadi hanya dengan pengingkaran,tetapi penelitian  terhadap bentuk kemurtadan pada masa para Imam maksum justru menguatkan  hipotesis awal. Pada praktiknya hanya kemurtadan dengan penistaan simbol sakral  saja yang jadi kasus sensitif.</w:t>
      </w:r>
      <w:r>
        <w:rPr>
          <w:rStyle w:val="FootnoteAnchor"/>
        </w:rPr>
        <w:footnoteReference w:id="51"/>
      </w:r>
      <w:r>
        <w:rPr>
          <w:rFonts w:eastAsia="Times New Roman" w:cs="Times New Roman" w:ascii="Times New Roman" w:hAnsi="Times New Roman"/>
          <w:color w:val="111111"/>
          <w:sz w:val="28"/>
          <w:szCs w:val="28"/>
          <w:lang w:val="en-US"/>
        </w:rPr>
        <w:t>Kasus selanjutnya yang berdampak hukuman adalah  pengingkaran terhadap ajaran niscaya agama dengan maksud melemahkan posisinya  dan menyerukan penentangan (vis-à-vis agama). Masalah ini akan ditelaah secara  mendetail pada bab yang akan datang seputar falsafah kemurtadan.</w:t>
      </w:r>
    </w:p>
    <w:p>
      <w:pPr>
        <w:pStyle w:val="Heading3"/>
        <w:numPr>
          <w:ilvl w:val="2"/>
          <w:numId w:val="1"/>
        </w:numPr>
        <w:bidi w:val="0"/>
        <w:jc w:val="left"/>
        <w:rPr/>
      </w:pPr>
      <w:bookmarkStart w:id="49" w:name="__RefHeading___Toc419482_653776707"/>
      <w:bookmarkStart w:id="50" w:name="_Toc18"/>
      <w:bookmarkEnd w:id="49"/>
      <w:r>
        <w:rPr/>
        <w:t>Definisi dan Bentuk Konkret Ajaran Niscaya</w:t>
      </w:r>
      <w:bookmarkEnd w:id="50"/>
    </w:p>
    <w:p>
      <w:pPr>
        <w:pStyle w:val="BookText"/>
        <w:bidi w:val="0"/>
        <w:jc w:val="both"/>
        <w:rPr/>
      </w:pPr>
      <w:r>
        <w:rPr>
          <w:rFonts w:eastAsia="Times New Roman" w:cs="Times New Roman" w:ascii="Times New Roman" w:hAnsi="Times New Roman"/>
          <w:color w:val="111111"/>
          <w:sz w:val="28"/>
          <w:szCs w:val="28"/>
          <w:lang w:val="en-US"/>
        </w:rPr>
        <w:t>Pertanyaan berikut ini juga perlu diajukan: pengingkaran apa saja yang  menyebabkan kemurtadan? Jawabannya, pengingkaran terhadap Tuhan, atau Nabi  Saw, dan atau mengingkari salah satu ajaran niscaya agama. Hanya yang perlu  diselidiki lebih lanjut adalah pertama, apa makna dan pengertian dari ajaran niscaya  agama? dan kedua, apa saja bentuk konkretnya?</w:t>
      </w:r>
    </w:p>
    <w:p>
      <w:pPr>
        <w:pStyle w:val="Heading3"/>
        <w:numPr>
          <w:ilvl w:val="2"/>
          <w:numId w:val="1"/>
        </w:numPr>
        <w:bidi w:val="0"/>
        <w:jc w:val="left"/>
        <w:rPr/>
      </w:pPr>
      <w:bookmarkStart w:id="51" w:name="__RefHeading___Toc419484_653776707"/>
      <w:bookmarkStart w:id="52" w:name="_Toc19"/>
      <w:bookmarkEnd w:id="51"/>
      <w:r>
        <w:rPr/>
        <w:t>Pengertian</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terminologi fikih, ajaran niscaya (dharûrî) agama tidak berbeda dengan  yang dimaksud dalam ilmu logika, yaitu proposisi (aksiom) yang dapat diterima  sebagai kebenaran tanpa memerlukan perumusan argumentasi dan dalil. Perihal  sebaliknya adalah proposisi spekulatif (nazhari) yang memerlukan argumentasi  untuk dapat diakui sebagai kebenaran.</w:t>
      </w:r>
      <w:r>
        <w:rPr>
          <w:rStyle w:val="FootnoteAnchor"/>
        </w:rPr>
        <w:footnoteReference w:id="52"/>
      </w:r>
      <w:r>
        <w:rPr>
          <w:rFonts w:eastAsia="Times New Roman" w:cs="Times New Roman" w:ascii="Times New Roman" w:hAnsi="Times New Roman"/>
          <w:color w:val="111111"/>
          <w:sz w:val="28"/>
          <w:szCs w:val="28"/>
          <w:lang w:val="en-US"/>
        </w:rPr>
        <w:t xml:space="preserve"> Berdasarkan definisi ini, setidaknya ada kepastian minimal (qadr mutayaqqan)  seputar pengertian ajaran niscaya agama, yaitu sekumpulan hukum yang disepakati </w:t>
      </w:r>
    </w:p>
    <w:p>
      <w:pPr>
        <w:pStyle w:val="BookText"/>
        <w:bidi w:val="0"/>
        <w:rPr/>
      </w:pPr>
      <w:r>
        <w:rPr>
          <w:rFonts w:eastAsia="Times New Roman" w:cs="Times New Roman" w:ascii="Times New Roman" w:hAnsi="Times New Roman"/>
          <w:color w:val="111111"/>
          <w:sz w:val="28"/>
          <w:szCs w:val="28"/>
          <w:lang w:val="en-US"/>
        </w:rPr>
        <w:t>seluruh mazhab Islam, Syiah maupun Ahli Sunnah. Dengan kata lain sedemikian  jelasnya ajaran itu ada dalam Islam hingga tak memerlukan argumentasi. Lawannya  adalah ajaran niscaya mazhab yang hanya diterima, misalnya kalangan Ahli Sunnah  atau kalangan Syiah saja tetapi tidak oleh seluruh kaum Muslimin.</w:t>
      </w:r>
      <w:r>
        <w:rPr>
          <w:rStyle w:val="FootnoteAnchor"/>
        </w:rPr>
        <w:footnoteReference w:id="53"/>
      </w:r>
      <w:r>
        <w:rPr>
          <w:rFonts w:eastAsia="Times New Roman" w:cs="Times New Roman" w:ascii="Times New Roman" w:hAnsi="Times New Roman"/>
          <w:color w:val="111111"/>
          <w:sz w:val="28"/>
          <w:szCs w:val="28"/>
          <w:lang w:val="en-US"/>
        </w:rPr>
        <w:t xml:space="preserve"> Sebagian fukaha meyakini pengingkaran ajaran niscaya mazhab oleh  pengikutnya sebagai sebab kemurtadan. Artinya seorang Syiah otomatis menjadi  murtad manakala dia mengingkari suatu hukum yang disepakati mazhabnya  sendiri. Terkait dengan hal ini ada sejumlah riwayat yang dapat dipahami bahwa  ingkar terhadap kedudukan imamah para Imam maksum merupakan bentuk  konkret dari kemurtadan. </w:t>
      </w:r>
      <w:r>
        <w:rPr>
          <w:rStyle w:val="FootnoteAnchor"/>
        </w:rPr>
        <w:footnoteReference w:id="54"/>
      </w:r>
      <w:r>
        <w:rPr>
          <w:rFonts w:eastAsia="Times New Roman" w:cs="Times New Roman" w:ascii="Times New Roman" w:hAnsi="Times New Roman"/>
          <w:color w:val="111111"/>
          <w:sz w:val="28"/>
          <w:szCs w:val="28"/>
          <w:lang w:val="en-US"/>
        </w:rPr>
        <w:t xml:space="preserve"> Namun, ada masalah penting lain yang kemudian muncul. Misalnya jika  seseorang mengingkari sebuah hukum yang bukan ajaran niscaya agama Islam,  akan tetapi dia justru mengingkarinya dengan keyakinan bahwa itu adalah bagian  dari ajaran niscaya Islam. Dalam asumsi ini, apakah pengingkaran ini menyebabkan  kemurtadan?  Sebagian fukaha berpendapat bahwa pada kasus di atas, si pelaku telah murtad.</w:t>
      </w:r>
    </w:p>
    <w:p>
      <w:pPr>
        <w:pStyle w:val="BookText"/>
        <w:bidi w:val="0"/>
        <w:jc w:val="both"/>
        <w:rPr/>
      </w:pPr>
      <w:r>
        <w:rPr>
          <w:rFonts w:eastAsia="Times New Roman" w:cs="Times New Roman" w:ascii="Times New Roman" w:hAnsi="Times New Roman"/>
          <w:color w:val="111111"/>
          <w:sz w:val="28"/>
          <w:szCs w:val="28"/>
          <w:lang w:val="en-US"/>
        </w:rPr>
        <w:t>Muqaddas Ardabili menuliskan:</w:t>
      </w:r>
    </w:p>
    <w:p>
      <w:pPr>
        <w:pStyle w:val="BookText"/>
        <w:bidi w:val="0"/>
        <w:jc w:val="both"/>
        <w:rPr/>
      </w:pPr>
      <w:r>
        <w:rPr>
          <w:rFonts w:eastAsia="Times New Roman" w:cs="Times New Roman" w:ascii="Times New Roman" w:hAnsi="Times New Roman"/>
          <w:color w:val="111111"/>
          <w:sz w:val="28"/>
          <w:szCs w:val="28"/>
          <w:lang w:val="en-US"/>
        </w:rPr>
        <w:t>Tampaknya maksud dari ajaran niscaya (dharûrî) yang pengingkarnya dianggap  kafir yaitu hukum yang diyakini niscaya oleh pengingkarnya sendiri sebagai  bagian dari agama, meskipun keyakinannya diperoleh secara argumentatif (karena  ajaran niscaya agama tidak memerlukan argumentasi) dan hukum itu bukan titik  kesepakatan. Ini disebabkan bukti atas kekafiran orang seperti itu, menurut kami,  adalah pengingkarannya terhadap, misalnya, syariat dan kebenaran Nabi Saw.</w:t>
      </w:r>
    </w:p>
    <w:p>
      <w:pPr>
        <w:pStyle w:val="BookText"/>
        <w:bidi w:val="0"/>
        <w:jc w:val="both"/>
        <w:rPr/>
      </w:pPr>
      <w:r>
        <w:rPr>
          <w:rFonts w:eastAsia="Times New Roman" w:cs="Times New Roman" w:ascii="Times New Roman" w:hAnsi="Times New Roman"/>
          <w:color w:val="111111"/>
          <w:sz w:val="28"/>
          <w:szCs w:val="28"/>
          <w:lang w:val="en-US"/>
        </w:rPr>
        <w:t xml:space="preserve">Padahal asumsinya dia meyakini keniscayaan hukum tersebut. </w:t>
      </w:r>
      <w:r>
        <w:rPr>
          <w:rStyle w:val="FootnoteAnchor"/>
        </w:rPr>
        <w:footnoteReference w:id="55"/>
      </w:r>
      <w:r>
        <w:rPr>
          <w:rFonts w:eastAsia="Times New Roman" w:cs="Times New Roman" w:ascii="Times New Roman" w:hAnsi="Times New Roman"/>
          <w:color w:val="111111"/>
          <w:sz w:val="28"/>
          <w:szCs w:val="28"/>
          <w:lang w:val="en-US"/>
        </w:rPr>
        <w:t xml:space="preserve"> Pada prinsipnya Ardabili meyakini bahwa kaidah ini berlaku pada semua hukum  Islam, bahkan pada hukum yang masih belum jelas. Sekalipun bagi pengingkar itu  merupakan hukum yang pasti-jelas (qath’), pada saat yang sama, dia mengingkarinya.</w:t>
      </w:r>
    </w:p>
    <w:p>
      <w:pPr>
        <w:pStyle w:val="BookText"/>
        <w:bidi w:val="0"/>
        <w:jc w:val="both"/>
        <w:rPr/>
      </w:pPr>
      <w:r>
        <w:rPr>
          <w:rFonts w:eastAsia="Times New Roman" w:cs="Times New Roman" w:ascii="Times New Roman" w:hAnsi="Times New Roman"/>
          <w:color w:val="111111"/>
          <w:sz w:val="28"/>
          <w:szCs w:val="28"/>
          <w:lang w:val="en-US"/>
        </w:rPr>
        <w:t>Lain halnya jika dia sadar bahwa yang diyakini sebelumnya itu keliru. Ini tentu sudah  tidak relevan lagi sebab dia masih belum menyadari kekeliruannya, dan membantah  hukum yang diyakini sebagai bagian dari syariat nabi.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Mengapa asumsi kemurtadan dibahas dalam konteks ajaran niscaya (dharûrî)  dan disepakati semua kalangan, para fukaha berdalil bahwa dalam konteks itulah </w:t>
      </w:r>
      <w:bookmarkStart w:id="53" w:name="pg6393_42949"/>
    </w:p>
    <w:p>
      <w:pPr>
        <w:pStyle w:val="BookText"/>
        <w:bidi w:val="0"/>
        <w:rPr/>
      </w:pPr>
      <w:bookmarkEnd w:id="53"/>
      <w:r>
        <w:rPr>
          <w:rFonts w:eastAsia="Times New Roman" w:cs="Times New Roman" w:ascii="Times New Roman" w:hAnsi="Times New Roman"/>
          <w:color w:val="111111"/>
          <w:sz w:val="28"/>
          <w:szCs w:val="28"/>
          <w:lang w:val="en-US"/>
        </w:rPr>
        <w:t>keyakinan yang lebih pasti diperoleh. Sebab, hukum-hukum itu sebegitu jelasnya  hingga tak seorang muslim pun dapat meragukannya. Ini tidak berlaku pada orang  yang mengklaim adanya ketakjelasan. Klaim mereka ini dapat diterima kalau  memang kemungkinan seperti ini mereka alami. Oleh karena itu, ketetapan fukaha  berkaitan dengan pengingkaran hukum agama bersifat general (artinya, bukan  hanya sebatas ajaran niscaya agama).</w:t>
      </w:r>
      <w:r>
        <w:rPr>
          <w:rStyle w:val="FootnoteAnchor"/>
        </w:rPr>
        <w:footnoteReference w:id="56"/>
      </w:r>
      <w:r>
        <w:rPr>
          <w:rFonts w:eastAsia="Times New Roman" w:cs="Times New Roman" w:ascii="Times New Roman" w:hAnsi="Times New Roman"/>
          <w:color w:val="111111"/>
          <w:sz w:val="28"/>
          <w:szCs w:val="28"/>
          <w:lang w:val="en-US"/>
        </w:rPr>
        <w:t xml:space="preserve"> Dalam pandangan mereka pengingkaran terhadap setiap hukum agama  menyebabkan kemurtadan, kendati itu tidak termasuk ajaran niscayanya. Dengan  catatan, hukum itu diyakini si pelaku sebagai hukum yang pasti-jelas (qath’î)  dalam Islam. Hal demikian begitu jelas dan pasti hingga pengingkaran tersebut  meniscayakan pengingkaran kenabian yang berdampak pada pengingkaran Tuhan.</w:t>
      </w:r>
    </w:p>
    <w:p>
      <w:pPr>
        <w:pStyle w:val="BookText"/>
        <w:bidi w:val="0"/>
        <w:jc w:val="both"/>
        <w:rPr/>
      </w:pPr>
      <w:r>
        <w:rPr>
          <w:rFonts w:eastAsia="Times New Roman" w:cs="Times New Roman" w:ascii="Times New Roman" w:hAnsi="Times New Roman"/>
          <w:color w:val="111111"/>
          <w:sz w:val="28"/>
          <w:szCs w:val="28"/>
          <w:lang w:val="en-US"/>
        </w:rPr>
        <w:t>Di sini menjadi jelas bahwa kemurtadan akan terjadi dalam konteks pengingkaran  Tuhan atau kenabian; bukan dalam konteks mengingkari salah satu hukum Islam.</w:t>
      </w:r>
    </w:p>
    <w:p>
      <w:pPr>
        <w:pStyle w:val="BookText"/>
        <w:bidi w:val="0"/>
        <w:jc w:val="both"/>
        <w:rPr/>
      </w:pPr>
      <w:r>
        <w:rPr>
          <w:rFonts w:eastAsia="Times New Roman" w:cs="Times New Roman" w:ascii="Times New Roman" w:hAnsi="Times New Roman"/>
          <w:color w:val="111111"/>
          <w:sz w:val="28"/>
          <w:szCs w:val="28"/>
          <w:lang w:val="en-US"/>
        </w:rPr>
        <w:t>Bagaimanapun itu, kritik khusus terhadap ajaran niscaya agama masih kuat  diajukan. Artinya, apabila seseorang mengingkari ajaran niscaya agama tanpa  bermaksud ingkar terhadap Tuhan dan atau kenabian maka implikasi dari  argumentasi di atas menjadikan orang seperti ini bukan murtad. Ini adalah subjek  yang akan menempati fokus pembahasan selanjutnya.</w:t>
      </w:r>
    </w:p>
    <w:p>
      <w:pPr>
        <w:pStyle w:val="Heading3"/>
        <w:numPr>
          <w:ilvl w:val="2"/>
          <w:numId w:val="1"/>
        </w:numPr>
        <w:bidi w:val="0"/>
        <w:jc w:val="left"/>
        <w:rPr/>
      </w:pPr>
      <w:bookmarkStart w:id="54" w:name="__RefHeading___Toc419486_653776707"/>
      <w:bookmarkStart w:id="55" w:name="_Toc20"/>
      <w:bookmarkEnd w:id="54"/>
      <w:r>
        <w:rPr/>
        <w:t>4. Bentuk Konkret</w:t>
      </w:r>
      <w:bookmarkEnd w:id="55"/>
    </w:p>
    <w:p>
      <w:pPr>
        <w:pStyle w:val="BookText"/>
        <w:bidi w:val="0"/>
        <w:jc w:val="both"/>
        <w:rPr/>
      </w:pPr>
      <w:r>
        <w:rPr>
          <w:rFonts w:eastAsia="Times New Roman" w:cs="Times New Roman" w:ascii="Times New Roman" w:hAnsi="Times New Roman"/>
          <w:color w:val="111111"/>
          <w:sz w:val="28"/>
          <w:szCs w:val="28"/>
          <w:lang w:val="en-US"/>
        </w:rPr>
        <w:t>Bentuk kemurtadan paling konkret berkenaan dengan kewajiban shalat. Tak  ada mazhab dan golongan dalam Islam meragukan kemutlakan hukum wajib shalat  ini. Oleh karenanya tindakan yang membolehkan tidak dikerjakannya shalat akan  menyebabkan kemurtadan.</w:t>
      </w:r>
    </w:p>
    <w:p>
      <w:pPr>
        <w:pStyle w:val="BookText"/>
        <w:bidi w:val="0"/>
        <w:jc w:val="both"/>
        <w:rPr/>
      </w:pPr>
      <w:r>
        <w:rPr>
          <w:rFonts w:eastAsia="Times New Roman" w:cs="Times New Roman" w:ascii="Times New Roman" w:hAnsi="Times New Roman"/>
          <w:color w:val="111111"/>
          <w:sz w:val="28"/>
          <w:szCs w:val="28"/>
          <w:lang w:val="en-US"/>
        </w:rPr>
        <w:t>Kewajiban berpuasa merupakan bentuk lain dari ajaran niscaya (dharûrî) agama  sebagaimana disebutkan fukaha. Dengan demikian setiap Muslim yang mengingkari  status wajib berpuasa akan dikategorikan murtad.</w:t>
      </w:r>
      <w:r>
        <w:rPr>
          <w:rStyle w:val="FootnoteAnchor"/>
        </w:rPr>
        <w:footnoteReference w:id="57"/>
      </w:r>
      <w:r>
        <w:rPr>
          <w:rFonts w:eastAsia="Times New Roman" w:cs="Times New Roman" w:ascii="Times New Roman" w:hAnsi="Times New Roman"/>
          <w:color w:val="111111"/>
          <w:sz w:val="28"/>
          <w:szCs w:val="28"/>
          <w:lang w:val="en-US"/>
        </w:rPr>
        <w:t xml:space="preserve"> Demikian pula menganggap seorang muslim boleh tidak membayar zakat:</w:t>
      </w:r>
    </w:p>
    <w:p>
      <w:pPr>
        <w:pStyle w:val="BookText"/>
        <w:bidi w:val="0"/>
        <w:jc w:val="both"/>
        <w:rPr/>
      </w:pPr>
      <w:r>
        <w:rPr>
          <w:rFonts w:eastAsia="Times New Roman" w:cs="Times New Roman" w:ascii="Times New Roman" w:hAnsi="Times New Roman"/>
          <w:color w:val="111111"/>
          <w:sz w:val="28"/>
          <w:szCs w:val="28"/>
          <w:lang w:val="en-US"/>
        </w:rPr>
        <w:t>anggapan yang digolongkan sebagai pengingkaran terhadap ajaran niscaya agama.</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seseorang yang tidak membayar zakat tanpa bermaksud menolak  ajarannya atau dia tidak membayarnya lantaran keraguannya atas status wajib-  tidaknya zakat itu sendiri? Hal ini menurut pandangan fukaha Syiah tidak </w:t>
      </w:r>
    </w:p>
    <w:p>
      <w:pPr>
        <w:pStyle w:val="BookText"/>
        <w:bidi w:val="0"/>
        <w:rPr/>
      </w:pPr>
      <w:r>
        <w:rPr>
          <w:rFonts w:eastAsia="Times New Roman" w:cs="Times New Roman" w:ascii="Times New Roman" w:hAnsi="Times New Roman"/>
          <w:color w:val="111111"/>
          <w:sz w:val="28"/>
          <w:szCs w:val="28"/>
          <w:lang w:val="en-US"/>
        </w:rPr>
        <w:t>menyebabkan kemurtadan.</w:t>
      </w:r>
    </w:p>
    <w:p>
      <w:pPr>
        <w:pStyle w:val="BookText"/>
        <w:bidi w:val="0"/>
        <w:jc w:val="both"/>
        <w:rPr/>
      </w:pPr>
      <w:r>
        <w:rPr>
          <w:rFonts w:eastAsia="Times New Roman" w:cs="Times New Roman" w:ascii="Times New Roman" w:hAnsi="Times New Roman"/>
          <w:color w:val="111111"/>
          <w:sz w:val="28"/>
          <w:szCs w:val="28"/>
          <w:lang w:val="en-US"/>
        </w:rPr>
        <w:t>Ini berbeda dengan sejumlah kalangan Ahli Sunnah. Mereka menjustifikasi  kebijakan khalifah pertama dalam menindak kelompok yang tidak membayar zakat  sebagai murtad. Bertolak dari pandangan ini setiap penolakan pembayaran zakat  akan diidentikan dengan kemurtadan.</w:t>
      </w:r>
      <w:r>
        <w:rPr>
          <w:rStyle w:val="FootnoteAnchor"/>
        </w:rPr>
        <w:footnoteReference w:id="58"/>
      </w:r>
      <w:r>
        <w:rPr>
          <w:rFonts w:eastAsia="Times New Roman" w:cs="Times New Roman" w:ascii="Times New Roman" w:hAnsi="Times New Roman"/>
          <w:color w:val="111111"/>
          <w:sz w:val="28"/>
          <w:szCs w:val="28"/>
          <w:lang w:val="en-US"/>
        </w:rPr>
        <w:t>Padahal dalam kasus tindakan menolak  pembayaran zakat tanpa bermaksud menganggapnya sebagai tindakan yang memang  harus dilakukan, terdapat aturan tersendiri. Pemerintah Islam hanya dapat menyikapi  tindakan itu sebagai aksi subversif (al-khurûj 'ala) bukan tindak kemurtadan.</w:t>
      </w:r>
    </w:p>
    <w:p>
      <w:pPr>
        <w:pStyle w:val="BookText"/>
        <w:bidi w:val="0"/>
        <w:jc w:val="both"/>
        <w:rPr/>
      </w:pPr>
      <w:r>
        <w:rPr>
          <w:rFonts w:eastAsia="Times New Roman" w:cs="Times New Roman" w:ascii="Times New Roman" w:hAnsi="Times New Roman"/>
          <w:color w:val="111111"/>
          <w:sz w:val="28"/>
          <w:szCs w:val="28"/>
          <w:lang w:val="en-US"/>
        </w:rPr>
        <w:t xml:space="preserve">Sebagaimana diketahui, pascawafatnya Nabi Saw ada beberapa orang yang telah  dikenal sebagai murtad namun secara hukum syariat mereka bukanlah murtad. </w:t>
      </w:r>
      <w:r>
        <w:rPr>
          <w:rStyle w:val="FootnoteAnchor"/>
        </w:rPr>
        <w:footnoteReference w:id="59"/>
      </w:r>
      <w:r>
        <w:rPr>
          <w:rFonts w:eastAsia="Times New Roman" w:cs="Times New Roman" w:ascii="Times New Roman" w:hAnsi="Times New Roman"/>
          <w:color w:val="111111"/>
          <w:sz w:val="28"/>
          <w:szCs w:val="28"/>
          <w:lang w:val="en-US"/>
        </w:rPr>
        <w:t xml:space="preserve"> Meskipun secara etimologis dapat dikategorikan status mereka demikian.</w:t>
      </w:r>
      <w:r>
        <w:rPr>
          <w:rStyle w:val="FootnoteAnchor"/>
        </w:rPr>
        <w:footnoteReference w:id="60"/>
      </w:r>
      <w:r>
        <w:rPr>
          <w:rFonts w:eastAsia="Times New Roman" w:cs="Times New Roman" w:ascii="Times New Roman" w:hAnsi="Times New Roman"/>
          <w:color w:val="111111"/>
          <w:sz w:val="28"/>
          <w:szCs w:val="28"/>
          <w:lang w:val="en-US"/>
        </w:rPr>
        <w:t xml:space="preserve"> Yang pasti ada satu kaidah umum yang perlu dicermati: memperbolehkan  setiap perbuatan haram atau membenarkan pengabaian setiap kewajiban agama,  akan menyebabkan kemurtadan, disebabkan karena anggapan dan penilaian itu  sebagai bentuk pengingkaran terhadap ajaran niscaya agama. </w:t>
      </w:r>
      <w:r>
        <w:rPr>
          <w:rStyle w:val="FootnoteAnchor"/>
        </w:rPr>
        <w:footnoteReference w:id="61"/>
      </w:r>
      <w:r>
        <w:rPr>
          <w:rFonts w:eastAsia="Times New Roman" w:cs="Times New Roman" w:ascii="Times New Roman" w:hAnsi="Times New Roman"/>
          <w:color w:val="111111"/>
          <w:sz w:val="28"/>
          <w:szCs w:val="28"/>
          <w:lang w:val="en-US"/>
        </w:rPr>
        <w:t>Atas dasar kaidah  ini pula, misalnya, menganggap halal mengonsumsi minuman keras bisa dianggap  sebagai bentuk kemurtadan.</w:t>
      </w:r>
      <w:r>
        <w:rPr>
          <w:rStyle w:val="FootnoteAnchor"/>
        </w:rPr>
        <w:footnoteReference w:id="62"/>
      </w:r>
      <w:r>
        <w:rPr>
          <w:rFonts w:eastAsia="Times New Roman" w:cs="Times New Roman" w:ascii="Times New Roman" w:hAnsi="Times New Roman"/>
          <w:color w:val="111111"/>
          <w:sz w:val="28"/>
          <w:szCs w:val="28"/>
          <w:lang w:val="en-US"/>
        </w:rPr>
        <w:t xml:space="preserve"> Beberapa fukaha berpendapat bahwa mengklaim diri sebagai nabi juga  merupakan salah satu bentuk kemurtadan. Landasannya klaim ini terbilang  bertentangan dengan ajaran niscaya agama. </w:t>
      </w:r>
      <w:r>
        <w:rPr>
          <w:rStyle w:val="FootnoteAnchor"/>
        </w:rPr>
        <w:footnoteReference w:id="63"/>
      </w:r>
      <w:r>
        <w:rPr>
          <w:rFonts w:eastAsia="Times New Roman" w:cs="Times New Roman" w:ascii="Times New Roman" w:hAnsi="Times New Roman"/>
          <w:color w:val="111111"/>
          <w:sz w:val="28"/>
          <w:szCs w:val="28"/>
          <w:lang w:val="en-US"/>
        </w:rPr>
        <w:t xml:space="preserve"> Berkenaan dengan kedudukan Imamah para imam maksum tidak ada konsensus  yang mengategorikannya sebagai ajaran niscaya agama. Misalnya, menurut sejumlah  fukaha besar boleh jadi kedudukan Imamah Amirul Mukminin Ali bin Abi Thalib  merupakan ajaran niscaya agama bagi generasi pertama sahabat Nabi Saw di era  awal Islam, khususnya bagi Ahl Al-Hall wa Al-Aqd, dan penentangan terhadapnya  terbilang sebagai penentangan sengaja terhadap perintah Nabi Saw.</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karenanya beberapa riwayat tentang orang-orang menjadi murtad pasca </w:t>
      </w:r>
    </w:p>
    <w:p>
      <w:pPr>
        <w:pStyle w:val="BookText"/>
        <w:bidi w:val="0"/>
        <w:rPr/>
      </w:pPr>
      <w:r>
        <w:rPr>
          <w:rFonts w:eastAsia="Times New Roman" w:cs="Times New Roman" w:ascii="Times New Roman" w:hAnsi="Times New Roman"/>
          <w:color w:val="111111"/>
          <w:sz w:val="28"/>
          <w:szCs w:val="28"/>
          <w:lang w:val="en-US"/>
        </w:rPr>
        <w:t>nabi Saw mengindikasikan ihwal sekelompok sahabat tersebut, dan bukannya  semua orang yang hadir di masa wahyu, bukan pula generasi selanjutnya yang  hanya bersandar dan mempercayai sahabat generasi pertama yang mengalami era  wahyu.</w:t>
      </w:r>
    </w:p>
    <w:p>
      <w:pPr>
        <w:pStyle w:val="BookText"/>
        <w:bidi w:val="0"/>
        <w:jc w:val="both"/>
        <w:rPr/>
      </w:pPr>
      <w:r>
        <w:rPr>
          <w:rFonts w:eastAsia="Times New Roman" w:cs="Times New Roman" w:ascii="Times New Roman" w:hAnsi="Times New Roman"/>
          <w:color w:val="111111"/>
          <w:sz w:val="28"/>
          <w:szCs w:val="28"/>
          <w:lang w:val="en-US"/>
        </w:rPr>
        <w:t>Ada kemungkinan lain yang lebih kuat untuk kandungan riwayat di atas.</w:t>
      </w:r>
    </w:p>
    <w:p>
      <w:pPr>
        <w:pStyle w:val="BookText"/>
        <w:bidi w:val="0"/>
        <w:jc w:val="both"/>
        <w:rPr/>
      </w:pPr>
      <w:r>
        <w:rPr>
          <w:rFonts w:eastAsia="Times New Roman" w:cs="Times New Roman" w:ascii="Times New Roman" w:hAnsi="Times New Roman"/>
          <w:color w:val="111111"/>
          <w:sz w:val="28"/>
          <w:szCs w:val="28"/>
          <w:lang w:val="en-US"/>
        </w:rPr>
        <w:t>Maksud murtad di dalamnya bukan dalam konteks syar'i, yaitu kembali keluar dari  agama, tetapi sekadar pengingkaran terhadap perjanjian (komitmen penuh dalam  konteks Imamah).</w:t>
      </w:r>
      <w:r>
        <w:rPr>
          <w:rStyle w:val="FootnoteAnchor"/>
        </w:rPr>
        <w:footnoteReference w:id="64"/>
      </w:r>
      <w:r>
        <w:rPr>
          <w:rFonts w:eastAsia="Times New Roman" w:cs="Times New Roman" w:ascii="Times New Roman" w:hAnsi="Times New Roman"/>
          <w:color w:val="111111"/>
          <w:sz w:val="28"/>
          <w:szCs w:val="28"/>
          <w:lang w:val="en-US"/>
        </w:rPr>
        <w:t xml:space="preserve"> Sebagian fukaha menegaskan bahwa Imamah merupakan ajaran niscaya mazhab,  bukan bagian dari ajaran niscaya agama. Berdasarkan argumen ini kalangan  penentang Syiah yang mengingkari Imamah tidak tergolong murtad sejauh tidak  bermaksud mengingkari dan mendustakan Nabi Saw.</w:t>
      </w:r>
      <w:r>
        <w:rPr>
          <w:rStyle w:val="FootnoteAnchor"/>
        </w:rPr>
        <w:footnoteReference w:id="65"/>
      </w:r>
      <w:r>
        <w:rPr>
          <w:rFonts w:eastAsia="Times New Roman" w:cs="Times New Roman" w:ascii="Times New Roman" w:hAnsi="Times New Roman"/>
          <w:color w:val="111111"/>
          <w:sz w:val="28"/>
          <w:szCs w:val="28"/>
          <w:lang w:val="en-US"/>
        </w:rPr>
        <w:t>Perlu diingat pula jika  pandangan sebagian besar fukaha ini diacu maka pengingkaran terhadap ajaran  niscaya agama an sich tidak menyebabkan kemurtadan. Jelasnya kemurtadan hanya  terjadi jika meniscayakan pengingkaran terhadap Tuhan dan atau nabi.</w:t>
      </w:r>
    </w:p>
    <w:p>
      <w:pPr>
        <w:pStyle w:val="BookText"/>
        <w:bidi w:val="0"/>
        <w:jc w:val="both"/>
        <w:rPr/>
      </w:pPr>
      <w:r>
        <w:rPr>
          <w:rFonts w:eastAsia="Times New Roman" w:cs="Times New Roman" w:ascii="Times New Roman" w:hAnsi="Times New Roman"/>
          <w:color w:val="111111"/>
          <w:sz w:val="28"/>
          <w:szCs w:val="28"/>
          <w:lang w:val="en-US"/>
        </w:rPr>
        <w:t>Berdasarkan pendapat ini, pengingkaran kewajiban dalam Islam, seperti  menjalankan shalat, puasa, dan perkara halal atau haram lainnya, akan menyebabkan  kemurtadan. Dengan catatan pelaku pengingkaran meyakininya sebagai hukum  Tuhan. Umpamanya, dia tetap mengingkari shalat sekalipun mengakuinya  sebagai hukum pasti dari Allah Swt dan kewajiban yang diperintahkan Nabi Saw.</w:t>
      </w:r>
    </w:p>
    <w:p>
      <w:pPr>
        <w:pStyle w:val="BookText"/>
        <w:bidi w:val="0"/>
        <w:jc w:val="both"/>
        <w:rPr/>
      </w:pPr>
      <w:r>
        <w:rPr>
          <w:rFonts w:eastAsia="Times New Roman" w:cs="Times New Roman" w:ascii="Times New Roman" w:hAnsi="Times New Roman"/>
          <w:color w:val="111111"/>
          <w:sz w:val="28"/>
          <w:szCs w:val="28"/>
          <w:lang w:val="en-US"/>
        </w:rPr>
        <w:t>Namun ada gejala kritik yang merancukan pikirannya lantas dia berkesimpulan  bahwa Tuhan dan nabi, pada dasarnya tidak pernah menetapkan hukum tersebut.</w:t>
      </w:r>
    </w:p>
    <w:p>
      <w:pPr>
        <w:pStyle w:val="BookText"/>
        <w:bidi w:val="0"/>
        <w:jc w:val="both"/>
        <w:rPr/>
      </w:pPr>
      <w:r>
        <w:rPr>
          <w:rFonts w:eastAsia="Times New Roman" w:cs="Times New Roman" w:ascii="Times New Roman" w:hAnsi="Times New Roman"/>
          <w:color w:val="111111"/>
          <w:sz w:val="28"/>
          <w:szCs w:val="28"/>
          <w:lang w:val="en-US"/>
        </w:rPr>
        <w:t>Dia tidak tergolong sebagai murtad. Persoalan ini akan dikaji lebih lanjut secara  komprehensif pada pembahasan selanjutnya.</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segenap uraian di atas dapat dipahami bahwa kalangan fukaha meng-  identifikasi bentuk kemurtadan dalam jumlah terbatas. Penyebabnya adalah  keterbatasan lingkup kemurtadan mengingat landasan definisi yang telah  dikemukakan. Telaah tentang masalah ini juga memerlukan kehati-hatian. Oleh  karena itu, dalam perkara-perkara yang masih diragukan: apakah suatu hukum </w:t>
      </w:r>
      <w:bookmarkStart w:id="56" w:name="pg6393_42954"/>
    </w:p>
    <w:p>
      <w:pPr>
        <w:pStyle w:val="BookText"/>
        <w:bidi w:val="0"/>
        <w:rPr/>
      </w:pPr>
      <w:bookmarkEnd w:id="56"/>
      <w:r>
        <w:rPr>
          <w:rFonts w:eastAsia="Times New Roman" w:cs="Times New Roman" w:ascii="Times New Roman" w:hAnsi="Times New Roman"/>
          <w:color w:val="111111"/>
          <w:sz w:val="28"/>
          <w:szCs w:val="28"/>
          <w:lang w:val="en-US"/>
        </w:rPr>
        <w:t>itu berstatus sebagai ajaran niscaya agama atau bukan, maka prinsip utama yang  dipegang adalah hal tersebut masih dianggap tanpa status hukum yang pasti sebagai  ajaran yang niscaya sampai ada argumen yang membuktikan statusnya demikian.</w:t>
      </w:r>
    </w:p>
    <w:p>
      <w:pPr>
        <w:pStyle w:val="BookText"/>
        <w:bidi w:val="0"/>
        <w:jc w:val="both"/>
        <w:rPr/>
      </w:pPr>
      <w:r>
        <w:rPr>
          <w:rFonts w:eastAsia="Times New Roman" w:cs="Times New Roman" w:ascii="Times New Roman" w:hAnsi="Times New Roman"/>
          <w:color w:val="111111"/>
          <w:sz w:val="28"/>
          <w:szCs w:val="28"/>
          <w:lang w:val="en-US"/>
        </w:rPr>
        <w:t>Lebih cermatnya dapat dikatakan bahwa keraguan mengenai niscaya-tidaknya  sebuah hukum sudah cukup untuk memastikan bahwa hukum itu tidak niscaya  (bukan ajaran niscaya).</w:t>
      </w:r>
    </w:p>
    <w:p>
      <w:pPr>
        <w:pStyle w:val="Heading3"/>
        <w:numPr>
          <w:ilvl w:val="2"/>
          <w:numId w:val="1"/>
        </w:numPr>
        <w:bidi w:val="0"/>
        <w:jc w:val="left"/>
        <w:rPr/>
      </w:pPr>
      <w:bookmarkStart w:id="57" w:name="__RefHeading___Toc419488_653776707"/>
      <w:bookmarkStart w:id="58" w:name="_Toc21"/>
      <w:bookmarkEnd w:id="57"/>
      <w:r>
        <w:rPr/>
        <w:t>Kemurtadan dan Landasan Syariatnya</w:t>
      </w:r>
      <w:bookmarkEnd w:id="58"/>
    </w:p>
    <w:p>
      <w:pPr>
        <w:pStyle w:val="BookText"/>
        <w:bidi w:val="0"/>
        <w:jc w:val="both"/>
        <w:rPr/>
      </w:pPr>
      <w:r>
        <w:rPr>
          <w:rFonts w:eastAsia="Times New Roman" w:cs="Times New Roman" w:ascii="Times New Roman" w:hAnsi="Times New Roman"/>
          <w:color w:val="111111"/>
          <w:sz w:val="28"/>
          <w:szCs w:val="28"/>
          <w:lang w:val="en-US"/>
        </w:rPr>
        <w:t>Mengenai vonis hukuman bagi orang yang dianggap murtad muncul sejumlah  kritik dan reaksi skeptis khusus terhadap kredibilitas landasan hukum fikih dan  syariat. Oleh karenanya kendati tidak dibahas secara luas namun tema seputar  hukuman kemurtadan di sini akan ditelaah hanya dengan mendiskusikan rangkaian  kritik tersebut. Dalam uraian dan jawaban terhadap berbagai kritik itu akan tampak  jelas rumusan global dari argumen dan landasan yang melatari hukuman kemurtadan.</w:t>
      </w:r>
    </w:p>
    <w:p>
      <w:pPr>
        <w:pStyle w:val="Heading3"/>
        <w:numPr>
          <w:ilvl w:val="2"/>
          <w:numId w:val="1"/>
        </w:numPr>
        <w:bidi w:val="0"/>
        <w:jc w:val="left"/>
        <w:rPr/>
      </w:pPr>
      <w:bookmarkStart w:id="59" w:name="__RefHeading___Toc419490_653776707"/>
      <w:bookmarkStart w:id="60" w:name="_Toc22"/>
      <w:bookmarkEnd w:id="59"/>
      <w:r>
        <w:rPr/>
        <w:t>Kritik atas Landasan Riwayat</w:t>
      </w:r>
      <w:bookmarkEnd w:id="60"/>
    </w:p>
    <w:p>
      <w:pPr>
        <w:pStyle w:val="BookText"/>
        <w:bidi w:val="0"/>
        <w:jc w:val="both"/>
        <w:rPr/>
      </w:pPr>
      <w:r>
        <w:rPr>
          <w:rFonts w:eastAsia="Times New Roman" w:cs="Times New Roman" w:ascii="Times New Roman" w:hAnsi="Times New Roman"/>
          <w:color w:val="111111"/>
          <w:sz w:val="28"/>
          <w:szCs w:val="28"/>
          <w:lang w:val="en-US"/>
        </w:rPr>
        <w:t>Terdapat sejumlah kritik yang menyasar masalah hukuman kemurtadan dan  hukum-hukum lain yang berkaitan dengannya:</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Semua landasan hukum yang telah disebutkan sekaitan dengan eksekusi  hukuman mati bagi orang murtad adalah khabar wähid, sementara dalil kredibilitas  (hujjiyyah) khabar tsiqah (khabar wâhid-penj.) adalah legitimasi akal sehat  (uqala’i). Jadi, menurut akal sehat dalam masalah krusial dan sangat "desisif" —  berbeda dengan perkara-perkara lainnya, mereka tidak cukup bersandar pada  khabar tsiqah.</w:t>
      </w:r>
      <w:r>
        <w:rPr>
          <w:rStyle w:val="FootnoteAnchor"/>
        </w:rPr>
        <w:footnoteReference w:id="66"/>
      </w:r>
      <w:r>
        <w:rPr>
          <w:rFonts w:eastAsia="Times New Roman" w:cs="Times New Roman" w:ascii="Times New Roman" w:hAnsi="Times New Roman"/>
          <w:color w:val="111111"/>
          <w:sz w:val="28"/>
          <w:szCs w:val="28"/>
          <w:lang w:val="en-US"/>
        </w:rPr>
        <w:t xml:space="preserve"> Terhadap kritik ini dapat dikatakan bahwa landasan hukum seputar kemurtadan  tidak hanya berupa khabar wähid. Selain ada sekian banyak khabar wähid yang  sahih, kalangan fukaha Syiah dan Ahli Sunnah juga menyatakan adanya konsensus  dalam konteks ini.</w:t>
      </w:r>
      <w:r>
        <w:rPr>
          <w:rStyle w:val="FootnoteAnchor"/>
        </w:rPr>
        <w:footnoteReference w:id="67"/>
      </w:r>
      <w:r>
        <w:rPr>
          <w:rFonts w:eastAsia="Times New Roman" w:cs="Times New Roman" w:ascii="Times New Roman" w:hAnsi="Times New Roman"/>
          <w:color w:val="111111"/>
          <w:sz w:val="28"/>
          <w:szCs w:val="28"/>
          <w:lang w:val="en-US"/>
        </w:rPr>
        <w:t xml:space="preserve"> Kasyif Litsam, seorang fakih besar Syiah, selain berargumentasi dengan beberapa  riwayat sahih, juga menyatakan adanya konsensus.</w:t>
      </w:r>
      <w:r>
        <w:rPr>
          <w:rStyle w:val="FootnoteAnchor"/>
        </w:rPr>
        <w:footnoteReference w:id="68"/>
      </w:r>
      <w:r>
        <w:rPr>
          <w:rFonts w:eastAsia="Times New Roman" w:cs="Times New Roman" w:ascii="Times New Roman" w:hAnsi="Times New Roman"/>
          <w:color w:val="111111"/>
          <w:sz w:val="28"/>
          <w:szCs w:val="28"/>
          <w:lang w:val="en-US"/>
        </w:rPr>
        <w:t xml:space="preserve">Dalam hal ini Sahib Jawahir </w:t>
      </w:r>
    </w:p>
    <w:p>
      <w:pPr>
        <w:pStyle w:val="BookText"/>
        <w:bidi w:val="0"/>
        <w:rPr/>
      </w:pPr>
      <w:r>
        <w:rPr>
          <w:rFonts w:eastAsia="Times New Roman" w:cs="Times New Roman" w:ascii="Times New Roman" w:hAnsi="Times New Roman"/>
          <w:color w:val="111111"/>
          <w:sz w:val="28"/>
          <w:szCs w:val="28"/>
          <w:lang w:val="en-US"/>
        </w:rPr>
        <w:t>juga bersandar pada riwayat sahih bahkan menyatakan ijmở” manqûl (konsensus  nukilan) dan muhashshal (konsensus simpulan dari studi literatur).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dia pernah bertanya kepada saudaranya (Imam Musa Kadzim) tentang seorang Muslim yang lalu  murtad. Beliau menjawab, “Dia tidak lagi diterima taubatnya.' Ali bertanya lagi, 'Bagaimana dengan  orang Nasrani yang telah masuk Islam kemudian murtad dari Islam?' Beliau menjawab, 'Dia  dinasihati supaya bertaubat. Jika kembali masuk Islam ia terbebas dari hukuman, tetapi jika tidak,  maka ia dihukum mati."</w:t>
      </w:r>
    </w:p>
    <w:p>
      <w:pPr>
        <w:pStyle w:val="BookText"/>
        <w:bidi w:val="0"/>
        <w:jc w:val="both"/>
        <w:rPr/>
      </w:pPr>
      <w:r>
        <w:rPr>
          <w:rFonts w:eastAsia="Times New Roman" w:cs="Times New Roman" w:ascii="Times New Roman" w:hAnsi="Times New Roman"/>
          <w:color w:val="111111"/>
          <w:sz w:val="28"/>
          <w:szCs w:val="28"/>
          <w:lang w:val="en-US"/>
        </w:rPr>
        <w:t>Tentu saja status konsensus sebagai landasan hukum atau kemungkinan  statusnya demikian sudah memadai (untuk dinilai) bahwa konsensus dalam  masalah ini dengan sendirinya tidak punya nilai kredibilitas yang terpisah dari  riwayat. Hanya kritik tajam masih mengemuka: kenapa Ibnu Idris juga mengakui  hukuman mati bagi orang murtad?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Padahal jelas diketahui bahwa ia termasuk  fukaha yang tidak komit pada khabar wähid. Ia hanya mengaplikasikan riwayat  yang mencapai kualitas mutawâtir atau paling tidak riwayat mustafidh dan kalangan  fukaha menganggap telah diakui.</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rPr/>
      </w:pPr>
      <w:r>
        <w:rPr>
          <w:rFonts w:eastAsia="Times New Roman" w:cs="Times New Roman" w:ascii="Times New Roman" w:hAnsi="Times New Roman"/>
          <w:color w:val="111111"/>
          <w:sz w:val="28"/>
          <w:szCs w:val="28"/>
          <w:lang w:val="en-US"/>
        </w:rPr>
        <w:t>Kalau memang landasan fikih hukum murtad itu adalah khabar wähid yang  tidak mencapai kualitas riwayat mustafidh dan tidak juga dianggap oleh kalangan  fukaha sebagai riwayat yang diakui, sudah seharusnya fukaha, seperti Ibnu Idris,  tidak meratifikasi hukuman-hukuman murtad karena mereka tidak merujuk  khabar wâhid dalam merumuskan fatwa.</w:t>
      </w:r>
    </w:p>
    <w:p>
      <w:pPr>
        <w:pStyle w:val="BookText"/>
        <w:bidi w:val="0"/>
        <w:jc w:val="both"/>
        <w:rPr/>
      </w:pPr>
      <w:r>
        <w:rPr>
          <w:rFonts w:eastAsia="Times New Roman" w:cs="Times New Roman" w:ascii="Times New Roman" w:hAnsi="Times New Roman"/>
          <w:color w:val="111111"/>
          <w:sz w:val="28"/>
          <w:szCs w:val="28"/>
          <w:lang w:val="en-US"/>
        </w:rPr>
        <w:t>Sayyid Murtadha juga termasuk fakih yang tidak bersandar pada khabar  wâhid.</w:t>
      </w:r>
      <w:r>
        <w:rPr>
          <w:rStyle w:val="FootnoteAnchor"/>
        </w:rPr>
        <w:footnoteReference w:id="70"/>
      </w:r>
      <w:r>
        <w:rPr>
          <w:rFonts w:eastAsia="Times New Roman" w:cs="Times New Roman" w:ascii="Times New Roman" w:hAnsi="Times New Roman"/>
          <w:color w:val="111111"/>
          <w:sz w:val="28"/>
          <w:szCs w:val="28"/>
          <w:lang w:val="en-US"/>
        </w:rPr>
        <w:t>Akan tetapi, dari seluruh statement-nya seputar kemurtadan, dipahami jelas  bahwa ia menyetujui hukuman bagi orang murtad.</w:t>
      </w:r>
      <w:r>
        <w:rPr>
          <w:rStyle w:val="FootnoteAnchor"/>
        </w:rPr>
        <w:footnoteReference w:id="71"/>
      </w:r>
      <w:r>
        <w:rPr>
          <w:rFonts w:eastAsia="Times New Roman" w:cs="Times New Roman" w:ascii="Times New Roman" w:hAnsi="Times New Roman"/>
          <w:color w:val="111111"/>
          <w:sz w:val="28"/>
          <w:szCs w:val="28"/>
          <w:lang w:val="en-US"/>
        </w:rPr>
        <w:t xml:space="preserve"> Selain ahli fikih Syiah, fukaha Ahli Sunnah juga menyepakati prinsip hukuman  bagi pelaku kemurtadan,</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10, hlm. 74; Asqalani. Subul Al-Salâm, jld. 3, hlm. 264.</w:t>
      </w:r>
    </w:p>
    <w:p>
      <w:pPr>
        <w:pStyle w:val="BookText"/>
        <w:bidi w:val="0"/>
        <w:jc w:val="both"/>
        <w:rPr/>
      </w:pPr>
      <w:r>
        <w:rPr>
          <w:rFonts w:eastAsia="Times New Roman" w:cs="Times New Roman" w:ascii="Times New Roman" w:hAnsi="Times New Roman"/>
          <w:color w:val="111111"/>
          <w:sz w:val="28"/>
          <w:szCs w:val="28"/>
          <w:lang w:val="en-US"/>
        </w:rPr>
        <w:t>hanya ada beberapa perbedaan di antara mereka.</w:t>
      </w:r>
    </w:p>
    <w:p>
      <w:pPr>
        <w:pStyle w:val="BookText"/>
        <w:bidi w:val="0"/>
        <w:jc w:val="both"/>
        <w:rPr/>
      </w:pPr>
      <w:r>
        <w:rPr>
          <w:rFonts w:eastAsia="Times New Roman" w:cs="Times New Roman" w:ascii="Times New Roman" w:hAnsi="Times New Roman"/>
          <w:color w:val="111111"/>
          <w:sz w:val="28"/>
          <w:szCs w:val="28"/>
          <w:lang w:val="en-US"/>
        </w:rPr>
        <w:t>Fukaha Syiah tidak menjatuhkan hukuman mati pada perempuan murtad, tetapi  hanya menetapkan hukuman kurungan hingga dia bertobat. Mayoritas fukaha  Ahli Sunnah tidak membedakan hukuman pada perempuan murtad dari laki-laki  murtad.</w:t>
      </w:r>
      <w:r>
        <w:rPr>
          <w:rStyle w:val="FootnoteAnchor"/>
        </w:rPr>
        <w:footnoteReference w:id="73"/>
      </w:r>
      <w:r>
        <w:rPr>
          <w:rFonts w:eastAsia="Times New Roman" w:cs="Times New Roman" w:ascii="Times New Roman" w:hAnsi="Times New Roman"/>
          <w:color w:val="111111"/>
          <w:sz w:val="28"/>
          <w:szCs w:val="28"/>
          <w:lang w:val="en-US"/>
        </w:rPr>
        <w:t xml:space="preserve"> Dengan demikian, harus diakui bahwa konsensus memiliki kredibilitas  independen bagi kalangan fukaha, dan / atau riwayat tentang kemurtadan mencapai  kualitas khabar wähid yang dilengkapi indikasi-indikasi definitif. Terdapat argumen  terbaik atas adanya indikasi definitif untuk riwayat kemurtadan yaitu tak satu pun  dari fukaha Syiah dan Ahli Sunnah menolak asas keberadaan hukuman atas tindak  kemurtadan tak terkecuali Ibnu Idris dan Sayyid Murtadha. Perbedaan pendapat  di antara mereka hanya berkisar pada syarat-syarat dan perkara-perkara parsial  kemurtadan.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Kiranya perlu juga dikemukakan satu poin tentang khabar wâhid. Dalam  kondisinya disertai indikasi-indikasi definitif, fukaha dari kalangan Ushuli (yang  berpedoman pada ilmu Ushul Fikih) memiliki kesamaan pendapat bahwa khabar  wâhid tersebut merupakan mukhashshish (keterangan detail dan khususpenj.)  dari Al-Qur'an. Karena khabar wähid yang dilengkapi indikasi-indikasi definitif  pada dasarnya sekualitas dengan riwayat mutawâtir. Hanya perbedaan pendapat </w:t>
      </w:r>
      <w:bookmarkStart w:id="61" w:name="pg6393_42960"/>
    </w:p>
    <w:p>
      <w:pPr>
        <w:pStyle w:val="BookText"/>
        <w:bidi w:val="0"/>
        <w:rPr/>
      </w:pPr>
      <w:bookmarkEnd w:id="61"/>
      <w:r>
        <w:rPr>
          <w:rFonts w:eastAsia="Times New Roman" w:cs="Times New Roman" w:ascii="Times New Roman" w:hAnsi="Times New Roman"/>
          <w:color w:val="111111"/>
          <w:sz w:val="28"/>
          <w:szCs w:val="28"/>
          <w:lang w:val="en-US"/>
        </w:rPr>
        <w:t>di kalangan fukaha Ushuli berkisar pada apakah khabar wähid yang kosong dari  indikasi definitif dapat dianggap sebagai mukhashshish ayat Al-Qur’an.</w:t>
      </w:r>
      <w:r>
        <w:rPr>
          <w:rStyle w:val="FootnoteAnchor"/>
        </w:rPr>
        <w:footnoteReference w:id="74"/>
      </w:r>
      <w:r>
        <w:rPr>
          <w:rFonts w:eastAsia="Times New Roman" w:cs="Times New Roman" w:ascii="Times New Roman" w:hAnsi="Times New Roman"/>
          <w:color w:val="111111"/>
          <w:sz w:val="28"/>
          <w:szCs w:val="28"/>
          <w:lang w:val="en-US"/>
        </w:rPr>
        <w:t>Oleh  karena itu, dapat disimpulkan bahwa riwayat yang berkaitan dengan kemurtadan  merupakan khabar wähid yang sekualitas dengan riwayat mutawâtir.</w:t>
      </w:r>
    </w:p>
    <w:p>
      <w:pPr>
        <w:pStyle w:val="Heading3"/>
        <w:numPr>
          <w:ilvl w:val="2"/>
          <w:numId w:val="1"/>
        </w:numPr>
        <w:bidi w:val="0"/>
        <w:jc w:val="left"/>
        <w:rPr/>
      </w:pPr>
      <w:bookmarkStart w:id="62" w:name="__RefHeading___Toc419492_653776707"/>
      <w:bookmarkStart w:id="63" w:name="_Toc23"/>
      <w:bookmarkEnd w:id="62"/>
      <w:r>
        <w:rPr/>
        <w:t>Kritik atas Landasan Al-Qur'an</w:t>
      </w:r>
      <w:bookmarkEnd w:id="63"/>
    </w:p>
    <w:p>
      <w:pPr>
        <w:pStyle w:val="BookText"/>
        <w:bidi w:val="0"/>
        <w:jc w:val="both"/>
        <w:rPr/>
      </w:pPr>
      <w:r>
        <w:rPr>
          <w:rFonts w:eastAsia="Times New Roman" w:cs="Times New Roman" w:ascii="Times New Roman" w:hAnsi="Times New Roman"/>
          <w:color w:val="111111"/>
          <w:sz w:val="28"/>
          <w:szCs w:val="28"/>
          <w:lang w:val="en-US"/>
        </w:rPr>
        <w:t>Berkenaan landasan Al-Qur'an bagi hukuman orang murtad terdapat kritik  yang dirumuskan sebagai berikut: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Menurut teks tegas Al-Qur’an pemaksaan dalam agama itu terlarang. Oleh  karena itu, hukuman mati terhadap pelaku murtad bertentangan dengan ayat “Là  ikrâh fi al-dîn” (tak ada pemaksaan dalam agama), serta beberapa ayat lain yang  telah disebutkan di awal pembahasan. ...Ayat-ayat ini tak dapat diberi keterangan  khusus (takhshish) sebab ia berkenaan dengan hukum akal. ... Dengan demikian,  riwayat terkait gugur kredibilitasnya dan pengetahuan tentangnya diserahkan pada  para pemilik otoritas. Artinya kandungan riwayat itu bagi kita tidaklah jelas dan  dapat diatasi dengan merujuk para Imam maksum. Namun selama kondisinya  demikian kita tidak bisa mengamalkan kandungannya.</w:t>
      </w:r>
      <w:r>
        <w:rPr>
          <w:rStyle w:val="FootnoteAnchor"/>
        </w:rPr>
        <w:footnoteReference w:id="75"/>
      </w:r>
      <w:r>
        <w:rPr>
          <w:rFonts w:eastAsia="Times New Roman" w:cs="Times New Roman" w:ascii="Times New Roman" w:hAnsi="Times New Roman"/>
          <w:color w:val="111111"/>
          <w:sz w:val="28"/>
          <w:szCs w:val="28"/>
          <w:lang w:val="en-US"/>
        </w:rPr>
        <w:t xml:space="preserve"> Dalam rangka menjawab kritik, perlu dikemukakan bahwa dalam perspektif  Islam kemurtadan merupakan tema hukuman yang dijatuhkan pada tindak  penghasutan teoretis atau praktis terhadap prinsip-prinsip agama. Dengan  mencermati falsafah kemurtadan</w:t>
      </w:r>
      <w:r>
        <w:rPr>
          <w:rStyle w:val="FootnoteAnchor"/>
        </w:rPr>
        <w:footnoteReference w:id="76"/>
      </w:r>
      <w:r>
        <w:rPr>
          <w:rFonts w:eastAsia="Times New Roman" w:cs="Times New Roman" w:ascii="Times New Roman" w:hAnsi="Times New Roman"/>
          <w:color w:val="111111"/>
          <w:sz w:val="28"/>
          <w:szCs w:val="28"/>
          <w:lang w:val="en-US"/>
        </w:rPr>
        <w:t>dapat dikatakan bahwa hukuman kemurtadan  tidak bertentangan dengan ayat “Lâ ikrâh fi al-dîn” (Al-Baqarah (2): 265). Karena  makna ayat ini pada prinsipnya menjelaskan bahwa pemaksaan atas seseorang  agar memiliki suatu kepercayaan tidaklah mungkin secara rasional. Agama adalah  urusan hati dan perkara keyakinan. Oleh sebab itu, secara rasional, ia tidak dapat  dipaksakan.</w:t>
      </w:r>
      <w:r>
        <w:rPr>
          <w:rStyle w:val="FootnoteAnchor"/>
        </w:rPr>
        <w:footnoteReference w:id="77"/>
      </w:r>
      <w:r>
        <w:rPr>
          <w:rFonts w:eastAsia="Times New Roman" w:cs="Times New Roman" w:ascii="Times New Roman" w:hAnsi="Times New Roman"/>
          <w:color w:val="111111"/>
          <w:sz w:val="28"/>
          <w:szCs w:val="28"/>
          <w:lang w:val="en-US"/>
        </w:rPr>
        <w:t xml:space="preserve"> Ini berbeda dengan hukuman kemurtadan. Hukuman ini ditetapkan bukan  karena seseorang dipaksa harus memiliki keyakinan tertentu atau pelaku mau  tidak mau harus melepaskan keyakinannya. Sebab sekadar memiliki keyakinan  non-agama tidak serta-merta membuat pemiliknya jadi murtad. Akan tetapi,  kemurtadan terjadi karena kapasitasnya sebagai ekspresi keyakinan hati yang </w:t>
      </w:r>
    </w:p>
    <w:p>
      <w:pPr>
        <w:pStyle w:val="BookText"/>
        <w:bidi w:val="0"/>
        <w:rPr/>
      </w:pPr>
      <w:r>
        <w:rPr>
          <w:rFonts w:eastAsia="Times New Roman" w:cs="Times New Roman" w:ascii="Times New Roman" w:hAnsi="Times New Roman"/>
          <w:color w:val="111111"/>
          <w:sz w:val="28"/>
          <w:szCs w:val="28"/>
          <w:lang w:val="en-US"/>
        </w:rPr>
        <w:t>berbahaya bagi masyarakat beragama. Oleh karena dilakukan tidak dengan cara  rasional, ekspresi keyakinan itu merusak etika sosial. Allamah Thabathaba’i sebagai  salah satu mufasir yang disegani di dunia Islam, menjawab kritik tersebut:</w:t>
      </w:r>
    </w:p>
    <w:p>
      <w:pPr>
        <w:pStyle w:val="BookText"/>
        <w:bidi w:val="0"/>
        <w:jc w:val="both"/>
        <w:rPr/>
      </w:pPr>
      <w:r>
        <w:rPr>
          <w:rFonts w:eastAsia="Times New Roman" w:cs="Times New Roman" w:ascii="Times New Roman" w:hAnsi="Times New Roman"/>
          <w:color w:val="111111"/>
          <w:sz w:val="28"/>
          <w:szCs w:val="28"/>
          <w:lang w:val="en-US"/>
        </w:rPr>
        <w:t>Sungguh aneh! Bagaimana kalangan pemikir dan ahli tafsir ingin membuktikan  sekuat tenaga kebebasan berkeyakinan dalam Islam dengan merujuk ayat “Lâ ikrâh  fi al-dîn" atau ayat serupa. Perlu dikemukakan di sini bahwa tauhid merupakan  prinsip dan fondasi agama. Lalu bagaimana mungkin Islam menganut kebebasan  dalam keyakinan? Tidakkah kontradiksi terlihat jelas? Penganut kebebasan itu  berkeyakinan tak bedanya dengan saat dinyatakan bahwa dalam undang-undang  sipil dan hukum positif dunia, ada kebebasan (ketakterikatan) dari kedaulatan  undang-undang. Padahal tak satu pun sistem undang-undang di dunia mengakui  kebebasan pelanggaran undang-undang.</w:t>
      </w:r>
    </w:p>
    <w:p>
      <w:pPr>
        <w:pStyle w:val="BookText"/>
        <w:bidi w:val="0"/>
        <w:jc w:val="both"/>
        <w:rPr/>
      </w:pPr>
      <w:r>
        <w:rPr>
          <w:rFonts w:eastAsia="Times New Roman" w:cs="Times New Roman" w:ascii="Times New Roman" w:hAnsi="Times New Roman"/>
          <w:color w:val="111111"/>
          <w:sz w:val="28"/>
          <w:szCs w:val="28"/>
          <w:lang w:val="en-US"/>
        </w:rPr>
        <w:t>Tak dapat disangkal bahwa keyakinan yang berarti pemahaman kebenaran yang  ada dalam pikiran manusia bukanlah tindakan kesengajaan. Oleh karenanya, ia juga  tidak dapat dijadikan objek pelarangan, perizinan, pembebasan, atau pengekangan.</w:t>
      </w:r>
    </w:p>
    <w:p>
      <w:pPr>
        <w:pStyle w:val="BookText"/>
        <w:bidi w:val="0"/>
        <w:jc w:val="both"/>
        <w:rPr/>
      </w:pPr>
      <w:r>
        <w:rPr>
          <w:rFonts w:eastAsia="Times New Roman" w:cs="Times New Roman" w:ascii="Times New Roman" w:hAnsi="Times New Roman"/>
          <w:color w:val="111111"/>
          <w:sz w:val="28"/>
          <w:szCs w:val="28"/>
          <w:lang w:val="en-US"/>
        </w:rPr>
        <w:t>Akan tetapi, yang dapat dilarang atau diizinkan adalah konsistensi pada implikasi  dan dampak praktis keyakinan, seperti seruan dan anjuran kepada masyarakat  untuk (memeluk) keyakinan tertentu, atau menulis buku dan menyebarkannya,  merusak keyakinan orang banyak, dan semacamnya. Semua itu dapat dilarang atau  diizinkan.</w:t>
      </w:r>
    </w:p>
    <w:p>
      <w:pPr>
        <w:pStyle w:val="BookText"/>
        <w:bidi w:val="0"/>
        <w:jc w:val="both"/>
        <w:rPr/>
      </w:pPr>
      <w:r>
        <w:rPr>
          <w:rFonts w:eastAsia="Times New Roman" w:cs="Times New Roman" w:ascii="Times New Roman" w:hAnsi="Times New Roman"/>
          <w:color w:val="111111"/>
          <w:sz w:val="28"/>
          <w:szCs w:val="28"/>
          <w:lang w:val="en-US"/>
        </w:rPr>
        <w:t>Sudah jelas bahwa jika dalam sistem undang-undang negara keyakinan  seperti itu bertentangan dengan butir-butir undang-undang yang berlaku dalam  masyarakat, atau dengan salah satu pasal konstitusi yang merupakan asas undang-  undang, terpaksa sistem undang-undang negara akan melarang ekspresi keyakinan  tersebut.</w:t>
      </w:r>
    </w:p>
    <w:p>
      <w:pPr>
        <w:pStyle w:val="BookText"/>
        <w:bidi w:val="0"/>
        <w:jc w:val="both"/>
        <w:rPr/>
      </w:pPr>
      <w:r>
        <w:rPr>
          <w:rFonts w:eastAsia="Times New Roman" w:cs="Times New Roman" w:ascii="Times New Roman" w:hAnsi="Times New Roman"/>
          <w:color w:val="111111"/>
          <w:sz w:val="28"/>
          <w:szCs w:val="28"/>
          <w:lang w:val="en-US"/>
        </w:rPr>
        <w:t>Demikian pula Islam sebagai agama yang dibangun di atas prinsip monoteis  (Tauhid, Kenabian, dan Hari Akhir). Prinsip ini pula yang menjadi kesepakatan  para pengikut agama Ilahi: Muslimin, Yahudi, Kristen, dan Zoroaster (Ahli Kitab).</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lingkup prinsip inilah kebebasan berkeyakinan dimungkinkan. Di luar  itu, kebebasan tidak akan bermakna selain penghancuran asas agama. Ya! Islam  mengakui suatu bentuk kebebasan ekspresi keyakinan, yaitu tatkala ekspresi itu  dilakukan dalam koridor diskusi dan telaah.</w:t>
      </w:r>
      <w:r>
        <w:rPr>
          <w:rStyle w:val="FootnoteAnchor"/>
        </w:rPr>
        <w:footnoteReference w:id="78"/>
      </w:r>
      <w:r>
        <w:rPr>
          <w:rFonts w:eastAsia="Times New Roman" w:cs="Times New Roman" w:ascii="Times New Roman" w:hAnsi="Times New Roman"/>
          <w:color w:val="111111"/>
          <w:sz w:val="28"/>
          <w:szCs w:val="28"/>
          <w:lang w:val="en-US"/>
        </w:rPr>
        <w:t xml:space="preserve"> Selanjutnya, bentuk kebebasan ekspresi terakhir ini diuraikan oleh Allamah </w:t>
      </w:r>
    </w:p>
    <w:p>
      <w:pPr>
        <w:pStyle w:val="BookText"/>
        <w:bidi w:val="0"/>
        <w:rPr/>
      </w:pPr>
      <w:r>
        <w:rPr>
          <w:rFonts w:eastAsia="Times New Roman" w:cs="Times New Roman" w:ascii="Times New Roman" w:hAnsi="Times New Roman"/>
          <w:color w:val="111111"/>
          <w:sz w:val="28"/>
          <w:szCs w:val="28"/>
          <w:lang w:val="en-US"/>
        </w:rPr>
        <w:t>Thabathaba’i dalam kerangka prespektif Islam.</w:t>
      </w:r>
    </w:p>
    <w:p>
      <w:pPr>
        <w:pStyle w:val="BookText"/>
        <w:bidi w:val="0"/>
        <w:jc w:val="both"/>
        <w:rPr/>
      </w:pPr>
      <w:r>
        <w:rPr>
          <w:rFonts w:eastAsia="Times New Roman" w:cs="Times New Roman" w:ascii="Times New Roman" w:hAnsi="Times New Roman"/>
          <w:color w:val="111111"/>
          <w:sz w:val="28"/>
          <w:szCs w:val="28"/>
          <w:lang w:val="en-US"/>
        </w:rPr>
        <w:t>Selain berlandaskan perspektif khas Ilahi agama Islam juga memberi kebebasan  berpikir. Seorang Muslim wajib memikirkan nilai kebenaran ajaran-ajaran agama.</w:t>
      </w:r>
    </w:p>
    <w:p>
      <w:pPr>
        <w:pStyle w:val="BookText"/>
        <w:bidi w:val="0"/>
        <w:jc w:val="both"/>
        <w:rPr/>
      </w:pPr>
      <w:r>
        <w:rPr>
          <w:rFonts w:eastAsia="Times New Roman" w:cs="Times New Roman" w:ascii="Times New Roman" w:hAnsi="Times New Roman"/>
          <w:color w:val="111111"/>
          <w:sz w:val="28"/>
          <w:szCs w:val="28"/>
          <w:lang w:val="en-US"/>
        </w:rPr>
        <w:t>Dalam perspektif Islam mereka harus berijtihad secara kolektif dan melalui  hubungan dialogis. Tidak masalah bila timbul perdebatan seputar kebenaran dan  pengetahuan agama, atau mencapai kesimpulan yang saling bertentangan.Akan  tetapi, dalam keadaan demikian, keraguan atau pendapat yang berlawanan mesti  ditimbang dengan Al-Qur'an. Jika dengan cara ini masalah tidak terselesaikan,  dalam rangka menjawab keraguan dan meluruskan pemikiran, harus merujuk hadis  Rasulullah Saw atau pengganti beliau karena Allah Swt berfirman, “Mereka yang  mendengarkan semua perkataan lalu mengambil yang terbaik di antaranya mereka  itulah orang-orang yang telah diberi Allah petunjuk dan mereka itulah orang-orang  yang mempunyai aka” (QS. Al-Zumar (39): 18). Kebebasan berkeyakinan dan  berpikir yang dimaksud berbeda dengan menyebarluaskan keraguan ke khalayak  umum sebelum merujuk referensi tersebut. Karena, jika demikian, tindakan ini  akan berakibat perpecahan dan rusaknya tatanan sosial yang kokoh.</w:t>
      </w:r>
      <w:r>
        <w:rPr>
          <w:rStyle w:val="FootnoteAnchor"/>
        </w:rPr>
        <w:footnoteReference w:id="79"/>
      </w:r>
      <w:r>
        <w:rPr>
          <w:rFonts w:eastAsia="Times New Roman" w:cs="Times New Roman" w:ascii="Times New Roman" w:hAnsi="Times New Roman"/>
          <w:color w:val="111111"/>
          <w:sz w:val="28"/>
          <w:szCs w:val="28"/>
          <w:lang w:val="en-US"/>
        </w:rPr>
        <w:t xml:space="preserve"> Berdasarkan jawaban logis Allamah Thabathaba'i, asal-usul kritik yang  disampaikan dalam pembahasan sebelumnya sebenarnya dari pemahaman yang  tak akurat terhadap ayat Al-Qur'an, “Là ikrâh fi al-dîn". Ayat ini menyatakan  klaim Islam terhadap kebebasan berkeyakinan dan berpikir. Memang, kebebasan  mengekspresikan setiap keyakinan bukan milik khas Islam. Namun, begitu tak satu  pun aturan dan sistem hukum yang ada menerima kebebasan sepenuh-penuhnya.</w:t>
      </w:r>
    </w:p>
    <w:p>
      <w:pPr>
        <w:pStyle w:val="BookText"/>
        <w:bidi w:val="0"/>
        <w:jc w:val="both"/>
        <w:rPr/>
      </w:pPr>
      <w:r>
        <w:rPr>
          <w:rFonts w:eastAsia="Times New Roman" w:cs="Times New Roman" w:ascii="Times New Roman" w:hAnsi="Times New Roman"/>
          <w:color w:val="111111"/>
          <w:sz w:val="28"/>
          <w:szCs w:val="28"/>
          <w:lang w:val="en-US"/>
        </w:rPr>
        <w:t>Perlu dicatat, Islam memberi kebebasan untuk mengekspresikan keyakinan yang  menentang tauhid. Namun dengan syarat hal itu, dilakukan pada kanal yang tepat  dan proporsional, yakni di forum ilmiah dan spesialis dalam bidangnya, bukan  ke ruang publik dan nonspesialis, dan akan berakibat menyulut perpecahan dan  berujung pada runtuhnya ketertiban umum.</w:t>
      </w:r>
    </w:p>
    <w:p>
      <w:pPr>
        <w:pStyle w:val="BookText"/>
        <w:bidi w:val="0"/>
        <w:jc w:val="both"/>
        <w:rPr/>
      </w:pPr>
      <w:r>
        <w:rPr>
          <w:rFonts w:eastAsia="Times New Roman" w:cs="Times New Roman" w:ascii="Times New Roman" w:hAnsi="Times New Roman"/>
          <w:color w:val="111111"/>
          <w:sz w:val="28"/>
          <w:szCs w:val="28"/>
          <w:lang w:val="en-US"/>
        </w:rPr>
        <w:t>Kritik lain atas dalil Al-Qur'an menyatakan bahwa pelaku kemurtadan tidak  layak mendapat hukuman di dunia. Menurut Al-Qur'an hukumannya justru hanya  bersifat ukhrawi. Seorang penulis menyatakan: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Meskipun mengecam murtad, namun berdasarkan kekuatan logikanya sendiri  Al-Qur'an hanya mengabarkan hukuman akhirat, dan tidak membenarkan segala  bentuk hukuman dunia, seperti hukuman mati dan kurungan seumur hidup. ... </w:t>
      </w:r>
    </w:p>
    <w:p>
      <w:pPr>
        <w:pStyle w:val="BookText"/>
        <w:bidi w:val="0"/>
        <w:rPr/>
      </w:pPr>
      <w:r>
        <w:rPr>
          <w:rFonts w:eastAsia="Times New Roman" w:cs="Times New Roman" w:ascii="Times New Roman" w:hAnsi="Times New Roman"/>
          <w:color w:val="111111"/>
          <w:sz w:val="28"/>
          <w:szCs w:val="28"/>
          <w:lang w:val="en-US"/>
        </w:rPr>
        <w:t>Memang terdapat ayat yang mengabarkan kematian bagi (orang) murtad. Namun  yang tampak dari kalimat lalu dia mati dalam keadaan kafir'dalam ayat (QS. Al-  Baqarah, 217) mengindikasikan kematian alamiah, bukan hukuman mati atau  dibunuh. Jika pelaku murtad harus dibunuh (dijatuhi hukuman mati) niscaya  ayatnya akan berbunyi, ‘Fa man yartadd minkum ‘an dînihi fa yuqtal aw yushlab  (siapa saja di antara kalian yang berlaku murtad dari agamanya lalu dibunuh atau  disalib). Namun dari kalimat ‘lalu dia mati dalam keadaan kafir' dipahami bahwa  ada kemungkinan orang itu mati dalam keadaan beriman. Artinya, pertama, agar  layak mendapat hukuman di alam berikutnya dia harus tetap dalam keadaan kafir  ketika murtad. Kedua, taubat pelaku murtad dalam kondisi normal akan diterima,  yaitu ketika dia meraih taufiq untuk bertaubat.</w:t>
      </w:r>
      <w:r>
        <w:rPr>
          <w:rStyle w:val="FootnoteAnchor"/>
        </w:rPr>
        <w:footnoteReference w:id="80"/>
      </w:r>
      <w:r>
        <w:rPr>
          <w:rFonts w:eastAsia="Times New Roman" w:cs="Times New Roman" w:ascii="Times New Roman" w:hAnsi="Times New Roman"/>
          <w:color w:val="111111"/>
          <w:sz w:val="28"/>
          <w:szCs w:val="28"/>
          <w:lang w:val="en-US"/>
        </w:rPr>
        <w:t xml:space="preserve"> Ada beberapa poin yang patut dicermati dalam menjawab kritik ini. Pertama,  ahwa Al-Qur'an tidak membenarkan adanya hukuman mati atau penjara  seumur hidup adalah klaim yang tidak benar. Sekalipun tidak menyebutkan secara  khusus perihal hukuman dunia bukan berarti Al-Our'an tidak membolehkannya.</w:t>
      </w:r>
    </w:p>
    <w:p>
      <w:pPr>
        <w:pStyle w:val="BookText"/>
        <w:bidi w:val="0"/>
        <w:jc w:val="both"/>
        <w:rPr/>
      </w:pPr>
      <w:r>
        <w:rPr>
          <w:rFonts w:eastAsia="Times New Roman" w:cs="Times New Roman" w:ascii="Times New Roman" w:hAnsi="Times New Roman"/>
          <w:color w:val="111111"/>
          <w:sz w:val="28"/>
          <w:szCs w:val="28"/>
          <w:lang w:val="en-US"/>
        </w:rPr>
        <w:t xml:space="preserve">Karena dalam ayat yang dijadikan dalil oleh penulis, </w:t>
      </w:r>
      <w:r>
        <w:rPr>
          <w:rStyle w:val="FootnoteAnchor"/>
        </w:rPr>
        <w:footnoteReference w:id="81"/>
      </w:r>
      <w:r>
        <w:rPr>
          <w:rFonts w:eastAsia="Times New Roman" w:cs="Times New Roman" w:ascii="Times New Roman" w:hAnsi="Times New Roman"/>
          <w:color w:val="111111"/>
          <w:sz w:val="28"/>
          <w:szCs w:val="28"/>
          <w:lang w:val="en-US"/>
        </w:rPr>
        <w:t>tidak terdapat kata  pengkhusus seperti “Innama” (hanya) yang dengannya ayat itu bermakna bahwa  hukuman yang disebutkan hanya bersifat ukhrawi, dan hukuman apapun selain  itu (baik ukhrawi ataupun duniawi, termasuk yang telah ditetapkan Sunnah Nabi)  tidak dibolehkan.</w:t>
      </w:r>
    </w:p>
    <w:p>
      <w:pPr>
        <w:pStyle w:val="BookText"/>
        <w:bidi w:val="0"/>
        <w:jc w:val="both"/>
        <w:rPr/>
      </w:pPr>
      <w:r>
        <w:rPr>
          <w:rFonts w:eastAsia="Times New Roman" w:cs="Times New Roman" w:ascii="Times New Roman" w:hAnsi="Times New Roman"/>
          <w:color w:val="111111"/>
          <w:sz w:val="28"/>
          <w:szCs w:val="28"/>
          <w:lang w:val="en-US"/>
        </w:rPr>
        <w:t>Oleh karena itu berkaitan dengan hukuman duniawi tentang kemurtadan Al-  Qur’an tidak berkomentar. Sikap ini bukan berarti ia menerangkan sesuatu hukum  yang bertentangan dengan Sunnah Nabi.</w:t>
      </w:r>
    </w:p>
    <w:p>
      <w:pPr>
        <w:pStyle w:val="BookText"/>
        <w:bidi w:val="0"/>
        <w:jc w:val="both"/>
        <w:rPr/>
      </w:pPr>
      <w:r>
        <w:rPr>
          <w:rFonts w:eastAsia="Times New Roman" w:cs="Times New Roman" w:ascii="Times New Roman" w:hAnsi="Times New Roman"/>
          <w:color w:val="111111"/>
          <w:sz w:val="28"/>
          <w:szCs w:val="28"/>
          <w:lang w:val="en-US"/>
        </w:rPr>
        <w:t xml:space="preserve">Selain itu anggaplah ada hukum muthlaq atau umum dalam Al-Qur'an. Dalam  asumsi ini, kesimpulannya sebagaimana telah disebutkan sebelumnya yaitu hukum  muthlaq atau umum itu menjadi bersyarat (muqayyad) atau khusus melalui riwayat  kemurtadan yang  dan yang dilengkapi indikasi-indikasi definitif. Sekalipun tidak dilengkapi  hal yang demikian, berdasarkan perspektif kalangan fukaha Ushuli, sebuah riwayat  tetap dapat berfungsi sebagai penjelas-khusus bagi (makna mutlak) ayat Al-Qur'an,  meskipun riwayat itu berupa khabar wähid yang tidak disertai indikasi definitif. </w:t>
      </w:r>
      <w:r>
        <w:rPr>
          <w:rStyle w:val="FootnoteAnchor"/>
        </w:rPr>
        <w:footnoteReference w:id="8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Al-Mughní, jld. 2, hlm. 113; Akhund Khurasani: Kifayat Al-Ushủl, hlm. 235.</w:t>
      </w:r>
      <w:bookmarkStart w:id="64" w:name="pg6393_42967"/>
    </w:p>
    <w:p>
      <w:pPr>
        <w:pStyle w:val="BookText"/>
        <w:bidi w:val="0"/>
        <w:rPr/>
      </w:pPr>
      <w:bookmarkEnd w:id="64"/>
      <w:r>
        <w:rPr>
          <w:rFonts w:eastAsia="Times New Roman" w:cs="Times New Roman" w:ascii="Times New Roman" w:hAnsi="Times New Roman"/>
          <w:color w:val="111111"/>
          <w:sz w:val="28"/>
          <w:szCs w:val="28"/>
          <w:lang w:val="en-US"/>
        </w:rPr>
        <w:t>Kedua, kalimat ‘lalu dia mati dalam keadaan kafir' disimpulkan oleh penulis  bahwa di dalamnya ada kemungkinan si murtad mati dalam keadaan beriman.</w:t>
      </w:r>
    </w:p>
    <w:p>
      <w:pPr>
        <w:pStyle w:val="BookText"/>
        <w:bidi w:val="0"/>
        <w:jc w:val="both"/>
        <w:rPr/>
      </w:pPr>
      <w:r>
        <w:rPr>
          <w:rFonts w:eastAsia="Times New Roman" w:cs="Times New Roman" w:ascii="Times New Roman" w:hAnsi="Times New Roman"/>
          <w:color w:val="111111"/>
          <w:sz w:val="28"/>
          <w:szCs w:val="28"/>
          <w:lang w:val="en-US"/>
        </w:rPr>
        <w:t>Agar layak mendapat hukuman di alam berikutnya, orang itu harus tetap dalam  keadaan kafir setelah murtad.</w:t>
      </w:r>
    </w:p>
    <w:p>
      <w:pPr>
        <w:pStyle w:val="BookText"/>
        <w:bidi w:val="0"/>
        <w:jc w:val="both"/>
        <w:rPr/>
      </w:pPr>
      <w:r>
        <w:rPr>
          <w:rFonts w:eastAsia="Times New Roman" w:cs="Times New Roman" w:ascii="Times New Roman" w:hAnsi="Times New Roman"/>
          <w:color w:val="111111"/>
          <w:sz w:val="28"/>
          <w:szCs w:val="28"/>
          <w:lang w:val="en-US"/>
        </w:rPr>
        <w:t>Menjawab pernyataan ini perlu diperhatikan ‘ada kemungkinan mati dalam  keadaan beriman'. Argumen ini mengandung kesamaran antara probabilitas  tasyri’i (opsional) dan takwini (kreasional/penciptaan). Probabilitas yang dimaksud  ayat tersebut adalah kreasional. Jadi, ayat itu tidak menyatakan bahwa penguasa  harus memberikan peluang kepada si murtad untuk tetap dalam kekafirannya  sehingga hukuman berikutnya (di akhirat, sebagaimana terdapat dalam ayat) dapat  diberlakukan. Penafsiran ini akan menjadi benar bila, dari segi kejadian di alam  luar, ungkapan ‘lalu dia mati dalam keadaan kafir' terbatas maksudnya hanya pada  asumsi yang diklaim penulis. Padahal, ada asumsi lain, bahkan banyak asumsi yang  kejadiannya berhubungan dengan probabilitas kreasional.</w:t>
      </w:r>
    </w:p>
    <w:p>
      <w:pPr>
        <w:pStyle w:val="BookText"/>
        <w:bidi w:val="0"/>
        <w:jc w:val="both"/>
        <w:rPr/>
      </w:pPr>
      <w:r>
        <w:rPr>
          <w:rFonts w:eastAsia="Times New Roman" w:cs="Times New Roman" w:ascii="Times New Roman" w:hAnsi="Times New Roman"/>
          <w:color w:val="111111"/>
          <w:sz w:val="28"/>
          <w:szCs w:val="28"/>
          <w:lang w:val="en-US"/>
        </w:rPr>
        <w:t>Pada dasarnya ayat tersebut justru mengindikasikan asumsi terakhir. Contohnya,  mungkin saja si murtad kabur setelah dijatuhi hukuman dan tetap murtad hingga  menemui kematian alamiah. Dalam kondisi ini, orang itu representasi dari kalimat  ayat ‘lalu mati dalam keadaan kafir'. Artinya, dia mati secara alami dalam keadaan  kafir yang akhirnya layak mendapat hukuman di alam berikutnya. Akan tetapi  orang ini telah kabur dari hukuman dan bertaubat, kemudian menemui kematian,  maka Allah akan menerima taubatnya.</w:t>
      </w:r>
    </w:p>
    <w:p>
      <w:pPr>
        <w:pStyle w:val="BookText"/>
        <w:bidi w:val="0"/>
        <w:jc w:val="both"/>
        <w:rPr/>
      </w:pPr>
      <w:r>
        <w:rPr>
          <w:rFonts w:eastAsia="Times New Roman" w:cs="Times New Roman" w:ascii="Times New Roman" w:hAnsi="Times New Roman"/>
          <w:color w:val="111111"/>
          <w:sz w:val="28"/>
          <w:szCs w:val="28"/>
          <w:lang w:val="en-US"/>
        </w:rPr>
        <w:t>Oleh karena itu, banyak probabilitas kreasional yang bisa diajukan sebagai  referensi konkret dari ayat ini. Dengan demikian, tafsiran sebagaimana dikemukakan  di atas tidaklah benar.</w:t>
      </w:r>
    </w:p>
    <w:p>
      <w:pPr>
        <w:pStyle w:val="Heading3"/>
        <w:numPr>
          <w:ilvl w:val="2"/>
          <w:numId w:val="1"/>
        </w:numPr>
        <w:bidi w:val="0"/>
        <w:jc w:val="left"/>
        <w:rPr/>
      </w:pPr>
      <w:bookmarkStart w:id="65" w:name="__RefHeading___Toc419494_653776707"/>
      <w:bookmarkStart w:id="66" w:name="_Toc24"/>
      <w:bookmarkEnd w:id="65"/>
      <w:r>
        <w:rPr/>
        <w:t>Kritik atas Penegakan Hukum di Masa Kegaiban</w:t>
      </w:r>
      <w:bookmarkEnd w:id="66"/>
    </w:p>
    <w:p>
      <w:pPr>
        <w:pStyle w:val="BookText"/>
        <w:bidi w:val="0"/>
        <w:jc w:val="both"/>
        <w:rPr/>
      </w:pPr>
      <w:r>
        <w:rPr>
          <w:rFonts w:eastAsia="Times New Roman" w:cs="Times New Roman" w:ascii="Times New Roman" w:hAnsi="Times New Roman"/>
          <w:color w:val="111111"/>
          <w:sz w:val="28"/>
          <w:szCs w:val="28"/>
          <w:lang w:val="en-US"/>
        </w:rPr>
        <w:t>Kritik lain yang pernah dikemukakan berkaitan dengan hukuman kemurtadan  adalah seperti di bawahini.</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Katakan saja semua aspek argumen yang ada itu benar, persoalan yang masih  tersisa adalah apakah pelaksanaan hukum syariat termasuk hukum yang berlaku  semasa kehadiran Imam? Atau bersifat mutlak, entah hadir atau tidaknya Imam,  dan dengan demikian, tugas itu bagian dari hukum supratemporal agama? Ada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dua pendapat di kalangan fukaha Syiah. Pendapat masyhur</w:t>
      </w:r>
      <w:r>
        <w:rPr>
          <w:rStyle w:val="FootnoteAnchor"/>
        </w:rPr>
        <w:footnoteReference w:id="83"/>
      </w:r>
      <w:r>
        <w:rPr>
          <w:rFonts w:eastAsia="Times New Roman" w:cs="Times New Roman" w:ascii="Times New Roman" w:hAnsi="Times New Roman"/>
          <w:color w:val="111111"/>
          <w:sz w:val="28"/>
          <w:szCs w:val="28"/>
          <w:lang w:val="en-US"/>
        </w:rPr>
        <w:t>tidak membolehkan  pelaksanaan hukuman di masa kegaiban Imam (Mahdi).</w:t>
      </w:r>
      <w:r>
        <w:rPr>
          <w:rStyle w:val="FootnoteAnchor"/>
        </w:rPr>
        <w:footnoteReference w:id="84"/>
      </w:r>
      <w:r>
        <w:rPr>
          <w:rFonts w:eastAsia="Times New Roman" w:cs="Times New Roman" w:ascii="Times New Roman" w:hAnsi="Times New Roman"/>
          <w:color w:val="111111"/>
          <w:sz w:val="28"/>
          <w:szCs w:val="28"/>
          <w:lang w:val="en-US"/>
        </w:rPr>
        <w:t>Sebagian lainnya bahkan  mengklaim demikian sebagai konsensus.</w:t>
      </w:r>
      <w:r>
        <w:rPr>
          <w:rStyle w:val="FootnoteAnchor"/>
        </w:rPr>
        <w:footnoteReference w:id="85"/>
      </w:r>
      <w:r>
        <w:rPr>
          <w:rStyle w:val="FootnoteAnchor"/>
        </w:rPr>
        <w:footnoteReference w:id="86"/>
      </w:r>
      <w:r>
        <w:rPr>
          <w:rFonts w:eastAsia="Times New Roman" w:cs="Times New Roman" w:ascii="Times New Roman" w:hAnsi="Times New Roman"/>
          <w:color w:val="111111"/>
          <w:sz w:val="28"/>
          <w:szCs w:val="28"/>
          <w:lang w:val="en-US"/>
        </w:rPr>
        <w:t xml:space="preserve"> Selain mempertanyakan pelaksanaan hukuman kemurtadan, kritik ini juga  memperkarakan penegakan semua hukum di masa kegaiban Imam. Kiranya  diperlukan kajian lebih luas terhadap tema ini agar maksud pendapat tersebut  menjadi jelas. Apakah benar sebagaimana klaim bahwa penegakan hukum di masa  kegaiban Imam (Mahdi) oleh fukaha yang memenuhi kriteria (al-jâmiʻli al-syarâ’ith)  dapat dipertanyakan. Khususnya era pemerintahan Syiah di Republik Islam Iran di  bawah kepemimpinan fukaha yang memenuhi kriteria. Apakah pelaksanaan ini  justru ditopang pilar hukum syar’i yang kokoh?  Sebagai jawaban harus dikemukakan bahwa konsensus yang diklaim Ibnu Idris  tidak mengandungi kebenaran. Buktinya tak satu pun ulama fikih menguatkan  konsensus tersebut, hingga dinyatakan sedemikian kuat dalam kalimat dari segenap  kaum Muslimin'. Konsensus tersebut hanya dinisbatkan pada Ibnu Zuhrah. Segera  akan disinggung bahwa konsensus kedua fukaha ini mengandungi semacam  kerancuan yang dapat disangkal, setidaknya tak punya tingkat kejelasan setinggi  yang dibutuhkan. Andaikata memiliki kejelasan seruan ini tidak relevan dengan  kenyataan. Sebagaimana telah dikemukakan Sahib Jawahir, bukan hanya tidak  terjadi konsensus, melainkan malah terbangun pandangan yang berbeda dengan  mereka.</w:t>
      </w:r>
      <w:r>
        <w:rPr>
          <w:rStyle w:val="FootnoteAnchor"/>
        </w:rPr>
        <w:footnoteReference w:id="87"/>
      </w:r>
    </w:p>
    <w:p>
      <w:pPr>
        <w:pStyle w:val="BookText"/>
        <w:bidi w:val="0"/>
        <w:rPr/>
      </w:pPr>
      <w:r>
        <w:rPr>
          <w:rFonts w:eastAsia="Times New Roman" w:cs="Times New Roman" w:ascii="Times New Roman" w:hAnsi="Times New Roman"/>
          <w:color w:val="111111"/>
          <w:sz w:val="28"/>
          <w:szCs w:val="28"/>
          <w:lang w:val="en-US"/>
        </w:rPr>
        <w:t>Bukti yang layak untuk melegitimasi pernyataan ini adalah klaim besar (konsensus  dari kalangan fukaha dan segenap kaum Muslimin atas tidak dibolehkannya  pelaksanaan hukum di Masa Kegaiban) hanya menyertakan bukti pendapat dua  pakar yaitu Muhaqiq Hilli dan Khunsari. Padahal, berdasarkan kutipan dari  sejumlah komentator kitab Syarâ’i“ Al-Islâm, seperti Sahib Jawahir, Muhaqiq Hilli  menyatakan abstain dalam hal ini, tidak berpendapat boleh tidaknya melaksanakan  hukuman.</w:t>
      </w:r>
      <w:r>
        <w:rPr>
          <w:rStyle w:val="FootnoteAnchor"/>
        </w:rPr>
        <w:footnoteReference w:id="88"/>
      </w:r>
      <w:r>
        <w:rPr>
          <w:rFonts w:eastAsia="Times New Roman" w:cs="Times New Roman" w:ascii="Times New Roman" w:hAnsi="Times New Roman"/>
          <w:color w:val="111111"/>
          <w:sz w:val="28"/>
          <w:szCs w:val="28"/>
          <w:lang w:val="en-US"/>
        </w:rPr>
        <w:t xml:space="preserve"> Bahkan, klaim Khunsari yang mengemukakan soal pendapat masyhur  tentang tidak bolehnya penegakan hukum di masa kegaiban, tidak sesuai dengan  kenyataan. Karena, pertama, beberapa fukaha besar seperti Sahib Jawahir dan Khu’i  menentang klaim ini. Mereka percaya pendapat paling masyhur justru menyepakati  dibolehkannya penegakan hukum di masa kegaiban. Tidak ada gejala penentangan  yang sempat dinukil dalam pendapat ini, kecuali dari Ibnu Zuhrah dan Ibnu Idris,  sementara konsensus yang dimaksud juga belum terbukti.</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Najafi: Jawâhir Al-Kalâm fi Syarh Syarâ'i' Al-Islam, jld. 21, hlm. 398: “Dan ijma' Ibnu Zuhrah dan  Idris yang telah diketahui pendapat keduanya”.</w:t>
      </w:r>
    </w:p>
    <w:p>
      <w:pPr>
        <w:pStyle w:val="BookText"/>
        <w:bidi w:val="0"/>
        <w:jc w:val="both"/>
        <w:rPr/>
      </w:pPr>
      <w:r>
        <w:rPr>
          <w:rFonts w:eastAsia="Times New Roman" w:cs="Times New Roman" w:ascii="Times New Roman" w:hAnsi="Times New Roman"/>
          <w:color w:val="111111"/>
          <w:sz w:val="28"/>
          <w:szCs w:val="28"/>
          <w:lang w:val="en-US"/>
        </w:rPr>
        <w:t>Kedua, kebanyakan fukaha Syiah sepakat dengan penegakan hukum di Masa  Kegaiban oleh fukaha yang memenuhi seluruh kriteria. Ini bukan hanya klaim  konsensus tidak benar, justru klaim adanya pendapat masyhur yang bertentangan  dengan sudut pandang ini tidak dapat diterima. Sebagai contoh, akan dikemukakan  sejumlah pendapat fukaha berkenaan dengan pelaksanaan hukum di Masa Kegaiban.</w:t>
      </w:r>
    </w:p>
    <w:p>
      <w:pPr>
        <w:pStyle w:val="BookText"/>
        <w:bidi w:val="0"/>
        <w:jc w:val="both"/>
        <w:rPr/>
      </w:pPr>
      <w:r>
        <w:rPr>
          <w:rFonts w:eastAsia="Times New Roman" w:cs="Times New Roman" w:ascii="Times New Roman" w:hAnsi="Times New Roman"/>
          <w:color w:val="111111"/>
          <w:sz w:val="28"/>
          <w:szCs w:val="28"/>
          <w:lang w:val="en-US"/>
        </w:rPr>
        <w:t>Darinya akan menjadi jelas, betapa tidak berdasarnya klaim adanya konsensus yang  bertentangan dengan pendapat ini.</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Syaikh Mufid (w. 413 H) hidup hampir 200 tahun (185) sebelum Ibnu Idris (w. </w:t>
      </w:r>
    </w:p>
    <w:p>
      <w:pPr>
        <w:pStyle w:val="BookText"/>
        <w:bidi w:val="0"/>
        <w:rPr/>
      </w:pPr>
      <w:r>
        <w:rPr>
          <w:rFonts w:eastAsia="Times New Roman" w:cs="Times New Roman" w:ascii="Times New Roman" w:hAnsi="Times New Roman"/>
          <w:color w:val="111111"/>
          <w:sz w:val="28"/>
          <w:szCs w:val="28"/>
          <w:lang w:val="en-US"/>
        </w:rPr>
        <w:t>598 H). Tidak ada yang meragukan tingkat keilmuan dan akhlaknya. Ia membela  pendapat yang membolehkan pelaksanaan hukum Masa Kegaiban dan menegaskan  pelimpahan otoritasnya oleh Imam maksum kepada fukaha Syiah.</w:t>
      </w:r>
      <w:r>
        <w:rPr>
          <w:rStyle w:val="FootnoteAnchor"/>
        </w:rPr>
        <w:footnoteReference w:id="90"/>
      </w:r>
      <w:r>
        <w:rPr>
          <w:rFonts w:eastAsia="Times New Roman" w:cs="Times New Roman" w:ascii="Times New Roman" w:hAnsi="Times New Roman"/>
          <w:color w:val="111111"/>
          <w:sz w:val="28"/>
          <w:szCs w:val="28"/>
          <w:lang w:val="en-US"/>
        </w:rPr>
        <w:t xml:space="preserve"> Abu Hamzah Dailami, yang dikenal dengan julukan Salar (w. 448 H),  merupakan fakih kenamaan sebelum Ibnu Idris. Ia berpendapat sama dengan  Syaikh Mufid dalam persoalan ini.</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Mereka juga telah memerintahkan masyarakat Syiah agar mendukung fukaha untuk tugas tersebut  selama mereka bertindak lurus di atas jalan benar.”</w:t>
      </w:r>
    </w:p>
    <w:p>
      <w:pPr>
        <w:pStyle w:val="BookText"/>
        <w:bidi w:val="0"/>
        <w:jc w:val="both"/>
        <w:rPr/>
      </w:pPr>
      <w:r>
        <w:rPr>
          <w:rFonts w:eastAsia="Times New Roman" w:cs="Times New Roman" w:ascii="Times New Roman" w:hAnsi="Times New Roman"/>
          <w:color w:val="111111"/>
          <w:sz w:val="28"/>
          <w:szCs w:val="28"/>
          <w:lang w:val="en-US"/>
        </w:rPr>
        <w:t>Syaikh Thusi juga sepakat dengan pandangan Syaikh Mufid.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Layak disebutkan  bahwa ia merupakan seorang fakih tersohor sebelum Ibnu Idris. Sementara itu Ibnu  Idris kerap menentang dan bersikap sinis terhadap pendapatnya. Karena itulah  kredibilitas Ibnu Idris jatuh di mata kalangan fukaha.</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Allamah Hilli menisbatkan pendapat yang membolehkan penegakan hukum di  Masa Kegaiban Imam Mahdi kepada Syaikh Mufid. Kendati pada awalnya tidak  menyatakan pendapatnya sendiri secara tegas, tetapi pada halaman berikutnya, ia  menerima pandangan tersebut. </w:t>
      </w:r>
      <w:r>
        <w:rPr>
          <w:rStyle w:val="FootnoteAnchor"/>
        </w:rPr>
        <w:footnoteReference w:id="92"/>
      </w:r>
      <w:r>
        <w:rPr>
          <w:rFonts w:eastAsia="Times New Roman" w:cs="Times New Roman" w:ascii="Times New Roman" w:hAnsi="Times New Roman"/>
          <w:color w:val="111111"/>
          <w:sz w:val="28"/>
          <w:szCs w:val="28"/>
          <w:lang w:val="en-US"/>
        </w:rPr>
        <w:t xml:space="preserve">Selain itu, Allamah Hilli menerima pandangan ini </w:t>
      </w:r>
    </w:p>
    <w:p>
      <w:pPr>
        <w:pStyle w:val="BookText"/>
        <w:bidi w:val="0"/>
        <w:rPr/>
      </w:pPr>
      <w:r>
        <w:rPr>
          <w:rFonts w:eastAsia="Times New Roman" w:cs="Times New Roman" w:ascii="Times New Roman" w:hAnsi="Times New Roman"/>
          <w:color w:val="111111"/>
          <w:sz w:val="28"/>
          <w:szCs w:val="28"/>
          <w:lang w:val="en-US"/>
        </w:rPr>
        <w:t xml:space="preserve">secara tegas dalam buku fikih lainnya.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463; Qawa'id Al-Ahkâm fi Ma'rifat Al-Halâl wa Al-Harâm, jld. 1, hlm. 525; Tadzkirat Al-Fuqaha,  jld. 1, hlm. 459; Tahrîr Al-Ahkam Al-Syar'iyyah ala Madzhab Al-Imâmiyyah, jld. 1, hlm. 158, “Dan  telah diizinkan bagi fukaha dalam keadaan kegaiban (Imam) untuk melaksanakan hukuman had  terhadap anak dan istri dengan kondisi aman, walaupun ini tidak dibenarkan oleh Ibnu Idris. Lalu  apakah fukaha dibolehkan melaksanakan hukuman pada Masa Kegaiban? Ini dipastikan tegas  oleh Syaikh Mufid dan Syaikh Thusi, dan pendapat ini menurut kami kuat, dan masyarakat wajib  membantu mereka dalam hal itu.”</w:t>
      </w:r>
    </w:p>
    <w:p>
      <w:pPr>
        <w:pStyle w:val="BookText"/>
        <w:bidi w:val="0"/>
        <w:jc w:val="both"/>
        <w:rPr/>
      </w:pPr>
      <w:r>
        <w:rPr>
          <w:rFonts w:eastAsia="Times New Roman" w:cs="Times New Roman" w:ascii="Times New Roman" w:hAnsi="Times New Roman"/>
          <w:color w:val="111111"/>
          <w:sz w:val="28"/>
          <w:szCs w:val="28"/>
          <w:lang w:val="en-US"/>
        </w:rPr>
        <w:t>Syahid Tsani termasuk fukaha yang menyandarkan pandangan ini pada Syaikh  Mufid, Syaikh Thusi, dan sekelompok fukaha besar. Ia juga menerima pandangan  tersebut.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Sebagian besar fukaha Syiah meyakini bahwa pelaksanaan hukuman  oleh fukaha Syiah di masa kegaiban adalah legal secara hukum.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Pendapat ini juga dinisbatkan kepada pendapat masyhur fukaha, bahkan sebagian mengklaim  telah terbentuk konsensus dalam masalah dimana seorang penguasa dengan ilmunya bertindak  dalam hak Allah. Dan dinukil dari Hilli keberatannya atas pendapat ini, sementara yang tampak  dari statement-nya dalam Al-Syarái dan Al-Nafi' menunjukkan keraguannya. Namun, yang benar  adalah pendapat pertama sesuai dua kaidah terdahulu yang bersandar pada riwayat Hafash bin  Ghiyats, yakni riwayat yang kelemahannya teratasi dengan aspek kemasyhuran, seandainya ada.</w:t>
      </w:r>
    </w:p>
    <w:p>
      <w:pPr>
        <w:pStyle w:val="BookText"/>
        <w:bidi w:val="0"/>
        <w:jc w:val="both"/>
        <w:rPr/>
      </w:pPr>
      <w:r>
        <w:rPr>
          <w:rFonts w:eastAsia="Times New Roman" w:cs="Times New Roman" w:ascii="Times New Roman" w:hAnsi="Times New Roman"/>
          <w:color w:val="111111"/>
          <w:sz w:val="28"/>
          <w:szCs w:val="28"/>
          <w:lang w:val="en-US"/>
        </w:rPr>
        <w:t>Hafash berkata, “Siapakah yang melaksanakan hukuman had: penguasa ataukah hakim?' Beliau  menjawab, “Pelaksanaan hukuman had kepada orang yang diserahi kewenangan menghukumi  (man ilaihi al-hukm).' Riwayat ini dikuatkan riwayat Abu Maryam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Nama besar lain yang patut disebutkan di sini ialah seorang fakih ternama  Syiah, penulis karya berharga, Jawâhir Al-Kalâm fi Syarh Syarâ'i' Al-Islâm, Muhaqiq</w:t>
      </w:r>
    </w:p>
    <w:p>
      <w:pPr>
        <w:pStyle w:val="BookText"/>
        <w:bidi w:val="0"/>
        <w:rPr/>
      </w:pPr>
      <w:r>
        <w:rPr>
          <w:rFonts w:eastAsia="Times New Roman" w:cs="Times New Roman" w:ascii="Times New Roman" w:hAnsi="Times New Roman"/>
          <w:color w:val="111111"/>
          <w:sz w:val="28"/>
          <w:szCs w:val="28"/>
          <w:lang w:val="en-US"/>
        </w:rPr>
        <w:t>Najafi, atau dikenal juga dengan Sahib Jawahir. Ia membela dengan panjang  lebar ihwal legalitas pelaksanaan hukuman di masa kegaiban termasuk pemberian  otoritas kepada fukaha seraya bersandar pada pelbagai argumentasi. Sekian argumen  menegaskan bahwa fakih mujtahid yang memenuhi seluruh kriteria (al-jîmi' li  al-syarå’ith) direkomendasikan sebagai penerus Nabi Saw dan para Imam dalam  melaksanakan hukum Ilahi.</w:t>
      </w:r>
      <w:r>
        <w:rPr>
          <w:rStyle w:val="FootnoteAnchor"/>
        </w:rPr>
        <w:footnoteReference w:id="94"/>
      </w:r>
      <w:r>
        <w:rPr>
          <w:rFonts w:eastAsia="Times New Roman" w:cs="Times New Roman" w:ascii="Times New Roman" w:hAnsi="Times New Roman"/>
          <w:color w:val="111111"/>
          <w:sz w:val="28"/>
          <w:szCs w:val="28"/>
          <w:lang w:val="en-US"/>
        </w:rPr>
        <w:t xml:space="preserve">Banyaknya jumlah riwayat yang ditransmisikan  berbagai perawi mengukuhkannya layak digunakan. </w:t>
      </w:r>
      <w:r>
        <w:rPr>
          <w:rStyle w:val="FootnoteAnchor"/>
        </w:rPr>
        <w:footnoteReference w:id="95"/>
      </w:r>
      <w:r>
        <w:rPr>
          <w:rFonts w:eastAsia="Times New Roman" w:cs="Times New Roman" w:ascii="Times New Roman" w:hAnsi="Times New Roman"/>
          <w:color w:val="111111"/>
          <w:sz w:val="28"/>
          <w:szCs w:val="28"/>
          <w:lang w:val="en-US"/>
        </w:rPr>
        <w:t>Di akhir argumentasinya,  Sahib Jawahir menyatakan: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 secara umum masalah ini termasuk masalah yang sudah jelas dan tidak  perlu lagi argumen ... Mengherankan bila sebagian meragukan masalah ini, seolah-  olah mereka tidak mengecap sedikit pun selera fikih.</w:t>
      </w:r>
      <w:r>
        <w:rPr>
          <w:rStyle w:val="FootnoteAnchor"/>
        </w:rPr>
        <w:footnoteReference w:id="96"/>
      </w:r>
      <w:r>
        <w:rPr>
          <w:rFonts w:eastAsia="Times New Roman" w:cs="Times New Roman" w:ascii="Times New Roman" w:hAnsi="Times New Roman"/>
          <w:color w:val="111111"/>
          <w:sz w:val="28"/>
          <w:szCs w:val="28"/>
          <w:lang w:val="en-US"/>
        </w:rPr>
        <w:t xml:space="preserve"> Di akhir pembahasan, dinukil satu riwayat dari kitab Al-Asy'atsiyyât. Riwayat  itu menyebutkan bahwa pelaksanaan hukuman merupakan otoritas khusus Imam  maksum. Penulis mengomentari bahwa sanad (mata rantai) riwayat itu lemah dan  tidak mendapat pengakuan. Bahkan, kitab tersebut juga tidak kredibel.</w:t>
      </w:r>
      <w:r>
        <w:rPr>
          <w:rStyle w:val="FootnoteAnchor"/>
        </w:rPr>
        <w:footnoteReference w:id="97"/>
      </w:r>
      <w:r>
        <w:rPr>
          <w:rFonts w:eastAsia="Times New Roman" w:cs="Times New Roman" w:ascii="Times New Roman" w:hAnsi="Times New Roman"/>
          <w:color w:val="111111"/>
          <w:sz w:val="28"/>
          <w:szCs w:val="28"/>
          <w:lang w:val="en-US"/>
        </w:rPr>
        <w:t xml:space="preserve"> Terdapat sejumlah fukaha lain yang menerima pandangan yang ulasan  selengkapnya membutuhkan tempat khusus.</w:t>
      </w:r>
      <w:r>
        <w:rPr>
          <w:rStyle w:val="FootnoteAnchor"/>
        </w:rPr>
        <w:footnoteReference w:id="98"/>
      </w:r>
      <w:r>
        <w:rPr>
          <w:rFonts w:eastAsia="Times New Roman" w:cs="Times New Roman" w:ascii="Times New Roman" w:hAnsi="Times New Roman"/>
          <w:color w:val="111111"/>
          <w:sz w:val="28"/>
          <w:szCs w:val="28"/>
          <w:lang w:val="en-US"/>
        </w:rPr>
        <w:t xml:space="preserve"> Dari uraian di atas, beberapa hal menjadi perhatian. Ibnu Idris sedikit banyak  mengetahui pandangan fukaha ternama sebelumnya, seperti Syaikh Mufid, Salar,  dan Syaikh Thusi (w. 460 H). Dengan kekuasaan ilmu fikih yang dimiliki, ia tidak  semestinya melakukan kesalahan sedemikian fatal. Dari sini, boleh jadi maksud  Ibnu Idris ihwal konsensus memerlukan penjelasan khusus. Di Masa Kegaiban  seluruh fukaha sepakat tak seorang pun selain fakih (orang biasa) yang berhak  menjadi eksekutor hukuman. Ini berdasarkan pernyataannya, 'Kecuali para Imam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dan penguasa eksekutif dengan izin mereka dalam hal tersebut.'  Statement ini dinyatakan tanpa disertai penjelasan sehingga dapat dipahami  mencakup kalangan eksekutif dengan izin Imam maksum secara khusus, juga izin  secara umum, seperti fukaha di Masa Kegaiban. Karena dalam terminologi ahli  fikih, kata 'yang ditunjuk' bukan hanya meliputi penunjukan umum oleh imam-  yakni penunjukan fakih yang memenuhi seluruh persyaratan tetapi bahkan  dalam keadaan tertentu digunakan bagi imam sendiri. Namun maksud Ibnu Idris  dalam yang ditunjuk secara umum, yaitu fukaha di Masa Kegaiban.</w:t>
      </w:r>
      <w:r>
        <w:rPr>
          <w:rStyle w:val="FootnoteAnchor"/>
        </w:rPr>
        <w:footnoteReference w:id="99"/>
      </w:r>
      <w:r>
        <w:rPr>
          <w:rFonts w:eastAsia="Times New Roman" w:cs="Times New Roman" w:ascii="Times New Roman" w:hAnsi="Times New Roman"/>
          <w:color w:val="111111"/>
          <w:sz w:val="28"/>
          <w:szCs w:val="28"/>
          <w:lang w:val="en-US"/>
        </w:rPr>
        <w:t xml:space="preserve"> Pernyataan ini dibuktikan dengan keyakinan yang dimiliki sejumlah fukaha  pra Ibnu Idris, seperti Syaikh Thusi dan Qadhi Ibnu Barraj (w. 481 H). Fukaha  Syiah yang ditunjuk mengeksekusi hukuman, meskipun oleh penguasa zalim demi  menegakkan kebenaran, dapat melakukannya dengan niat benar-benar ditunjuk  penguasa Islam (Imam maksum).</w:t>
      </w:r>
      <w:r>
        <w:rPr>
          <w:rStyle w:val="FootnoteAnchor"/>
        </w:rPr>
        <w:footnoteReference w:id="100"/>
      </w:r>
      <w:r>
        <w:rPr>
          <w:rFonts w:eastAsia="Times New Roman" w:cs="Times New Roman" w:ascii="Times New Roman" w:hAnsi="Times New Roman"/>
          <w:color w:val="111111"/>
          <w:sz w:val="28"/>
          <w:szCs w:val="28"/>
          <w:lang w:val="en-US"/>
        </w:rPr>
        <w:t xml:space="preserve">Klaim Ibnu Idris seputar konsensus seluruh </w:t>
      </w:r>
    </w:p>
    <w:p>
      <w:pPr>
        <w:pStyle w:val="BookText"/>
        <w:bidi w:val="0"/>
        <w:rPr/>
      </w:pPr>
      <w:r>
        <w:rPr>
          <w:rFonts w:eastAsia="Times New Roman" w:cs="Times New Roman" w:ascii="Times New Roman" w:hAnsi="Times New Roman"/>
          <w:color w:val="111111"/>
          <w:sz w:val="28"/>
          <w:szCs w:val="28"/>
          <w:lang w:val="en-US"/>
        </w:rPr>
        <w:t xml:space="preserve">fukaha dan kaum Muslimin berkaitan dengan masalah ini dan dimaksudkan  untuk menafikan pendapat tersebut, </w:t>
      </w:r>
      <w:r>
        <w:rPr>
          <w:rStyle w:val="FootnoteAnchor"/>
        </w:rPr>
        <w:footnoteReference w:id="101"/>
      </w:r>
      <w:r>
        <w:rPr>
          <w:rFonts w:eastAsia="Times New Roman" w:cs="Times New Roman" w:ascii="Times New Roman" w:hAnsi="Times New Roman"/>
          <w:color w:val="111111"/>
          <w:sz w:val="28"/>
          <w:szCs w:val="28"/>
          <w:lang w:val="en-US"/>
        </w:rPr>
        <w:t>karena ia mengajukannya langsung setelah  menukil pendapat Syeikh Thusi.'</w:t>
      </w:r>
      <w:r>
        <w:rPr>
          <w:rStyle w:val="FootnoteAnchor"/>
        </w:rPr>
        <w:footnoteReference w:id="102"/>
      </w:r>
      <w:r>
        <w:rPr>
          <w:rFonts w:eastAsia="Times New Roman" w:cs="Times New Roman" w:ascii="Times New Roman" w:hAnsi="Times New Roman"/>
          <w:color w:val="111111"/>
          <w:sz w:val="28"/>
          <w:szCs w:val="28"/>
          <w:lang w:val="en-US"/>
        </w:rPr>
        <w:t xml:space="preserve"> Oleh karena, itu kecil kemungkinan bahkan untuk bisa menisbatkan kepada  Ibnu Idris bahwa ia menentang penegakan hukum Ilahi di Masa Kegaiban Imam,  sekalipun aktif secara independen dan terlepas dari penguasa zalim. Dengan  demikian dalam beberapa kalimatnya setelah menyatakan konsensus, ia menegaskan  bahwa penetapan aturan dan peradilan umum di Masa Kegaiban adalah otoritas  khusus fukaha Syiah. Menurut keyakinannya otoritas ini telah didelegasikan Imam  maksum kepada mereka. Di bagian ini disebutkan pula soal penegakan hukum,  termasuk eksekusi hukuman.</w:t>
      </w:r>
      <w:r>
        <w:rPr>
          <w:rStyle w:val="FootnoteAnchor"/>
        </w:rPr>
        <w:footnoteReference w:id="103"/>
      </w:r>
      <w:r>
        <w:rPr>
          <w:rFonts w:eastAsia="Times New Roman" w:cs="Times New Roman" w:ascii="Times New Roman" w:hAnsi="Times New Roman"/>
          <w:color w:val="111111"/>
          <w:sz w:val="28"/>
          <w:szCs w:val="28"/>
          <w:lang w:val="en-US"/>
        </w:rPr>
        <w:t xml:space="preserve"> Di bagian lain, buku Al-Sarâ'ir, Ibnu Idris menyinggung keniscayaan  pengetahuan hakim dalam statusnya sebagai eksekutor hukuman Ilahi. Jika awal  dan akhir uraiannya diamati akan tampak bahwa syarat ini (syarat pengetahuan  kefakihan) secara definitif dikemukakan untuk kondisi Masa Kegaiban.</w:t>
      </w:r>
      <w:r>
        <w:rPr>
          <w:rStyle w:val="FootnoteAnchor"/>
        </w:rPr>
        <w:footnoteReference w:id="104"/>
      </w:r>
      <w:r>
        <w:rPr>
          <w:rFonts w:eastAsia="Times New Roman" w:cs="Times New Roman" w:ascii="Times New Roman" w:hAnsi="Times New Roman"/>
          <w:color w:val="111111"/>
          <w:sz w:val="28"/>
          <w:szCs w:val="28"/>
          <w:lang w:val="en-US"/>
        </w:rPr>
        <w:t xml:space="preserve"> Bukti lain dari catatan ini, tak seorang pun menguatkan konsensus tersebut.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Mungkin, lantaran inilah penulis menukil Muhaqiq Hilli ketika menjelaskan catatan  kaki sebelumnya. Kalimat berikut, “Siapa yang ditunjuk untuk melaksanakannya,  ditafsirkan sebagai penunjukan khusus sehingga fukaha di Masa Kegaiban keluar  dari cakupannya. Pada penjelasan kalimat, ketentuan ini tidak disertakan padahal </w:t>
      </w:r>
    </w:p>
    <w:p>
      <w:pPr>
        <w:pStyle w:val="BookText"/>
        <w:bidi w:val="0"/>
        <w:rPr/>
      </w:pPr>
      <w:r>
        <w:rPr>
          <w:rFonts w:eastAsia="Times New Roman" w:cs="Times New Roman" w:ascii="Times New Roman" w:hAnsi="Times New Roman"/>
          <w:color w:val="111111"/>
          <w:sz w:val="28"/>
          <w:szCs w:val="28"/>
          <w:lang w:val="en-US"/>
        </w:rPr>
        <w:t>pernyataan konsensus oleh Ibnu Idris telah dimanfaatkan sebagai bukti. Katakanlah  konsensus yang dinukil dari Ibnu Idris tentang ketiadaan izin penegakan hukum di  Masa Kegaiban benar demikian adanya, lalu bandingkan dengan kutipan pendapat  mayoritas fukaha pada masa sebelum dan sesudahnya, niscaya akan diperoleh  kesimpulan betapa klaim ini tidak benar dari sudut pandang peneliti yang objektif  dan netral.</w:t>
      </w:r>
    </w:p>
    <w:p>
      <w:pPr>
        <w:pStyle w:val="BookText"/>
        <w:bidi w:val="0"/>
        <w:jc w:val="both"/>
        <w:rPr/>
      </w:pPr>
      <w:r>
        <w:rPr>
          <w:rFonts w:eastAsia="Times New Roman" w:cs="Times New Roman" w:ascii="Times New Roman" w:hAnsi="Times New Roman"/>
          <w:color w:val="111111"/>
          <w:sz w:val="28"/>
          <w:szCs w:val="28"/>
          <w:lang w:val="en-US"/>
        </w:rPr>
        <w:t>Klaim konsensus dari Ibnu Zuhrah juga nyaris tidak ada bedanya dengan  klaim Ibnu Idris: sama-sama menyimpan kerancuan, dan boleh jadi statement-nya  cenderung mengarah pada penafian hukum dibolehkannya pelaksanaan hukuman  oleh masyarakat umum.</w:t>
      </w:r>
      <w:r>
        <w:rPr>
          <w:rStyle w:val="FootnoteAnchor"/>
        </w:rPr>
        <w:footnoteReference w:id="105"/>
      </w:r>
      <w:r>
        <w:rPr>
          <w:rFonts w:eastAsia="Times New Roman" w:cs="Times New Roman" w:ascii="Times New Roman" w:hAnsi="Times New Roman"/>
          <w:color w:val="111111"/>
          <w:sz w:val="28"/>
          <w:szCs w:val="28"/>
          <w:lang w:val="en-US"/>
        </w:rPr>
        <w:t xml:space="preserve"> Poin penting lainnya, dalam rangka menerangkan penjelasan Muhaqiq Hilli,  penulis kritik dalam catatan kakinya menisbatkan kepada Sahib Jawahir bahwa  maksud Muhaqiq Hilli dari kalimat siapa yang ditunjuk olehnya untuk menegakkan  hukum' adalah orang yang ditunjuk khusus oleh imam, bukan yang ditunjuk secara  umum, yaitu fukaha di Masa Kegaiban.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Penisbatan ini terbantahkan bila merujuk uraian Sahib Jawahir sebelum dan  sesudah kalimat tersebut. Pemahamannya atas penjelasan Muhaqiq Hilli adalah tak  seorang pun (selain fukaha) berhak mengeksekusi hukum. Uraian dalam beberapa  baris sebelumnya menegaskan pemahamannya ini. Di sana, ia menyatakan selain  pendapat tidak dibolehkannya penegakan hukum di Masa Kegaiban, ada pendapat  bahwa (otoritas) penegakan hukum di masa itu dimiliki fukaha yang memenuhi  seluruh kriteria.</w:t>
      </w:r>
      <w:r>
        <w:rPr>
          <w:rStyle w:val="FootnoteAnchor"/>
        </w:rPr>
        <w:footnoteReference w:id="106"/>
      </w:r>
      <w:r>
        <w:rPr>
          <w:rFonts w:eastAsia="Times New Roman" w:cs="Times New Roman" w:ascii="Times New Roman" w:hAnsi="Times New Roman"/>
          <w:color w:val="111111"/>
          <w:sz w:val="28"/>
          <w:szCs w:val="28"/>
          <w:lang w:val="en-US"/>
        </w:rPr>
        <w:t>Pada beberapa baris kalimat berikutnya, setelah penjelasan  Muhaqiq Hilli, ia membubuhkan, “Saya tidak menemukan polemik dalam hal  ini.</w:t>
      </w:r>
      <w:r>
        <w:rPr>
          <w:rStyle w:val="FootnoteAnchor"/>
        </w:rPr>
        <w:footnoteReference w:id="107"/>
      </w:r>
      <w:r>
        <w:rPr>
          <w:rFonts w:eastAsia="Times New Roman" w:cs="Times New Roman" w:ascii="Times New Roman" w:hAnsi="Times New Roman"/>
          <w:color w:val="111111"/>
          <w:sz w:val="28"/>
          <w:szCs w:val="28"/>
          <w:lang w:val="en-US"/>
        </w:rPr>
        <w:t xml:space="preserve"> Terdapat kejanggalan bila Sahib Jawahir memaksudkan penentuan khusus  sebagai tidak bolehnya penegakan hukum di Masa Kegaiban, sekalipun bagi fukaha  yang memenuhi seluruh kriteria karena dalam beberapa baris kalimatnya, tercantum  dua statement yang jelas-jelas bertentangan satu sama lain. Artinya, dari satu sisi,  ia mengklaim selain pendapat tidak dibolehkannya penegakan hukum di Masa </w:t>
      </w:r>
    </w:p>
    <w:p>
      <w:pPr>
        <w:pStyle w:val="BookText"/>
        <w:bidi w:val="0"/>
        <w:rPr/>
      </w:pPr>
      <w:r>
        <w:rPr>
          <w:rFonts w:eastAsia="Times New Roman" w:cs="Times New Roman" w:ascii="Times New Roman" w:hAnsi="Times New Roman"/>
          <w:color w:val="111111"/>
          <w:sz w:val="28"/>
          <w:szCs w:val="28"/>
          <w:lang w:val="en-US"/>
        </w:rPr>
        <w:t xml:space="preserve">Kegaiban, ada pendapat bahwa (otoritas) penegakan hukum di masa itu dimiliki  fukaha yang memenuhi seluruh kriteria. Namun di sisi lain, setelah beberapa baris  setelahnya, ia menyatakan bahwa dirinya tidak menemukan perselisihan dalam  pendapat ini. </w:t>
      </w:r>
      <w:r>
        <w:rPr>
          <w:rStyle w:val="FootnoteAnchor"/>
        </w:rPr>
        <w:footnoteReference w:id="108"/>
      </w:r>
      <w:r>
        <w:rPr>
          <w:rFonts w:eastAsia="Times New Roman" w:cs="Times New Roman" w:ascii="Times New Roman" w:hAnsi="Times New Roman"/>
          <w:color w:val="111111"/>
          <w:sz w:val="28"/>
          <w:szCs w:val="28"/>
          <w:lang w:val="en-US"/>
        </w:rPr>
        <w:t xml:space="preserve"> Selanjutnya, berkenaan dengan pernyataan Sahib Jawahir saat menjelaskan  ucapan Muhaqiq Hilli, “orang yang ditentukan Imam untuk menegakkan hukum."  Di sini, ia mengatakan “yang khusus atau untuk perkara yang menjadi bagian  darinya.” Kata “khusus” ini bukan terminologi fikih, tetapi bermakna “kelayakan  khusus” sebagai lawan kata dari “kelayakan umum” yang dibebankan imam kepada  wakilnya, termasuk kelayakan menegakkan hukum. Maka, frasa “penentuan  khusus” bukan sebuah terminologi, karena itu pula tak memerlukan penjelasan.</w:t>
      </w:r>
    </w:p>
    <w:p>
      <w:pPr>
        <w:pStyle w:val="BookText"/>
        <w:bidi w:val="0"/>
        <w:jc w:val="both"/>
        <w:rPr/>
      </w:pPr>
      <w:r>
        <w:rPr>
          <w:rFonts w:eastAsia="Times New Roman" w:cs="Times New Roman" w:ascii="Times New Roman" w:hAnsi="Times New Roman"/>
          <w:color w:val="111111"/>
          <w:sz w:val="28"/>
          <w:szCs w:val="28"/>
          <w:lang w:val="en-US"/>
        </w:rPr>
        <w:t>Bukti berikutnya adalah pernyataan Sahib Jawahir persis setelah pendapat  Muhaqiq Hilli:</w:t>
      </w:r>
    </w:p>
    <w:p>
      <w:pPr>
        <w:pStyle w:val="BookText"/>
        <w:bidi w:val="0"/>
        <w:jc w:val="both"/>
        <w:rPr/>
      </w:pPr>
      <w:r>
        <w:rPr>
          <w:rFonts w:eastAsia="Times New Roman" w:cs="Times New Roman" w:ascii="Times New Roman" w:hAnsi="Times New Roman"/>
          <w:color w:val="111111"/>
          <w:sz w:val="28"/>
          <w:szCs w:val="28"/>
          <w:lang w:val="en-US"/>
        </w:rPr>
        <w:t>Barangkali, mengingat apa yang telah kami sebutkan seperti munculnya  fasad dan kerusakan akibat penyerahan otoritas kepada masyarakat umum, ia  menyatakan, “Tidak boleh bagi siapa pun melaksanakan hukuman kecuali Imam  saat beliau ada, dan punya kekuasaan, ‘atau orang yang ditunjuk' oleh Imam untuk  melaksanakannya secara khusus atau untuk perkara yang menjadi bagian darinya.</w:t>
      </w:r>
    </w:p>
    <w:p>
      <w:pPr>
        <w:pStyle w:val="BookText"/>
        <w:bidi w:val="0"/>
        <w:jc w:val="both"/>
        <w:rPr/>
      </w:pPr>
      <w:r>
        <w:rPr>
          <w:rFonts w:eastAsia="Times New Roman" w:cs="Times New Roman" w:ascii="Times New Roman" w:hAnsi="Times New Roman"/>
          <w:color w:val="111111"/>
          <w:sz w:val="28"/>
          <w:szCs w:val="28"/>
          <w:lang w:val="en-US"/>
        </w:rPr>
        <w:t>Sahib Jawahir menjelaskan falsafah privilese hukum kepada Imam atau orang  yang ditunjuknya demikian karena penyerahan (otoritas) eksekusi hukuman kepada  masyarakat umum akan menyebabkan kekacauan. Jadi dapat dikatakan maksud  Muhaqiq Hilli dengan 'yang ditunjuk adalah penunjukan khusus. Ini artinya  menolak penyerahan otoritas kepada orang awam (publik) untuk menegakkan  hukum di Masa Kegaiban. Pemberian otoritas kepada fukaha yang memenuhi  kriteria sah-sah saja. Karena itulah, tidak lagi diperlukan penjelasan lebih lanjut.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Bukti penting lainnya, fukaha tidak menisbatkan pendapat tidak bolehnya  menegakkan hukum di Masa Kegaiban kepada Muhaqiq Hilli. Bahkan sebagian  mereka, termasuk Sahib Jawahir, meyakini dirinya tidak menyatakan pendapat  apa pun berkaitan dengan penegakan hukum di masa itu;</w:t>
      </w:r>
      <w:r>
        <w:rPr>
          <w:rStyle w:val="FootnoteAnchor"/>
        </w:rPr>
        <w:footnoteReference w:id="109"/>
      </w:r>
      <w:r>
        <w:rPr>
          <w:rFonts w:eastAsia="Times New Roman" w:cs="Times New Roman" w:ascii="Times New Roman" w:hAnsi="Times New Roman"/>
          <w:color w:val="111111"/>
          <w:sz w:val="28"/>
          <w:szCs w:val="28"/>
          <w:lang w:val="en-US"/>
        </w:rPr>
        <w:t>ia abstain dan tidak  mengajukan pandangan baik negatif ataupun positif. Menurut Sahib Jawahir,  hanya Ibnu Idris dan Ibnu Zuhrah yang menentang penegakan hukum di Masa  Kegaiban, sementara yang lain tidak.</w:t>
      </w:r>
      <w:r>
        <w:rPr>
          <w:rStyle w:val="FootnoteAnchor"/>
        </w:rPr>
        <w:footnoteReference w:id="110"/>
      </w:r>
      <w:bookmarkStart w:id="67" w:name="pg6393_42986"/>
    </w:p>
    <w:p>
      <w:pPr>
        <w:pStyle w:val="BookText"/>
        <w:bidi w:val="0"/>
        <w:rPr/>
      </w:pPr>
      <w:bookmarkEnd w:id="67"/>
      <w:r>
        <w:rPr>
          <w:rFonts w:eastAsia="Times New Roman" w:cs="Times New Roman" w:ascii="Times New Roman" w:hAnsi="Times New Roman"/>
          <w:color w:val="111111"/>
          <w:sz w:val="28"/>
          <w:szCs w:val="28"/>
          <w:lang w:val="en-US"/>
        </w:rPr>
        <w:t xml:space="preserve">Kalau memang pernyataan itu secara eksplisit bermakna penentuan khusus, ini  berarti menguatkan pendapat tidak bolehnya eksekusi hukum pada masa itu. Maka  seorang fukaha besar seperti Sahib Jawahir tidak layak menisbatkan sikap abstain  kepada Muhaqiq Hilli. Bukti atas sikapnya ini tertera dalam bab lainnya pada  buku yang sama. Muhaqiq Hilli memaparkan pendapat ihwal otoritas fukaha yang  memenuhi seluruh kriteria untuk menegakkan hukum di Masa Kegaiban. Dalam  hal ini, ia tidak menunjukkan sikap yang jelas; apakah menolak atau menguatkan  pendapat tersebut. </w:t>
      </w:r>
      <w:r>
        <w:rPr>
          <w:rStyle w:val="FootnoteAnchor"/>
        </w:rPr>
        <w:footnoteReference w:id="111"/>
      </w:r>
      <w:r>
        <w:rPr>
          <w:rFonts w:eastAsia="Times New Roman" w:cs="Times New Roman" w:ascii="Times New Roman" w:hAnsi="Times New Roman"/>
          <w:color w:val="111111"/>
          <w:sz w:val="28"/>
          <w:szCs w:val="28"/>
          <w:lang w:val="en-US"/>
        </w:rPr>
        <w:t xml:space="preserve"> Dengan demikian, dapat disimpulkan bahwa klaim penulis kritik tidaklah  benar. Betapapun dia berusaha membuktikan tidak adanya otoritas eksekusi,  termasuk dalam delik kemurtadan di Masa Kegaiban dengan cara menisbatkannya  kepada sejumlah kecil fukaha. Justru tidak hanya klaim adanya konsensus, bahkan  klaim adanya pendapat masyhur dalam masalah ini juga tidak berdasar. Tak seorang  pun peneliti yang meragukan bahwa mayoritas fukaha mengakui otoritas legitimasi  pelaksanaan hukuman di masa itu.</w:t>
      </w:r>
    </w:p>
    <w:p>
      <w:pPr>
        <w:pStyle w:val="Heading3"/>
        <w:numPr>
          <w:ilvl w:val="2"/>
          <w:numId w:val="1"/>
        </w:numPr>
        <w:bidi w:val="0"/>
        <w:jc w:val="left"/>
        <w:rPr/>
      </w:pPr>
      <w:bookmarkStart w:id="68" w:name="__RefHeading___Toc419496_653776707"/>
      <w:bookmarkStart w:id="69" w:name="_Toc25"/>
      <w:bookmarkEnd w:id="68"/>
      <w:r>
        <w:rPr/>
        <w:t>Ikhtisar</w:t>
      </w:r>
      <w:bookmarkEnd w:id="6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Dalam perspektif Islam, murtad adalah orang yang menjadi kafir setelah  memeluk Islam. Kemurtadan terjadi dengan cara berikut:</w:t>
      </w:r>
    </w:p>
    <w:p>
      <w:pPr>
        <w:pStyle w:val="BookText"/>
        <w:bidi w:val="0"/>
        <w:jc w:val="both"/>
        <w:rPr/>
      </w:pPr>
      <w:r>
        <w:rPr>
          <w:rFonts w:eastAsia="Times New Roman" w:cs="Times New Roman" w:ascii="Times New Roman" w:hAnsi="Times New Roman"/>
          <w:color w:val="111111"/>
          <w:sz w:val="28"/>
          <w:szCs w:val="28"/>
          <w:lang w:val="en-US"/>
        </w:rPr>
        <w:t>a. Dengan tindakan seperti bersujud di hadapan berhala, menyembah  matahari, membuang Al-Qur'an ke tempat sampah, serta segala jenis  tindakan yang terang-terangan melecehkan.</w:t>
      </w:r>
    </w:p>
    <w:p>
      <w:pPr>
        <w:pStyle w:val="BookText"/>
        <w:bidi w:val="0"/>
        <w:jc w:val="both"/>
        <w:rPr/>
      </w:pPr>
      <w:r>
        <w:rPr>
          <w:rFonts w:eastAsia="Times New Roman" w:cs="Times New Roman" w:ascii="Times New Roman" w:hAnsi="Times New Roman"/>
          <w:color w:val="111111"/>
          <w:sz w:val="28"/>
          <w:szCs w:val="28"/>
          <w:lang w:val="en-US"/>
        </w:rPr>
        <w:t>Dengan ucapan, seperti terang-terangan mengingkari kewajiban atau  yang diharamkan terkait dengan ajaran niscaya (dharûrî) agama.</w:t>
      </w:r>
    </w:p>
    <w:p>
      <w:pPr>
        <w:pStyle w:val="BookText"/>
        <w:bidi w:val="0"/>
        <w:jc w:val="both"/>
        <w:rPr/>
      </w:pPr>
      <w:r>
        <w:rPr>
          <w:rFonts w:eastAsia="Times New Roman" w:cs="Times New Roman" w:ascii="Times New Roman" w:hAnsi="Times New Roman"/>
          <w:color w:val="111111"/>
          <w:sz w:val="28"/>
          <w:szCs w:val="28"/>
          <w:lang w:val="en-US"/>
        </w:rPr>
        <w:t>Ini terlepas: apakah kata-kata itu didasari kebencian, kepercayaan,  keyakinan, atau dengan niat menghina.</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Syarat kemurtadan adalah pelaku mengetahui dan menyadari  penyebab kemurtadan. Pada kasus pengingkaran ajaran niscaya  agama yang dilandasi kebodohan, tidak terjadi kemurtadan.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Dalam pandangan fukaha Syiah, penistaan terhadap simbol sakral agama  akan dinyatakan sebagai tindak kriminal jika Nabi Muhammad Saw dan  atau para Imam Ahlul Bait dihinakan dan dilecehkan (ihânah aw istihza).</w:t>
      </w:r>
    </w:p>
    <w:p>
      <w:pPr>
        <w:pStyle w:val="BookText"/>
        <w:bidi w:val="0"/>
        <w:jc w:val="both"/>
        <w:rPr/>
      </w:pPr>
      <w:r>
        <w:rPr>
          <w:rFonts w:eastAsia="Times New Roman" w:cs="Times New Roman" w:ascii="Times New Roman" w:hAnsi="Times New Roman"/>
          <w:color w:val="111111"/>
          <w:sz w:val="28"/>
          <w:szCs w:val="28"/>
          <w:lang w:val="en-US"/>
        </w:rPr>
        <w:t>Mayoritas fukaha Syiah berpendapat bahwa penistaan terhadap Siti  Fathimah Zahra (yang dipandang sebagai komponen Ahlul Bait Nabi Saw)  juga termasuk dalam kategori ini.</w:t>
      </w:r>
    </w:p>
    <w:p>
      <w:pPr>
        <w:pStyle w:val="BookText"/>
        <w:bidi w:val="0"/>
        <w:jc w:val="both"/>
        <w:rPr/>
      </w:pPr>
      <w:r>
        <w:rPr>
          <w:rFonts w:eastAsia="Times New Roman" w:cs="Times New Roman" w:ascii="Times New Roman" w:hAnsi="Times New Roman"/>
          <w:color w:val="111111"/>
          <w:sz w:val="28"/>
          <w:szCs w:val="28"/>
          <w:lang w:val="en-US"/>
        </w:rPr>
        <w:t>Dengan satu kriteria umum dapat dirumuskan, penistaan terhadap  perkara apa saja yang bersifat niscaya (dharûrî) dan pasti-jelas (qathî)  dalam pandangan Islam, adalah tindak kriminal, seperti menistakan Al-  Qur'an, Masjidil Haram, Ka'bah, dan syiar Allah Swt, serta semua hal yang  secara prinsip disakralkan dalam Islam. Kendati memang dari segi bobot  hukuman, ada perbedaan satu kasus dengan lainnya.</w:t>
      </w:r>
    </w:p>
    <w:p>
      <w:pPr>
        <w:pStyle w:val="BookText"/>
        <w:bidi w:val="0"/>
        <w:jc w:val="both"/>
        <w:rPr/>
      </w:pPr>
      <w:r>
        <w:rPr>
          <w:rFonts w:eastAsia="Times New Roman" w:cs="Times New Roman" w:ascii="Times New Roman" w:hAnsi="Times New Roman"/>
          <w:color w:val="111111"/>
          <w:sz w:val="28"/>
          <w:szCs w:val="28"/>
          <w:lang w:val="en-US"/>
        </w:rPr>
        <w:t>Selain itu, sejumlah fukaha prominen Syiah menjelaskan bahwa  penistaan dan penghinaan terhadap para nabi juga berdampak hukuman  yang berlaku pada penistaan terhadap Nabi Saw dan para Imam. Syahid  Tsani termasuk fukaha yang berpendapat bahwa menistakan para Nabi sama  dengan menistakan Nabi Saw. Kedua pelakunya layak dijatuhi hukuman.</w:t>
      </w:r>
    </w:p>
    <w:p>
      <w:pPr>
        <w:pStyle w:val="BookText"/>
        <w:bidi w:val="0"/>
        <w:jc w:val="both"/>
        <w:rPr/>
      </w:pPr>
      <w:r>
        <w:rPr>
          <w:rFonts w:eastAsia="Times New Roman" w:cs="Times New Roman" w:ascii="Times New Roman" w:hAnsi="Times New Roman"/>
          <w:color w:val="111111"/>
          <w:sz w:val="28"/>
          <w:szCs w:val="28"/>
          <w:lang w:val="en-US"/>
        </w:rPr>
        <w:t>Masih menurutnya, penistaan terhadap para nabi selain Nabi Saw itu  dilarang karena Islam mengharuskan mereka dihormati dan diagungkan.</w:t>
      </w:r>
    </w:p>
    <w:p>
      <w:pPr>
        <w:pStyle w:val="BookText"/>
        <w:bidi w:val="0"/>
        <w:jc w:val="both"/>
        <w:rPr/>
      </w:pPr>
      <w:r>
        <w:rPr>
          <w:rFonts w:eastAsia="Times New Roman" w:cs="Times New Roman" w:ascii="Times New Roman" w:hAnsi="Times New Roman"/>
          <w:color w:val="111111"/>
          <w:sz w:val="28"/>
          <w:szCs w:val="28"/>
          <w:lang w:val="en-US"/>
        </w:rPr>
        <w:t>Oleh sebab itu, melecehkan mereka mengakibatkan kemurtadan.</w:t>
      </w:r>
    </w:p>
    <w:p>
      <w:pPr>
        <w:pStyle w:val="BookText"/>
        <w:bidi w:val="0"/>
        <w:jc w:val="both"/>
        <w:rPr/>
      </w:pPr>
      <w:r>
        <w:rPr>
          <w:rFonts w:eastAsia="Times New Roman" w:cs="Times New Roman" w:ascii="Times New Roman" w:hAnsi="Times New Roman"/>
          <w:color w:val="111111"/>
          <w:sz w:val="28"/>
          <w:szCs w:val="28"/>
          <w:lang w:val="en-US"/>
        </w:rPr>
        <w:t>Pada pasal 513 Undang-undang Pidana Islam Iran (Ta’zirat) tahun  1375 HS, berdasarkan hukum Islam, tercantum: penistaan salah satu Nabi  adalah tindakan yang dilarang dan dinyatakan sebagai tindak kriminal.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Berkaitan dengan hal ini boleh jadi suatu kritik diajukan bahwa Islam  menggunakan basis internal dalam melindungi kesakralan simbol agama  lain. Misalnya, dalam kasus para nabi Allah.</w:t>
      </w:r>
    </w:p>
    <w:p>
      <w:pPr>
        <w:pStyle w:val="BookText"/>
        <w:bidi w:val="0"/>
        <w:jc w:val="both"/>
        <w:rPr/>
      </w:pPr>
      <w:r>
        <w:rPr>
          <w:rFonts w:eastAsia="Times New Roman" w:cs="Times New Roman" w:ascii="Times New Roman" w:hAnsi="Times New Roman"/>
          <w:color w:val="111111"/>
          <w:sz w:val="28"/>
          <w:szCs w:val="28"/>
          <w:lang w:val="en-US"/>
        </w:rPr>
        <w:t>Kritik ini dapat ditanggapi dengan beberapa argumen. Pertama, dalam  konteks ini tidak berpengaruh apakah dasar perlindungan hukum bagi  agama Tuhan lainnya, dalam konsep Islam, bersifat internal atau eksternal,  terutama dari segi efek perlindungan dan pengaruh positif dari sikap  menghormati agama lain. Demikian halnya dalam perspektif hak asasi  manusia, sebuah undang-undang disebut memenuhi kriteria dan logis  manakala lebih koheren dengan semangat hak asasi manusia. Adapun  apa dasar penetapan undang-undang itu, entah bersifat internal maupun  eksternal, tidak terlalu penting untuk dipertimbangkan.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hal ini juga berlaku pada konvensi dan hukum positif. Misalnya </w:t>
      </w:r>
    </w:p>
    <w:p>
      <w:pPr>
        <w:pStyle w:val="BookText"/>
        <w:bidi w:val="0"/>
        <w:rPr/>
      </w:pPr>
      <w:r>
        <w:rPr>
          <w:rFonts w:eastAsia="Times New Roman" w:cs="Times New Roman" w:ascii="Times New Roman" w:hAnsi="Times New Roman"/>
          <w:color w:val="111111"/>
          <w:sz w:val="28"/>
          <w:szCs w:val="28"/>
          <w:lang w:val="en-US"/>
        </w:rPr>
        <w:t>konvensi internasional akan memiliki kekuatan hukumnya di sebuah  negara bila telah diratifikasi dan ditetapkan melalui undang-undang  internal negara tersebut.</w:t>
      </w:r>
    </w:p>
    <w:p>
      <w:pPr>
        <w:pStyle w:val="BookText"/>
        <w:bidi w:val="0"/>
        <w:jc w:val="both"/>
        <w:rPr/>
      </w:pPr>
      <w:r>
        <w:rPr>
          <w:rFonts w:eastAsia="Times New Roman" w:cs="Times New Roman" w:ascii="Times New Roman" w:hAnsi="Times New Roman"/>
          <w:color w:val="111111"/>
          <w:sz w:val="28"/>
          <w:szCs w:val="28"/>
          <w:lang w:val="en-US"/>
        </w:rPr>
        <w:t>Ketiga, Alkitab juga menghormati Nabi Musa a.s. dan para nabi lainnya.</w:t>
      </w:r>
    </w:p>
    <w:p>
      <w:pPr>
        <w:pStyle w:val="BookText"/>
        <w:bidi w:val="0"/>
        <w:jc w:val="both"/>
        <w:rPr/>
      </w:pPr>
      <w:r>
        <w:rPr>
          <w:rFonts w:eastAsia="Times New Roman" w:cs="Times New Roman" w:ascii="Times New Roman" w:hAnsi="Times New Roman"/>
          <w:color w:val="111111"/>
          <w:sz w:val="28"/>
          <w:szCs w:val="28"/>
          <w:lang w:val="en-US"/>
        </w:rPr>
        <w:t>Alkitab bahkan mengabarkan ihwal yang berkaitan dengan Rasulullah Saw.</w:t>
      </w:r>
    </w:p>
    <w:p>
      <w:pPr>
        <w:pStyle w:val="BookText"/>
        <w:bidi w:val="0"/>
        <w:jc w:val="both"/>
        <w:rPr/>
      </w:pPr>
      <w:r>
        <w:rPr>
          <w:rFonts w:eastAsia="Times New Roman" w:cs="Times New Roman" w:ascii="Times New Roman" w:hAnsi="Times New Roman"/>
          <w:color w:val="111111"/>
          <w:sz w:val="28"/>
          <w:szCs w:val="28"/>
          <w:lang w:val="en-US"/>
        </w:rPr>
        <w:t>Dengan demikian doktrin Kristen dan hukum yang berlaku di Inggris  memiliki dasar internal berkenaan dengan perlindungan atas kesakralan  simbol agama lain, kendati hal ini tidak dijumpai pada level praktis.</w:t>
      </w:r>
    </w:p>
    <w:p>
      <w:pPr>
        <w:pStyle w:val="BookText"/>
        <w:bidi w:val="0"/>
        <w:jc w:val="both"/>
        <w:rPr/>
      </w:pPr>
      <w:r>
        <w:rPr>
          <w:rFonts w:eastAsia="Times New Roman" w:cs="Times New Roman" w:ascii="Times New Roman" w:hAnsi="Times New Roman"/>
          <w:color w:val="111111"/>
          <w:sz w:val="28"/>
          <w:szCs w:val="28"/>
          <w:lang w:val="en-US"/>
        </w:rPr>
        <w:t>4.Dalam agama Yahudi dan Kristen, kemurtadan dikenal sebagai tindak  kriminal: pelakunya dijatuhi hukuman mati. Berkenaan dengannya, Bibel  yang diakui (sebagai kitab autentik keagamaan) oleh para penganut Kristen  dan Yahudi, juga menghukumi kemurtadan sebagai tindak kriminal.</w:t>
      </w:r>
    </w:p>
    <w:p>
      <w:pPr>
        <w:pStyle w:val="BookText"/>
        <w:bidi w:val="0"/>
        <w:jc w:val="both"/>
        <w:rPr/>
      </w:pPr>
      <w:r>
        <w:rPr>
          <w:rFonts w:eastAsia="Times New Roman" w:cs="Times New Roman" w:ascii="Times New Roman" w:hAnsi="Times New Roman"/>
          <w:color w:val="111111"/>
          <w:sz w:val="28"/>
          <w:szCs w:val="28"/>
          <w:lang w:val="en-US"/>
        </w:rPr>
        <w:t>Hal di atas juga relevan dengan Common Law sebagai sistem hukum  yang sangat dipengaruhi hukum Gereja. Dewasa ini, sejumlah negara  Barat, di antaranya Inggris dan Amerika, menganut sistem hukum ini.</w:t>
      </w:r>
    </w:p>
    <w:p>
      <w:pPr>
        <w:pStyle w:val="BookText"/>
        <w:bidi w:val="0"/>
        <w:jc w:val="both"/>
        <w:rPr/>
      </w:pPr>
      <w:r>
        <w:rPr>
          <w:rFonts w:eastAsia="Times New Roman" w:cs="Times New Roman" w:ascii="Times New Roman" w:hAnsi="Times New Roman"/>
          <w:color w:val="111111"/>
          <w:sz w:val="28"/>
          <w:szCs w:val="28"/>
          <w:lang w:val="en-US"/>
        </w:rPr>
        <w:t>Atas dasar itu, penistaan simbol suci sudah dikenal sejak lama dengan  predikat blasphemy.</w:t>
      </w:r>
    </w:p>
    <w:p>
      <w:pPr>
        <w:pStyle w:val="BookText"/>
        <w:bidi w:val="0"/>
        <w:jc w:val="both"/>
        <w:rPr/>
      </w:pPr>
      <w:r>
        <w:rPr>
          <w:rFonts w:eastAsia="Times New Roman" w:cs="Times New Roman" w:ascii="Times New Roman" w:hAnsi="Times New Roman"/>
          <w:color w:val="111111"/>
          <w:sz w:val="28"/>
          <w:szCs w:val="28"/>
          <w:lang w:val="en-US"/>
        </w:rPr>
        <w:t>Berdasarkan definisi terkait yang dirumuskan kalangan pakar  hukum Barat, predikat itu tidak hanya meliputi penistaan simbol suci,  tetapi mencakup kermurtadan. Sebab berdasarkan definisi tersebut  setiap pengingkaran terhadap nilai kebenaran ajaran Kristen, Injil, dan  atau eksistensi Tuhan merupakan bentuk konkret dari tindak kriminal  (penistaan) tadi.</w:t>
      </w:r>
    </w:p>
    <w:p>
      <w:pPr>
        <w:pStyle w:val="BookText"/>
        <w:bidi w:val="0"/>
        <w:jc w:val="both"/>
        <w:rPr/>
      </w:pPr>
      <w:r>
        <w:rPr>
          <w:rFonts w:eastAsia="Times New Roman" w:cs="Times New Roman" w:ascii="Times New Roman" w:hAnsi="Times New Roman"/>
          <w:color w:val="111111"/>
          <w:sz w:val="28"/>
          <w:szCs w:val="28"/>
          <w:lang w:val="en-US"/>
        </w:rPr>
        <w:t>Beberapa di antara mereka bahkan berpendapat bahwa secara  konvensional, pemahaman primer kaidah ini, dalam sistem Common  Law, jauh lebih luas. Artinya segala bentuk tindakan yang sesuai kaidah  agama Kristen berhubungan dengan kepentingan umum dinilai sangat  vital. Sedemikian vitalnya sampai-sampai tak seorang pun dibolehkan  mengingkarinya. Dengan kata lain, berdasarkan Common Law, arti asal  kata blasphemy lebih general dari kemurtadan dan penistaan simbol suci.</w:t>
      </w:r>
    </w:p>
    <w:p>
      <w:pPr>
        <w:pStyle w:val="BookText"/>
        <w:bidi w:val="0"/>
        <w:jc w:val="both"/>
        <w:rPr/>
      </w:pPr>
      <w:r>
        <w:rPr>
          <w:rFonts w:eastAsia="Times New Roman" w:cs="Times New Roman" w:ascii="Times New Roman" w:hAnsi="Times New Roman"/>
          <w:color w:val="111111"/>
          <w:sz w:val="28"/>
          <w:szCs w:val="28"/>
          <w:lang w:val="en-US"/>
        </w:rPr>
        <w:t>Namun, dikarenakan luasnya pengertian blasphemy secara hukum, dalam  beberapa tahun belakangan ini di Inggris, muncul arus kritik terhadap  agama Kristen yang, kalau saja dibubuhi penghinaan dan pelecehan, akan  berakibat hukuman.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Kajian seputar skala pengertian blasphemy dalam Common Law, dengan  memperhatikan kekuatan hukumnya dalam tata hukum Inggris dewasa </w:t>
      </w:r>
    </w:p>
    <w:p>
      <w:pPr>
        <w:pStyle w:val="BookText"/>
        <w:bidi w:val="0"/>
        <w:rPr/>
      </w:pPr>
      <w:r>
        <w:rPr>
          <w:rFonts w:eastAsia="Times New Roman" w:cs="Times New Roman" w:ascii="Times New Roman" w:hAnsi="Times New Roman"/>
          <w:color w:val="111111"/>
          <w:sz w:val="28"/>
          <w:szCs w:val="28"/>
          <w:lang w:val="en-US"/>
        </w:rPr>
        <w:t>ini, menimbulkan persoalan yang lebih serius: apa kriteria dan logika yang  berlaku di Inggris sehingga berdasarkan kaidah tersebut, negara ini hanya  melindungi simbol sakral Kristen; perlakuan istimewa yang tidak diperoleh  agama lain? Aturan itu jelas-jelas bertentangan dengan antidiskriminasi  antarpemeluk agama, sebagaimana ditegaskan dalam sekian banyak  konvensi internasional HAM.</w:t>
      </w:r>
    </w:p>
    <w:p>
      <w:pPr>
        <w:pStyle w:val="BookText"/>
        <w:bidi w:val="0"/>
        <w:jc w:val="both"/>
        <w:rPr/>
      </w:pPr>
      <w:r>
        <w:rPr>
          <w:rFonts w:eastAsia="Times New Roman" w:cs="Times New Roman" w:ascii="Times New Roman" w:hAnsi="Times New Roman"/>
          <w:color w:val="111111"/>
          <w:sz w:val="28"/>
          <w:szCs w:val="28"/>
          <w:lang w:val="en-US"/>
        </w:rPr>
        <w:t>Coba simak kasus penistaan Salman Rushdie lewat karya tulisnya,  Ayat-ayat Setan, terhadap sosok Rasulullah Saw. Bagaimana peradilan  Inggris itu berdalih bahwa aturan blasphemy berlaku efektif hanya pada  kasus penistaan simbol sakral Kristen, sementara untuk agama lain, tidak.</w:t>
      </w:r>
    </w:p>
    <w:p>
      <w:pPr>
        <w:pStyle w:val="BookText"/>
        <w:bidi w:val="0"/>
        <w:jc w:val="both"/>
        <w:rPr/>
      </w:pPr>
      <w:r>
        <w:rPr>
          <w:rFonts w:eastAsia="Times New Roman" w:cs="Times New Roman" w:ascii="Times New Roman" w:hAnsi="Times New Roman"/>
          <w:color w:val="111111"/>
          <w:sz w:val="28"/>
          <w:szCs w:val="28"/>
          <w:lang w:val="en-US"/>
        </w:rPr>
        <w:t>Sejumlah pakar hukum Barat yang bersikap netral menentang pandangan  pengadilan Inggris. Selain mengapresiasi protes kaum Muslimin, mereka  menilai kecenderungan membatasi efektivitas hukum untuk golongan  tertentu dikategorikan sebagai tindak diksriminasi di ranah agama. Pada  konklusi mereka, undang-undang itu bertentangan dengan pasal 9 dan 14  Konvensi Eropa tentang HAM.</w:t>
      </w:r>
    </w:p>
    <w:p>
      <w:pPr>
        <w:pStyle w:val="BookText"/>
        <w:bidi w:val="0"/>
        <w:jc w:val="both"/>
        <w:rPr/>
      </w:pPr>
      <w:r>
        <w:rPr>
          <w:rFonts w:eastAsia="Times New Roman" w:cs="Times New Roman" w:ascii="Times New Roman" w:hAnsi="Times New Roman"/>
          <w:color w:val="111111"/>
          <w:sz w:val="28"/>
          <w:szCs w:val="28"/>
          <w:lang w:val="en-US"/>
        </w:rPr>
        <w:t>Sebelum 1970, telah diberlakukan hukuman mati terhadap tindak  penistaan simbol sakral di sejumlah negara bagian Amerika Serikat. Dalam  upaya melengkapi landasan hukumnya, majalah itu bahkan bersandar  pada laporan sebuah arsip hukum. Tercatat di dalamnya bahwa ada empat  nama Quakers Protestant telah dijatuhi hukuman mati, dan dieksekusi  pada 1659.</w:t>
      </w:r>
    </w:p>
    <w:p>
      <w:pPr>
        <w:pStyle w:val="BookText"/>
        <w:bidi w:val="0"/>
        <w:jc w:val="both"/>
        <w:rPr/>
      </w:pPr>
      <w:r>
        <w:rPr>
          <w:rFonts w:eastAsia="Times New Roman" w:cs="Times New Roman" w:ascii="Times New Roman" w:hAnsi="Times New Roman"/>
          <w:color w:val="111111"/>
          <w:sz w:val="28"/>
          <w:szCs w:val="28"/>
          <w:lang w:val="en-US"/>
        </w:rPr>
        <w:t>Pengadilan New York berkaitan dengan kasus serupa menyatakan  bahwa penistaan terhadap Isa Al-Masih a.s. mengganggu etika sosial.</w:t>
      </w:r>
    </w:p>
    <w:p>
      <w:pPr>
        <w:pStyle w:val="BookText"/>
        <w:bidi w:val="0"/>
        <w:jc w:val="both"/>
        <w:rPr/>
      </w:pPr>
      <w:r>
        <w:rPr>
          <w:rFonts w:eastAsia="Times New Roman" w:cs="Times New Roman" w:ascii="Times New Roman" w:hAnsi="Times New Roman"/>
          <w:color w:val="111111"/>
          <w:sz w:val="28"/>
          <w:szCs w:val="28"/>
          <w:lang w:val="en-US"/>
        </w:rPr>
        <w:t>Selain itu, tindakan ini juga merusak ketertiban umum.</w:t>
      </w:r>
    </w:p>
    <w:p>
      <w:pPr>
        <w:pStyle w:val="BookText"/>
        <w:bidi w:val="0"/>
        <w:jc w:val="both"/>
        <w:rPr/>
      </w:pPr>
      <w:r>
        <w:rPr>
          <w:rFonts w:eastAsia="Times New Roman" w:cs="Times New Roman" w:ascii="Times New Roman" w:hAnsi="Times New Roman"/>
          <w:color w:val="111111"/>
          <w:sz w:val="28"/>
          <w:szCs w:val="28"/>
          <w:lang w:val="en-US"/>
        </w:rPr>
        <w:t>Dari uraian seputar sistem hukum Common Law, dapat disaksikan  adanya campur-aduk antara kemurtadan dan penistaan simbol sakral.</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Memang, saat ini hanya penistaan simbol sakral saja yang diakui sebagai  tindak kriminal. Namun demikian, jalur hukum untuk mengidentifikasi  status kriminal pada kemurtadan dalam aturan blasphemy warisan Common  Law ini masih tetap terbuka. Dewasa ini, aturan itu tidak lagi diacu sebagai  dasar hukum. Alasannya, masyarakat Barat sudah tidak punya keterikatan  emosional dengan simbol sakral keagamaan. Oleh karena itu, penistaan  simbol sakral dan seruan menentang Kristen (yang sudah diselewengkan  dan bercampur mitos) tidak akan mengusik emosi dan etika publik. Jika  kondisi ini lalu muncul di negara-negara itu, tentunya-berdasarkan aturan </w:t>
      </w:r>
    </w:p>
    <w:p>
      <w:pPr>
        <w:pStyle w:val="BookText"/>
        <w:bidi w:val="0"/>
        <w:rPr/>
      </w:pPr>
      <w:r>
        <w:rPr>
          <w:rFonts w:eastAsia="Times New Roman" w:cs="Times New Roman" w:ascii="Times New Roman" w:hAnsi="Times New Roman"/>
          <w:color w:val="111111"/>
          <w:sz w:val="28"/>
          <w:szCs w:val="28"/>
          <w:lang w:val="en-US"/>
        </w:rPr>
        <w:t>tersebut-penista simbol sakral dan orang murtad akan diperlakukan  sebagai pelaku kriminalitas dengan catatan: tindakan itu bertentangan  dengan tatanan dan etika sosialnya sendiri.</w:t>
      </w:r>
    </w:p>
    <w:p>
      <w:pPr>
        <w:pStyle w:val="BookText"/>
        <w:bidi w:val="0"/>
        <w:jc w:val="both"/>
        <w:rPr/>
      </w:pPr>
      <w:r>
        <w:rPr>
          <w:rFonts w:eastAsia="Times New Roman" w:cs="Times New Roman" w:ascii="Times New Roman" w:hAnsi="Times New Roman"/>
          <w:color w:val="111111"/>
          <w:sz w:val="28"/>
          <w:szCs w:val="28"/>
          <w:lang w:val="en-US"/>
        </w:rPr>
        <w:t>Dengan mencermati perbedaan dan dampak khas hukuman pada setiap  dari dua tindak kriminal di atas (kemurtadan dan penistaan), maka kriteria  khusus masing-masing harus dirumuskan secara tegas. Dalam rangka ini,  perlu digarisbawahi bahwa status kriminal pada penistaan Nabi Saw dan  para Imam maksum terbuktikan dengan argumen khusus, dan karena  inilah tindakan itu dikategorikan sebagai kriminalitas tersendiri dengan  dampak hukumnya yang juga khas. Dengan demikian, penistaan itu tidak  masuk dalam kategori kemurtadan.</w:t>
      </w:r>
    </w:p>
    <w:p>
      <w:pPr>
        <w:pStyle w:val="BookText"/>
        <w:bidi w:val="0"/>
        <w:jc w:val="both"/>
        <w:rPr/>
      </w:pPr>
      <w:r>
        <w:rPr>
          <w:rFonts w:eastAsia="Times New Roman" w:cs="Times New Roman" w:ascii="Times New Roman" w:hAnsi="Times New Roman"/>
          <w:color w:val="111111"/>
          <w:sz w:val="28"/>
          <w:szCs w:val="28"/>
          <w:lang w:val="en-US"/>
        </w:rPr>
        <w:t>Memang, terdapat banyak kesamaan dengan tindakan murtad hingga,  dalam keterangan beberapa fukaha, dinyatakan bahwa penista Nabi Saw  dan para imam sama hukumnya dengan orang murtad. Adakalanya  penetapan hukuman bagi penista Nabi Saw dan para Imam maksum  bahkan berpijak pada argumen kemurtadan. Kendati demikian, tindak  menista itu tetap memiliki hukum khas yang tidak mengikuti hukum  kemurtadan. Adapun penistaan terang-terangan terhadap simbol sakral dan  prinsip agama, seperti Al-Qur'an dan Ka'bah, termasuk dalam kriminalitas  murtad dan tentu saja mengikuti kaidah hukumnya. Hanya perlu dicatat  bahwa dampak hukuman dua tindak kriminal ini (pengingkaran ajaran  niscaya agama, dan penistaan simbol sakral) tidak dapat diterapkan pada  tindak kriminal penistaan terhadap simbol sakral yang tidak dasar (seperti  penistaan terhadapImam yang punya dalil khusus, dan merupakan simbol  sakral menurut mazhab Ahlul Bait as-penj.).</w:t>
      </w:r>
    </w:p>
    <w:p>
      <w:pPr>
        <w:pStyle w:val="BookText"/>
        <w:bidi w:val="0"/>
        <w:jc w:val="both"/>
        <w:rPr/>
      </w:pPr>
      <w:r>
        <w:rPr>
          <w:rFonts w:eastAsia="Times New Roman" w:cs="Times New Roman" w:ascii="Times New Roman" w:hAnsi="Times New Roman"/>
          <w:color w:val="111111"/>
          <w:sz w:val="28"/>
          <w:szCs w:val="28"/>
          <w:lang w:val="en-US"/>
        </w:rPr>
        <w:t>6.Ajaran niscaya (dharûri) agama tidak berbeda dengan yang dimaksud  dalam ilmu logika, yaitu proposisi (aksiom) yang dapat diterima sebagai  kebenaran tanpa memerlukan perumusan argumentasi dan dalil. Perihal  sebaliknya adalah proposisi spekulatif (nazhari) memerlukan argumentasi  untuk dapat diakui sebagai kebenaran.</w:t>
      </w:r>
    </w:p>
    <w:p>
      <w:pPr>
        <w:pStyle w:val="BookText"/>
        <w:bidi w:val="0"/>
        <w:jc w:val="both"/>
        <w:rPr/>
      </w:pPr>
      <w:r>
        <w:rPr>
          <w:rFonts w:eastAsia="Times New Roman" w:cs="Times New Roman" w:ascii="Times New Roman" w:hAnsi="Times New Roman"/>
          <w:color w:val="111111"/>
          <w:sz w:val="28"/>
          <w:szCs w:val="28"/>
          <w:lang w:val="en-US"/>
        </w:rPr>
        <w:t>Berdasarkan definisi ini, setidaknya ada kepastian minimal seputar  pengertian ajaran niscaya agama, yakni sekumpulan hukum yang  disepakati seluruh mazhab Islam, entah Syiah maupun Ahli Sunnah.</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kata lain, sedemikian jelasnya ajaran itu ada dalam Islam hingga  tak memerlukan argumentasi. Lawannya adalah ajaran niscaya mazhab  yang hanya diterima kalangan Syiah, tidak oleh seluruh Muslim. </w:t>
      </w:r>
    </w:p>
    <w:p>
      <w:pPr>
        <w:pStyle w:val="BookText"/>
        <w:bidi w:val="0"/>
        <w:rPr/>
      </w:pPr>
      <w:r>
        <w:rPr>
          <w:rFonts w:eastAsia="Times New Roman" w:cs="Times New Roman" w:ascii="Times New Roman" w:hAnsi="Times New Roman"/>
          <w:color w:val="111111"/>
          <w:sz w:val="28"/>
          <w:szCs w:val="28"/>
          <w:lang w:val="en-US"/>
        </w:rPr>
        <w:t>Dalam pandangan sebagian fukaha Syiah, pengingkaran terhadap setiap  hukum agama menyebabkan kemurtadan, kendati itu tidak termasuk  ajaran niscayanya, dengan catatan: hukum itu diyakini si pelaku sebagai  hukum yang pasti-jelas (yaqînî) dalam Islam. Sebegitu jelas dan pasti  sehingga pengingkaran tersebut meniscayakan pengingkaran Kenabian  yang berdampak pada pengingkaran Tuhan. Dengannya menjadi jelas  bahwa kemurtadan akan terjadi dalam konteks pengingkaran Tuhan atau  Kenabian; bukan dalam konteks mengingkari salah satu hukum Islam.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Dari segenap uraian yang dibawakan, dapat dipahami bahwa kalangan  fukaha mengidentifikasi bentuk kemurtadan dalam jumlah terbatas.</w:t>
      </w:r>
    </w:p>
    <w:p>
      <w:pPr>
        <w:pStyle w:val="BookText"/>
        <w:bidi w:val="0"/>
        <w:jc w:val="both"/>
        <w:rPr/>
      </w:pPr>
      <w:r>
        <w:rPr>
          <w:rFonts w:eastAsia="Times New Roman" w:cs="Times New Roman" w:ascii="Times New Roman" w:hAnsi="Times New Roman"/>
          <w:color w:val="111111"/>
          <w:sz w:val="28"/>
          <w:szCs w:val="28"/>
          <w:lang w:val="en-US"/>
        </w:rPr>
        <w:t>Penyebabnya barangkali keterbatasan lingkup kemurtadan mengingat  landasan definisi yang telah dikemukakan. Selain itu, telaah masalah ini  memerlukan kehati-hatian. Oleh karena itu, dalam perkara-perkara yang  masih diragukan: apakah suatu hukum itu berstatus sebagai ajaran niscaya  agama atau tidak, asas utama di dalamnya adalah ketiadaan status itu (bukan  sebagai ajaran niscaya), sampai ada argumen yang membuktikan statusnya  demikian. Lebih cermatnya, keraguan mengenai niscaya-tidaknya sebuah  hukum, sudah cukup untuk memastikan bahwa hukum itu tidak niscaya  (yakni, bukan ajaran niscaya agama).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Landasan hukum kemurtadan bukan hanya khabar wahid. Selain khabar  wâhid yang shahih, fukaha Syiah dan Ahli Sunnah juga menyatakan  adanya konsensus (ijma) dalam hal ini. Ibnu Idris juga menerima  kemestian ganjaran bagi pelaku murtad. Jika landasan hukum kemurtadan  itu khabar wähid, figur fikih semacam Ibnu Idris dan Sayyid Murtadha  semestinya tidak menguatkan hukum kemurtadan karena keduanya tidak  menyandarkan fatwanya pada khabar wahid.</w:t>
      </w:r>
    </w:p>
    <w:p>
      <w:pPr>
        <w:pStyle w:val="BookText"/>
        <w:bidi w:val="0"/>
        <w:jc w:val="both"/>
        <w:rPr/>
      </w:pPr>
      <w:r>
        <w:rPr>
          <w:rFonts w:eastAsia="Times New Roman" w:cs="Times New Roman" w:ascii="Times New Roman" w:hAnsi="Times New Roman"/>
          <w:color w:val="111111"/>
          <w:sz w:val="28"/>
          <w:szCs w:val="28"/>
          <w:lang w:val="en-US"/>
        </w:rPr>
        <w:t>Maka, dapat dinyatakan bahwa di mata fukaha, konsensus punya  kredibilitas mandiri. Atau, riwayat yang berhubungan dengan kemurtadan  mencapai level khabar wâhid yang dilengkapi indikasi-indikasi pasti-jelas.</w:t>
      </w:r>
    </w:p>
    <w:p>
      <w:pPr>
        <w:pStyle w:val="BookText"/>
        <w:bidi w:val="0"/>
        <w:jc w:val="both"/>
        <w:rPr/>
      </w:pPr>
      <w:r>
        <w:rPr>
          <w:rFonts w:eastAsia="Times New Roman" w:cs="Times New Roman" w:ascii="Times New Roman" w:hAnsi="Times New Roman"/>
          <w:color w:val="111111"/>
          <w:sz w:val="28"/>
          <w:szCs w:val="28"/>
          <w:lang w:val="en-US"/>
        </w:rPr>
        <w:t>Dalil terbaik adanya indikasi pasti-jelas untuk riwayat terkait adalah  tak satu pun fukaha Syiah dan Ahli Sunnah yang menolak kemestian  ganjaran bagi kemurtadan, termasuk Ibnu Idris dan Sayyid Murtadha.</w:t>
      </w:r>
    </w:p>
    <w:p>
      <w:pPr>
        <w:pStyle w:val="BookText"/>
        <w:bidi w:val="0"/>
        <w:jc w:val="both"/>
        <w:rPr/>
      </w:pPr>
      <w:r>
        <w:rPr>
          <w:rFonts w:eastAsia="Times New Roman" w:cs="Times New Roman" w:ascii="Times New Roman" w:hAnsi="Times New Roman"/>
          <w:color w:val="111111"/>
          <w:sz w:val="28"/>
          <w:szCs w:val="28"/>
          <w:lang w:val="en-US"/>
        </w:rPr>
        <w:t>Perbedaannya hanya pada persyaratan dan masalah-masalah parsial  yang berkaitan dengan kemurtadan.Dengan demikian, riwayat seputar  kemurtadan dianggap telah diterima di kalangan fuhaka.</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Berdasarkan ayat “Lâ ikrâh fi al-dîn”, Islam mengakui kebebasan</w:t>
      </w:r>
    </w:p>
    <w:p>
      <w:pPr>
        <w:pStyle w:val="BookText"/>
        <w:bidi w:val="0"/>
        <w:rPr/>
      </w:pPr>
      <w:r>
        <w:rPr>
          <w:rFonts w:eastAsia="Times New Roman" w:cs="Times New Roman" w:ascii="Times New Roman" w:hAnsi="Times New Roman"/>
          <w:color w:val="111111"/>
          <w:sz w:val="28"/>
          <w:szCs w:val="28"/>
          <w:lang w:val="en-US"/>
        </w:rPr>
        <w:t>berkeyakinan dan berpikir. Namun, kebebasan dalam mengungkapkan  dan mengekspresikan setiap keyakinan bukan hanya ditolak oleh agama  Islam. Bahkan, tak satu pun aturan dan sistem hukum yang menerima  kebebasan sepenuhnya. Hanya perlu dicatat, Islam memberi kebebasan  untuk mengekspresikan keyakinan yang menentang tauhid dengan syarat,  itu dilakukan di kanal yang tepat dan proporsional, yakni di forum ilmiah  dan spesialis dalam bidangnya; bukan ke ruang publik dan nonspesialis,  yang akan menyulut perpecahan dan berujung pada runtuhnya norma-  etika sosial.</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Dapat disimpulkan bahwa klaim penulis kritik tidaklah benar. Betapa dia  berusaha membuktikan tidak adanya otoritas eksekusi, termasuk dalam  delik kemurtadan, di Masa Kegaiban dengan cara menisbatkannya kepada  sejumlah kecil fukaha. Justru, bukan hanya klaim adanya konsensus,  bahkan klaim adanya pendapat masyhur dalam masalah ini juga tidak  berdasar. Tak seorang pun peneliti yang meragukan bahwa mayoritas  fukaha mengakui otoritas legitimasi pelaksanaan hukuman di masa itu.</w:t>
      </w:r>
      <w:bookmarkStart w:id="70" w:name="pg6393_42998"/>
    </w:p>
    <w:p>
      <w:pPr>
        <w:pStyle w:val="Heading2"/>
        <w:numPr>
          <w:ilvl w:val="1"/>
          <w:numId w:val="1"/>
        </w:numPr>
        <w:bidi w:val="0"/>
        <w:jc w:val="left"/>
        <w:rPr/>
      </w:pPr>
      <w:bookmarkStart w:id="71" w:name="__RefHeading___Toc419498_653776707"/>
      <w:bookmarkStart w:id="72" w:name="_Toc26"/>
      <w:bookmarkEnd w:id="70"/>
      <w:bookmarkEnd w:id="71"/>
      <w:r>
        <w:rPr/>
        <w:t>BAB II:Kemurtadan dalam Konteks Intelektualitas dan Ilmiah</w:t>
      </w:r>
      <w:bookmarkEnd w:id="72"/>
    </w:p>
    <w:p>
      <w:pPr>
        <w:pStyle w:val="Heading3"/>
        <w:numPr>
          <w:ilvl w:val="2"/>
          <w:numId w:val="1"/>
        </w:numPr>
        <w:bidi w:val="0"/>
        <w:jc w:val="left"/>
        <w:rPr/>
      </w:pPr>
      <w:bookmarkStart w:id="73" w:name="__RefHeading___Toc419500_653776707"/>
      <w:bookmarkStart w:id="74" w:name="_Toc27"/>
      <w:bookmarkEnd w:id="73"/>
      <w:r>
        <w:rPr/>
        <w:t>Point</w:t>
      </w:r>
      <w:bookmarkEnd w:id="74"/>
    </w:p>
    <w:p>
      <w:pPr>
        <w:pStyle w:val="BookText"/>
        <w:bidi w:val="0"/>
        <w:jc w:val="both"/>
        <w:rPr/>
      </w:pPr>
      <w:r>
        <w:rPr>
          <w:rFonts w:eastAsia="Times New Roman" w:cs="Times New Roman" w:ascii="Times New Roman" w:hAnsi="Times New Roman"/>
          <w:color w:val="111111"/>
          <w:sz w:val="28"/>
          <w:szCs w:val="28"/>
          <w:lang w:val="en-US"/>
        </w:rPr>
        <w:t>Salah satu persoalan yang paling fundamental dalam konteks kemurtadan akan  diulas dalam bab ini. Rumusannya, apakah seseorang dianggap murtad dengan  hanya meragukan ajaran niscaya (dharûrî) agama? Boleh jadi pengingkaran ajaran  niscaya agama itu dilandasi pemikiran dan argumentasi -kendati hakikatnya atau  menurut keyakinan sebagian pihak, itu pasti argumentasi yang keliru, seperti yang  dilakukan beberapa pemikir dan filosof dalam sejarah. Apakah pengingkaran ini  menyebabkan kemurtadan?  Sebelum menjawab pertanyaan ini ada satu hal perlu diteliti, apakah  pengingkaran ajaran niscaya agama an sich menyebabkan kemurtadan? Atau hanya  jika itu meniscayakan pengingkaran ketuhanan dan atau kenabian?  Pengingkaran ajaran niscaya agama menurut sebagian kalangan dapat dianggap  sebagai variabel independen (sabab mustaqil) terjadinya kemurtadan. Termasuk di  dalamnya yang didasari kajian ilmiah dan pemikiran, sekalipun tidak ada maksud  mengingkari Ketuhanan dan atau Kenabian dalam pengambilan kesimpulannya.</w:t>
      </w:r>
    </w:p>
    <w:p>
      <w:pPr>
        <w:pStyle w:val="BookText"/>
        <w:bidi w:val="0"/>
        <w:jc w:val="both"/>
        <w:rPr/>
      </w:pPr>
      <w:r>
        <w:rPr>
          <w:rFonts w:eastAsia="Times New Roman" w:cs="Times New Roman" w:ascii="Times New Roman" w:hAnsi="Times New Roman"/>
          <w:color w:val="111111"/>
          <w:sz w:val="28"/>
          <w:szCs w:val="28"/>
          <w:lang w:val="en-US"/>
        </w:rPr>
        <w:t>Namun pada pembahasan selanjutnya sebagian fukaha bahkan mempertanyakan  status murtad dalam konteks ini.</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akan berbeda manakala pengingkaran ajaran niscaya agama tidak diakui  sebagai variabel independen kemurtadan. Kemurtadan akan menggejala jika  tindakan itu beranjak sampai pengingkaran Ketuhanan dan atau Kenabian. Dengan  demikian pengingkaran ajaran niscaya agama jika bersumber dari kajian ilmiah  dan aktivitas intelektual, idak menyebabkan kemurtadan. Kecuali jika dengan  tindakan itu bermaksud mengingkari ketuhanan dan / atau kenabian. Tentunya, </w:t>
      </w:r>
      <w:bookmarkStart w:id="75" w:name="pg6393_43000"/>
    </w:p>
    <w:p>
      <w:pPr>
        <w:pStyle w:val="BookText"/>
        <w:bidi w:val="0"/>
        <w:rPr/>
      </w:pPr>
      <w:bookmarkEnd w:id="75"/>
      <w:r>
        <w:rPr>
          <w:rFonts w:eastAsia="Times New Roman" w:cs="Times New Roman" w:ascii="Times New Roman" w:hAnsi="Times New Roman"/>
          <w:color w:val="111111"/>
          <w:sz w:val="28"/>
          <w:szCs w:val="28"/>
          <w:lang w:val="en-US"/>
        </w:rPr>
        <w:t>jika unsur maksud ini dijadikan prasyarat maka pihak pengadilan dan hakimlah  yang bertanggung jawab untuk membuktikannya, bukan pihak tertuduh.</w:t>
      </w:r>
    </w:p>
    <w:p>
      <w:pPr>
        <w:pStyle w:val="BookText"/>
        <w:bidi w:val="0"/>
        <w:jc w:val="both"/>
        <w:rPr/>
      </w:pPr>
      <w:r>
        <w:rPr>
          <w:rFonts w:eastAsia="Times New Roman" w:cs="Times New Roman" w:ascii="Times New Roman" w:hAnsi="Times New Roman"/>
          <w:color w:val="111111"/>
          <w:sz w:val="28"/>
          <w:szCs w:val="28"/>
          <w:lang w:val="en-US"/>
        </w:rPr>
        <w:t>Persoalan ‘apakah pengingkaran ajaran niscaya agama adalah variabel independen  kemurtadaan atau bukan?' menjadi tema yang mendasar. Oleh karena itu, pertama-  tama akan diketengahkan pembahasan ini secara memadai, kemudian disusul  dengan dua masalah berikut, apakah “keraguan dalam konteks ushuluddin' dan  ‘kemurtadan yang bersumber dari kerancuan intelektual (syubhah)' juga termasuk  kasus kemurtadan atau tidak?</w:t>
      </w:r>
    </w:p>
    <w:p>
      <w:pPr>
        <w:pStyle w:val="Heading3"/>
        <w:numPr>
          <w:ilvl w:val="2"/>
          <w:numId w:val="1"/>
        </w:numPr>
        <w:bidi w:val="0"/>
        <w:jc w:val="left"/>
        <w:rPr/>
      </w:pPr>
      <w:bookmarkStart w:id="76" w:name="__RefHeading___Toc419502_653776707"/>
      <w:bookmarkStart w:id="77" w:name="_Toc28"/>
      <w:bookmarkEnd w:id="76"/>
      <w:r>
        <w:rPr/>
        <w:t>Kemurtadan dan Keraguan Ushuluddin</w:t>
      </w:r>
      <w:bookmarkEnd w:id="77"/>
    </w:p>
    <w:p>
      <w:pPr>
        <w:pStyle w:val="Heading3"/>
        <w:numPr>
          <w:ilvl w:val="2"/>
          <w:numId w:val="1"/>
        </w:numPr>
        <w:bidi w:val="0"/>
        <w:jc w:val="left"/>
        <w:rPr/>
      </w:pPr>
      <w:bookmarkStart w:id="78" w:name="__RefHeading___Toc419504_653776707"/>
      <w:bookmarkStart w:id="79" w:name="_Toc29"/>
      <w:bookmarkEnd w:id="78"/>
      <w:r>
        <w:rPr/>
        <w:t>Pandangan Fukaha</w:t>
      </w:r>
      <w:bookmarkEnd w:id="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Satu lagi pertanyaan penting dalam kajian kemurtadan, apakah kemurtadan  berlangsung sebatas pada meragukan ketuhanan, atau kenabian, dan atau  ajaran niscaya agama? Atau di dalamnya juga disyarati unsur penentangan dan  pengingkaran ?  Kebanyakan fukaha Syiah mendefinisikan kemurtadan dengan rumusan hingga  meliputi kondisi keraguan. Ibnu Hamzah Thusi menyebutkan,  Barang siapa yang terjebak keraguan setelah mengakui kebenaran sabda Nabi  Saw; atau mengatakan tak tahu apakah nabi itu jujur atau pendusta; darahnya  mubah.</w:t>
      </w:r>
      <w:r>
        <w:rPr>
          <w:rStyle w:val="FootnoteAnchor"/>
        </w:rPr>
        <w:footnoteReference w:id="112"/>
      </w:r>
      <w:r>
        <w:rPr>
          <w:rFonts w:eastAsia="Times New Roman" w:cs="Times New Roman" w:ascii="Times New Roman" w:hAnsi="Times New Roman"/>
          <w:color w:val="111111"/>
          <w:sz w:val="28"/>
          <w:szCs w:val="28"/>
          <w:lang w:val="en-US"/>
        </w:rPr>
        <w:t xml:space="preserve"> Pandangan ini disandarkan pada riwayat terkait yang telah dinukil seperti  riwayat dari Imam Shadiq.</w:t>
      </w:r>
      <w:r>
        <w:rPr>
          <w:rStyle w:val="FootnoteAnchor"/>
        </w:rPr>
        <w:footnoteReference w:id="113"/>
      </w:r>
      <w:r>
        <w:rPr>
          <w:rFonts w:eastAsia="Times New Roman" w:cs="Times New Roman" w:ascii="Times New Roman" w:hAnsi="Times New Roman"/>
          <w:color w:val="111111"/>
          <w:sz w:val="28"/>
          <w:szCs w:val="28"/>
          <w:lang w:val="en-US"/>
        </w:rPr>
        <w:t xml:space="preserve"> Sahib Jawahir, salah seorang fakih terbaik Syiah, menetapkan bahwa kemurtadan  dialami meski hanya sebatas keraguan.</w:t>
      </w:r>
      <w:r>
        <w:rPr>
          <w:rStyle w:val="FootnoteAnchor"/>
        </w:rPr>
        <w:footnoteReference w:id="114"/>
      </w:r>
      <w:r>
        <w:rPr>
          <w:rFonts w:eastAsia="Times New Roman" w:cs="Times New Roman" w:ascii="Times New Roman" w:hAnsi="Times New Roman"/>
          <w:color w:val="111111"/>
          <w:sz w:val="28"/>
          <w:szCs w:val="28"/>
          <w:lang w:val="en-US"/>
        </w:rPr>
        <w:t xml:space="preserve">Demikian pula Allamah Hilli, Kasyif Githa,  serta sekelompok fukaha lainnya. </w:t>
      </w:r>
      <w:r>
        <w:rPr>
          <w:rStyle w:val="FootnoteAnchor"/>
        </w:rPr>
        <w:footnoteReference w:id="115"/>
      </w:r>
      <w:r>
        <w:rPr>
          <w:rFonts w:eastAsia="Times New Roman" w:cs="Times New Roman" w:ascii="Times New Roman" w:hAnsi="Times New Roman"/>
          <w:color w:val="111111"/>
          <w:sz w:val="28"/>
          <w:szCs w:val="28"/>
          <w:lang w:val="en-US"/>
        </w:rPr>
        <w:t xml:space="preserve"> Di sisi lain istilah ‘ragu' bermakna lebih umum, mencakup titik imbangnya dua </w:t>
      </w:r>
    </w:p>
    <w:p>
      <w:pPr>
        <w:pStyle w:val="BookText"/>
        <w:bidi w:val="0"/>
        <w:rPr/>
      </w:pPr>
      <w:r>
        <w:rPr>
          <w:rFonts w:eastAsia="Times New Roman" w:cs="Times New Roman" w:ascii="Times New Roman" w:hAnsi="Times New Roman"/>
          <w:color w:val="111111"/>
          <w:sz w:val="28"/>
          <w:szCs w:val="28"/>
          <w:lang w:val="en-US"/>
        </w:rPr>
        <w:t>sisi (positif dan negatif) dan yang lebih (zhann: prasangka). Dalam pengertian ini  muncul kajian teologis; apakah dalam konteks ushuluddin, mencapai titik yakin  menjadi sebuah kelaziman? Atau itu cukup dengan kepercayaan umum (ithmi'nân  'urfi) yang kenyataanya merupakan kata lain dari prasangka (zhann)?  Mayoritas teolog percaya bahwa khusus dalam konteks ini mencapai titik yakin  merupakan kelaziman. Namun, dari sebagian mereka juga dicatat bahwa prasangka  dalam ushuluddin saja sudah memadai.</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100, “Dan ada sebagian dari tokoh era terakhir yang bersikeras mengakui nilai prasangka dalam  ushuluddin, seakan-akan bertentangan dengan konsensus kaum Muslimin dari dahulu sampai masa  kita sekarang. Karena, kita tidak menjumpai seorang pun mengakui cukup keislaman seorang kafir  hanya dengan dia menyatakan, “Aku berprasangka bahwa tidak ada tuhan kecuali Allah', dengan tetap  menyisakan kemungkinan kecil pada dirinya tentang ketiadaan wujud Allah, atau pernyataan orang  Yahudi, 'Aku berprasangka bahwa Muhammad adalah nabi.' Barangkali juga mereka itu menukil  pendapat ini dari sang hakim, Thusi, di sebagian karyanya dan Faydh ra., dan filosof lainnya. Saya  tidak tahu apa yang harus saya katakan lagi setelah begitu jelas kekeliruan pendapat ini. Sebagian  murid Syaikh Anshari juga memilih pendapat ini dalam kitabnya, Kasyif Al-Asrâr, bahwa zhann  itmi'nani (prasangka berkepercayaan) adalah keyakinan dan nilainya sudah cukup diakui dalam  konteks ushuluddin."</w:t>
      </w:r>
    </w:p>
    <w:p>
      <w:pPr>
        <w:pStyle w:val="BookText"/>
        <w:bidi w:val="0"/>
        <w:jc w:val="both"/>
        <w:rPr/>
      </w:pPr>
      <w:r>
        <w:rPr>
          <w:rFonts w:eastAsia="Times New Roman" w:cs="Times New Roman" w:ascii="Times New Roman" w:hAnsi="Times New Roman"/>
          <w:color w:val="111111"/>
          <w:sz w:val="28"/>
          <w:szCs w:val="28"/>
          <w:lang w:val="en-US"/>
        </w:rPr>
        <w:t>Menanggapi pandangan di atas, Mulla Saleh Mazandarani mengatakan, kendati  pendapat sekelompok teolog dianggap benar, namun tetap dibutuhkan justifikasi  yang rasional. Barangkali maksud taraf kepercayaan yang memadai dalam  konteks ushuluddin pada dasarnya adalah seseorang menerima ushuluddin dengan  argumen yang pasti, dia tidak punya kemampuan menjelaskan dan merumuskan  argumennya, seperti orang awam. Orang yang berprasangka pada ushuluddin  secara batiniah namun menunjukkan seolah dia keyakinannya secara penuh, dia  tergolong Muslim. Karena, seorang munafik saja yang keyakinannya bertentangan  dengan ushuluddin, secara lahiriah terbilang Muslim. Orang yang berprangka  akan kebenaran ushuluddin itu tentu lebih berhak menyandang status Muslim.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Pandangan bahwa nilai prasangka (zhann) yang melahirkan kepercayaan dalam  ushuluddin sama dengan keyakinan itu disanggah Mazandarani demikian:</w:t>
      </w:r>
      <w:bookmarkStart w:id="80" w:name="pg6393_43004"/>
    </w:p>
    <w:p>
      <w:pPr>
        <w:pStyle w:val="BookText"/>
        <w:bidi w:val="0"/>
        <w:rPr/>
      </w:pPr>
      <w:bookmarkEnd w:id="80"/>
      <w:r>
        <w:rPr>
          <w:rFonts w:eastAsia="Times New Roman" w:cs="Times New Roman" w:ascii="Times New Roman" w:hAnsi="Times New Roman"/>
          <w:color w:val="111111"/>
          <w:sz w:val="28"/>
          <w:szCs w:val="28"/>
          <w:lang w:val="en-US"/>
        </w:rPr>
        <w:t>Berkaitan dengan sebuah kepercayaan tidak ada kemungkinan salah. Jika  kemungkinan salah itu ada, sekalipun kecil, bukan bagian dari keyakinan.</w:t>
      </w:r>
    </w:p>
    <w:p>
      <w:pPr>
        <w:pStyle w:val="BookText"/>
        <w:bidi w:val="0"/>
        <w:jc w:val="both"/>
        <w:rPr/>
      </w:pPr>
      <w:r>
        <w:rPr>
          <w:rFonts w:eastAsia="Times New Roman" w:cs="Times New Roman" w:ascii="Times New Roman" w:hAnsi="Times New Roman"/>
          <w:color w:val="111111"/>
          <w:sz w:val="28"/>
          <w:szCs w:val="28"/>
          <w:lang w:val="en-US"/>
        </w:rPr>
        <w:t>Namun kemungkinan itu tidak ada, sehingga prasangka (zhann) pun tidak ada ...</w:t>
      </w:r>
    </w:p>
    <w:p>
      <w:pPr>
        <w:pStyle w:val="BookText"/>
        <w:bidi w:val="0"/>
        <w:jc w:val="both"/>
        <w:rPr/>
      </w:pPr>
      <w:r>
        <w:rPr>
          <w:rFonts w:eastAsia="Times New Roman" w:cs="Times New Roman" w:ascii="Times New Roman" w:hAnsi="Times New Roman"/>
          <w:color w:val="111111"/>
          <w:sz w:val="28"/>
          <w:szCs w:val="28"/>
          <w:lang w:val="en-US"/>
        </w:rPr>
        <w:t>Bagaimana akan dianggap Muslim seseorang yang tidak mengakui, meskipun atas  dasar kemungkinan kecil, kejujuran Nabi Saw dalam klaim beliau sebagai nabi?</w:t>
      </w:r>
      <w:r>
        <w:rPr>
          <w:rStyle w:val="FootnoteAnchor"/>
        </w:rPr>
        <w:footnoteReference w:id="117"/>
      </w:r>
      <w:r>
        <w:rPr>
          <w:rFonts w:eastAsia="Times New Roman" w:cs="Times New Roman" w:ascii="Times New Roman" w:hAnsi="Times New Roman"/>
          <w:color w:val="111111"/>
          <w:sz w:val="28"/>
          <w:szCs w:val="28"/>
          <w:lang w:val="en-US"/>
        </w:rPr>
        <w:t xml:space="preserve"> Yang perlu digarisbawahi dari argumentasi ini ialah zhann yang dimaksud di  sini yaitu prasangka yang menyebabkan kepercayaan sama nilainya dengan yakin,  bukan yakin itu sendiri. Jadinya, tanggapan di atas tadi tidak tepat.</w:t>
      </w:r>
    </w:p>
    <w:p>
      <w:pPr>
        <w:pStyle w:val="Heading3"/>
        <w:numPr>
          <w:ilvl w:val="2"/>
          <w:numId w:val="1"/>
        </w:numPr>
        <w:bidi w:val="0"/>
        <w:jc w:val="left"/>
        <w:rPr/>
      </w:pPr>
      <w:bookmarkStart w:id="81" w:name="__RefHeading___Toc419506_653776707"/>
      <w:bookmarkStart w:id="82" w:name="_Toc30"/>
      <w:bookmarkEnd w:id="81"/>
      <w:r>
        <w:rPr/>
        <w:t>Evaluasi Kritis</w:t>
      </w:r>
      <w:bookmarkEnd w:id="82"/>
    </w:p>
    <w:p>
      <w:pPr>
        <w:pStyle w:val="Heading3"/>
        <w:numPr>
          <w:ilvl w:val="2"/>
          <w:numId w:val="1"/>
        </w:numPr>
        <w:bidi w:val="0"/>
        <w:jc w:val="left"/>
        <w:rPr/>
      </w:pPr>
      <w:bookmarkStart w:id="83" w:name="__RefHeading___Toc419508_653776707"/>
      <w:bookmarkStart w:id="84" w:name="_Toc31"/>
      <w:bookmarkEnd w:id="83"/>
      <w:r>
        <w:rPr/>
        <w:t>Makna Kafir</w:t>
      </w:r>
      <w:bookmarkEnd w:id="84"/>
    </w:p>
    <w:p>
      <w:pPr>
        <w:pStyle w:val="BookText"/>
        <w:bidi w:val="0"/>
        <w:jc w:val="both"/>
        <w:rPr/>
      </w:pPr>
      <w:r>
        <w:rPr>
          <w:rFonts w:eastAsia="Times New Roman" w:cs="Times New Roman" w:ascii="Times New Roman" w:hAnsi="Times New Roman"/>
          <w:color w:val="111111"/>
          <w:sz w:val="28"/>
          <w:szCs w:val="28"/>
          <w:lang w:val="en-US"/>
        </w:rPr>
        <w:t>Kritik mendasar yang dilontarkan dalam hal ini menyasar keyakinan. Keraguan  murni terhadap kenabian, atau ketuhanan serta ajaran niscaya agama, dalam  pandangan umum, tidak dipahami sebagai “keyakinan'. Dalam surat Abdul Rahman  Qashir, telah dinukil dari Imam Shadig:</w:t>
      </w:r>
    </w:p>
    <w:p>
      <w:pPr>
        <w:pStyle w:val="BookText"/>
        <w:bidi w:val="0"/>
        <w:jc w:val="both"/>
        <w:rPr/>
      </w:pPr>
      <w:r>
        <w:rPr>
          <w:rFonts w:eastAsia="Times New Roman" w:cs="Times New Roman" w:ascii="Times New Roman" w:hAnsi="Times New Roman"/>
          <w:color w:val="111111"/>
          <w:sz w:val="28"/>
          <w:szCs w:val="28"/>
          <w:lang w:val="en-US"/>
        </w:rPr>
        <w:t>Kafirnya seorang Muslim akan terjadi hanya dengan mengingkari dan  menghalalkan sesuatu. Yaitu, mengharamkan yang halal dan atau menghalalkan  yang haram, dan dia yakin terhadap hal itu.</w:t>
      </w:r>
      <w:r>
        <w:rPr>
          <w:rStyle w:val="FootnoteAnchor"/>
        </w:rPr>
        <w:footnoteReference w:id="118"/>
      </w:r>
      <w:r>
        <w:rPr>
          <w:rFonts w:eastAsia="Times New Roman" w:cs="Times New Roman" w:ascii="Times New Roman" w:hAnsi="Times New Roman"/>
          <w:color w:val="111111"/>
          <w:sz w:val="28"/>
          <w:szCs w:val="28"/>
          <w:lang w:val="en-US"/>
        </w:rPr>
        <w:t xml:space="preserve"> Jelas, meragukan sesuatu bukan berarti yakin terhadapnya. Ada kalanya  seseorang meyakini sesuatu, ada kalanya pula dia yakin kebalikannya. Atau, dia  merasa ragu: apakah yakin terhadapnya atau tidak.</w:t>
      </w:r>
    </w:p>
    <w:p>
      <w:pPr>
        <w:pStyle w:val="BookText"/>
        <w:bidi w:val="0"/>
        <w:jc w:val="both"/>
        <w:rPr/>
      </w:pPr>
      <w:r>
        <w:rPr>
          <w:rFonts w:eastAsia="Times New Roman" w:cs="Times New Roman" w:ascii="Times New Roman" w:hAnsi="Times New Roman"/>
          <w:color w:val="111111"/>
          <w:sz w:val="28"/>
          <w:szCs w:val="28"/>
          <w:lang w:val="en-US"/>
        </w:rPr>
        <w:t>Berbeda dengan pendapat sebagian pakar, pada kondisi ini dapat dipahami  adanya garis demarkasi antara Islam dan kafir: yang pertama yakin terhadap  ushuluddin, sementara yang belakangan, tidak. Garis demarkasi di antara kedua  keyakinan ini adalah keraguan atau zhann ‘kepercayaan' terhadap salah satunya.</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Memang secara mendasar, etimologi kafir adalah pengingkaran. Seseorang yang  meragukan Tuhan, atau Tauhid, atau kenabian Rasulullah Saw, namun belum  sampai mengingkari, secara etimologis belum kafir.</w:t>
      </w:r>
      <w:r>
        <w:rPr>
          <w:rStyle w:val="FootnoteAnchor"/>
        </w:rPr>
        <w:footnoteReference w:id="119"/>
      </w:r>
      <w:bookmarkStart w:id="85" w:name="pg6393_43005"/>
    </w:p>
    <w:p>
      <w:pPr>
        <w:pStyle w:val="BookText"/>
        <w:bidi w:val="0"/>
        <w:rPr/>
      </w:pPr>
      <w:bookmarkEnd w:id="85"/>
      <w:r>
        <w:rPr>
          <w:rFonts w:eastAsia="Times New Roman" w:cs="Times New Roman" w:ascii="Times New Roman" w:hAnsi="Times New Roman"/>
          <w:color w:val="111111"/>
          <w:sz w:val="28"/>
          <w:szCs w:val="28"/>
          <w:lang w:val="en-US"/>
        </w:rPr>
        <w:t>Jika seorang Muslim ragu dalam konteks ushuluddin, maka yang berlaku  adalah asas keislamannya, sampai dia terang-terangan menunjukkan dirinya tidak  lagi yakin terhadap ushuluddin. Oleh karena itu, berdasarkan riwayat yang telah  disebutkan, keyakinan merupakan unsur penting terjadinya kemurtadan. Dalam  pada itu, hanya keraguan atau zhann tidak tergolong keyakinan. Sebaliknya, jika  meragukan kebenaran ushuluddin, seorang kafir tetap dikategorikan kafir; sampai  dia mencapai keyakinan pada ushuluddin.</w:t>
      </w:r>
    </w:p>
    <w:p>
      <w:pPr>
        <w:pStyle w:val="Heading3"/>
        <w:numPr>
          <w:ilvl w:val="2"/>
          <w:numId w:val="1"/>
        </w:numPr>
        <w:bidi w:val="0"/>
        <w:jc w:val="left"/>
        <w:rPr/>
      </w:pPr>
      <w:bookmarkStart w:id="86" w:name="__RefHeading___Toc419510_653776707"/>
      <w:bookmarkStart w:id="87" w:name="_Toc32"/>
      <w:bookmarkEnd w:id="86"/>
      <w:r>
        <w:rPr/>
        <w:t>Makna 'Lemah Pikiran'</w:t>
      </w:r>
      <w:bookmarkEnd w:id="87"/>
    </w:p>
    <w:p>
      <w:pPr>
        <w:pStyle w:val="BookText"/>
        <w:bidi w:val="0"/>
        <w:jc w:val="both"/>
        <w:rPr/>
      </w:pPr>
      <w:r>
        <w:rPr>
          <w:rFonts w:eastAsia="Times New Roman" w:cs="Times New Roman" w:ascii="Times New Roman" w:hAnsi="Times New Roman"/>
          <w:color w:val="111111"/>
          <w:sz w:val="28"/>
          <w:szCs w:val="28"/>
          <w:lang w:val="en-US"/>
        </w:rPr>
        <w:t>Rujukan konsep ini adalah riwayat yang menafsirkan mustadh afin (orang yang  lemah) sebagai berikut:</w:t>
      </w:r>
    </w:p>
    <w:p>
      <w:pPr>
        <w:pStyle w:val="BookText"/>
        <w:bidi w:val="0"/>
        <w:jc w:val="both"/>
        <w:rPr/>
      </w:pPr>
      <w:r>
        <w:rPr>
          <w:rFonts w:eastAsia="Times New Roman" w:cs="Times New Roman" w:ascii="Times New Roman" w:hAnsi="Times New Roman"/>
          <w:color w:val="111111"/>
          <w:sz w:val="28"/>
          <w:szCs w:val="28"/>
          <w:lang w:val="en-US"/>
        </w:rPr>
        <w:t>Zurarah berkata, “Saya bertanya pada Imam Shadiq ... Ia menjawab, 'Orang  yang terlemahkan (mustadh‘af) adalah orang yang di hadapannya tidak ada jalan  kekafiran terbuka sehingga akan cenderung kepadanya; juga tidak terbimbing  ke jalan keimanan. Dia tidak mampu beriman, tak juga mampu menjadi kafir.</w:t>
      </w:r>
    </w:p>
    <w:p>
      <w:pPr>
        <w:pStyle w:val="BookText"/>
        <w:bidi w:val="0"/>
        <w:jc w:val="both"/>
        <w:rPr/>
      </w:pPr>
      <w:r>
        <w:rPr>
          <w:rFonts w:eastAsia="Times New Roman" w:cs="Times New Roman" w:ascii="Times New Roman" w:hAnsi="Times New Roman"/>
          <w:color w:val="111111"/>
          <w:sz w:val="28"/>
          <w:szCs w:val="28"/>
          <w:lang w:val="en-US"/>
        </w:rPr>
        <w:t>Kelompok ini terdiri dari anak-anak, dan / atau laki-laki atau perempuan yang  akalnya seperti anak-anak. Taklif (beban kewajiban) mereka sudah terangkat."</w:t>
      </w:r>
      <w:r>
        <w:rPr>
          <w:rStyle w:val="FootnoteAnchor"/>
        </w:rPr>
        <w:footnoteReference w:id="120"/>
      </w:r>
      <w:r>
        <w:rPr>
          <w:rFonts w:eastAsia="Times New Roman" w:cs="Times New Roman" w:ascii="Times New Roman" w:hAnsi="Times New Roman"/>
          <w:color w:val="111111"/>
          <w:sz w:val="28"/>
          <w:szCs w:val="28"/>
          <w:lang w:val="en-US"/>
        </w:rPr>
        <w:t xml:space="preserve"> Dalam riwayat ini, juga riwayat serupa lainnya,</w:t>
      </w:r>
      <w:r>
        <w:rPr>
          <w:rStyle w:val="FootnoteAnchor"/>
        </w:rPr>
        <w:footnoteReference w:id="121"/>
      </w:r>
      <w:r>
        <w:rPr>
          <w:rFonts w:eastAsia="Times New Roman" w:cs="Times New Roman" w:ascii="Times New Roman" w:hAnsi="Times New Roman"/>
          <w:color w:val="111111"/>
          <w:sz w:val="28"/>
          <w:szCs w:val="28"/>
          <w:lang w:val="en-US"/>
        </w:rPr>
        <w:t>secara jelas kondisi ini  dibenarkan: ada kemungkinan seseorang karena kelemahan pemikirannya, tidak  menjadi kafir, tidak pula Muslim. Karena setidaknya, dalam pandangan umum  berdasarkan tradisi orang-orang yang komit pada syariat, terdapat pilihan ketiga.</w:t>
      </w:r>
    </w:p>
    <w:p>
      <w:pPr>
        <w:pStyle w:val="BookText"/>
        <w:bidi w:val="0"/>
        <w:jc w:val="both"/>
        <w:rPr/>
      </w:pPr>
      <w:r>
        <w:rPr>
          <w:rFonts w:eastAsia="Times New Roman" w:cs="Times New Roman" w:ascii="Times New Roman" w:hAnsi="Times New Roman"/>
          <w:color w:val="111111"/>
          <w:sz w:val="28"/>
          <w:szCs w:val="28"/>
          <w:lang w:val="en-US"/>
        </w:rPr>
        <w:t>Dengan kata lain, jelas keliru bila seseorang secara pasti mau tidak mau harus jadi  kafir atau muslim tanpa adanya posisi tengah.</w:t>
      </w:r>
      <w:r>
        <w:rPr>
          <w:rStyle w:val="FootnoteAnchor"/>
        </w:rPr>
        <w:footnoteReference w:id="122"/>
      </w:r>
      <w:r>
        <w:rPr>
          <w:rFonts w:eastAsia="Times New Roman" w:cs="Times New Roman" w:ascii="Times New Roman" w:hAnsi="Times New Roman"/>
          <w:color w:val="111111"/>
          <w:sz w:val="28"/>
          <w:szCs w:val="28"/>
          <w:lang w:val="en-US"/>
        </w:rPr>
        <w:t xml:space="preserve"> Dalam menentukan hubungan berbanding diametris antara kekafiran dan  Islam, sebagian fukaha mengacu istilah logika bahwa perbandingan dua kondisi  ini adalah oposisi dua lawan (tadhâdd), atau oposisi ada dan tiada secara potensial  (adam wa malakah).</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Kafir sama dengan non-Muslim. Maka, orang yang tidak yakin pada ketuhanan, tidak juga yakin  pada sebaliknya, tidak juga terbetik dalam pikirannya sesuatu apa pun dari pengetahuan (agama) dan  pengetahuan sebaliknya, maka dia adalah kafir. Apa yang saya paparkan tadi adalah kesadaran intuitif  bagi kalangan komitsyariat.”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Tentunya, dengan bentuk oposisi ini, Islam dan kekafiran</w:t>
      </w:r>
      <w:bookmarkStart w:id="88" w:name="pg6393_43007"/>
    </w:p>
    <w:p>
      <w:pPr>
        <w:pStyle w:val="BookText"/>
        <w:bidi w:val="0"/>
        <w:rPr/>
      </w:pPr>
      <w:bookmarkEnd w:id="88"/>
      <w:r>
        <w:rPr>
          <w:rFonts w:eastAsia="Times New Roman" w:cs="Times New Roman" w:ascii="Times New Roman" w:hAnsi="Times New Roman"/>
          <w:color w:val="111111"/>
          <w:sz w:val="28"/>
          <w:szCs w:val="28"/>
          <w:lang w:val="en-US"/>
        </w:rPr>
        <w:t>tidak akan berkumpul hanya pada subjek yang sama, tetapi kedua-duanya bisa  berkumpul (sama-sama tidak berlaku) dari subjek yang sama. Dengan demikian,  mustahil seorang kafir sekaligus Muslim. Namun tidak mustahil bila seseorang  tidak kafir juga tidak Muslim, seperti orang yang dalam suatu kondisi meragukan  hukum agama.</w:t>
      </w:r>
    </w:p>
    <w:p>
      <w:pPr>
        <w:pStyle w:val="BookText"/>
        <w:bidi w:val="0"/>
        <w:jc w:val="both"/>
        <w:rPr/>
      </w:pPr>
      <w:r>
        <w:rPr>
          <w:rFonts w:eastAsia="Times New Roman" w:cs="Times New Roman" w:ascii="Times New Roman" w:hAnsi="Times New Roman"/>
          <w:color w:val="111111"/>
          <w:sz w:val="28"/>
          <w:szCs w:val="28"/>
          <w:lang w:val="en-US"/>
        </w:rPr>
        <w:t>Atas dasar ini, anak orang kafir yang belum baligh tidak digolongkan kafir  selama belum masuk usia baligh, kecuali jika telah masuk, dirinya akan menentukan  pilihan. Dengan demikian, pada dirinya belum terbentuk potensi berislam, dan  karenanya dia tidak bisa dinisbatkan kepada kekafiran.</w:t>
      </w:r>
      <w:r>
        <w:rPr>
          <w:rStyle w:val="FootnoteAnchor"/>
        </w:rPr>
        <w:footnoteReference w:id="124"/>
      </w:r>
    </w:p>
    <w:p>
      <w:pPr>
        <w:pStyle w:val="Heading3"/>
        <w:numPr>
          <w:ilvl w:val="2"/>
          <w:numId w:val="1"/>
        </w:numPr>
        <w:bidi w:val="0"/>
        <w:jc w:val="left"/>
        <w:rPr/>
      </w:pPr>
      <w:bookmarkStart w:id="89" w:name="__RefHeading___Toc419512_653776707"/>
      <w:bookmarkStart w:id="90" w:name="_Toc33"/>
      <w:bookmarkEnd w:id="89"/>
      <w:r>
        <w:rPr/>
        <w:t>Keraguan dan Bisikan Hati</w:t>
      </w:r>
      <w:bookmarkEnd w:id="90"/>
    </w:p>
    <w:p>
      <w:pPr>
        <w:pStyle w:val="BookText"/>
        <w:bidi w:val="0"/>
        <w:jc w:val="both"/>
        <w:rPr/>
      </w:pPr>
      <w:r>
        <w:rPr>
          <w:rFonts w:eastAsia="Times New Roman" w:cs="Times New Roman" w:ascii="Times New Roman" w:hAnsi="Times New Roman"/>
          <w:color w:val="111111"/>
          <w:sz w:val="28"/>
          <w:szCs w:val="28"/>
          <w:lang w:val="en-US"/>
        </w:rPr>
        <w:t>Dalam keadaan tertentu, manusia boleh jadi didera waswas intelektual dan  bisikan hati (hadîts al-nafs). Itu menyebabkan sirnanya ketetapan dan keyakinan  dalam dirinya, lalu berubah menjadi keraguan. Dalam kitab berharga, Ushủl Al-Kâfi,  terdapat bab yang berjudul Bâb Al-Waswasah wa Hadîts Al-Nafs ‘Bab Keraguan dan  Bisikan Hati'.</w:t>
      </w:r>
      <w:r>
        <w:rPr>
          <w:rStyle w:val="FootnoteAnchor"/>
        </w:rPr>
        <w:footnoteReference w:id="125"/>
      </w:r>
      <w:r>
        <w:rPr>
          <w:rFonts w:eastAsia="Times New Roman" w:cs="Times New Roman" w:ascii="Times New Roman" w:hAnsi="Times New Roman"/>
          <w:color w:val="111111"/>
          <w:sz w:val="28"/>
          <w:szCs w:val="28"/>
          <w:lang w:val="en-US"/>
        </w:rPr>
        <w:t>Dalam bab ini dinukil riwayat jawaban Imam Shadiq saat ditanya  perihal banyaknya keraguan:</w:t>
      </w:r>
    </w:p>
    <w:p>
      <w:pPr>
        <w:pStyle w:val="BookText"/>
        <w:bidi w:val="0"/>
        <w:jc w:val="both"/>
        <w:rPr/>
      </w:pPr>
      <w:r>
        <w:rPr>
          <w:rFonts w:eastAsia="Times New Roman" w:cs="Times New Roman" w:ascii="Times New Roman" w:hAnsi="Times New Roman"/>
          <w:color w:val="111111"/>
          <w:sz w:val="28"/>
          <w:szCs w:val="28"/>
          <w:lang w:val="en-US"/>
        </w:rPr>
        <w:t>Tak ada masalah. Dalam kondisi ini ucapkanlah zikir lâ ilâha illa-Allah dengan  lisan.</w:t>
      </w:r>
      <w:r>
        <w:rPr>
          <w:rStyle w:val="FootnoteAnchor"/>
        </w:rPr>
        <w:footnoteReference w:id="126"/>
      </w:r>
      <w:r>
        <w:rPr>
          <w:rFonts w:eastAsia="Times New Roman" w:cs="Times New Roman" w:ascii="Times New Roman" w:hAnsi="Times New Roman"/>
          <w:color w:val="111111"/>
          <w:sz w:val="28"/>
          <w:szCs w:val="28"/>
          <w:lang w:val="en-US"/>
        </w:rPr>
        <w:t xml:space="preserve"> Adapun makna keraguan atau waswas adalah:</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bisikan hati (hadîts al-nafs) yang terbetik di hati seseorang; ia  mengungkapkannya tanpa niat apa-apa, dan/atau tanpa keyakinan terhadapnya,  tanpa pula tujuan menyebarkannya, seperti siapakah yang menciptakan Tuhan, </w:t>
      </w:r>
    </w:p>
    <w:p>
      <w:pPr>
        <w:pStyle w:val="BookText"/>
        <w:bidi w:val="0"/>
        <w:rPr/>
      </w:pPr>
      <w:r>
        <w:rPr>
          <w:rFonts w:eastAsia="Times New Roman" w:cs="Times New Roman" w:ascii="Times New Roman" w:hAnsi="Times New Roman"/>
          <w:color w:val="111111"/>
          <w:sz w:val="28"/>
          <w:szCs w:val="28"/>
          <w:lang w:val="en-US"/>
        </w:rPr>
        <w:t>dan lainnya. Menurut sebuah pendapat, keraguan adalah tingkatan yang lebih  kuat dari bisikan hati.</w:t>
      </w:r>
      <w:r>
        <w:rPr>
          <w:rStyle w:val="FootnoteAnchor"/>
        </w:rPr>
        <w:footnoteReference w:id="127"/>
      </w:r>
      <w:r>
        <w:rPr>
          <w:rFonts w:eastAsia="Times New Roman" w:cs="Times New Roman" w:ascii="Times New Roman" w:hAnsi="Times New Roman"/>
          <w:color w:val="111111"/>
          <w:sz w:val="28"/>
          <w:szCs w:val="28"/>
          <w:lang w:val="en-US"/>
        </w:rPr>
        <w:t xml:space="preserve"> Mayoritas pakar bahasa menetapkan keraguan sinonim dengan bisikan hati.</w:t>
      </w:r>
      <w:r>
        <w:rPr>
          <w:rStyle w:val="FootnoteAnchor"/>
        </w:rPr>
        <w:footnoteReference w:id="128"/>
      </w:r>
      <w:r>
        <w:rPr>
          <w:rFonts w:eastAsia="Times New Roman" w:cs="Times New Roman" w:ascii="Times New Roman" w:hAnsi="Times New Roman"/>
          <w:color w:val="111111"/>
          <w:sz w:val="28"/>
          <w:szCs w:val="28"/>
          <w:lang w:val="en-US"/>
        </w:rPr>
        <w:t xml:space="preserve"> Berdasarkan itu, selama keraguan dan kebimbangan dalam ushuluddin masih  pada taraf bisikan jiwa dan belum diungkapkan, tak akan berdampak apa-apa. Ini  sebagaimana dinyatakan pula dalam sejumlah riwayat yang dinukil Ahli Sunnah.</w:t>
      </w:r>
      <w:r>
        <w:rPr>
          <w:rStyle w:val="FootnoteAnchor"/>
        </w:rPr>
        <w:footnoteReference w:id="129"/>
      </w:r>
      <w:r>
        <w:rPr>
          <w:rFonts w:eastAsia="Times New Roman" w:cs="Times New Roman" w:ascii="Times New Roman" w:hAnsi="Times New Roman"/>
          <w:color w:val="111111"/>
          <w:sz w:val="28"/>
          <w:szCs w:val="28"/>
          <w:lang w:val="en-US"/>
        </w:rPr>
        <w:t xml:space="preserve"> Namun jika keraguan diekspresikan sedemikian rupa, yang berpotensi menular  kepada yang lain, akan ada dampak yang kelak muncul, terutama jika itu sebentuk  provokasi untuk menentang agama.</w:t>
      </w:r>
    </w:p>
    <w:p>
      <w:pPr>
        <w:pStyle w:val="BookText"/>
        <w:bidi w:val="0"/>
        <w:jc w:val="both"/>
        <w:rPr/>
      </w:pPr>
      <w:r>
        <w:rPr>
          <w:rFonts w:eastAsia="Times New Roman" w:cs="Times New Roman" w:ascii="Times New Roman" w:hAnsi="Times New Roman"/>
          <w:color w:val="111111"/>
          <w:sz w:val="28"/>
          <w:szCs w:val="28"/>
          <w:lang w:val="en-US"/>
        </w:rPr>
        <w:t>Berbeda halnya dengan ekspresi keraguan yang dimaksudkan untuk mendapatkan  solusi ilmiah dan menepis kerancuan intelektual (syubhah). Itu pun dilakukan  justru di komunitas yang spesifik dan khusus. Dalam kondisi ini, tentu tak akan  ada efek samping yang muncul. Ini tak ubahnya dengan arus pertanyaan dan kritik  yang pernah diajukan kepada para Imam suci: bagaimana mereka menjawabnya  dengan elegan dan raut wajah yang manis, tanpa terpengaruh ekspresi pihak  penanya. Bahkan, pada kasus-kasus tertentu, kekuatiran yang bersumber dari  keraguan dianggap sebagai pertanda keimanan. Ini sebagaimana riwayat dari salah  satu kerabat Imam Shadiq, “Ada satu perkara penting dalam hati saya (analogi  tentang keterjebakan dirinya dalam keraguan dan bisikan hati).' Imam menjawab,  'Ucapkanlah zikir, la ilaha illa-Allah.'</w:t>
      </w:r>
      <w:r>
        <w:rPr>
          <w:rStyle w:val="FootnoteAnchor"/>
        </w:rPr>
        <w:footnoteReference w:id="130"/>
      </w:r>
      <w:r>
        <w:rPr>
          <w:rFonts w:eastAsia="Times New Roman" w:cs="Times New Roman" w:ascii="Times New Roman" w:hAnsi="Times New Roman"/>
          <w:color w:val="111111"/>
          <w:sz w:val="28"/>
          <w:szCs w:val="28"/>
          <w:lang w:val="en-US"/>
        </w:rPr>
        <w:t xml:space="preserve"> Dalam riwayat lain, Muhammad bin Muslim mengatakan: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Seseorang berkesempatan bertemu dengan Nabi Saw yang mulia. Lalu dia  berkata, “Ya Rasulullah! Saya sudah hancur.' Nabi Saw bertanya, 'Setan telah  mendatangimu dan berkata, “Siapa yang telah menciptamu'. Lalu engkau  menjawabnya, “Allah”. Kemudian setan berkata, “Siapa yang mengadakan  Tuhan.'  Orang itu mengiyakan dan berkata, “Sumpah demi Tuhan Yang Mengutusmu!  Semuanya seperti engkau katakan.'  Nabi Saw bersabda, 'Demi Allah! Ini pertanda iman yang murni.'  Ibnu Abi 'Umair mengaku telah membahas hadis ini bersama Abdurrahman bin </w:t>
      </w:r>
    </w:p>
    <w:p>
      <w:pPr>
        <w:pStyle w:val="BookText"/>
        <w:bidi w:val="0"/>
        <w:rPr/>
      </w:pPr>
      <w:r>
        <w:rPr>
          <w:rFonts w:eastAsia="Times New Roman" w:cs="Times New Roman" w:ascii="Times New Roman" w:hAnsi="Times New Roman"/>
          <w:color w:val="111111"/>
          <w:sz w:val="28"/>
          <w:szCs w:val="28"/>
          <w:lang w:val="en-US"/>
        </w:rPr>
        <w:t>Hajjaj. Dia berkata:</w:t>
      </w:r>
    </w:p>
    <w:p>
      <w:pPr>
        <w:pStyle w:val="BookText"/>
        <w:bidi w:val="0"/>
        <w:jc w:val="both"/>
        <w:rPr/>
      </w:pPr>
      <w:r>
        <w:rPr>
          <w:rFonts w:eastAsia="Times New Roman" w:cs="Times New Roman" w:ascii="Times New Roman" w:hAnsi="Times New Roman"/>
          <w:color w:val="111111"/>
          <w:sz w:val="28"/>
          <w:szCs w:val="28"/>
          <w:lang w:val="en-US"/>
        </w:rPr>
        <w:t>Ayahku mengutip dari Imam Shadiq ihwal maksud dari sabda, 'Demi Allah!  Ini pertanda iman yang murni.' Yaitu, ketakutan orang itu bahwa keraguan  yang memerangkapnya jangan-jangan akan menyebabkan kehancuran dirinya,  merupakan pertanda iman.</w:t>
      </w:r>
      <w:r>
        <w:rPr>
          <w:rStyle w:val="FootnoteAnchor"/>
        </w:rPr>
        <w:footnoteReference w:id="131"/>
      </w:r>
      <w:r>
        <w:rPr>
          <w:rFonts w:eastAsia="Times New Roman" w:cs="Times New Roman" w:ascii="Times New Roman" w:hAnsi="Times New Roman"/>
          <w:color w:val="111111"/>
          <w:sz w:val="28"/>
          <w:szCs w:val="28"/>
          <w:lang w:val="en-US"/>
        </w:rPr>
        <w:t xml:space="preserve"> Dalam hadis yang isinya mirip dengan sebelumnya, seseorang bertanya pada  Nabi Saw:</w:t>
      </w:r>
      <w:r>
        <w:rPr>
          <w:rStyle w:val="FootnoteAnchor"/>
        </w:rPr>
        <w:footnoteReference w:id="132"/>
      </w:r>
      <w:r>
        <w:rPr>
          <w:rFonts w:eastAsia="Times New Roman" w:cs="Times New Roman" w:ascii="Times New Roman" w:hAnsi="Times New Roman"/>
          <w:color w:val="111111"/>
          <w:sz w:val="28"/>
          <w:szCs w:val="28"/>
          <w:lang w:val="en-US"/>
        </w:rPr>
        <w:t xml:space="preserve"> 'Wahai Rasul Allah! Aku telah terjerumus kemunafikan.' Nabi Saw menjawab,  ‘Demi Allah! Engkau bukan munafik. Sebab kalau munafik, kamu tidak akan  bertanya kepadaku guna menyelesaikan masalah dan menepis keraguanmu.'  Selanjutnya, Nabi Saw mengatakan kalimat yang sama dengan riwayat  sebelumnya. Jadi, dapat dipahami bagaimana seseorang yang terjebak keraguan  dan kebimbangan merasa dirinya munafik. Namun pada taraf ini, Nabi Saw malah  mendukungnya seraya menunjukkan wajah yang cerah. Dengan semua ini, lantas  bagaimana mungkin keraguan dalam konteks ushuluddin menyebabkan kekafiran?  Sebagian ahli bahasa memberikan penafsiran terhadap hadis tersebut.</w:t>
      </w:r>
    </w:p>
    <w:p>
      <w:pPr>
        <w:pStyle w:val="BookText"/>
        <w:bidi w:val="0"/>
        <w:jc w:val="both"/>
        <w:rPr/>
      </w:pPr>
      <w:r>
        <w:rPr>
          <w:rFonts w:eastAsia="Times New Roman" w:cs="Times New Roman" w:ascii="Times New Roman" w:hAnsi="Times New Roman"/>
          <w:color w:val="111111"/>
          <w:sz w:val="28"/>
          <w:szCs w:val="28"/>
          <w:lang w:val="en-US"/>
        </w:rPr>
        <w:t>Kesimpulannya, keraguan tersebut merupakan fase di antara kebimbangan dan  keyakinan.</w:t>
      </w:r>
      <w:r>
        <w:rPr>
          <w:rStyle w:val="FootnoteAnchor"/>
        </w:rPr>
        <w:footnoteReference w:id="133"/>
      </w:r>
      <w:r>
        <w:rPr>
          <w:rFonts w:eastAsia="Times New Roman" w:cs="Times New Roman" w:ascii="Times New Roman" w:hAnsi="Times New Roman"/>
          <w:color w:val="111111"/>
          <w:sz w:val="28"/>
          <w:szCs w:val="28"/>
          <w:lang w:val="en-US"/>
        </w:rPr>
        <w:t xml:space="preserve"> Kedua riwayat yang saling bertentangan ini seyogianya dijembatani.</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Serangkaian riwayat yang mengindikasikan keraguan terhadap kenabian sebagai  penyebab kekafiran, tentunya mengandungi maksud tertentu. Keraguan akan  menyebabkan kemurtadan manakala pelakunya secara ekspresif menggiring orang  lain dibelit keraguan dari segi pemikiran dan keyakinan. Dengan kata lain ekpsresi  keraguannya sedemikian rupa sehingga berdampak pada penistaan agama dan Nabi  Saw. Ini sebagaimana isi riwayat yang bercerita tentang orang yang mendatangi  Nabi Saw seraya bertanya, “Apakah kamu benar-benar utusan Allah atau bukan?' </w:t>
      </w:r>
    </w:p>
    <w:p>
      <w:pPr>
        <w:pStyle w:val="BookText"/>
        <w:bidi w:val="0"/>
        <w:rPr/>
      </w:pPr>
      <w:r>
        <w:rPr>
          <w:rFonts w:eastAsia="Times New Roman" w:cs="Times New Roman" w:ascii="Times New Roman" w:hAnsi="Times New Roman"/>
          <w:color w:val="111111"/>
          <w:sz w:val="28"/>
          <w:szCs w:val="28"/>
          <w:lang w:val="en-US"/>
        </w:rPr>
        <w:t>Pola mengatakan langsung dan mengekspresikan keraguan di depan Nabi Saw,  secara normatif, merupakan bentuk pelecehan.</w:t>
      </w:r>
    </w:p>
    <w:p>
      <w:pPr>
        <w:pStyle w:val="BookText"/>
        <w:bidi w:val="0"/>
        <w:jc w:val="both"/>
        <w:rPr/>
      </w:pPr>
      <w:r>
        <w:rPr>
          <w:rFonts w:eastAsia="Times New Roman" w:cs="Times New Roman" w:ascii="Times New Roman" w:hAnsi="Times New Roman"/>
          <w:color w:val="111111"/>
          <w:sz w:val="28"/>
          <w:szCs w:val="28"/>
          <w:lang w:val="en-US"/>
        </w:rPr>
        <w:t xml:space="preserve">Lebih dari itu, dengan mencermati hikmah yang terkandung dalam riwayat  ini, </w:t>
      </w:r>
      <w:r>
        <w:rPr>
          <w:rStyle w:val="FootnoteAnchor"/>
        </w:rPr>
        <w:footnoteReference w:id="134"/>
      </w:r>
      <w:r>
        <w:rPr>
          <w:rFonts w:eastAsia="Times New Roman" w:cs="Times New Roman" w:ascii="Times New Roman" w:hAnsi="Times New Roman"/>
          <w:color w:val="111111"/>
          <w:sz w:val="28"/>
          <w:szCs w:val="28"/>
          <w:lang w:val="en-US"/>
        </w:rPr>
        <w:t>dapat dipahami bahwa Nabi Saw menghadapi masalah sangat serius dengan  kalangan munafik di masanya. Karenanya, dapat dikatakan bahwa ekspresi face  to face yang meragukan kenabian Nabi Saw merupakan salah satu skenario kaum  munafik. Dari aspek inilah, terdapat dimensi khas persoalan sehingga riwayat ini  tidak bisa serta-merta dijadikan sumber suatu hukum yang berlaku general.</w:t>
      </w:r>
    </w:p>
    <w:p>
      <w:pPr>
        <w:pStyle w:val="BookText"/>
        <w:bidi w:val="0"/>
        <w:jc w:val="both"/>
        <w:rPr/>
      </w:pPr>
      <w:r>
        <w:rPr>
          <w:rFonts w:eastAsia="Times New Roman" w:cs="Times New Roman" w:ascii="Times New Roman" w:hAnsi="Times New Roman"/>
          <w:color w:val="111111"/>
          <w:sz w:val="28"/>
          <w:szCs w:val="28"/>
          <w:lang w:val="en-US"/>
        </w:rPr>
        <w:t>Sebagai catatan, terdapat riwayat lain yang darinya dapat diderivasi hukum  umum. Karena, dalam riwayat itu dikatakan, “Kafirlah orang yang meragukan  Tuhan dan nabi'.</w:t>
      </w:r>
      <w:r>
        <w:rPr>
          <w:rStyle w:val="FootnoteAnchor"/>
        </w:rPr>
        <w:footnoteReference w:id="135"/>
      </w:r>
      <w:r>
        <w:rPr>
          <w:rFonts w:eastAsia="Times New Roman" w:cs="Times New Roman" w:ascii="Times New Roman" w:hAnsi="Times New Roman"/>
          <w:color w:val="111111"/>
          <w:sz w:val="28"/>
          <w:szCs w:val="28"/>
          <w:lang w:val="en-US"/>
        </w:rPr>
        <w:t xml:space="preserve"> Namun, terdapat sejumlah hal yang dapat dicermati. Pertama, riwayat ini hanya  mengandung hukum kafir, tidak meliputi hukuman mati sebagai vonis orang  murtad. Kedua, mungkin saja riwayat ini, sebagaimana sebelumnya, mengarah  kaum munafik secara khusus. Artinya, ekspresi keraguannya diiringi maksud  provokasi menentang agama.</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Selain itu, dalam riwayat itu, terdapat redaksi, siapa yang ragu dan bimbang  lalu bertahan kuat dalam kondisi itu'. Artinya, orang itu tidak berusaha mengatasi  keraguannya. Alih-alih berfungsi sebagai jembatan menuju keyakinan yang sanggup  mendorongnya berkembang dan matang, kondisi ini justru menjadi tempatnya  berhenti dalam proses berpikir. Ketika itulah keraguan akan berkorelasi dengan  kemunafikan. Atau dalam deskrispsi Al-Qur'an, peragu layaknya orang yang  dirundung penyakit hati.</w:t>
      </w:r>
      <w:r>
        <w:rPr>
          <w:rStyle w:val="FootnoteAnchor"/>
        </w:rPr>
        <w:footnoteReference w:id="136"/>
      </w:r>
      <w:r>
        <w:rPr>
          <w:rFonts w:eastAsia="Times New Roman" w:cs="Times New Roman" w:ascii="Times New Roman" w:hAnsi="Times New Roman"/>
          <w:color w:val="111111"/>
          <w:sz w:val="28"/>
          <w:szCs w:val="28"/>
          <w:lang w:val="en-US"/>
        </w:rPr>
        <w:t xml:space="preserve"> Rujukan tafsiran ini adalah riwayat yang dinukil dari pidato Imam Ali bin Abi  Thalib yang bernuansa nasihat: </w:t>
      </w:r>
    </w:p>
    <w:p>
      <w:pPr>
        <w:pStyle w:val="BookText"/>
        <w:bidi w:val="0"/>
        <w:rPr/>
      </w:pPr>
      <w:r>
        <w:rPr>
          <w:rFonts w:eastAsia="Times New Roman" w:cs="Times New Roman" w:ascii="Times New Roman" w:hAnsi="Times New Roman"/>
          <w:color w:val="111111"/>
          <w:sz w:val="28"/>
          <w:szCs w:val="28"/>
          <w:lang w:val="en-US"/>
        </w:rPr>
        <w:t>Janganlah kalian bimbang hingga menjadi ragu. Janganlah kalian ragu karena  kalian akan tertimpa musibah kekafiran.</w:t>
      </w:r>
      <w:r>
        <w:rPr>
          <w:rStyle w:val="FootnoteAnchor"/>
        </w:rPr>
        <w:footnoteReference w:id="137"/>
      </w:r>
      <w:r>
        <w:rPr>
          <w:rFonts w:eastAsia="Times New Roman" w:cs="Times New Roman" w:ascii="Times New Roman" w:hAnsi="Times New Roman"/>
          <w:color w:val="111111"/>
          <w:sz w:val="28"/>
          <w:szCs w:val="28"/>
          <w:lang w:val="en-US"/>
        </w:rPr>
        <w:t xml:space="preserve"> Dari riwayat ini dapat dipahami bahwa keadaan ragu dan bimbang tidak  otomatis menyebabkan kekafiran. Namun, kekafiran dapat diakibatkan oleh  keraguan. Artinya, boleh jadi keraguan, dalam beberapa kondisi, berujung pada  kekafiran. Kondisi ini terjadi manakala keraguan berfungsi sebagai tempat berhenti;  bukan lintasan menuju keyakinan.</w:t>
      </w:r>
    </w:p>
    <w:p>
      <w:pPr>
        <w:pStyle w:val="BookText"/>
        <w:bidi w:val="0"/>
        <w:jc w:val="both"/>
        <w:rPr/>
      </w:pPr>
      <w:r>
        <w:rPr>
          <w:rFonts w:eastAsia="Times New Roman" w:cs="Times New Roman" w:ascii="Times New Roman" w:hAnsi="Times New Roman"/>
          <w:color w:val="111111"/>
          <w:sz w:val="28"/>
          <w:szCs w:val="28"/>
          <w:lang w:val="en-US"/>
        </w:rPr>
        <w:t>Untuk menghilangkan keraguan dan bisikan hati yang menjerat, seseorang  seyogianya merujuk kalangan pakar di bidangnya. Dalam kondisi ini, paling  tidak, pengaruhnya tidak ada pada tahap pembuktian (itsbâtan). Apalagi, tatkala  keraguannya tidak diutarakan kepada pakar di bidangnya, pengaruhnya tidak akan  ada pada tahap kenyataan (tsubûtan). Artinya, orang itu di hadapan dirinya sendiri  dan Tuhannya tidak tergolong kafir sehingga dampak kemurtadan pun tidak  muncul.</w:t>
      </w:r>
    </w:p>
    <w:p>
      <w:pPr>
        <w:pStyle w:val="BookText"/>
        <w:bidi w:val="0"/>
        <w:jc w:val="both"/>
        <w:rPr/>
      </w:pPr>
      <w:r>
        <w:rPr>
          <w:rFonts w:eastAsia="Times New Roman" w:cs="Times New Roman" w:ascii="Times New Roman" w:hAnsi="Times New Roman"/>
          <w:color w:val="111111"/>
          <w:sz w:val="28"/>
          <w:szCs w:val="28"/>
          <w:lang w:val="en-US"/>
        </w:rPr>
        <w:t>Terdapat sebuah riwayat yang menjadi bukti terpenting bagi keraguan murni  yang tidak mengakibatkan kekafiran dan kemurtadan. Salah seorang perawi  terpandang, Muhammad bin Muslim, meriwayatkannya dari Imam Shadiq:</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saat itu, saya sedang duduk di sebelah kiri Imam, dan Zurarah di sebelah  kanannya. Lalu datanglah Abu Bashir dan berkata, “Ya Aba Abdillah! Apa  pendapat tuan tentang orang yang meragukan Tuhan?’Imam menjawab, 'Dia  kafir.' Kembali dia bertanya, 'Bagaimana jika dia meragukan Nabi?' Imam  menjawab, “Dia kafir. Setelah itu, Imam berkata kepada Zurarah, “Tentunya  dia kafir manakala dia menentang.</w:t>
      </w:r>
      <w:r>
        <w:rPr>
          <w:rStyle w:val="FootnoteAnchor"/>
        </w:rPr>
        <w:footnoteReference w:id="138"/>
      </w:r>
      <w:r>
        <w:rPr>
          <w:rFonts w:eastAsia="Times New Roman" w:cs="Times New Roman" w:ascii="Times New Roman" w:hAnsi="Times New Roman"/>
          <w:color w:val="111111"/>
          <w:sz w:val="28"/>
          <w:szCs w:val="28"/>
          <w:lang w:val="en-US"/>
        </w:rPr>
        <w:t xml:space="preserve"> Poin penting yang patut disorot dalam hadis ini adalah kenyataannya, di masa itu  pertanyaan tersebut salah satu persoalan krusial di kalangan tokoh dan ulama. Oleh  sebab itu, dalam sebuah forum terbatas yang dihadiri tiga sahabat besar sekaligus </w:t>
      </w:r>
      <w:bookmarkStart w:id="91" w:name="pg6393_43016"/>
    </w:p>
    <w:p>
      <w:pPr>
        <w:pStyle w:val="BookText"/>
        <w:bidi w:val="0"/>
        <w:rPr/>
      </w:pPr>
      <w:bookmarkEnd w:id="91"/>
      <w:r>
        <w:rPr>
          <w:rFonts w:eastAsia="Times New Roman" w:cs="Times New Roman" w:ascii="Times New Roman" w:hAnsi="Times New Roman"/>
          <w:color w:val="111111"/>
          <w:sz w:val="28"/>
          <w:szCs w:val="28"/>
          <w:lang w:val="en-US"/>
        </w:rPr>
        <w:t>murid terdekat bersama Imam Ja'far Shadiq, secara rasional amat dinantikan bila  ada persoalan yang sangat penting dikemukakan. Pola periwayatan Muhammad  bin Muslim yang memerinci kejadian dan catatan pinggirnya menunjukkan betapa  pentingnya masalah itu baginya. Selain pula membuktikan tingkat ketelitiannya  dalam merekam riwayat ini.</w:t>
      </w:r>
    </w:p>
    <w:p>
      <w:pPr>
        <w:pStyle w:val="BookText"/>
        <w:bidi w:val="0"/>
        <w:jc w:val="both"/>
        <w:rPr/>
      </w:pPr>
      <w:r>
        <w:rPr>
          <w:rFonts w:eastAsia="Times New Roman" w:cs="Times New Roman" w:ascii="Times New Roman" w:hAnsi="Times New Roman"/>
          <w:color w:val="111111"/>
          <w:sz w:val="28"/>
          <w:szCs w:val="28"/>
          <w:lang w:val="en-US"/>
        </w:rPr>
        <w:t>Memang, ada sekelompok hadis yang membubuhkan catatan ‘ingkar?—di  samping keraguan terhadap ajaran niscaya agama—sebagai syarat terjadinya  kekafiran dan kemurtadan. Sebagian fukaha berusaha menakwilnya. Kesimpulan  mereka, kemungkinan besar, hadis-hadis yang mensyaratkan ‘ingkar' ditujukan  kepada orang yang dikenal kemuslimannya: selain menyatakan dua kalimat  Syahadat, secara lahiriah dia komit pada hukum dan tuntunan agama. Dalam  kondisi ini, jika dia mengalami keraguan dan kerancuan intelektual (syubhah)  karena ketidaktahuannya, namun tidak beranjak sampai ke fase pengingkaran,  maka pengalaman itu tidak menyebabkan dirinya keluar dari kategori Muslim.</w:t>
      </w:r>
    </w:p>
    <w:p>
      <w:pPr>
        <w:pStyle w:val="BookText"/>
        <w:bidi w:val="0"/>
        <w:jc w:val="both"/>
        <w:rPr/>
      </w:pPr>
      <w:r>
        <w:rPr>
          <w:rFonts w:eastAsia="Times New Roman" w:cs="Times New Roman" w:ascii="Times New Roman" w:hAnsi="Times New Roman"/>
          <w:color w:val="111111"/>
          <w:sz w:val="28"/>
          <w:szCs w:val="28"/>
          <w:lang w:val="en-US"/>
        </w:rPr>
        <w:t>Kendati pengingkaran itu terbukti lewat sikap tidak komit pada konsekuensi  praktis Islam, seperti meninggalkan shalat, mengabaikan puasa, dan sebagainya.</w:t>
      </w:r>
      <w:r>
        <w:rPr>
          <w:rStyle w:val="FootnoteAnchor"/>
        </w:rPr>
        <w:footnoteReference w:id="139"/>
      </w:r>
    </w:p>
    <w:p>
      <w:pPr>
        <w:pStyle w:val="Heading3"/>
        <w:numPr>
          <w:ilvl w:val="2"/>
          <w:numId w:val="1"/>
        </w:numPr>
        <w:bidi w:val="0"/>
        <w:jc w:val="left"/>
        <w:rPr/>
      </w:pPr>
      <w:bookmarkStart w:id="92" w:name="__RefHeading___Toc419514_653776707"/>
      <w:bookmarkStart w:id="93" w:name="_Toc34"/>
      <w:bookmarkEnd w:id="92"/>
      <w:r>
        <w:rPr/>
        <w:t>Munafik Sehukum Muslim</w:t>
      </w:r>
      <w:bookmarkEnd w:id="9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Bukti paling kuat bagi pendapat-bahwa sekadar keraguan tidak menyebabkan  murtad—adalah cara Nabi Saw menyikapi kaum munafik. Orang munafik sama  sekali tidak percaya Islam dalam lubuk hati, tetapi secara lahiriah tampil bersikap  sebaliknya. Nabi Saw memperlakukan mereka sama dengan orang Muslim. Ini  berbeda dengan penyikapan beliau terhadap orang murtad atau kafir. Oleh karena  itu, nyawa dan harta mereka terlindungi sebagaimana Muslim. Sebab, perbedaan  ‘Islam dan ‘iman' terletak pada kenyataan perihal bahwa untuk menjadi Muslim, </w:t>
      </w:r>
    </w:p>
    <w:p>
      <w:pPr>
        <w:pStyle w:val="BookText"/>
        <w:bidi w:val="0"/>
        <w:rPr/>
      </w:pPr>
      <w:r>
        <w:rPr>
          <w:rFonts w:eastAsia="Times New Roman" w:cs="Times New Roman" w:ascii="Times New Roman" w:hAnsi="Times New Roman"/>
          <w:color w:val="111111"/>
          <w:sz w:val="28"/>
          <w:szCs w:val="28"/>
          <w:lang w:val="en-US"/>
        </w:rPr>
        <w:t>seseorang tak memerlukan komitmen hati. Adapun untuk menaiki jenjang  berikutnya dan menjadi mukmin, dia dituntut memiliki komitmen hati sekaligus  komitmen lahiriah berupa tindakan.</w:t>
      </w:r>
      <w:r>
        <w:rPr>
          <w:rStyle w:val="FootnoteAnchor"/>
        </w:rPr>
        <w:footnoteReference w:id="140"/>
      </w:r>
      <w:r>
        <w:rPr>
          <w:rFonts w:eastAsia="Times New Roman" w:cs="Times New Roman" w:ascii="Times New Roman" w:hAnsi="Times New Roman"/>
          <w:color w:val="111111"/>
          <w:sz w:val="28"/>
          <w:szCs w:val="28"/>
          <w:lang w:val="en-US"/>
        </w:rPr>
        <w:t>Itulah sebabnya, Al-Qur’an menyatakan:</w:t>
      </w:r>
    </w:p>
    <w:p>
      <w:pPr>
        <w:pStyle w:val="BookText"/>
        <w:bidi w:val="0"/>
        <w:jc w:val="both"/>
        <w:rPr/>
      </w:pPr>
      <w:r>
        <w:rPr>
          <w:rFonts w:eastAsia="Times New Roman" w:cs="Times New Roman" w:ascii="Times New Roman" w:hAnsi="Times New Roman"/>
          <w:color w:val="111111"/>
          <w:sz w:val="28"/>
          <w:szCs w:val="28"/>
          <w:lang w:val="en-US"/>
        </w:rPr>
        <w:t>Orang-orang Arab dusun itu berkata, “Kami telah beriman.'Katakanlah, Kalian  belum beriman,' tapi katakanlah, Kami telah Islam,' dan belumlah masuk  keimanan dalam hati kalian. Dan jika kalian taat kepada Allah dan Rasul-Nya,  Dia tiada mengurangi sedikit pun pahala amal-amal kalian. Sesungguhnya Allah  Maha Pengampun lagi Maha Penyayang (QS. Al-Hujurat [49]: 14).</w:t>
      </w:r>
    </w:p>
    <w:p>
      <w:pPr>
        <w:pStyle w:val="BookText"/>
        <w:bidi w:val="0"/>
        <w:jc w:val="both"/>
        <w:rPr/>
      </w:pPr>
      <w:r>
        <w:rPr>
          <w:rFonts w:eastAsia="Times New Roman" w:cs="Times New Roman" w:ascii="Times New Roman" w:hAnsi="Times New Roman"/>
          <w:color w:val="111111"/>
          <w:sz w:val="28"/>
          <w:szCs w:val="28"/>
          <w:lang w:val="en-US"/>
        </w:rPr>
        <w:t>Pada ayat berikutnya disebutkan:</w:t>
      </w:r>
    </w:p>
    <w:p>
      <w:pPr>
        <w:pStyle w:val="BookText"/>
        <w:bidi w:val="0"/>
        <w:jc w:val="both"/>
        <w:rPr/>
      </w:pPr>
      <w:r>
        <w:rPr>
          <w:rFonts w:eastAsia="Times New Roman" w:cs="Times New Roman" w:ascii="Times New Roman" w:hAnsi="Times New Roman"/>
          <w:color w:val="111111"/>
          <w:sz w:val="28"/>
          <w:szCs w:val="28"/>
          <w:lang w:val="en-US"/>
        </w:rPr>
        <w:t>Hanya sesungguhnya orang-orang mukmin itu ialah orang-orang yang beriman  kepada Allah dan Rasul-Nya kemudian mereka tiada ragu-ragu dan mereka  berjuang dengan harta dan diri mereka pada jalan Allah. Mereka itulah orang-  orang yang benar (QS. Al-Hujurat [49]: 15).</w:t>
      </w:r>
    </w:p>
    <w:p>
      <w:pPr>
        <w:pStyle w:val="BookText"/>
        <w:bidi w:val="0"/>
        <w:jc w:val="both"/>
        <w:rPr/>
      </w:pPr>
      <w:r>
        <w:rPr>
          <w:rFonts w:eastAsia="Times New Roman" w:cs="Times New Roman" w:ascii="Times New Roman" w:hAnsi="Times New Roman"/>
          <w:color w:val="111111"/>
          <w:sz w:val="28"/>
          <w:szCs w:val="28"/>
          <w:lang w:val="en-US"/>
        </w:rPr>
        <w:t>Dari ayat ini dapat disimpulkan bahwa jika membiarkan keraguan dan bimbang  merasuki hatinya, seorang Muslim telah keluar dari kategori Muslim hakiki alias  mukmin, kendati secara lahiriah masih dianggap Muslim. Berdasarkan bukti-  bukti tersebut, bagaimana mungkin seorang Muslim lantas divonis murtad hanya  lantaran terjangkiti keraguan dan ketidakjelasan?  Sebagian fukaha dengan tegas menambahkan variabel ‘ingkar dalam definisi  kafir. Agaknya mereka membubuhkan syarat itu guna menepis asumsi keraguan.</w:t>
      </w:r>
      <w:r>
        <w:rPr>
          <w:rStyle w:val="FootnoteAnchor"/>
        </w:rPr>
        <w:footnoteReference w:id="141"/>
      </w:r>
      <w:r>
        <w:rPr>
          <w:rFonts w:eastAsia="Times New Roman" w:cs="Times New Roman" w:ascii="Times New Roman" w:hAnsi="Times New Roman"/>
          <w:color w:val="111111"/>
          <w:sz w:val="28"/>
          <w:szCs w:val="28"/>
          <w:lang w:val="en-US"/>
        </w:rPr>
        <w:t xml:space="preserve"> Atas dasar itu, dapat dikatakan bahwa perspektif kalangan fukaha yang  membubuhi syarat ingkar untuk kemurtadan lebih sesuai dengan kaidah serta bukti  riwayat dan hadis. Sekalipun rangkaian hadis seputar persoalan ini satu sama lain tak  ayal saling bertentangan, pada proses seleksi prioritasnya dapat dipastikan bahwa  ayat Al-Qur'an lebih mendukung hadis-hadis yang menegaskan keraguan murni  tidak menyebabkan kemurtadan. Kalaupun hadis-hadis yang saling bertentangan  itu tidak memihak salah satunya, maka jalan terakhir adalah mengembalikannya  pada prinsip-prinsip praktis (ushûl ‘amaliyyah). Berkaitan dengan Muslim, prinsip  praktis akan menetapkan dirinya masih berstatus tidak murtad selama tak ada bukti  autentik yang menguatkan kemurtadannya.</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diutarakan sebagian fukaha kontemporer, pada tahap kompromisasi  (maqâm al-jam) hadis-hadis yang saling bertentangan, minimal dapat disimpulkan </w:t>
      </w:r>
    </w:p>
    <w:p>
      <w:pPr>
        <w:pStyle w:val="BookText"/>
        <w:bidi w:val="0"/>
        <w:rPr/>
      </w:pPr>
      <w:r>
        <w:rPr>
          <w:rFonts w:eastAsia="Times New Roman" w:cs="Times New Roman" w:ascii="Times New Roman" w:hAnsi="Times New Roman"/>
          <w:color w:val="111111"/>
          <w:sz w:val="28"/>
          <w:szCs w:val="28"/>
          <w:lang w:val="en-US"/>
        </w:rPr>
        <w:t>bahwa keraguan terhadap ajaran niscaya agama, pada tahap kenyataan (tsubûtan),  menyebabkan seseorang murtad. Pada tahap pembuktian (itsbâtan), sesuai asumsi  ini, dirinya tidak dapat divonis murtad, kecuali keraguannya disertai penentangan  dan pengingkaran.</w:t>
      </w:r>
      <w:r>
        <w:rPr>
          <w:rStyle w:val="FootnoteAnchor"/>
        </w:rPr>
        <w:footnoteReference w:id="142"/>
      </w:r>
      <w:r>
        <w:rPr>
          <w:rFonts w:eastAsia="Times New Roman" w:cs="Times New Roman" w:ascii="Times New Roman" w:hAnsi="Times New Roman"/>
          <w:color w:val="111111"/>
          <w:sz w:val="28"/>
          <w:szCs w:val="28"/>
          <w:lang w:val="en-US"/>
        </w:rPr>
        <w:t xml:space="preserve"> Persoalan lain berkisar pada: apakah untuk menyebut seseorang Muslim harus  ada kepercayaan dalam hatinya? Ataukah cukup lewat pengakuan lahiriahnya  tentang Islam? Ataukah harus kedua-duanya? Menurut sebagian fukaha, harus  dibedakan antara orang yang Muslim sejak lahir dan yang semula kafir kemudian  menjadi Muslim. Berkenaan dengan asumsi pertama, tak disyaratkan adanya  keyakinan dalam hati, termasuk pengakuan keislaman secara lahiriah. Selama  tidak mengungkapkan kekafirannya, orang itu masih Muslim. Fakta sejarah yang  tersambung sampai para manusia suci mencerminkan bahwa anak seorang Muslim  yang sudah baligh tidak dapat diwajibkan menyatakan dua kalimat syahadat.</w:t>
      </w:r>
    </w:p>
    <w:p>
      <w:pPr>
        <w:pStyle w:val="BookText"/>
        <w:bidi w:val="0"/>
        <w:jc w:val="both"/>
        <w:rPr/>
      </w:pPr>
      <w:r>
        <w:rPr>
          <w:rFonts w:eastAsia="Times New Roman" w:cs="Times New Roman" w:ascii="Times New Roman" w:hAnsi="Times New Roman"/>
          <w:color w:val="111111"/>
          <w:sz w:val="28"/>
          <w:szCs w:val="28"/>
          <w:lang w:val="en-US"/>
        </w:rPr>
        <w:t>Hanya saja, jika mengingkari hukum-hukum Islam yang telah nyata baginya, dia  dihukumi murtad.</w:t>
      </w:r>
    </w:p>
    <w:p>
      <w:pPr>
        <w:pStyle w:val="BookText"/>
        <w:bidi w:val="0"/>
        <w:jc w:val="both"/>
        <w:rPr/>
      </w:pPr>
      <w:r>
        <w:rPr>
          <w:rFonts w:eastAsia="Times New Roman" w:cs="Times New Roman" w:ascii="Times New Roman" w:hAnsi="Times New Roman"/>
          <w:color w:val="111111"/>
          <w:sz w:val="28"/>
          <w:szCs w:val="28"/>
          <w:lang w:val="en-US"/>
        </w:rPr>
        <w:t>Adapun berkenaan dengan asumsi kedua, semula kafir lalu Muslim, agar  dinyatakan suci dan Muslim cukup dengan menyatakan dua kalimat syahadat,  kendati pernyataan itu hanya bersifat formal (shûrî) dan dalam hatinya sama sekali  tidak meyakini. Ketentuan itu karena; pertama, sejarah Nabi Muhammad Saw secara  ti mendeskripsikan bahwa Beliau menerima orang-orang kafir yang ingin menjadi  muslim dengan menyatakan dua kalimat syahadat, sekalipun Beliau tahu, dalam  hatinya, mereka sebenarnya sama sekali tidak mempercayai Islam. Sebagian mereka  memeluk agama Islam demi kepentingan tertentu. Apalagi, ayat Al-Qur'an juga  telah menegaskan bahwa Allah Swt memberi kesaksian atas kebohongan orang-orang  munafik. Lalu, di ayat lain disebutkan bahwa iman masih belum masuk ke lubuk  hati mereka. Kendati demikian, Nabi Saw memperlakukan mereka layaknya muslim.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kesimpulan yang dapat ditarik dari hadis-hadis itu adalah bahwa keislaman  merupakan pernyataan (pengakuan) dengan dua kalimat syahadat. Semacam hadis  ini juga banyak ditemukan dalam literatur Ahli Sunnah, namun umumnya tidak  disinggung soal keharusan yakin dalam hati. Padahal, jika ingin menjadi mukmin,  seseorang harus memiliki keyakinan hati. Seandainya keyakinan itu tidak ada di lubuk  hati, niscaya Tuhan akan memperlakukan mereka layaknya orang kafir, meskipun di </w:t>
      </w:r>
      <w:bookmarkStart w:id="94" w:name="pg6393_43022"/>
    </w:p>
    <w:p>
      <w:pPr>
        <w:pStyle w:val="BookText"/>
        <w:bidi w:val="0"/>
        <w:rPr/>
      </w:pPr>
      <w:bookmarkEnd w:id="94"/>
      <w:r>
        <w:rPr>
          <w:rFonts w:eastAsia="Times New Roman" w:cs="Times New Roman" w:ascii="Times New Roman" w:hAnsi="Times New Roman"/>
          <w:color w:val="111111"/>
          <w:sz w:val="28"/>
          <w:szCs w:val="28"/>
          <w:lang w:val="en-US"/>
        </w:rPr>
        <w:t>kehidupan dunia, mereka tetap diperlakukan sebagai muslim.</w:t>
      </w:r>
      <w:r>
        <w:rPr>
          <w:rStyle w:val="FootnoteAnchor"/>
        </w:rPr>
        <w:footnoteReference w:id="143"/>
      </w:r>
      <w:r>
        <w:rPr>
          <w:rFonts w:eastAsia="Times New Roman" w:cs="Times New Roman" w:ascii="Times New Roman" w:hAnsi="Times New Roman"/>
          <w:color w:val="111111"/>
          <w:sz w:val="28"/>
          <w:szCs w:val="28"/>
          <w:lang w:val="en-US"/>
        </w:rPr>
        <w:t xml:space="preserve"> Dengan demikian, meski keraguan dan rasa bimbang bertentangan dengan kualitas  mukmin, namun status muslim masih layak disandang orang yang mengalaminya.</w:t>
      </w:r>
    </w:p>
    <w:p>
      <w:pPr>
        <w:pStyle w:val="BookText"/>
        <w:bidi w:val="0"/>
        <w:jc w:val="both"/>
        <w:rPr/>
      </w:pPr>
      <w:r>
        <w:rPr>
          <w:rFonts w:eastAsia="Times New Roman" w:cs="Times New Roman" w:ascii="Times New Roman" w:hAnsi="Times New Roman"/>
          <w:color w:val="111111"/>
          <w:sz w:val="28"/>
          <w:szCs w:val="28"/>
          <w:lang w:val="en-US"/>
        </w:rPr>
        <w:t xml:space="preserve">Jelasnya, dia dihukumi muslim sebatas lahiriah. Bahkan, lebih dari itu, pengingkaran  hati seseorang masih mungkin berpadu dengan status Muslimnya. Begitu pula  sebaliknya. Kalau dia meyakini Islam sepenuh hati, namun bersikeras menolak  berucap dengan dua kalimat syahadat, dia tidak dikategorikan sebagai muslim. </w:t>
      </w:r>
      <w:r>
        <w:rPr>
          <w:rStyle w:val="FootnoteAnchor"/>
        </w:rPr>
        <w:footnoteReference w:id="144"/>
      </w:r>
      <w:r>
        <w:rPr>
          <w:rFonts w:eastAsia="Times New Roman" w:cs="Times New Roman" w:ascii="Times New Roman" w:hAnsi="Times New Roman"/>
          <w:color w:val="111111"/>
          <w:sz w:val="28"/>
          <w:szCs w:val="28"/>
          <w:lang w:val="en-US"/>
        </w:rPr>
        <w:t xml:space="preserve"> Satu asumsi lain perlu ditambahkan jika dia tidak percaya Islam dalam hatinya,  namun menyatakan dua kalimat Syahadat, kemudian terbukti melakukan sesuatu  yang bertolak belakang dengan pernyataan verbal keislamannya, dia dihukumi  murtad. Contohnya, melecehkan Islam. Secara terminologis, orang semacam  ini disebut ‘zindiq'. Namun, selama tindakannya itu tidak terbukti, dia disebut  munafik, dan sekadar kemunafikan tidak mengeluarkannya dari status Muslim.</w:t>
      </w:r>
      <w:r>
        <w:rPr>
          <w:rStyle w:val="FootnoteAnchor"/>
        </w:rPr>
        <w:footnoteReference w:id="145"/>
      </w:r>
    </w:p>
    <w:p>
      <w:pPr>
        <w:pStyle w:val="Heading3"/>
        <w:numPr>
          <w:ilvl w:val="2"/>
          <w:numId w:val="1"/>
        </w:numPr>
        <w:bidi w:val="0"/>
        <w:jc w:val="left"/>
        <w:rPr/>
      </w:pPr>
      <w:bookmarkStart w:id="95" w:name="__RefHeading___Toc419516_653776707"/>
      <w:bookmarkStart w:id="96" w:name="_Toc35"/>
      <w:bookmarkEnd w:id="95"/>
      <w:r>
        <w:rPr/>
        <w:t>Relasi Dua Pengingkaran: Ajaran Niscaya dan Eksistensi Agama</w:t>
      </w:r>
      <w:bookmarkEnd w:id="96"/>
    </w:p>
    <w:p>
      <w:pPr>
        <w:pStyle w:val="BookText"/>
        <w:bidi w:val="0"/>
        <w:jc w:val="both"/>
        <w:rPr/>
      </w:pPr>
      <w:r>
        <w:rPr>
          <w:rFonts w:eastAsia="Times New Roman" w:cs="Times New Roman" w:ascii="Times New Roman" w:hAnsi="Times New Roman"/>
          <w:color w:val="111111"/>
          <w:sz w:val="28"/>
          <w:szCs w:val="28"/>
          <w:lang w:val="en-US"/>
        </w:rPr>
        <w:t>Menurut sekelompok fukaha Syiah, pengingkaran terhadap ajaran niscaya  agama (dharûriyyât al-dîn) an sich menjadi variabel independen (sabab mustaqil)  terjadinya kemurtadan. Namun menurut kalangan fukaha lain, ini hanya terjadi  jika pengingkaran itu berdampak sampai menolak asas eksistensi agama (ashl al-  dîn), yaitu menolak Ketuhanan atau Kenabian. Masing-masing teori ini akan diulas  secara terpisah.</w:t>
      </w:r>
    </w:p>
    <w:p>
      <w:pPr>
        <w:pStyle w:val="Heading3"/>
        <w:numPr>
          <w:ilvl w:val="2"/>
          <w:numId w:val="1"/>
        </w:numPr>
        <w:bidi w:val="0"/>
        <w:jc w:val="left"/>
        <w:rPr/>
      </w:pPr>
      <w:bookmarkStart w:id="97" w:name="__RefHeading___Toc419518_653776707"/>
      <w:bookmarkStart w:id="98" w:name="_Toc36"/>
      <w:bookmarkEnd w:id="97"/>
      <w:r>
        <w:rPr/>
        <w:t>Teori Variabel Independen</w:t>
      </w:r>
      <w:bookmarkEnd w:id="98"/>
    </w:p>
    <w:p>
      <w:pPr>
        <w:pStyle w:val="BookText"/>
        <w:bidi w:val="0"/>
        <w:jc w:val="both"/>
        <w:rPr/>
      </w:pPr>
      <w:r>
        <w:rPr>
          <w:rFonts w:eastAsia="Times New Roman" w:cs="Times New Roman" w:ascii="Times New Roman" w:hAnsi="Times New Roman"/>
          <w:color w:val="111111"/>
          <w:sz w:val="28"/>
          <w:szCs w:val="28"/>
          <w:lang w:val="en-US"/>
        </w:rPr>
        <w:t>Sahib Jawahir merupakan seorang pakar fikih yang mendukung teori ini.</w:t>
      </w:r>
    </w:p>
    <w:p>
      <w:pPr>
        <w:pStyle w:val="BookText"/>
        <w:bidi w:val="0"/>
        <w:jc w:val="both"/>
        <w:rPr/>
      </w:pPr>
      <w:r>
        <w:rPr>
          <w:rFonts w:eastAsia="Times New Roman" w:cs="Times New Roman" w:ascii="Times New Roman" w:hAnsi="Times New Roman"/>
          <w:color w:val="111111"/>
          <w:sz w:val="28"/>
          <w:szCs w:val="28"/>
          <w:lang w:val="en-US"/>
        </w:rPr>
        <w:t>Menurutnya, para fukaha sebelumnya berpandangan sama. Setelah memaparkan  teori lawan,</w:t>
      </w:r>
      <w:r>
        <w:rPr>
          <w:rStyle w:val="FootnoteAnchor"/>
        </w:rPr>
        <w:footnoteReference w:id="146"/>
      </w:r>
      <w:r>
        <w:rPr>
          <w:rFonts w:eastAsia="Times New Roman" w:cs="Times New Roman" w:ascii="Times New Roman" w:hAnsi="Times New Roman"/>
          <w:color w:val="111111"/>
          <w:sz w:val="28"/>
          <w:szCs w:val="28"/>
          <w:lang w:val="en-US"/>
        </w:rPr>
        <w:t>dia mengatakan: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Sungguh tak beralasan klaim bahwa mengingkari kewajiban agama hanya  mengakibatkan kekafiran jika itu berdampak pengingkaran Kenabian. Teori  ini juga malah bertentangan dengan makna teks ucapan kalangan fukaha. Ya,  jika orang mengingkari sebuah ajaran niscaya (dharûrî) agama karena tidak  mengetahui statusnya sebagai ajaran niscaya lantaran tinggal jauh dari negara- </w:t>
      </w:r>
    </w:p>
    <w:p>
      <w:pPr>
        <w:pStyle w:val="BookText"/>
        <w:bidi w:val="0"/>
        <w:rPr/>
      </w:pPr>
      <w:r>
        <w:rPr>
          <w:rFonts w:eastAsia="Times New Roman" w:cs="Times New Roman" w:ascii="Times New Roman" w:hAnsi="Times New Roman"/>
          <w:color w:val="111111"/>
          <w:sz w:val="28"/>
          <w:szCs w:val="28"/>
          <w:lang w:val="en-US"/>
        </w:rPr>
        <w:t>negara Islam boleh jadi klaimnya benar, namun sekadar pengingkaran itu tidak  menjadikannya layak divonis murtad.</w:t>
      </w:r>
      <w:r>
        <w:rPr>
          <w:rStyle w:val="FootnoteAnchor"/>
        </w:rPr>
        <w:footnoteReference w:id="147"/>
      </w:r>
      <w:r>
        <w:rPr>
          <w:rFonts w:eastAsia="Times New Roman" w:cs="Times New Roman" w:ascii="Times New Roman" w:hAnsi="Times New Roman"/>
          <w:color w:val="111111"/>
          <w:sz w:val="28"/>
          <w:szCs w:val="28"/>
          <w:lang w:val="en-US"/>
        </w:rPr>
        <w:t>Kesimpulannya, kapan pun seseorang  mengetahui status suatu hukum Islam sebagai ajaran niscayanya. Namun, pada  saat yang sama tetap mengingkarinya, sudah tentu dia kafir, entah pengingkaran  itu berupa ucapan, atau sikap keras kepala, atau kedua-duanya sekaligus.</w:t>
      </w:r>
    </w:p>
    <w:p>
      <w:pPr>
        <w:pStyle w:val="BookText"/>
        <w:bidi w:val="0"/>
        <w:jc w:val="both"/>
        <w:rPr/>
      </w:pPr>
      <w:r>
        <w:rPr>
          <w:rFonts w:eastAsia="Times New Roman" w:cs="Times New Roman" w:ascii="Times New Roman" w:hAnsi="Times New Roman"/>
          <w:color w:val="111111"/>
          <w:sz w:val="28"/>
          <w:szCs w:val="28"/>
          <w:lang w:val="en-US"/>
        </w:rPr>
        <w:t>Berdasarkan analisis ini, dapat dipahami perbedaan antara pengingkaran  ajaran niscaya agama dan hukum pasti-jelas (ahkâm qath‘iyyah) lainnya,  seperti hukum yang terbukti melalui konsensus (ahkâm ijma'iyyah). Dengan  demikian, sekaitan dengan asumsi kedua, sekadar pengingkaran tidak cukup  membuat seseorang jadi kafir. Lain halnya jika itu dilakukan seraya menyadari  konsekuensinya yang berujung pada pengingkaran Tuhan atau nabi. Adapun  asumsi pertama, (pengingkaran ajaran niscaya agama) tidak memerlukan syarat  sebagaimana asumsi kedua. Kekafiran dan kemurtadan pasti terjadi hanya  dengan mengingkari ajaran niscaya.</w:t>
      </w:r>
      <w:r>
        <w:rPr>
          <w:rStyle w:val="FootnoteAnchor"/>
        </w:rPr>
        <w:footnoteReference w:id="148"/>
      </w:r>
      <w:r>
        <w:rPr>
          <w:rFonts w:eastAsia="Times New Roman" w:cs="Times New Roman" w:ascii="Times New Roman" w:hAnsi="Times New Roman"/>
          <w:color w:val="111111"/>
          <w:sz w:val="28"/>
          <w:szCs w:val="28"/>
          <w:lang w:val="en-US"/>
        </w:rPr>
        <w:t xml:space="preserve"> Kemudian, penulis menjustifikasi teori di atas dengan mengatakan:</w:t>
      </w:r>
    </w:p>
    <w:p>
      <w:pPr>
        <w:pStyle w:val="BookText"/>
        <w:bidi w:val="0"/>
        <w:jc w:val="both"/>
        <w:rPr/>
      </w:pPr>
      <w:r>
        <w:rPr>
          <w:rFonts w:eastAsia="Times New Roman" w:cs="Times New Roman" w:ascii="Times New Roman" w:hAnsi="Times New Roman"/>
          <w:color w:val="111111"/>
          <w:sz w:val="28"/>
          <w:szCs w:val="28"/>
          <w:lang w:val="en-US"/>
        </w:rPr>
        <w:t>Barangkali itu lantaran pengingkaran ajaran niscaya agama yang identik dengan  pengingkaran asas keberadaan agama dan syariat itu sendiri. Identik karena itu  dilakukan oleh orang yang dipastikan tahu statusnya sebagai ajaran niscaya  menurut sejumlah bukti, seperti fakta dirinya lahir dan melewati masa mudanya  di Islam. Adapun kemungkinan dia mengingkari ajaran niscaya agama lantaran  kerancuan intelektual yang muncul dalam dirinya; atau keyakinannya bahwa  pengingkaran ajaran niscaya agama tidak berdampak pada pengingkaran terhadap  Tuhan atau nabi, [kemungkinan dan keyakinan] ini masih belum cukup [sebagai  bukti kemurtadan]. Pada asumsi ini, dirinya seumpama seorang yang secara lahiriah  mengingkari dan menentang kenabian, namun meyakini Kenabian sepenuh hati.</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Artinya, pengingkaran terhadap ajaran niscaya agama sama saja dengan mengatakan,  Agama ini tidak benar.' Di sini, keyakinan hati pengingkar akan kebenaran agama  tidak punya pengaruh apa pun pada asas keislamannya.</w:t>
      </w:r>
      <w:r>
        <w:rPr>
          <w:rStyle w:val="FootnoteAnchor"/>
        </w:rPr>
        <w:footnoteReference w:id="149"/>
      </w:r>
      <w:r>
        <w:rPr>
          <w:rFonts w:eastAsia="Times New Roman" w:cs="Times New Roman" w:ascii="Times New Roman" w:hAnsi="Times New Roman"/>
          <w:color w:val="111111"/>
          <w:sz w:val="28"/>
          <w:szCs w:val="28"/>
          <w:lang w:val="en-US"/>
        </w:rPr>
        <w:t xml:space="preserve"> Penulis lantas mencari dukungan bagi teorinya dengan merujuk pandangan  para fukaha seputar kelompok Khawarij. Menurut mereka, orang-orang Khawarij  kafir, sementara paling tidak, sebagian mereka dipastikan tidak meragukan Allah </w:t>
      </w:r>
      <w:bookmarkStart w:id="99" w:name="pg6393_43025"/>
    </w:p>
    <w:p>
      <w:pPr>
        <w:pStyle w:val="BookText"/>
        <w:bidi w:val="0"/>
        <w:rPr/>
      </w:pPr>
      <w:bookmarkEnd w:id="99"/>
      <w:r>
        <w:rPr>
          <w:rFonts w:eastAsia="Times New Roman" w:cs="Times New Roman" w:ascii="Times New Roman" w:hAnsi="Times New Roman"/>
          <w:color w:val="111111"/>
          <w:sz w:val="28"/>
          <w:szCs w:val="28"/>
          <w:lang w:val="en-US"/>
        </w:rPr>
        <w:t>Swt dan Nabi Muhammad Saw, kalau bukan justru mustahil mengingkarinya.</w:t>
      </w:r>
      <w:r>
        <w:rPr>
          <w:rStyle w:val="FootnoteAnchor"/>
        </w:rPr>
        <w:footnoteReference w:id="150"/>
      </w:r>
    </w:p>
    <w:p>
      <w:pPr>
        <w:pStyle w:val="Heading3"/>
        <w:numPr>
          <w:ilvl w:val="2"/>
          <w:numId w:val="1"/>
        </w:numPr>
        <w:bidi w:val="0"/>
        <w:jc w:val="left"/>
        <w:rPr/>
      </w:pPr>
      <w:bookmarkStart w:id="100" w:name="__RefHeading___Toc419520_653776707"/>
      <w:bookmarkStart w:id="101" w:name="_Toc37"/>
      <w:bookmarkEnd w:id="100"/>
      <w:r>
        <w:rPr/>
        <w:t>Teori Implikasi</w:t>
      </w:r>
      <w:bookmarkEnd w:id="10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Berbeda dengan teori di atas, kalangan fukaha kontemporer, seperti Kasyif  Ghitha, berpendapat bahwa pengingkaran ajaran niscaya (dharûri) agama  bukanlah variabel independen kemurtadan, kecuali jika berimplikasi (istilzâm) dan  berdampak pada pengingkaran prinsip ketuhanan atau kenabian. Pada kondisi ini,  kemurtadan akan terjadi. </w:t>
      </w:r>
      <w:r>
        <w:rPr>
          <w:rStyle w:val="FootnoteAnchor"/>
        </w:rPr>
        <w:footnoteReference w:id="151"/>
      </w:r>
      <w:r>
        <w:rPr>
          <w:rFonts w:eastAsia="Times New Roman" w:cs="Times New Roman" w:ascii="Times New Roman" w:hAnsi="Times New Roman"/>
          <w:color w:val="111111"/>
          <w:sz w:val="28"/>
          <w:szCs w:val="28"/>
          <w:lang w:val="en-US"/>
        </w:rPr>
        <w:t xml:space="preserve"> Sementara itu, Fadhil Hindi mensyaratkan pengetahuan dalam pengingkaran  ajaran niscaya agama. Oleh karena itu, tolok ukur kemurtadan se  mengingkari salah satu hukum Islam seraya sadar (tahu dan percaya) bahwa itu  bagian dari hukum pasti-jelas (gathi) agama. Sebab, aksi pengingkaran ini-  kendati atas dasar keyakinan pelakunya-identik dengan pendustaan Nabi  Saw. Kesimpulannya, siapa saja yang mengingkari ajaran niscaya agama karena  ketidaktahuannya akan status ajaran itu sebagai dasar, belum dapat divonis  murtad. </w:t>
      </w:r>
      <w:r>
        <w:rPr>
          <w:rStyle w:val="FootnoteAnchor"/>
        </w:rPr>
        <w:footnoteReference w:id="152"/>
      </w:r>
      <w:r>
        <w:rPr>
          <w:rFonts w:eastAsia="Times New Roman" w:cs="Times New Roman" w:ascii="Times New Roman" w:hAnsi="Times New Roman"/>
          <w:color w:val="111111"/>
          <w:sz w:val="28"/>
          <w:szCs w:val="28"/>
          <w:lang w:val="en-US"/>
        </w:rPr>
        <w:t xml:space="preserve"> Jadi, teori ini menempatkan pengetahuan sebagai syarat. Dalam kondisi tidak  tahu, pengingkaran ajaran niscaya agama tak akan pernah berakibat pendustaan  Allah Swt dan Nabi Saw. Namun menurut Sahib Jawahir, teori ini melawan  kemutlakan redaksi hadis dan statement fukaha.</w:t>
      </w:r>
      <w:r>
        <w:rPr>
          <w:rStyle w:val="FootnoteAnchor"/>
        </w:rPr>
        <w:footnoteReference w:id="153"/>
      </w:r>
      <w:r>
        <w:rPr>
          <w:rFonts w:eastAsia="Times New Roman" w:cs="Times New Roman" w:ascii="Times New Roman" w:hAnsi="Times New Roman"/>
          <w:color w:val="111111"/>
          <w:sz w:val="28"/>
          <w:szCs w:val="28"/>
          <w:lang w:val="en-US"/>
        </w:rPr>
        <w:t xml:space="preserve"> Muqaddas Ardabili juga mendukung teori bahwa pengingkaran ajaran niscaya  agama hanya menyebabkan kekafiran jika berdampak pada pengingkaran syariat  dan kebenaran Nabi Saw.</w:t>
      </w:r>
      <w:r>
        <w:rPr>
          <w:rStyle w:val="FootnoteAnchor"/>
        </w:rPr>
        <w:footnoteReference w:id="154"/>
      </w:r>
    </w:p>
    <w:p>
      <w:pPr>
        <w:pStyle w:val="BookText"/>
        <w:bidi w:val="0"/>
        <w:rPr/>
      </w:pPr>
      <w:r>
        <w:rPr>
          <w:rFonts w:eastAsia="Times New Roman" w:cs="Times New Roman" w:ascii="Times New Roman" w:hAnsi="Times New Roman"/>
          <w:color w:val="111111"/>
          <w:sz w:val="28"/>
          <w:szCs w:val="28"/>
          <w:lang w:val="en-US"/>
        </w:rPr>
        <w:t>Begitu pula dengan Syaikh Anshari dalam kajian mendetailnya seputar persoalan  ini. Menurutnya, para ulama umumnya berpendapat bahwa pengingkaran ajaran  niscaya agama otomatis menyebabkan kemurtadan. Dalam penilaiannya, pendapat  itu tidak berdasar. Jika demikian, mengapa mereka mengecualikan kondisi seseorang  yang mengalami kerancuan intelektual dari hukum itu? Padahal, berdasarkan teori  mereka yang berkaitan dengan hukum kekafiran bagi orang yang mengingkari ajaran  niscaya agama, seperti tauhid dan kenabian, tidak semestinya dibedakan antara  pengingkaran berdasar pengetahuan dan keyakinan dengan pengingkaran berdasar  kerancuan intelektual (syubhah). Di samping itu, hadis-hadis yang mendefinisikan  dan menerangkan batas-batas Islam sama sekali tidak menjelaskan bahwa ajaran  niscaya agama harus dipercaya dalam kapasitasnya sebagai ajaran niscaya agama  (sebagai variabel independen).</w:t>
      </w:r>
      <w:r>
        <w:rPr>
          <w:rStyle w:val="FootnoteAnchor"/>
        </w:rPr>
        <w:footnoteReference w:id="155"/>
      </w:r>
      <w:r>
        <w:rPr>
          <w:rFonts w:eastAsia="Times New Roman" w:cs="Times New Roman" w:ascii="Times New Roman" w:hAnsi="Times New Roman"/>
          <w:color w:val="111111"/>
          <w:sz w:val="28"/>
          <w:szCs w:val="28"/>
          <w:lang w:val="en-US"/>
        </w:rPr>
        <w:t xml:space="preserve"> Sayyid Muhsin Hakim, dalam rangka menanggapi teori variabel independen,  khususnya seputar hadis-hadis terkait, menuliskan:</w:t>
      </w:r>
    </w:p>
    <w:p>
      <w:pPr>
        <w:pStyle w:val="BookText"/>
        <w:bidi w:val="0"/>
        <w:jc w:val="both"/>
        <w:rPr/>
      </w:pPr>
      <w:r>
        <w:rPr>
          <w:rFonts w:eastAsia="Times New Roman" w:cs="Times New Roman" w:ascii="Times New Roman" w:hAnsi="Times New Roman"/>
          <w:color w:val="111111"/>
          <w:sz w:val="28"/>
          <w:szCs w:val="28"/>
          <w:lang w:val="en-US"/>
        </w:rPr>
        <w:t>Hadis-hadis yang terkait dengan masalah ini dapat diklasifikasi dalam  dua kategori. Kategori pertama menggunakan kata juhûd (penentangan).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Berdasarkan itu, hadis kategori ini dapat dikhususkan untuk pandangan yang  mensyaratkan pengetahuan. Karenanya, hadis kategori ini berseberangan dengan  teori Variabel Independen. Adapun dari kategori kedua, tidak dapat diperoleh  kesimpulan seperti ini, dia mencakup ajaran niscaya dan ajaran tak niscaya  (ghair dharûrî). Adapun fungsi hadis-hadis ini sebagai pengkhusus ajaran niscaya  agama tidak lebih unggul jika dibandingkan dengan fungsi pengkhususnya  pada [syarat] pengetahuan. Sebagaimana telah disebutkan dalam sebagian hadis  seputar masalah ini, terdapat catatan juhûd yang mengkhususkannya hanya  pada pandangan yang mensyaratkan pengetahuan. Kalaupun hadis-hadis yang  saling bertentangan itu sama-sama kuat, niscaya kepastian minimalnya (qadr  mutayaqqan) adalah hadis-hadis yang menyebutkan catatan juhûd.</w:t>
      </w:r>
      <w:r>
        <w:rPr>
          <w:rStyle w:val="FootnoteAnchor"/>
        </w:rPr>
        <w:footnoteReference w:id="156"/>
      </w:r>
      <w:r>
        <w:rPr>
          <w:rFonts w:eastAsia="Times New Roman" w:cs="Times New Roman" w:ascii="Times New Roman" w:hAnsi="Times New Roman"/>
          <w:color w:val="111111"/>
          <w:sz w:val="28"/>
          <w:szCs w:val="28"/>
          <w:lang w:val="en-US"/>
        </w:rPr>
        <w:t xml:space="preserve"> Setelah mengkritik teori variabel independen dan membuktikan kesahihan </w:t>
      </w:r>
    </w:p>
    <w:p>
      <w:pPr>
        <w:pStyle w:val="BookText"/>
        <w:bidi w:val="0"/>
        <w:rPr/>
      </w:pPr>
      <w:r>
        <w:rPr>
          <w:rFonts w:eastAsia="Times New Roman" w:cs="Times New Roman" w:ascii="Times New Roman" w:hAnsi="Times New Roman"/>
          <w:color w:val="111111"/>
          <w:sz w:val="28"/>
          <w:szCs w:val="28"/>
          <w:lang w:val="en-US"/>
        </w:rPr>
        <w:t>teori Implikasi (bahwa kemurtadan hanya terjadi jika pengingkaran ajaran niscaya  agama berakibat pada pengingkaran Tauhid atau Kenabian), Sayid Muhsin Hakim  mengatakan:</w:t>
      </w:r>
    </w:p>
    <w:p>
      <w:pPr>
        <w:pStyle w:val="BookText"/>
        <w:bidi w:val="0"/>
        <w:jc w:val="both"/>
        <w:rPr/>
      </w:pPr>
      <w:r>
        <w:rPr>
          <w:rFonts w:eastAsia="Times New Roman" w:cs="Times New Roman" w:ascii="Times New Roman" w:hAnsi="Times New Roman"/>
          <w:color w:val="111111"/>
          <w:sz w:val="28"/>
          <w:szCs w:val="28"/>
          <w:lang w:val="en-US"/>
        </w:rPr>
        <w:t>Semua pembahasan yang diulas di sini berkenaan dengan pengingkaran  sekelompok ajaran niscaya agama yang terkait dengan ‘hukum-hukum praktis'.</w:t>
      </w:r>
    </w:p>
    <w:p>
      <w:pPr>
        <w:pStyle w:val="BookText"/>
        <w:bidi w:val="0"/>
        <w:jc w:val="both"/>
        <w:rPr/>
      </w:pPr>
      <w:r>
        <w:rPr>
          <w:rFonts w:eastAsia="Times New Roman" w:cs="Times New Roman" w:ascii="Times New Roman" w:hAnsi="Times New Roman"/>
          <w:color w:val="111111"/>
          <w:sz w:val="28"/>
          <w:szCs w:val="28"/>
          <w:lang w:val="en-US"/>
        </w:rPr>
        <w:t>Adapun tentang pengingkaran ajaran niscaya agama yang terkait dengan masalah-  masalah akidah, orang yang mengingkari masalah akidah-baik yang bersifat  diskursif (nazhari) maupun niscaya (dharûri)—hanya dihukumi murtad jika  terbukti bahwa komitmen (iltizâm) religiusnya pada masalah-masalah akidah  secara mendetail (tafshili), bukan hanya global (ijmâlî), adalah kewajiban. Jadi,  pengingkaran terhadap masalah-masalah ini tidak bisa menyebabkan kekafiran  pelakunya sekadar masalah-masalah tersebut berstatus sebagai ajaran niscaya.</w:t>
      </w:r>
    </w:p>
    <w:p>
      <w:pPr>
        <w:pStyle w:val="BookText"/>
        <w:bidi w:val="0"/>
        <w:jc w:val="both"/>
        <w:rPr/>
      </w:pPr>
      <w:r>
        <w:rPr>
          <w:rFonts w:eastAsia="Times New Roman" w:cs="Times New Roman" w:ascii="Times New Roman" w:hAnsi="Times New Roman"/>
          <w:color w:val="111111"/>
          <w:sz w:val="28"/>
          <w:szCs w:val="28"/>
          <w:lang w:val="en-US"/>
        </w:rPr>
        <w:t>Akan halnya jika kita menerima asumsi bahwa pengingkaran ajaran niscaya  agama merupakan variabel independen kekafiran. Padahal, kesahihan teori ini  masih belum terbukti.</w:t>
      </w:r>
      <w:r>
        <w:rPr>
          <w:rStyle w:val="FootnoteAnchor"/>
        </w:rPr>
        <w:footnoteReference w:id="157"/>
      </w:r>
      <w:r>
        <w:rPr>
          <w:rFonts w:eastAsia="Times New Roman" w:cs="Times New Roman" w:ascii="Times New Roman" w:hAnsi="Times New Roman"/>
          <w:color w:val="111111"/>
          <w:sz w:val="28"/>
          <w:szCs w:val="28"/>
          <w:lang w:val="en-US"/>
        </w:rPr>
        <w:t xml:space="preserve"> Dalam hal ini, Imam Khomeini juga memiliki catatan khusus: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Hakikat Islam dan kemusliman adalah kepercayaan terhadap tiga prinsip  agama; Ketuhanan, Keesaan, dan Kenabian-barangkali termasuk pula Hari  Kebangkitan. Adapun ajaran-ajaran lain termasuk kategori hukum Islam dan  tidak ada hubungannya dengan esensi Islam; baik pada tahap terbentuknya  status keislaman maupun pada tahap kelanjutannya. Oleh karena itu, kalau  saja bisa diasumsikan ada seseorang meyakini prinsip-prinsip akidah ini,  pada saat yang sama, dia tidak mempercayai selainnya lantaran kerancuan  intelektual yang menyelimuti dirinya-tentunya, selama tidak sampai  berujung pada pengingkaran prinsip-prinsip tersebut-dia masih dianggap  Muslim. Namun penolakan seluruh hukum Islam tentunya mustahil berpadu  dengan kepercayaan pada Kenabian.</w:t>
      </w:r>
      <w:r>
        <w:rPr>
          <w:rStyle w:val="FootnoteAnchor"/>
        </w:rPr>
        <w:footnoteReference w:id="158"/>
      </w:r>
      <w:r>
        <w:rPr>
          <w:rFonts w:eastAsia="Times New Roman" w:cs="Times New Roman" w:ascii="Times New Roman" w:hAnsi="Times New Roman"/>
          <w:color w:val="111111"/>
          <w:sz w:val="28"/>
          <w:szCs w:val="28"/>
          <w:lang w:val="en-US"/>
        </w:rPr>
        <w:t xml:space="preserve"> Mengenai rangkaian hadis yang terkait persoalan ini, Imam Khomeini juga  berpendapat bahwa semua itu tidak mengemukakan hukum kafir bagi pengingkar  ajaran niscaya agama hanya karena semata-mata telah mengingkarinya.</w:t>
      </w:r>
      <w:r>
        <w:rPr>
          <w:rStyle w:val="FootnoteAnchor"/>
        </w:rPr>
        <w:footnoteReference w:id="159"/>
      </w:r>
      <w:r>
        <w:rPr>
          <w:rFonts w:eastAsia="Times New Roman" w:cs="Times New Roman" w:ascii="Times New Roman" w:hAnsi="Times New Roman"/>
          <w:color w:val="111111"/>
          <w:sz w:val="28"/>
          <w:szCs w:val="28"/>
          <w:lang w:val="en-US"/>
        </w:rPr>
        <w:t xml:space="preserve">Bahkan,  ia juga tidak menerima klaim Sahib Jawahir dan sebagian fukaha lain. Mereka  mengatakan bahwa seluruh fukaha terdahulu atau pendapat masyhûr mereka </w:t>
      </w:r>
    </w:p>
    <w:p>
      <w:pPr>
        <w:pStyle w:val="BookText"/>
        <w:bidi w:val="0"/>
        <w:rPr/>
      </w:pPr>
      <w:r>
        <w:rPr>
          <w:rFonts w:eastAsia="Times New Roman" w:cs="Times New Roman" w:ascii="Times New Roman" w:hAnsi="Times New Roman"/>
          <w:color w:val="111111"/>
          <w:sz w:val="28"/>
          <w:szCs w:val="28"/>
          <w:lang w:val="en-US"/>
        </w:rPr>
        <w:t xml:space="preserve">mendukung teori Variabel Independen. Oleh karena itu, dalam konteks ini, bukan  saja tak dapat ditarik kesimpulan adanya konsensus fukaha terdahulu, melainkan  juga tak dapat ditarik pendapat masyhûr di antara mereka. </w:t>
      </w:r>
      <w:r>
        <w:rPr>
          <w:rStyle w:val="FootnoteAnchor"/>
        </w:rPr>
        <w:footnoteReference w:id="160"/>
      </w:r>
      <w:r>
        <w:rPr>
          <w:rFonts w:eastAsia="Times New Roman" w:cs="Times New Roman" w:ascii="Times New Roman" w:hAnsi="Times New Roman"/>
          <w:color w:val="111111"/>
          <w:sz w:val="28"/>
          <w:szCs w:val="28"/>
          <w:lang w:val="en-US"/>
        </w:rPr>
        <w:t xml:space="preserve"> Menurut sebagian ulama, kesamaan pandangan fukaha terdahulu seputar najisnya  kaum Khawarij dan Nashibi (musuh pendengki Ahlul Bait)—itu pun dengan  argumentasi: mereka telah mengingkari ajaran niscaya agama-menjadi sebuah  bukti konkret bahwa mereka bersepakat pada pendapat ‘sekadar pengingkaran  terhadap ajaran niscaya agama merupakan variabel independen untuk kepastian  kenajisan (dan kekafiran) pelakunya'. Sebab, kebanyakan Khawarij telah menghujat  dan memerangi imam maksum dengan tujuan mendekatkan diri kepada Allah Swt,  dan tetap mempercayai Tauhid serta Kenabian.</w:t>
      </w:r>
    </w:p>
    <w:p>
      <w:pPr>
        <w:pStyle w:val="BookText"/>
        <w:bidi w:val="0"/>
        <w:jc w:val="both"/>
        <w:rPr/>
      </w:pPr>
      <w:r>
        <w:rPr>
          <w:rFonts w:eastAsia="Times New Roman" w:cs="Times New Roman" w:ascii="Times New Roman" w:hAnsi="Times New Roman"/>
          <w:color w:val="111111"/>
          <w:sz w:val="28"/>
          <w:szCs w:val="28"/>
          <w:lang w:val="en-US"/>
        </w:rPr>
        <w:t>Imam Khomeini menyanggah argumentasi ini dengan mengatakan: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Memang tak diragukan lagi, fukaha terdahulu menyepakati kenajisan orang-  orang Khawarij. Namun mereka tidak bersepakat tentang hukum itu [terbit]  dengan alasan pengingkaran terhadap ajaran niscaya agama. Tampaknya bagi  mereka bahkan sebuah aksioma bahwa sebab kenajisan kelompok Khawarij dan  Nashibi adalah tindak menghujat dan memerangi Ahlul Bait. Oleh karena itu,  kendati menyepakati kenajisan mereka, kalangan fukaha terdahulu tidak punya  pendapat yang sama dalam hal: apakah pengingkaran ajaran niscaya agama  an sich menyebabkan kemurtadan atau tidak. Dengan demikian, orang yang  mengingkari ajaran niscaya agama hanya dihukumi najis jika pengingkarannya  berakibat pada pengingkaran Tauhid atau Kenabian. Bahkan, hukum ini tetap  berlaku kendati seandainya kita meyakini pengingkaran ajaran niscaya agama  menjadi variabel independen bagi terjadinya kekafiran.</w:t>
      </w:r>
      <w:r>
        <w:rPr>
          <w:rStyle w:val="FootnoteAnchor"/>
        </w:rPr>
        <w:footnoteReference w:id="161"/>
      </w:r>
    </w:p>
    <w:p>
      <w:pPr>
        <w:pStyle w:val="BookText"/>
        <w:bidi w:val="0"/>
        <w:rPr/>
      </w:pPr>
      <w:r>
        <w:rPr>
          <w:rFonts w:eastAsia="Times New Roman" w:cs="Times New Roman" w:ascii="Times New Roman" w:hAnsi="Times New Roman"/>
          <w:color w:val="111111"/>
          <w:sz w:val="28"/>
          <w:szCs w:val="28"/>
          <w:lang w:val="en-US"/>
        </w:rPr>
        <w:t xml:space="preserve">Khu’i juga meyakini bahwa pengingkaran ajaran niscaya agama hanya akan  menyebabkan kemurtadan jika itu berdampak pada pengingkaran kenabian. </w:t>
      </w:r>
      <w:r>
        <w:rPr>
          <w:rStyle w:val="FootnoteAnchor"/>
        </w:rPr>
        <w:footnoteReference w:id="162"/>
      </w:r>
      <w:r>
        <w:rPr>
          <w:rFonts w:eastAsia="Times New Roman" w:cs="Times New Roman" w:ascii="Times New Roman" w:hAnsi="Times New Roman"/>
          <w:color w:val="111111"/>
          <w:sz w:val="28"/>
          <w:szCs w:val="28"/>
          <w:lang w:val="en-US"/>
        </w:rPr>
        <w:t xml:space="preserve"> Sebagian fukaha kontemporer juga mendukung teori ini. </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Namun, kalau diakui bahwa kemurtadan hanya terjadi jika pengingkaran  ajaran niscaya agama berdampak pada pengingkaran tauhid atau kenabian. Jika  muncul sebuah kritik demikian, kemurtadan itu niscaya terjadi jika pengingkaran  terhadap suatu ajaran agama, bahkan yang tak niscaya sekalipun, berimplikasi pada  pengingkaran tauhid atau kenabian. Artinya, pembatasan kemurtadan hanya pada  pengingkaran terhadap ajaran niscaya agama tidaklah berdasar.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Sementara itu, dari sudut pandang yurisprudensi dan sistem prosedur hukum  dalam Islam, terdapat satu hal yang patut dikemukakan di sini. Kalau memang  berdampak pada pengingkaran tauhid atau kenabian, pengingkaran salah satu  hukum Islam, entah niscaya atau tidak akan menyebabkan terjadinya kemurtadan.</w:t>
      </w:r>
    </w:p>
    <w:p>
      <w:pPr>
        <w:pStyle w:val="BookText"/>
        <w:bidi w:val="0"/>
        <w:jc w:val="both"/>
        <w:rPr/>
      </w:pPr>
      <w:r>
        <w:rPr>
          <w:rFonts w:eastAsia="Times New Roman" w:cs="Times New Roman" w:ascii="Times New Roman" w:hAnsi="Times New Roman"/>
          <w:color w:val="111111"/>
          <w:sz w:val="28"/>
          <w:szCs w:val="28"/>
          <w:lang w:val="en-US"/>
        </w:rPr>
        <w:t>Meski begitu, terdapat perbedaan di antara dua jenis pengingkaran itu. Berdasarkan  prosedur hukum dan pembuktian tindak kriminal, objek pengingkaran itu  ajaran tak niscaya (ghair dharûrî) agama. Pembuktian klaim bahwa itu berakibat  pada pengingkaran kenabian menjadi tanggung jawab pengadilan, bukan tugas  terdakwa. Adapun objeknya adalah ajaran niscaya agama. Pembuktian klaim bahwa  itu berakibat pada pengingkaran kenabian menjadi tanggung jawab terdakwa.</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Sebagian fukaha juga menyinggung poin ini dengan penjelasan yang tidak jauh  berbeda.</w:t>
      </w:r>
      <w:r>
        <w:rPr>
          <w:rStyle w:val="FootnoteAnchor"/>
        </w:rPr>
        <w:footnoteReference w:id="164"/>
      </w:r>
      <w:r>
        <w:rPr>
          <w:rFonts w:eastAsia="Times New Roman" w:cs="Times New Roman" w:ascii="Times New Roman" w:hAnsi="Times New Roman"/>
          <w:color w:val="111111"/>
          <w:sz w:val="28"/>
          <w:szCs w:val="28"/>
          <w:lang w:val="en-US"/>
        </w:rPr>
        <w:t xml:space="preserve"> Kesimpulannya, sekelompok besar fukaha Syiah, khususnya fukaha terakhir  dan kontemporer, berpendapat bahwa pengingkaran ajaran niscaya agama hanya  mengakibatkan kemurtadan hal yang berdampak pada pengingkaran Tuhan  atau kenabian. Oleh karenanya, pengingkaran itu bukanlah variabel independen  kemurtadan. </w:t>
      </w:r>
      <w:bookmarkStart w:id="102" w:name="pg6393_43035"/>
    </w:p>
    <w:p>
      <w:pPr>
        <w:pStyle w:val="Heading3"/>
        <w:numPr>
          <w:ilvl w:val="2"/>
          <w:numId w:val="1"/>
        </w:numPr>
        <w:bidi w:val="0"/>
        <w:jc w:val="left"/>
        <w:rPr/>
      </w:pPr>
      <w:bookmarkStart w:id="103" w:name="__RefHeading___Toc419522_653776707"/>
      <w:bookmarkStart w:id="104" w:name="_Toc38"/>
      <w:bookmarkEnd w:id="102"/>
      <w:bookmarkEnd w:id="103"/>
      <w:r>
        <w:rPr/>
        <w:t>Kemurtadan Intelektual</w:t>
      </w:r>
      <w:bookmarkEnd w:id="104"/>
    </w:p>
    <w:p>
      <w:pPr>
        <w:pStyle w:val="BookText"/>
        <w:bidi w:val="0"/>
        <w:jc w:val="both"/>
        <w:rPr/>
      </w:pPr>
      <w:r>
        <w:rPr>
          <w:rFonts w:eastAsia="Times New Roman" w:cs="Times New Roman" w:ascii="Times New Roman" w:hAnsi="Times New Roman"/>
          <w:color w:val="111111"/>
          <w:sz w:val="28"/>
          <w:szCs w:val="28"/>
          <w:lang w:val="en-US"/>
        </w:rPr>
        <w:t>Sebelumnya telah dikemukakan salah satu pertanyaan mendasar yang berkaitan  dengan masalah kemurtadan, yakni apakah pengingkaran Tuhan, kenabian, atau  ajaran niscaya agama yang dilakukan atas dasar intelektualitas dan argumentasi,  kendati itu salah-sebagaimana terungkap dari pernyataan dan karya sebagian  pemikir dan filosof, akan berakibat pada kekafiran dan kemurtadan?  Dalam menelaah persoalan ini, terlebih dulu harus dipisahkan antara  mengingkari prinsip ketuhanan atau kenabian dan mengingkari ajaran niscaya  agama.</w:t>
      </w:r>
    </w:p>
    <w:p>
      <w:pPr>
        <w:pStyle w:val="Heading3"/>
        <w:numPr>
          <w:ilvl w:val="2"/>
          <w:numId w:val="1"/>
        </w:numPr>
        <w:bidi w:val="0"/>
        <w:jc w:val="left"/>
        <w:rPr/>
      </w:pPr>
      <w:bookmarkStart w:id="105" w:name="__RefHeading___Toc419524_653776707"/>
      <w:bookmarkStart w:id="106" w:name="_Toc39"/>
      <w:bookmarkEnd w:id="105"/>
      <w:r>
        <w:rPr/>
        <w:t>Mengingkari Prinsip Tauhid dan Kenabian</w:t>
      </w:r>
      <w:bookmarkEnd w:id="106"/>
    </w:p>
    <w:p>
      <w:pPr>
        <w:pStyle w:val="BookText"/>
        <w:bidi w:val="0"/>
        <w:jc w:val="both"/>
        <w:rPr/>
      </w:pPr>
      <w:r>
        <w:rPr>
          <w:rFonts w:eastAsia="Times New Roman" w:cs="Times New Roman" w:ascii="Times New Roman" w:hAnsi="Times New Roman"/>
          <w:color w:val="111111"/>
          <w:sz w:val="28"/>
          <w:szCs w:val="28"/>
          <w:lang w:val="en-US"/>
        </w:rPr>
        <w:t>Bilamana prinsip ketuhanan atau kenabian diingkari secara langsung,  kemurtadan telah terjadi, kendati pengingkaran itu berawal dari aktivitas intelektual.</w:t>
      </w:r>
    </w:p>
    <w:p>
      <w:pPr>
        <w:pStyle w:val="BookText"/>
        <w:bidi w:val="0"/>
        <w:jc w:val="both"/>
        <w:rPr/>
      </w:pPr>
      <w:r>
        <w:rPr>
          <w:rFonts w:eastAsia="Times New Roman" w:cs="Times New Roman" w:ascii="Times New Roman" w:hAnsi="Times New Roman"/>
          <w:color w:val="111111"/>
          <w:sz w:val="28"/>
          <w:szCs w:val="28"/>
          <w:lang w:val="en-US"/>
        </w:rPr>
        <w:t xml:space="preserve">Sebagaimana telah diingatkan sebelumnya, kepastian minimal dari definisi Islam  dan kemusliman adalah ‘kepercayaan terhadap tauhid dan kenabian'. Mengingat  dalam hal ini tak ada perbedaan pendapat di kalangan fukaha, </w:t>
      </w:r>
      <w:r>
        <w:rPr>
          <w:rStyle w:val="FootnoteAnchor"/>
        </w:rPr>
        <w:footnoteReference w:id="165"/>
      </w:r>
      <w:r>
        <w:rPr>
          <w:rFonts w:eastAsia="Times New Roman" w:cs="Times New Roman" w:ascii="Times New Roman" w:hAnsi="Times New Roman"/>
          <w:color w:val="111111"/>
          <w:sz w:val="28"/>
          <w:szCs w:val="28"/>
          <w:lang w:val="en-US"/>
        </w:rPr>
        <w:t>kami tak akan  mengulasnya lebih jauh.</w:t>
      </w:r>
    </w:p>
    <w:p>
      <w:pPr>
        <w:pStyle w:val="BookText"/>
        <w:bidi w:val="0"/>
        <w:jc w:val="both"/>
        <w:rPr/>
      </w:pPr>
      <w:r>
        <w:rPr>
          <w:rFonts w:eastAsia="Times New Roman" w:cs="Times New Roman" w:ascii="Times New Roman" w:hAnsi="Times New Roman"/>
          <w:color w:val="111111"/>
          <w:sz w:val="28"/>
          <w:szCs w:val="28"/>
          <w:lang w:val="en-US"/>
        </w:rPr>
        <w:t>Tentunya, ada satu persoalan lain yang harus diperhatikan dalam konteks ini  bahwa semua yang telah disebutkan di atas berada pada tahap kenyataan (tsubûtan).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pada tahap pembuktian (itsbâtan)—yaitu penerapan hukum pidana dan  perdata, serta hukum-hukum fikih lain yang terkait kemurtadan terhadap pelaku  pengingkaran-penetapan status pelaku kafir atau murtad bergantung pada  ‘pengetahuan mengenai fakta bahwa dia mengingkari Tuhan dan Nabi secara  'sadar dan sengaja', bukan lantaran kerancuan intelektual, keteledoran, atau sikap  emosional. Pengetahuan itu boleh jadi diperoleh lewat data-data dan saksi-saksi, </w:t>
      </w:r>
      <w:bookmarkStart w:id="107" w:name="pg6393_43037"/>
    </w:p>
    <w:p>
      <w:pPr>
        <w:pStyle w:val="BookText"/>
        <w:bidi w:val="0"/>
        <w:rPr/>
      </w:pPr>
      <w:bookmarkEnd w:id="107"/>
      <w:r>
        <w:rPr>
          <w:rFonts w:eastAsia="Times New Roman" w:cs="Times New Roman" w:ascii="Times New Roman" w:hAnsi="Times New Roman"/>
          <w:color w:val="111111"/>
          <w:sz w:val="28"/>
          <w:szCs w:val="28"/>
          <w:lang w:val="en-US"/>
        </w:rPr>
        <w:t xml:space="preserve">atau pengakuan si pelaku, bahkan dari fakta bahwa objek yang diingkari sedemikian  jelas statusnya sebagai ajaran niscaya (dharûrî) agama sehingga tidak menyisakan  lagi kemungkinan ketidaktahuan pelaku. Dalam konteks ini, dalih ketidaktahuan  pelaku bahkan tidak dapat diterima. Oleh karena itu, sekalipun si pelaku benar-  benar jujur mengakui tindakannya, tak ada jalan selain dalam proses penetapan  pengadilan atas statusnya sebagai murtad. </w:t>
      </w:r>
      <w:r>
        <w:rPr>
          <w:rStyle w:val="FootnoteAnchor"/>
        </w:rPr>
        <w:footnoteReference w:id="166"/>
      </w:r>
    </w:p>
    <w:p>
      <w:pPr>
        <w:pStyle w:val="Heading3"/>
        <w:numPr>
          <w:ilvl w:val="2"/>
          <w:numId w:val="1"/>
        </w:numPr>
        <w:bidi w:val="0"/>
        <w:jc w:val="left"/>
        <w:rPr/>
      </w:pPr>
      <w:bookmarkStart w:id="108" w:name="__RefHeading___Toc419526_653776707"/>
      <w:bookmarkStart w:id="109" w:name="_Toc40"/>
      <w:bookmarkEnd w:id="108"/>
      <w:r>
        <w:rPr/>
        <w:t>Mengingkari Ajaran Niscaya</w:t>
      </w:r>
      <w:bookmarkEnd w:id="109"/>
    </w:p>
    <w:p>
      <w:pPr>
        <w:pStyle w:val="BookText"/>
        <w:bidi w:val="0"/>
        <w:jc w:val="both"/>
        <w:rPr/>
      </w:pPr>
      <w:r>
        <w:rPr>
          <w:rFonts w:eastAsia="Times New Roman" w:cs="Times New Roman" w:ascii="Times New Roman" w:hAnsi="Times New Roman"/>
          <w:color w:val="111111"/>
          <w:sz w:val="28"/>
          <w:szCs w:val="28"/>
          <w:lang w:val="en-US"/>
        </w:rPr>
        <w:t>Sehubungan dengan masalah mengingkari ajaran niscaya (dharûrî) agama,  sebagaimana telah ditegaskan sebelumnya, pemecahannya sampai batas tertentu  bergantung pada persoalan sebelumnya. Apakah pengingkaran ajaran niscaya  agama an sich merupakan variabel independen kemurtadan atau tidak. Atas dasar  ini, duduk persoalan di sini akan diuraikan dalam dua asumsi berikut.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Kemurtadan Intelektual tidak Berdasarkan Teori Variabel Independen  Hakikat Islam dan Esensi Keislaman  Dalam masalah ini, poin penting yang harus ditelaah lebih dulu adalah apa  hakikat dan esensi kepercayaan terhadap Islam? Dengan kata lain, apakah itu  sekadar kepercayaan global terhadap seluruh hukum Islam sudah cukup bagi  seseorang menyandang predikat Muslim? Ataukah juga harus memiliki kepercayaan  detail terhadapnya?  Menjawab pertanyaan ini, sebagian fukaha Syiah berpendapat bahwa  keberagamaan dan kepercayaan mendetail terhadap seluruh hukum Islam bukan  sebuah keharusan. Justru kepercayaan global terhadap semua yang disampaikan  Nabi sudah cukup. Maksudnya, untuk menjadi Muslim, seseorang harus  mempercayai secara umum kebenaran semua hukum yang disampaikan Nabi Saw  dari sisi Allah Swt. Berdasarkan teori ini, pengingkaran mendetail selama tidak  bertolak belakang dengan kepercayaan global tidak menyebabkan pelakunya keluar  dari Islam. Dengan kata lain, pelaku pengingkaran akan menyesali tindakannya  jika pandangannya ternyata bertentangan dengan ajaran yang dibawa Nabi Saw. </w:t>
      </w:r>
      <w:r>
        <w:rPr>
          <w:rStyle w:val="FootnoteAnchor"/>
        </w:rPr>
        <w:footnoteReference w:id="167"/>
      </w:r>
      <w:r>
        <w:rPr>
          <w:rFonts w:eastAsia="Times New Roman" w:cs="Times New Roman" w:ascii="Times New Roman" w:hAnsi="Times New Roman"/>
          <w:color w:val="111111"/>
          <w:sz w:val="28"/>
          <w:szCs w:val="28"/>
          <w:lang w:val="en-US"/>
        </w:rPr>
        <w:t xml:space="preserve"> Berbeda dengan pandangan sebagian fukaha (seperti pendapat Syaikh  Anshari yang tampaknya diutarakan hanya sebatas hipotesis pembahasan, bukan </w:t>
      </w:r>
    </w:p>
    <w:p>
      <w:pPr>
        <w:pStyle w:val="BookText"/>
        <w:bidi w:val="0"/>
        <w:rPr/>
      </w:pPr>
      <w:r>
        <w:rPr>
          <w:rFonts w:eastAsia="Times New Roman" w:cs="Times New Roman" w:ascii="Times New Roman" w:hAnsi="Times New Roman"/>
          <w:color w:val="111111"/>
          <w:sz w:val="28"/>
          <w:szCs w:val="28"/>
          <w:lang w:val="en-US"/>
        </w:rPr>
        <w:t>sebagai kepercayaan), Islam bukan bermakna kepercayaan terhadap semua yang  disampaikan Nabi Saw akibatnya inkonsistensi pada setiap bagiannya menyebabkan  kemurtadan. Apabila demikian, siapa pun yang mengingkari hukum tertentu,  sekalipun bukan termasuk ajaran niscaya agama, dapat divonis murtad. Padahal,  tak seorang fakih pun yang berpendapat seperti itu.</w:t>
      </w:r>
      <w:r>
        <w:rPr>
          <w:rStyle w:val="FootnoteAnchor"/>
        </w:rPr>
        <w:footnoteReference w:id="168"/>
      </w:r>
      <w:r>
        <w:rPr>
          <w:rFonts w:eastAsia="Times New Roman" w:cs="Times New Roman" w:ascii="Times New Roman" w:hAnsi="Times New Roman"/>
          <w:color w:val="111111"/>
          <w:sz w:val="28"/>
          <w:szCs w:val="28"/>
          <w:lang w:val="en-US"/>
        </w:rPr>
        <w:t xml:space="preserve"> Mengingat kemurtadan intelektual diakibatkan kerancuan intelektual, kapan  pun pelaku pengingkaran memiliki kesiapan untuk menanggalkan pendapatnya  yang terbukti bertentangan dengan wahyu Ilahi atau sabda Nabi Saw, dengan  demikian kemurtadannya belum terjadi, sekalipun pendapatnya itu terkait dengan  pengingkaran salah satu ajaran niscaya agama. Berkat kesiapannya, pengingkaran  terhadap ajaran niscaya agama tidak berakibat pada pengingkaran kenabian, karena  pelakunya masih memiliki kepercayaan global.</w:t>
      </w:r>
    </w:p>
    <w:p>
      <w:pPr>
        <w:pStyle w:val="BookText"/>
        <w:bidi w:val="0"/>
        <w:jc w:val="both"/>
        <w:rPr/>
      </w:pPr>
      <w:r>
        <w:rPr>
          <w:rFonts w:eastAsia="Times New Roman" w:cs="Times New Roman" w:ascii="Times New Roman" w:hAnsi="Times New Roman"/>
          <w:color w:val="111111"/>
          <w:sz w:val="28"/>
          <w:szCs w:val="28"/>
          <w:lang w:val="en-US"/>
        </w:rPr>
        <w:t>Menjaga Etika Menafsir dan Menakwil  Hal penting berikutnya adalah kapanpun etika menafsir dan menakwil itu  dominan dalam proses pengingkaran ajaran niscaya agama yang bersumber dari  kerancuan intelektual-pengingkaran tidak berdampak kemurtadan.</w:t>
      </w:r>
    </w:p>
    <w:p>
      <w:pPr>
        <w:pStyle w:val="BookText"/>
        <w:bidi w:val="0"/>
        <w:jc w:val="both"/>
        <w:rPr/>
      </w:pPr>
      <w:r>
        <w:rPr>
          <w:rFonts w:eastAsia="Times New Roman" w:cs="Times New Roman" w:ascii="Times New Roman" w:hAnsi="Times New Roman"/>
          <w:color w:val="111111"/>
          <w:sz w:val="28"/>
          <w:szCs w:val="28"/>
          <w:lang w:val="en-US"/>
        </w:rPr>
        <w:t>Mulla Sabzawari, yang menentang aksi pengafiran mazhab-mazhab Muslim satu  sama lain, menegaskan bahwa pengingkaran ajaran niscaya agama yang disebabkan  kerancuan intelektual, tidak berakibat kekafiran.</w:t>
      </w:r>
      <w:r>
        <w:rPr>
          <w:rStyle w:val="FootnoteAnchor"/>
        </w:rPr>
        <w:footnoteReference w:id="169"/>
      </w:r>
      <w:r>
        <w:rPr>
          <w:rFonts w:eastAsia="Times New Roman" w:cs="Times New Roman" w:ascii="Times New Roman" w:hAnsi="Times New Roman"/>
          <w:color w:val="111111"/>
          <w:sz w:val="28"/>
          <w:szCs w:val="28"/>
          <w:lang w:val="en-US"/>
        </w:rPr>
        <w:t>Dalam merumuskan dasar teori  ini, dia beragumentasi:</w:t>
      </w:r>
    </w:p>
    <w:p>
      <w:pPr>
        <w:pStyle w:val="BookText"/>
        <w:bidi w:val="0"/>
        <w:jc w:val="both"/>
        <w:rPr/>
      </w:pPr>
      <w:r>
        <w:rPr>
          <w:rFonts w:eastAsia="Times New Roman" w:cs="Times New Roman" w:ascii="Times New Roman" w:hAnsi="Times New Roman"/>
          <w:color w:val="111111"/>
          <w:sz w:val="28"/>
          <w:szCs w:val="28"/>
          <w:lang w:val="en-US"/>
        </w:rPr>
        <w:t>Kafir adalah mendustakan Nabi Saw atas apa yang disampaikan dari sisi Beliau  sebagai ajaran niscaya agama. Adapun iman adalah kepercayaan terhadap beliau  atas seluruh yang Beliau sampaikan. Hakikat kepercayaan terhadap Nabi Saw  adalah mengakui keberadaan seluruh yang disampaikan Beliau.</w:t>
      </w:r>
    </w:p>
    <w:p>
      <w:pPr>
        <w:pStyle w:val="BookText"/>
        <w:bidi w:val="0"/>
        <w:jc w:val="both"/>
        <w:rPr/>
      </w:pPr>
      <w:r>
        <w:rPr>
          <w:rFonts w:eastAsia="Times New Roman" w:cs="Times New Roman" w:ascii="Times New Roman" w:hAnsi="Times New Roman"/>
          <w:color w:val="111111"/>
          <w:sz w:val="28"/>
          <w:szCs w:val="28"/>
          <w:lang w:val="en-US"/>
        </w:rPr>
        <w:t>Kemudian, Mulla Sabzawari menyebutkan ragam tingkatan keberadaan dan  menjelaskan pancatingkatannya (substansial, perseptual, imajinatif, rasional, dan  rancu) seraya mengatakan: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Siapa pun yang mempercayai Nabi Saw dengan salah satu dari pancatingkatan,  dan menafsirkan hukum syariat berdasarkan salah satu tingkatan yang telah kami  sebutkan, tetap berada dalam kategori Muslim karena dia telah memperhatikan  etika menakwil dan menafsir. Kenyataannya, tak satu pun mazhab Islam yang </w:t>
      </w:r>
    </w:p>
    <w:p>
      <w:pPr>
        <w:pStyle w:val="BookText"/>
        <w:bidi w:val="0"/>
        <w:rPr/>
      </w:pPr>
      <w:r>
        <w:rPr>
          <w:rFonts w:eastAsia="Times New Roman" w:cs="Times New Roman" w:ascii="Times New Roman" w:hAnsi="Times New Roman"/>
          <w:color w:val="111111"/>
          <w:sz w:val="28"/>
          <w:szCs w:val="28"/>
          <w:lang w:val="en-US"/>
        </w:rPr>
        <w:t>tidak membutuhkan takwil.</w:t>
      </w:r>
      <w:r>
        <w:rPr>
          <w:rStyle w:val="FootnoteAnchor"/>
        </w:rPr>
        <w:footnoteReference w:id="170"/>
      </w:r>
      <w:r>
        <w:rPr>
          <w:rFonts w:eastAsia="Times New Roman" w:cs="Times New Roman" w:ascii="Times New Roman" w:hAnsi="Times New Roman"/>
          <w:color w:val="111111"/>
          <w:sz w:val="28"/>
          <w:szCs w:val="28"/>
          <w:lang w:val="en-US"/>
        </w:rPr>
        <w:t xml:space="preserve"> Pandangan Syaikh Anshari  Berdasarkan uraian sebelumnya, diperoleh kesimpulan bahwa menurut  sekelompok besar fukaha, pengingkaran ajaran niscaya agama an sich bukanlah  variabel independen kemurtadan. Pengingkaran ini hanya mengakibatkan  kemurtadan jika berdampak pada pengingkaran Tuhan atau kenabian.</w:t>
      </w:r>
    </w:p>
    <w:p>
      <w:pPr>
        <w:pStyle w:val="BookText"/>
        <w:bidi w:val="0"/>
        <w:jc w:val="both"/>
        <w:rPr/>
      </w:pPr>
      <w:r>
        <w:rPr>
          <w:rFonts w:eastAsia="Times New Roman" w:cs="Times New Roman" w:ascii="Times New Roman" w:hAnsi="Times New Roman"/>
          <w:color w:val="111111"/>
          <w:sz w:val="28"/>
          <w:szCs w:val="28"/>
          <w:lang w:val="en-US"/>
        </w:rPr>
        <w:t>Berdasarkan asumsi ini, pakar fikih kenamaan Syiah, Syaikh Anshari,  berpendapat bahwa-syarat pertama-jika subjek yang diingkari termasuk  ‘hukum-hukum praktis' (bukan akidah), dan-syarat kedua itu dilakukan bukan  akibat keteledorannya (taqshîr), melainkan karena kelemahannya (qushûr), pelaku  tidak dapat divonis murtad. Sebab, kemutlakan makna hadis-hadis yang terkait  dengan persoalan ini tidak mencakup orang yang tak punya. Adapun vonis murtad  untuk kaum Khawarij dan Nashibi bukan sekadar akibat dari pengingkaran  ajaran niscaya agama, melainkan lantaran kecintaan pada Amirul Mukminin Ali  bin Abi Thalib dan para Imam suci lainnya berdimensi kenabian. Dengan kata  lain, pengingkaran mereka identik dengan pengingkaran kenabian dan sama-sama  menyebabkan kekafiran dan kemurtadan. Oleh karena itu, kaum Khawarij yang  menyimpan kebencian terhadap para imam suci divonis murtad, sekalipun dengan  motif mendapat ridha Allah Swt dan karena kelemahannya.</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samping itu, berbeda dengan masalah akidah yang senyatanya harus  dipercayai, kepercayaan orang yang punya kelemahan (qashir), secara mandiri, </w:t>
      </w:r>
    </w:p>
    <w:p>
      <w:pPr>
        <w:pStyle w:val="BookText"/>
        <w:bidi w:val="0"/>
        <w:rPr/>
      </w:pPr>
      <w:r>
        <w:rPr>
          <w:rFonts w:eastAsia="Times New Roman" w:cs="Times New Roman" w:ascii="Times New Roman" w:hAnsi="Times New Roman"/>
          <w:color w:val="111111"/>
          <w:sz w:val="28"/>
          <w:szCs w:val="28"/>
          <w:lang w:val="en-US"/>
        </w:rPr>
        <w:t>bukanlah keharusan dalam persoalan yang terkait dengan hukum-hukum praktis.</w:t>
      </w:r>
    </w:p>
    <w:p>
      <w:pPr>
        <w:pStyle w:val="BookText"/>
        <w:bidi w:val="0"/>
        <w:jc w:val="both"/>
        <w:rPr/>
      </w:pPr>
      <w:r>
        <w:rPr>
          <w:rFonts w:eastAsia="Times New Roman" w:cs="Times New Roman" w:ascii="Times New Roman" w:hAnsi="Times New Roman"/>
          <w:color w:val="111111"/>
          <w:sz w:val="28"/>
          <w:szCs w:val="28"/>
          <w:lang w:val="en-US"/>
        </w:rPr>
        <w:t xml:space="preserve">Berdasarkan kaidah Dar, </w:t>
      </w:r>
      <w:r>
        <w:rPr>
          <w:rStyle w:val="FootnoteAnchor"/>
        </w:rPr>
        <w:footnoteReference w:id="171"/>
      </w:r>
      <w:r>
        <w:rPr>
          <w:rFonts w:eastAsia="Times New Roman" w:cs="Times New Roman" w:ascii="Times New Roman" w:hAnsi="Times New Roman"/>
          <w:color w:val="111111"/>
          <w:sz w:val="28"/>
          <w:szCs w:val="28"/>
          <w:lang w:val="en-US"/>
        </w:rPr>
        <w:t>hukum had tidak akan berlaku pada orang yang tidak  mengetahui hukum segala hal yang diharamkan. Namun argumentasi bahwa  ketidakberlakuan hukum itu berarti ketidakmurtadan tidak dapat diterima karena  dalil-dalil yang menerangkan kaidah Dar' sudah cukup jelas mengindikasikan  bahwa pada dasarnya, orang seperti itu tidak murtad, bukan dia itu murtad lantas  diampuni dari hukuman had karena ketidaktahuannya.</w:t>
      </w:r>
      <w:r>
        <w:rPr>
          <w:rStyle w:val="FootnoteAnchor"/>
        </w:rPr>
        <w:footnoteReference w:id="172"/>
      </w:r>
      <w:r>
        <w:rPr>
          <w:rFonts w:eastAsia="Times New Roman" w:cs="Times New Roman" w:ascii="Times New Roman" w:hAnsi="Times New Roman"/>
          <w:color w:val="111111"/>
          <w:sz w:val="28"/>
          <w:szCs w:val="28"/>
          <w:lang w:val="en-US"/>
        </w:rPr>
        <w:t xml:space="preserve"> Khusus mengenai pengingkaran ajaran niscaya agama di ranah akidah-  yang meniscayakan komitmen dan kepercayaan terhadapnya, dan keharusannya  bukan sekadar mengamalkan atau meninggalkan-vonisnya adalah kemurtadan  berdasarkan kemutlakan makna hadis-hadis terkait; entah pengingkaran itu akibat  keteledoran atau kelemahan pelaku.</w:t>
      </w:r>
      <w:r>
        <w:rPr>
          <w:rStyle w:val="FootnoteAnchor"/>
        </w:rPr>
        <w:footnoteReference w:id="173"/>
      </w:r>
      <w:r>
        <w:rPr>
          <w:rFonts w:eastAsia="Times New Roman" w:cs="Times New Roman" w:ascii="Times New Roman" w:hAnsi="Times New Roman"/>
          <w:color w:val="111111"/>
          <w:sz w:val="28"/>
          <w:szCs w:val="28"/>
          <w:lang w:val="en-US"/>
        </w:rPr>
        <w:t xml:space="preserve"> Perlu diketahui, Syaikh Anshari mengutarakan persoalan ini sebagai sebuah  kemungkinan. Maksudnya, jika teori ini (pengingkaran ajaran niscaya agama hanya  menyebabkan kemurtadan jika berakibat pada pengingkaran tauhid atau kenabian)  diterima, harus juga diterima bahwa kerancuan intelektual, pengingkaran itu tidak  mengakibatkan kemurtadan, walaupun kerancuan itu muncul akibat keteledoran.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Karena. Dalam konteks ini sekalipun, seseorang tidak mendustakan Tuhan Swt atau  nabi. Paling tidak, dia akan dihukum lantaran keteledorannya dalam mengabaikan  komitmennya pada agama Islam.</w:t>
      </w:r>
      <w:r>
        <w:rPr>
          <w:rStyle w:val="FootnoteAnchor"/>
        </w:rPr>
        <w:footnoteReference w:id="174"/>
      </w:r>
    </w:p>
    <w:p>
      <w:pPr>
        <w:pStyle w:val="BookText"/>
        <w:bidi w:val="0"/>
        <w:rPr/>
      </w:pPr>
      <w:r>
        <w:rPr>
          <w:rFonts w:eastAsia="Times New Roman" w:cs="Times New Roman" w:ascii="Times New Roman" w:hAnsi="Times New Roman"/>
          <w:color w:val="111111"/>
          <w:sz w:val="28"/>
          <w:szCs w:val="28"/>
          <w:lang w:val="en-US"/>
        </w:rPr>
        <w:t>Terdapat bukti bagi kebenaran pendapat Syaikh Anshari. Bahwa orang  yang mengingkari ajaran niscaya agama akibat keteledorannya sekalipun jika  kemudian menyadari kekeliruannya bahkan, katakan saja, dengan cara kebetulan  dan begitu saja—umumnya akan membalik pandangannya. Pada dasarnya, dia  masih mempercayai tauhid dan kenabian. Atas dasar itu, sudah tentu orang yang  mengingkari ajaran niscaya agama saat beradu argumen dan terlibat diskusi seraya  tidak melakukan keteledoran, pada kenyataanya sedang mengalami kerancuan  intelektual. Itulah sebabnya, orang semacam ini justru lebih layak dihukumi  bukan murtad. Ini terjadi pada sebagian filosof. Sekalipun dalam aktivitas  intelektual dan ilmiahnya-sejauh tidak sampai teledor, kerancuan menyelubungi  nalarnya-mereka mengajukan pandangan-pandangan yang, kalaulah mengingkari  ajaran niscaya agama, ghalibnya tidak berdampak pada pengingkaran Tauhid dan  Kenabian.</w:t>
      </w:r>
    </w:p>
    <w:p>
      <w:pPr>
        <w:pStyle w:val="BookText"/>
        <w:bidi w:val="0"/>
        <w:jc w:val="both"/>
        <w:rPr/>
      </w:pPr>
      <w:r>
        <w:rPr>
          <w:rFonts w:eastAsia="Times New Roman" w:cs="Times New Roman" w:ascii="Times New Roman" w:hAnsi="Times New Roman"/>
          <w:color w:val="111111"/>
          <w:sz w:val="28"/>
          <w:szCs w:val="28"/>
          <w:lang w:val="en-US"/>
        </w:rPr>
        <w:t>Sebaliknya, siapa pun yang mengingkari ajaran niscaya agama dengan sikap  keras kepala dan motif permusuhan, sudah pasti tidak tercakup dalam asumsi  keteledoran.</w:t>
      </w:r>
    </w:p>
    <w:p>
      <w:pPr>
        <w:pStyle w:val="BookText"/>
        <w:bidi w:val="0"/>
        <w:jc w:val="both"/>
        <w:rPr/>
      </w:pPr>
      <w:r>
        <w:rPr>
          <w:rFonts w:eastAsia="Times New Roman" w:cs="Times New Roman" w:ascii="Times New Roman" w:hAnsi="Times New Roman"/>
          <w:color w:val="111111"/>
          <w:sz w:val="28"/>
          <w:szCs w:val="28"/>
          <w:lang w:val="en-US"/>
        </w:rPr>
        <w:t>Pandangan Ridha Hamadani  Ridha Hamadani termasuk fukaha yang menelaah persoalan ini secara terperinci.</w:t>
      </w:r>
    </w:p>
    <w:p>
      <w:pPr>
        <w:pStyle w:val="BookText"/>
        <w:bidi w:val="0"/>
        <w:jc w:val="both"/>
        <w:rPr/>
      </w:pPr>
      <w:r>
        <w:rPr>
          <w:rFonts w:eastAsia="Times New Roman" w:cs="Times New Roman" w:ascii="Times New Roman" w:hAnsi="Times New Roman"/>
          <w:color w:val="111111"/>
          <w:sz w:val="28"/>
          <w:szCs w:val="28"/>
          <w:lang w:val="en-US"/>
        </w:rPr>
        <w:t>Dalam hal ini, dia mengatakan:</w:t>
      </w:r>
    </w:p>
    <w:p>
      <w:pPr>
        <w:pStyle w:val="BookText"/>
        <w:bidi w:val="0"/>
        <w:jc w:val="both"/>
        <w:rPr/>
      </w:pPr>
      <w:r>
        <w:rPr>
          <w:rFonts w:eastAsia="Times New Roman" w:cs="Times New Roman" w:ascii="Times New Roman" w:hAnsi="Times New Roman"/>
          <w:color w:val="111111"/>
          <w:sz w:val="28"/>
          <w:szCs w:val="28"/>
          <w:lang w:val="en-US"/>
        </w:rPr>
        <w:t>Pengingkaran terhadap ajaran niscaya (dharûrî) agama tidak bertolak belakang  dengan kepercayaan global terhadap Nabi Saw. Yakni, boleh jadi seorang  Muslim mengakui kebenaran dan kejujuran Nabi Saw, tetapi pada saat yang  sama mengingkari salah satu ajaran niscaya agama akibat berbagai kerancuan  intelektualnya. Pengingkaran seperti ini tidak bertentangan dengan iman, juga  tidak menyebabkan kemurtadan, kecuali menurut teori yang mengatakan  bahwa pengingkaran ajaran niscaya agama an sich menjadi variabel independen  terjadinya kemurtadan.</w:t>
      </w:r>
      <w:r>
        <w:rPr>
          <w:rStyle w:val="FootnoteAnchor"/>
        </w:rPr>
        <w:footnoteReference w:id="175"/>
      </w:r>
      <w:r>
        <w:rPr>
          <w:rFonts w:eastAsia="Times New Roman" w:cs="Times New Roman" w:ascii="Times New Roman" w:hAnsi="Times New Roman"/>
          <w:color w:val="111111"/>
          <w:sz w:val="28"/>
          <w:szCs w:val="28"/>
          <w:lang w:val="en-US"/>
        </w:rPr>
        <w:t xml:space="preserve"> Kemudian, dalam rangka menelaah hubungan antara pengingkaran ajaran  niscaya agama dan kepercayaan global (dari segi kemungkinan keduanya berposisi  diametris), Ridha Hamadani memaparkan beberapa asumsi secara terperinci:</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Asumsi pertama: orang yang mengingkari ajaran niscaya agama menyadari  tindakannya bertentangan dengan kepercayaan global. Asumsi ini merupakan </w:t>
      </w:r>
    </w:p>
    <w:p>
      <w:pPr>
        <w:pStyle w:val="BookText"/>
        <w:bidi w:val="0"/>
        <w:rPr/>
      </w:pPr>
      <w:r>
        <w:rPr>
          <w:rFonts w:eastAsia="Times New Roman" w:cs="Times New Roman" w:ascii="Times New Roman" w:hAnsi="Times New Roman"/>
          <w:color w:val="111111"/>
          <w:sz w:val="28"/>
          <w:szCs w:val="28"/>
          <w:lang w:val="en-US"/>
        </w:rPr>
        <w:t>bentuk konkret paling gamblang dari kemurtadan.</w:t>
      </w:r>
      <w:r>
        <w:rPr>
          <w:rStyle w:val="FootnoteAnchor"/>
        </w:rPr>
        <w:footnoteReference w:id="176"/>
      </w:r>
      <w:r>
        <w:rPr>
          <w:rFonts w:eastAsia="Times New Roman" w:cs="Times New Roman" w:ascii="Times New Roman" w:hAnsi="Times New Roman"/>
          <w:color w:val="111111"/>
          <w:sz w:val="28"/>
          <w:szCs w:val="28"/>
          <w:lang w:val="en-US"/>
        </w:rPr>
        <w:t xml:space="preserve"> Hanya saja, asumsi ini di luar konteks pembahasan sekarang, yaitu lantaran  kerancuan intelektual, pelaku tidak menyadari pengingkarannya terhadap ajaran  niscaya agama berposisi diametris dengan kepercayaan global terhadap nabi.</w:t>
      </w:r>
    </w:p>
    <w:p>
      <w:pPr>
        <w:pStyle w:val="BookText"/>
        <w:bidi w:val="0"/>
        <w:jc w:val="both"/>
        <w:rPr/>
      </w:pPr>
      <w:r>
        <w:rPr>
          <w:rFonts w:eastAsia="Times New Roman" w:cs="Times New Roman" w:ascii="Times New Roman" w:hAnsi="Times New Roman"/>
          <w:color w:val="111111"/>
          <w:sz w:val="28"/>
          <w:szCs w:val="28"/>
          <w:lang w:val="en-US"/>
        </w:rPr>
        <w:t>Lain dari itu, masih dalam asumsi ini, sebagian fukaha berpendapat bahwa  pemerintah Islam harus menanggapi positif tuntutan seorang murtad millî (non-  Muslim yang masuk Islam lalu kembali keluar darinya) agar berusaha menghilangkan  kerancuan intelektual yang dialaminya, selama usaha ini mungkin. Berdasarkan  akal sehat, mereka memenuhi tuntutan orang yang sedang mencari petunjuk dan  jalan kebenaran merupakan kebajikan. Sebaliknya, merupakan keburukan bila  menolak tuntutan orang seperti itu, kecuali pemerintah Islam memiliki bukti nyata  atas sikapnya berkeras kepala.</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13, hlm. 346, “Mungkin juga dia dituntut untuk mencari petunjuk (kebenaran) sebatas yang  memungkinkan bagi dia untuk mengerti dan mendapatkan petunjuk itu, jika target itu tercapai,  maka baik sekali, tetapi jika tidak tercapai maka setelah itu dia tidak didengar lagi dan waktu tidak  akan diulur-ulur lagi. Maka, dalil pendengaran secara langsung adalah lebih kuat dan jelas. Hal itu  juga didukung oleh kenyataan akal yang memutuskan bahwa memberi jawaban atas orang yang  meminta petunjuk dan mencari hidayah adalah perbuatan yang baik, sebaliknya penolakan atas  permintaan seperti itu sampai batas terbukti dia adalah keras kepala adalah perbuatan yang buruk  menurut akal sekaligus teks (naql), kecuali apabila dipastikan bahwa bimbingan dan pemberian  petunjuk sama sekali tidak akan berguna bagi orang tersebut, dan ini jelas.”</w:t>
      </w:r>
    </w:p>
    <w:p>
      <w:pPr>
        <w:pStyle w:val="BookText"/>
        <w:bidi w:val="0"/>
        <w:jc w:val="both"/>
        <w:rPr/>
      </w:pPr>
      <w:r>
        <w:rPr>
          <w:rFonts w:eastAsia="Times New Roman" w:cs="Times New Roman" w:ascii="Times New Roman" w:hAnsi="Times New Roman"/>
          <w:color w:val="111111"/>
          <w:sz w:val="28"/>
          <w:szCs w:val="28"/>
          <w:lang w:val="en-US"/>
        </w:rPr>
        <w:t>Oleh karena itu, berkaitan dengan orang murtad millî, minimal selama belum  memiliki bukti atas sikapnya berkeras kepala, pemerintah Islam harus berusaha  menetralisasi kerancuan intelektualnya. Adapun hadis-hadis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yang menunjukkan  sebagian imam suci tidak berbuat seperti itu bisa dipahami dengan maknanya  yang khas, yaitu imam yakin bahwa orang murtad saat itu sudah tidak mungkin  lagi menerima petunjuk. Atau boleh jadi, pada dasarnya, orang itu benar-benar  diliputi sifat keras kepala sehingga sama sekali tidak mengajukan permintaan agar  kerancuannya dihilangkan.</w:t>
      </w:r>
    </w:p>
    <w:p>
      <w:pPr>
        <w:pStyle w:val="BookText"/>
        <w:bidi w:val="0"/>
        <w:jc w:val="both"/>
        <w:rPr/>
      </w:pPr>
      <w:r>
        <w:rPr>
          <w:rFonts w:eastAsia="Times New Roman" w:cs="Times New Roman" w:ascii="Times New Roman" w:hAnsi="Times New Roman"/>
          <w:color w:val="111111"/>
          <w:sz w:val="28"/>
          <w:szCs w:val="28"/>
          <w:lang w:val="en-US"/>
        </w:rPr>
        <w:t>Memang, sebagian fukaha Syiah dan Ahli Sunnah menentang pendapat ini.</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Rawdhah Al-Thâlibîn, jld. 7, hlm. 296; Nawawi: Al-Majmů fi Syarh Al-Muhadzdzab, jld. 19, hlm.</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228-229.</w:t>
      </w:r>
    </w:p>
    <w:p>
      <w:pPr>
        <w:pStyle w:val="BookText"/>
        <w:bidi w:val="0"/>
        <w:rPr/>
      </w:pPr>
      <w:r>
        <w:rPr>
          <w:rFonts w:eastAsia="Times New Roman" w:cs="Times New Roman" w:ascii="Times New Roman" w:hAnsi="Times New Roman"/>
          <w:color w:val="111111"/>
          <w:sz w:val="28"/>
          <w:szCs w:val="28"/>
          <w:lang w:val="en-US"/>
        </w:rPr>
        <w:t>Hanya saja, argumentasi Muqaddas Ardabili yang mendukung pendapat tersebut  tampak lebih kuat.</w:t>
      </w:r>
    </w:p>
    <w:p>
      <w:pPr>
        <w:pStyle w:val="BookText"/>
        <w:bidi w:val="0"/>
        <w:jc w:val="both"/>
        <w:rPr/>
      </w:pPr>
      <w:r>
        <w:rPr>
          <w:rFonts w:eastAsia="Times New Roman" w:cs="Times New Roman" w:ascii="Times New Roman" w:hAnsi="Times New Roman"/>
          <w:color w:val="111111"/>
          <w:sz w:val="28"/>
          <w:szCs w:val="28"/>
          <w:lang w:val="en-US"/>
        </w:rPr>
        <w:t>Asumsi kedua: pelaku pengingkaran ajaran niscaya agama lalai bahwa  tindakannya itu bertolak belakang dengan kepercayaan global. Kelalaian ini  sendiri bisa diakibatkan oleh sikap meremehkan dan tak peduli terhadap agama,  atau karena mengultuskan seseorang-sebagaimana kalangan awam terhadap para  tokohnya. Sesuai asumsi ini, kemurtadan juga akan terjadi; kecuali pandangan  positif terhadap para tokoh itu membuatnya ragu terhadap inti persoalan bahwa  ajaran niscaya agama benar-benar berasal dari Nabi Saw. Dalam kondisi ini,  lantaran pemahamannya rancu, sementara kepercayaan terhadap Nabi Saw masih  terpelihara, seseorang tidak dapat divonis murtad.</w:t>
      </w:r>
      <w:r>
        <w:rPr>
          <w:rStyle w:val="FootnoteAnchor"/>
        </w:rPr>
        <w:footnoteReference w:id="179"/>
      </w:r>
      <w:r>
        <w:rPr>
          <w:rFonts w:eastAsia="Times New Roman" w:cs="Times New Roman" w:ascii="Times New Roman" w:hAnsi="Times New Roman"/>
          <w:color w:val="111111"/>
          <w:sz w:val="28"/>
          <w:szCs w:val="28"/>
          <w:lang w:val="en-US"/>
        </w:rPr>
        <w:t xml:space="preserve"> Boleh jadi, kelalaian orang itu karena mengabaikan martabat Kenabian.</w:t>
      </w:r>
    </w:p>
    <w:p>
      <w:pPr>
        <w:pStyle w:val="BookText"/>
        <w:bidi w:val="0"/>
        <w:jc w:val="both"/>
        <w:rPr/>
      </w:pPr>
      <w:r>
        <w:rPr>
          <w:rFonts w:eastAsia="Times New Roman" w:cs="Times New Roman" w:ascii="Times New Roman" w:hAnsi="Times New Roman"/>
          <w:color w:val="111111"/>
          <w:sz w:val="28"/>
          <w:szCs w:val="28"/>
          <w:lang w:val="en-US"/>
        </w:rPr>
        <w:t>Akibatnya, dia mengira hukum tertentu yang diketahuinya berasal dari Nabi Saw  lebih berdasarkan ijtihad pribadi beliau, atau hasil dari kecenderungan subjektif  (nafsânî) beliau. Sesuai asumsi ini, jika kerancuan intelektual itu tidak hanya  bersifat dangkal (ibtidâî), tetapi telah melapisi kokoh keimanan, mereka itu  terbilang sikap mendustakan Nabi Saw dan menyebabkan kemurtadan. Sekalipun  demikian, asumsi ini memungkinkan bila karena kerancuan intelektual seseorang  lantas menduga hukum itu pada dasarnya, bukan berasal dari Nabi Saw; dia belum  layak divonis murtad. Contohnya, dia menganggap shalat yang diperintahkan Nabi  Saw secara esensial bermakna doa, bukan ritual biasa yang dilakukan Muslim.</w:t>
      </w:r>
      <w:r>
        <w:rPr>
          <w:rStyle w:val="FootnoteAnchor"/>
        </w:rPr>
        <w:footnoteReference w:id="180"/>
      </w:r>
      <w:r>
        <w:rPr>
          <w:rFonts w:eastAsia="Times New Roman" w:cs="Times New Roman" w:ascii="Times New Roman" w:hAnsi="Times New Roman"/>
          <w:color w:val="111111"/>
          <w:sz w:val="28"/>
          <w:szCs w:val="28"/>
          <w:lang w:val="en-US"/>
        </w:rPr>
        <w:t xml:space="preserve"> Ada poin sangat penting yang diperhatikan Hamadani: pengingkaran yang  tidak bertentangan dengan kepercayaan global terhadap Nabi Saw mungkin saja  terjadi dalam berbagai bentuk:</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Boleh jadi pelaku pengingkaran berusaha menakwil sabda Nabi Saw  dan menerangkannya, seraya menganggap dirinya telah memperhatikan  kaidah-kaidah literal, indikasi-indikasi rasional dan tekstual (mencakup  redaksional dan kontekstual). Umpama, atas dasar indikasi-indikasi ini,  dia memahami kata shalat (shalâh) secara etimologis bermakna doa, dan  dia tidak menemukan makna selain itu. Sementara itu, prinsip dasar juga  menyatakan bahwa makna suatu kata tidak akan bergeser ke makna lain,  kecuali terdapat bukti autentik atas pergeseran ini. Pengingkaran tata cara</w:t>
      </w:r>
    </w:p>
    <w:p>
      <w:pPr>
        <w:pStyle w:val="BookText"/>
        <w:bidi w:val="0"/>
        <w:rPr/>
      </w:pPr>
      <w:r>
        <w:rPr>
          <w:rFonts w:eastAsia="Times New Roman" w:cs="Times New Roman" w:ascii="Times New Roman" w:hAnsi="Times New Roman"/>
          <w:color w:val="111111"/>
          <w:sz w:val="28"/>
          <w:szCs w:val="28"/>
          <w:lang w:val="en-US"/>
        </w:rPr>
        <w:t>shalat dengan alasan seperti ini, kendati argumentasinya tidak berdasar,  sudah tentu tidak sampai menyebabkan kemurtadan. Tentunya ini  berdasarkan teori 'pengingkaran terhadap ajaran niscaya agama bukanlah  variabel independen kemurtadan².</w:t>
      </w:r>
      <w:r>
        <w:rPr>
          <w:rStyle w:val="FootnoteAnchor"/>
        </w:rPr>
        <w:footnoteReference w:id="181"/>
      </w:r>
      <w:r>
        <w:rPr>
          <w:rFonts w:eastAsia="Times New Roman" w:cs="Times New Roman" w:ascii="Times New Roman" w:hAnsi="Times New Roman"/>
          <w:color w:val="111111"/>
          <w:sz w:val="28"/>
          <w:szCs w:val="28"/>
          <w:lang w:val="en-US"/>
        </w:rPr>
        <w:t xml:space="preserve"> 2.Boleh jadi dia menyimpulkan sabda Nabi Saw berdasarkan indikasi-  indikasi yang lazimnya ('urf) tidak punya kelayakan sebagaimana layaknya  indikasi. Contohnya, klaim sekelompok sufi yang mengingkari kewajiban  shalat. Menurut mereka, shalat dimaksudkan untuk menyempurnakan  jiwa. Karenanya, orang yang sudah mencapai tingkat kesempurnaan  tidak lagi diwajibkan shalat. Begitu pula dengan klaim bahwa sebuah  ajaran niscaya agama tertentu disampaikan para manusia suci berdasarkan  tauriyah (mengaburkan pemahaman lawan bicara-penj.) maupun  taqiyyah (merahasiakan status iman di ranah publik-penj.). Dalam  konteks ini, kemurtadan sangat sulit diidentifikasi.</w:t>
      </w:r>
      <w:r>
        <w:rPr>
          <w:rStyle w:val="FootnoteAnchor"/>
        </w:rPr>
        <w:footnoteReference w:id="182"/>
      </w:r>
      <w:r>
        <w:rPr>
          <w:rFonts w:eastAsia="Times New Roman" w:cs="Times New Roman" w:ascii="Times New Roman" w:hAnsi="Times New Roman"/>
          <w:color w:val="111111"/>
          <w:sz w:val="28"/>
          <w:szCs w:val="28"/>
          <w:lang w:val="en-US"/>
        </w:rPr>
        <w:t>Dalam asumsi-asumsi  ini, terjadinya kemurtadan juga masih belum bisa dipastikan.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Boleh jadi seseorang mengklaim bahwa risalah Nabi Saw adalah memberi  petunjuk orang-orang yang taraf pemahamannya di bawah rata-rata.</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Oleh karena itu, risalah Beliau tidak mengarah kalangan cendekia dan  filosof. Sebab, dengan bermodal kecerdasannya, mereka sendiri mampu  mengetahui mana yang bermanfaat dan mana yang merugikan, tanpa  perlu bimbingan nabi. Atau dia mengklaim bahwa Nabi Saw diutus  untuk memberi petunjuk kepada bangsa Arab, bukan kepada semua umat  manusia. Pengingkaran semacam ini, kendati tidak vis-à-vis kepercayaan  global seketika menyadari kekeliruannya, dia akan membuang  pendapatnya, lantaran masih percaya nabi namun, mengingat secara  global pengingkaran ini melawan risalah Nabi Saw, hukumnya sama, yaitu  menyebabkan kekafiran dan kemurtadan.</w:t>
      </w:r>
      <w:r>
        <w:rPr>
          <w:rStyle w:val="FootnoteAnchor"/>
        </w:rPr>
        <w:footnoteReference w:id="183"/>
      </w:r>
      <w:r>
        <w:rPr>
          <w:rFonts w:eastAsia="Times New Roman" w:cs="Times New Roman" w:ascii="Times New Roman" w:hAnsi="Times New Roman"/>
          <w:color w:val="111111"/>
          <w:sz w:val="28"/>
          <w:szCs w:val="28"/>
          <w:lang w:val="en-US"/>
        </w:rPr>
        <w:t xml:space="preserve"> Asumsi ketiga, mengingkari ajaran niscaya agama karena tidak  mengetahui hukum yang berasal dari Nabi Saw. Ketidaktahuan ini  dialami si pelaku lantaran baru memeluk Islam, atau karena tidak hidup  di komunitas Muslim. Dalam asumsi ini, dia juga tidak dapat dihukumi  murtad karena masih mempercayai kenabian Nabi Saw. </w:t>
      </w:r>
    </w:p>
    <w:p>
      <w:pPr>
        <w:pStyle w:val="BookText"/>
        <w:bidi w:val="0"/>
        <w:rPr/>
      </w:pPr>
      <w:r>
        <w:rPr>
          <w:rFonts w:eastAsia="Times New Roman" w:cs="Times New Roman" w:ascii="Times New Roman" w:hAnsi="Times New Roman"/>
          <w:color w:val="111111"/>
          <w:sz w:val="28"/>
          <w:szCs w:val="28"/>
          <w:lang w:val="en-US"/>
        </w:rPr>
        <w:t>Dengan demikian, kriteria 'tidak murtad' dalam semua asumsi di atas  adalah pengingkaran ajaran niscaya agama tidak sampai bertentangan  dengan kepercayaan global.</w:t>
      </w:r>
      <w:r>
        <w:rPr>
          <w:rStyle w:val="FootnoteAnchor"/>
        </w:rPr>
        <w:footnoteReference w:id="184"/>
      </w:r>
      <w:r>
        <w:rPr>
          <w:rFonts w:eastAsia="Times New Roman" w:cs="Times New Roman" w:ascii="Times New Roman" w:hAnsi="Times New Roman"/>
          <w:color w:val="111111"/>
          <w:sz w:val="28"/>
          <w:szCs w:val="28"/>
          <w:lang w:val="en-US"/>
        </w:rPr>
        <w:t xml:space="preserve"> Pandangan Imam Khomeini  Menurut Imam Khomeini, jika seorang Muslim punya kepercayaan global  terhadap prinsip-prinsip Islam (Tauhid dan Kenabian), tetapi mengalami sejumlah  kerancuan intelektual sehingga membuatnya ingkar terhadap salah satu ajaran  niscaya agama—misalnya, mengira shalat dan haji hanya wajib di masa awal Islam,  sementara sekarang tidak wajib lagi bagi kaum Muslimin. Orang seperti ini, dalam  tradisi kalangan komit syariat (ʻurf mutasyarri'ah) tidak tergolong murtad.</w:t>
      </w:r>
      <w:r>
        <w:rPr>
          <w:rStyle w:val="FootnoteAnchor"/>
        </w:rPr>
        <w:footnoteReference w:id="185"/>
      </w:r>
      <w:r>
        <w:rPr>
          <w:rFonts w:eastAsia="Times New Roman" w:cs="Times New Roman" w:ascii="Times New Roman" w:hAnsi="Times New Roman"/>
          <w:color w:val="111111"/>
          <w:sz w:val="28"/>
          <w:szCs w:val="28"/>
          <w:lang w:val="en-US"/>
        </w:rPr>
        <w:t xml:space="preserve"> Beliau mendasarkan teori ini pada sejumlah besar hadis yang mengindikasikan  bahwa kriteria keislaman hanyalah pernyataan dua kalimat syahadat. Dalam topik  pembahasan ini, asumsi yang dibangun adalah terdakwa mengingkari ajaran niscaya  agama akibat kerancuan intelektualnya, bukan didorong motif keras kepala ('inâd).</w:t>
      </w:r>
    </w:p>
    <w:p>
      <w:pPr>
        <w:pStyle w:val="BookText"/>
        <w:bidi w:val="0"/>
        <w:jc w:val="both"/>
        <w:rPr/>
      </w:pPr>
      <w:r>
        <w:rPr>
          <w:rFonts w:eastAsia="Times New Roman" w:cs="Times New Roman" w:ascii="Times New Roman" w:hAnsi="Times New Roman"/>
          <w:color w:val="111111"/>
          <w:sz w:val="28"/>
          <w:szCs w:val="28"/>
          <w:lang w:val="en-US"/>
        </w:rPr>
        <w:t>Oleh karena itu, orang semacam ini tidak dianggap mengingkari dua kalimat  syahadat, yaitu Tauhid dan kenabian.</w:t>
      </w:r>
      <w:r>
        <w:rPr>
          <w:rStyle w:val="FootnoteAnchor"/>
        </w:rPr>
        <w:footnoteReference w:id="186"/>
      </w:r>
      <w:r>
        <w:rPr>
          <w:rFonts w:eastAsia="Times New Roman" w:cs="Times New Roman" w:ascii="Times New Roman" w:hAnsi="Times New Roman"/>
          <w:color w:val="111111"/>
          <w:sz w:val="28"/>
          <w:szCs w:val="28"/>
          <w:lang w:val="en-US"/>
        </w:rPr>
        <w:t xml:space="preserve"> Beberapa kalangan menentang teori ini, mereka berusaha mencari justifikasi  dengan mengatakan bahwa maksud hadis-hadis yang mencukupkan dua kalimat  syahadat untuk menjadi Muslim itu dikhususkan untuk kalangan non-Muslim yang  hendak memeluk Islam. Dengan kata lain, kandungan hadis-hadis itu berkenaan  dengan ihwal menjadi Muslim', bukan 'tetap sebagai Muslim'.</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Khomeini menolak justifikasi ini, ‘Bukan saja tak ada bukti untuk klaim  mereka, melainkan dalam hadis-hadis itu sendiri terkandung sejumlah bukti yang </w:t>
      </w:r>
      <w:bookmarkStart w:id="110" w:name="pg6393_43054"/>
    </w:p>
    <w:p>
      <w:pPr>
        <w:pStyle w:val="BookText"/>
        <w:bidi w:val="0"/>
        <w:rPr/>
      </w:pPr>
      <w:bookmarkEnd w:id="110"/>
      <w:r>
        <w:rPr>
          <w:rFonts w:eastAsia="Times New Roman" w:cs="Times New Roman" w:ascii="Times New Roman" w:hAnsi="Times New Roman"/>
          <w:color w:val="111111"/>
          <w:sz w:val="28"/>
          <w:szCs w:val="28"/>
          <w:lang w:val="en-US"/>
        </w:rPr>
        <w:t>menentang klaim tersebut.</w:t>
      </w:r>
      <w:r>
        <w:rPr>
          <w:rStyle w:val="FootnoteAnchor"/>
        </w:rPr>
        <w:footnoteReference w:id="187"/>
      </w:r>
    </w:p>
    <w:p>
      <w:pPr>
        <w:pStyle w:val="Heading3"/>
        <w:numPr>
          <w:ilvl w:val="2"/>
          <w:numId w:val="1"/>
        </w:numPr>
        <w:bidi w:val="0"/>
        <w:jc w:val="left"/>
        <w:rPr/>
      </w:pPr>
      <w:bookmarkStart w:id="111" w:name="__RefHeading___Toc419528_653776707"/>
      <w:bookmarkStart w:id="112" w:name="_Toc41"/>
      <w:bookmarkEnd w:id="111"/>
      <w:r>
        <w:rPr/>
        <w:t>Kemurtadan Intelektual berdasarkan Teori Variabel Independen</w:t>
      </w:r>
      <w:bookmarkEnd w:id="112"/>
    </w:p>
    <w:p>
      <w:pPr>
        <w:pStyle w:val="BookText"/>
        <w:bidi w:val="0"/>
        <w:jc w:val="both"/>
        <w:rPr/>
      </w:pPr>
      <w:r>
        <w:rPr>
          <w:rFonts w:eastAsia="Times New Roman" w:cs="Times New Roman" w:ascii="Times New Roman" w:hAnsi="Times New Roman"/>
          <w:color w:val="111111"/>
          <w:sz w:val="28"/>
          <w:szCs w:val="28"/>
          <w:lang w:val="en-US"/>
        </w:rPr>
        <w:t>Menurut sebagian fukaha, berdasarkan teori variabel independen sekalipun,  masih dapat dinyatakan bahwa dalam asumsi ada kerancuan intelektual,  pengingkaran ajaran niscaya (dharûrî) agama tidak serta-merta menyebabkan  kemurtadan. Dengan kata lain, kalangan yang berteori bahwa pengingkaran ajaran  niscaya agama sebagai variabel independen kemurtadan, bahkan mengecualikan  kondisi seseorang yang rancu pemahamannya.</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Menurut Syaikh Anshari, sekalipun harus menerima teori bahwa pengingkaran  ajaran niscaya agama bukanlah variabel independen kemurtadan, namun tetap tak  dapat dipungkiri bahwa pengingkaran itu tidak menyebabkan kemurtadan jika  terjadi kerancuan intelektual yang diakibatkan oleh kelemahannya (qushûr). Sebab,  orang yang lemah (qashir) tidak dibebani kewajiban agar mempercayai apa yang  tidak diketahuinya, karena pada kenyataannya, apa pun yang menjadi kepercayaan  orang lemah adalah agamanya itu sendiri.</w:t>
      </w:r>
      <w:r>
        <w:rPr>
          <w:rStyle w:val="FootnoteAnchor"/>
        </w:rPr>
        <w:footnoteReference w:id="188"/>
      </w:r>
      <w:r>
        <w:rPr>
          <w:rFonts w:eastAsia="Times New Roman" w:cs="Times New Roman" w:ascii="Times New Roman" w:hAnsi="Times New Roman"/>
          <w:color w:val="111111"/>
          <w:sz w:val="28"/>
          <w:szCs w:val="28"/>
          <w:lang w:val="en-US"/>
        </w:rPr>
        <w:t xml:space="preserve"> Hamadani juga berpandangan bahwa kelompok fukaha yang mendukung teori  variabel independen juga mengecualikan kondisi kerancuan intelektual, sekalipun  pengecualian ini inkoheren dengan teori ini.</w:t>
      </w:r>
      <w:r>
        <w:rPr>
          <w:rStyle w:val="FootnoteAnchor"/>
        </w:rPr>
        <w:footnoteReference w:id="189"/>
      </w:r>
    </w:p>
    <w:p>
      <w:pPr>
        <w:pStyle w:val="BookText"/>
        <w:bidi w:val="0"/>
        <w:rPr/>
      </w:pPr>
      <w:r>
        <w:rPr>
          <w:rFonts w:eastAsia="Times New Roman" w:cs="Times New Roman" w:ascii="Times New Roman" w:hAnsi="Times New Roman"/>
          <w:color w:val="111111"/>
          <w:sz w:val="28"/>
          <w:szCs w:val="28"/>
          <w:lang w:val="en-US"/>
        </w:rPr>
        <w:t>Kiranya penting diperhatikan bahwa mayoritas fukaha, termasuk kalangan  penganut teori variabel independen, telah mengecualikan pengingkaran yang  terjadi akibat kerancuan intelektual dan ketidaktahuan (dari kemurtadan].</w:t>
      </w:r>
      <w:r>
        <w:rPr>
          <w:rStyle w:val="FootnoteAnchor"/>
        </w:rPr>
        <w:footnoteReference w:id="190"/>
      </w:r>
      <w:r>
        <w:rPr>
          <w:rFonts w:eastAsia="Times New Roman" w:cs="Times New Roman" w:ascii="Times New Roman" w:hAnsi="Times New Roman"/>
          <w:color w:val="111111"/>
          <w:sz w:val="28"/>
          <w:szCs w:val="28"/>
          <w:lang w:val="en-US"/>
        </w:rPr>
        <w:t xml:space="preserve"> Sebagian fukaha menjustifikasi sikap Amirul Mukminin Ali bin Abi Thalib  yang menerima taubat kaum Khawarij. Dalam konteks ini, mereka mengutarakan  sebuah alternatif, bahwa kemurtadan yang muncul akibat kerancuan intelektual  menjadikan taubat orang murtad layak diakomodasi.</w:t>
      </w:r>
      <w:r>
        <w:rPr>
          <w:rStyle w:val="FootnoteAnchor"/>
        </w:rPr>
        <w:footnoteReference w:id="191"/>
      </w:r>
      <w:r>
        <w:rPr>
          <w:rFonts w:eastAsia="Times New Roman" w:cs="Times New Roman" w:ascii="Times New Roman" w:hAnsi="Times New Roman"/>
          <w:color w:val="111111"/>
          <w:sz w:val="28"/>
          <w:szCs w:val="28"/>
          <w:lang w:val="en-US"/>
        </w:rPr>
        <w:t xml:space="preserve"> Disamping itu, bila merujuk dampak-dampak khas pidana dan perdatanya, vonis  murtad bertentangan dengan prinsip dasar. Oleh karenanya, dalam kondisi-kondisi  yang masih diragukan, hanya kepastian minimal saja yang harus diberlakukan.</w:t>
      </w:r>
    </w:p>
    <w:p>
      <w:pPr>
        <w:pStyle w:val="BookText"/>
        <w:bidi w:val="0"/>
        <w:jc w:val="both"/>
        <w:rPr/>
      </w:pPr>
      <w:r>
        <w:rPr>
          <w:rFonts w:eastAsia="Times New Roman" w:cs="Times New Roman" w:ascii="Times New Roman" w:hAnsi="Times New Roman"/>
          <w:color w:val="111111"/>
          <w:sz w:val="28"/>
          <w:szCs w:val="28"/>
          <w:lang w:val="en-US"/>
        </w:rPr>
        <w:t>Dalam konteks kemurtadan, kepastian itu berupa asumsi ketidakrancuan dan  ketidakbodohan pelaku saat mengingkari ajaran niscaya agama. Sebab, jika sedang  mengalami kerancuan intelektual, dirinya masuk dalam kaidah Dar’ Artinya, dia  tidak berhak dijatuhi hukuman had.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seluruh uraian di atas seputar pandangan sejumlah fukaha, dapat  disimpulkan bahwa sekelompok besar dari mereka, khususnya fukaha terakhir  dan kontemporer, berpendapat bahwa pengingkaran ajaran niscaya agama yang  dipicu kerancuan intelektual, aktivitas intelektual dan teoretis, pada hakikatnya  tidak menyebabkan kemurtadan. Oleh karena itu, variabel dalam pengingkaran  ini adalah ketidaktahuan dan ketidaksadaran yang lantas menggugurkan tanggung  jawab seseorang. Kalaupun ketidaktahuan itu diakibatkan keteledoran (taqshîr);  paling tidak, si pelaku telah melakukan tindakan salah lantaran keteledorannya,  bukan karena kemurtadannya. </w:t>
      </w:r>
      <w:bookmarkStart w:id="113" w:name="pg6393_43057"/>
    </w:p>
    <w:p>
      <w:pPr>
        <w:pStyle w:val="Heading3"/>
        <w:numPr>
          <w:ilvl w:val="2"/>
          <w:numId w:val="1"/>
        </w:numPr>
        <w:bidi w:val="0"/>
        <w:jc w:val="left"/>
        <w:rPr/>
      </w:pPr>
      <w:bookmarkStart w:id="114" w:name="__RefHeading___Toc419530_653776707"/>
      <w:bookmarkStart w:id="115" w:name="_Toc42"/>
      <w:bookmarkEnd w:id="113"/>
      <w:bookmarkEnd w:id="114"/>
      <w:r>
        <w:rPr/>
        <w:t>Kemurtadan Intelektual di Era Awal Islam</w:t>
      </w:r>
      <w:bookmarkEnd w:id="115"/>
    </w:p>
    <w:p>
      <w:pPr>
        <w:pStyle w:val="Heading3"/>
        <w:numPr>
          <w:ilvl w:val="2"/>
          <w:numId w:val="1"/>
        </w:numPr>
        <w:bidi w:val="0"/>
        <w:jc w:val="left"/>
        <w:rPr/>
      </w:pPr>
      <w:bookmarkStart w:id="116" w:name="__RefHeading___Toc419532_653776707"/>
      <w:bookmarkStart w:id="117" w:name="_Toc43"/>
      <w:bookmarkEnd w:id="116"/>
      <w:r>
        <w:rPr/>
        <w:t>Periode Abu Bakar</w:t>
      </w:r>
      <w:bookmarkEnd w:id="117"/>
    </w:p>
    <w:p>
      <w:pPr>
        <w:pStyle w:val="BookText"/>
        <w:bidi w:val="0"/>
        <w:jc w:val="both"/>
        <w:rPr/>
      </w:pPr>
      <w:r>
        <w:rPr>
          <w:rFonts w:eastAsia="Times New Roman" w:cs="Times New Roman" w:ascii="Times New Roman" w:hAnsi="Times New Roman"/>
          <w:color w:val="111111"/>
          <w:sz w:val="28"/>
          <w:szCs w:val="28"/>
          <w:lang w:val="en-US"/>
        </w:rPr>
        <w:t>Dalam beberapa hadis</w:t>
      </w:r>
      <w:r>
        <w:rPr>
          <w:rStyle w:val="FootnoteAnchor"/>
        </w:rPr>
        <w:footnoteReference w:id="192"/>
      </w:r>
      <w:r>
        <w:rPr>
          <w:rFonts w:eastAsia="Times New Roman" w:cs="Times New Roman" w:ascii="Times New Roman" w:hAnsi="Times New Roman"/>
          <w:color w:val="111111"/>
          <w:sz w:val="28"/>
          <w:szCs w:val="28"/>
          <w:lang w:val="en-US"/>
        </w:rPr>
        <w:t>disebutkan bahwa pascawafat Nabi Muhammad Saw,  nyaris semua orang terjangkiti kemurtadan-kecuali tiga sahabat Amirul Mukminin  Ali bin Abi Thalib. Sebagian pakar, seperti Imam Khomeini, berpendapat bahwa  hadis-hadis itu tidak bermakna semua orang telah murtad. Bahkan pada dasarnya,  rangkaian hadis tersebut tidak bermakna kemurtadan terminologis. Makna paling  tepat untuk hadis-hadis tersebut adalah bahwa pascawafat Nabi Saw, masyarakat  mengingkari ikrar wilayah dan kepemimpinan mereka, sekalipun secara lahiriah  dan atas dasar taqiyah.</w:t>
      </w:r>
      <w:r>
        <w:rPr>
          <w:rStyle w:val="FootnoteAnchor"/>
        </w:rPr>
        <w:footnoteReference w:id="193"/>
      </w:r>
      <w:r>
        <w:rPr>
          <w:rFonts w:eastAsia="Times New Roman" w:cs="Times New Roman" w:ascii="Times New Roman" w:hAnsi="Times New Roman"/>
          <w:color w:val="111111"/>
          <w:sz w:val="28"/>
          <w:szCs w:val="28"/>
          <w:lang w:val="en-US"/>
        </w:rPr>
        <w:t xml:space="preserve"> Hanya yang pasti, setelah periode khalifah pertama, terdapat beberapa kelompok  yang dikenal sebagai golongan murtad (ashhâb al-riddah). Menurut seluruh kalangan  Muslim masa itu, kelompok yang dipimpin Musailamah Kadzdzab, Thulaihah,  dan Isa memang benar-benar murtad. Adapun kelompok lain, karena kerancuan  intelektual, keliru mengira bahwa zakat hanya wajib di masa Nabi Saw, karenanya,  tidak mau membayar zakat kepada khalifah pertama.</w:t>
      </w:r>
      <w:r>
        <w:rPr>
          <w:rStyle w:val="FootnoteAnchor"/>
        </w:rPr>
        <w:footnoteReference w:id="194"/>
      </w:r>
      <w:r>
        <w:rPr>
          <w:rFonts w:eastAsia="Times New Roman" w:cs="Times New Roman" w:ascii="Times New Roman" w:hAnsi="Times New Roman"/>
          <w:color w:val="111111"/>
          <w:sz w:val="28"/>
          <w:szCs w:val="28"/>
          <w:lang w:val="en-US"/>
        </w:rPr>
        <w:t xml:space="preserve">Maka, oleh penguasa masa  itu, mereka dinyatakan sebagai murtad. Itulah sebabnya penguasa memperlakukan  mereka layaknya pelaku murtad. Awalnya Umar bin Khatthab tidak sependapat  dengan Abu Bakar. Bahkan, menurut beberapa sejarawan, </w:t>
      </w:r>
      <w:r>
        <w:rPr>
          <w:rStyle w:val="FootnoteAnchor"/>
        </w:rPr>
        <w:footnoteReference w:id="195"/>
      </w:r>
      <w:r>
        <w:rPr>
          <w:rFonts w:eastAsia="Times New Roman" w:cs="Times New Roman" w:ascii="Times New Roman" w:hAnsi="Times New Roman"/>
          <w:color w:val="111111"/>
          <w:sz w:val="28"/>
          <w:szCs w:val="28"/>
          <w:lang w:val="en-US"/>
        </w:rPr>
        <w:t>selama sehari penuh  Umar secara khusus menemui Abu Bakar dan berusaha mencegahnya memerangi  kelompok tersebut. Namun sebaliknya, setelah mendapat penjelasan dari Abu  Bakar, Umar pun sepakat dengannya.</w:t>
      </w:r>
      <w:r>
        <w:rPr>
          <w:rStyle w:val="FootnoteAnchor"/>
        </w:rPr>
        <w:footnoteReference w:id="19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Al-Taubah [9]: 103), adalah khusus untuk periode Nabi Muhammad Saw, itulah kenapa bagi Umar  sempat meragukan peperangan atas mereka, karena mereka masih meyakini tauhid dan shalat,  sedangkan Abu Bakar tetap pada pendiriannya untuk memerangi mereka dengan alasan tidak mau membayar zakat, lalu para sahabat pun mengikutinya dalam hal ini."</w:t>
      </w:r>
    </w:p>
    <w:p>
      <w:pPr>
        <w:pStyle w:val="BookText"/>
        <w:bidi w:val="0"/>
        <w:rPr/>
      </w:pPr>
      <w:r>
        <w:rPr>
          <w:rFonts w:eastAsia="Times New Roman" w:cs="Times New Roman" w:ascii="Times New Roman" w:hAnsi="Times New Roman"/>
          <w:color w:val="111111"/>
          <w:sz w:val="28"/>
          <w:szCs w:val="28"/>
          <w:lang w:val="en-US"/>
        </w:rPr>
        <w:t>Hanya saja, menurut pandangan mayoritas fukaha Syiah, kelompok ini hanya  terjangkit kerancuan intelektual (syubhah). Mereka pada hakikatnya bukan  murtad. Seandainya mereka benar menolak membayar zakat, langkah pertama  yang semestinya ditempuh penguasa saat itu adalah mengharuskan mereka  membayarnya. Lalu, jika mereka tetap menolak, tetapi tidak sampai menghalalkan  penolakannya, penguasa hanya berhak memvonis mereka sebagai subversif, bukan  murtad.</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Begitu pula siapa saja yang mempercayai ihwal tidak wajib sesuatu yang dia tahu merupakan bagian  jelas-pasti dalam agama, adalah murtad. Sebagian ulama Ahli Sunnah berpendapat, orang yang tidak  sudi membayar zakat adalah murtad, sekalipun dia adalah orang yang Muslim dan pendapat ini tidak  dapat dipegangi."</w:t>
      </w:r>
    </w:p>
    <w:p>
      <w:pPr>
        <w:pStyle w:val="BookText"/>
        <w:bidi w:val="0"/>
        <w:jc w:val="both"/>
        <w:rPr/>
      </w:pPr>
      <w:r>
        <w:rPr>
          <w:rFonts w:eastAsia="Times New Roman" w:cs="Times New Roman" w:ascii="Times New Roman" w:hAnsi="Times New Roman"/>
          <w:color w:val="111111"/>
          <w:sz w:val="28"/>
          <w:szCs w:val="28"/>
          <w:lang w:val="en-US"/>
        </w:rPr>
        <w:t>Namun, sebagaimana telah diingatkan sebelumnya, menghalalkan pengabaian  zakat juga dapat menyebabkan kemurtadan karena hal itu merupakan pengingkaran  ajaran niscaya agama secara sengaja dan keras kepala (“inâd).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Namun, penghalalan  jelas berbeda dengan menolak membayar zakat. Oleh karena itu, jika penolakan  membayar zakat-umpama-dilakukan lantaran kerancuan intelektual seputar  asas keberadaan zakat wajib itu, tidak menyebabkan kemurtadan.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 poin penting yang patut diperhatikan dalam kasus ini: keengganan orang-  orang pada masa itu dari membayar zakat dilatari argumen tertentu sekalipun  keliru. Menurut fukaha Syiah, pengingkaran seperti ini tidak menyebabkan  kemurtadan. Ini merupakan bukti paling kuat bahwa pada prinsipnya, kalangan  fukaha Syiah mengecualikan kondisi kerancuan intelektual (syubhah) dalam konteks</w:t>
      </w:r>
      <w:bookmarkStart w:id="118" w:name="pg6393_43061"/>
    </w:p>
    <w:p>
      <w:pPr>
        <w:pStyle w:val="BookText"/>
        <w:bidi w:val="0"/>
        <w:rPr/>
      </w:pPr>
      <w:bookmarkEnd w:id="118"/>
      <w:r>
        <w:rPr>
          <w:rFonts w:eastAsia="Times New Roman" w:cs="Times New Roman" w:ascii="Times New Roman" w:hAnsi="Times New Roman"/>
          <w:color w:val="111111"/>
          <w:sz w:val="28"/>
          <w:szCs w:val="28"/>
          <w:lang w:val="en-US"/>
        </w:rPr>
        <w:t>kemurtadan. Ini mengingat mereka masih mempercayai Islam, sekalipun keliru  dalam memahami ayat Al-Qur'an.</w:t>
      </w:r>
      <w:r>
        <w:rPr>
          <w:rStyle w:val="FootnoteAnchor"/>
        </w:rPr>
        <w:footnoteReference w:id="198"/>
      </w:r>
      <w:r>
        <w:rPr>
          <w:rFonts w:eastAsia="Times New Roman" w:cs="Times New Roman" w:ascii="Times New Roman" w:hAnsi="Times New Roman"/>
          <w:color w:val="111111"/>
          <w:sz w:val="28"/>
          <w:szCs w:val="28"/>
          <w:lang w:val="en-US"/>
        </w:rPr>
        <w:t>Akibatnya, mereka menduga, pascawafat Nabi  Saw, zakat tidak wajib dibayarkan kepada penguasa Islam (khalifah kedua) yang  doanya tidak menciptakan ketenteraman.</w:t>
      </w:r>
      <w:r>
        <w:rPr>
          <w:rStyle w:val="FootnoteAnchor"/>
        </w:rPr>
        <w:footnoteReference w:id="199"/>
      </w:r>
    </w:p>
    <w:p>
      <w:pPr>
        <w:pStyle w:val="Heading3"/>
        <w:numPr>
          <w:ilvl w:val="2"/>
          <w:numId w:val="1"/>
        </w:numPr>
        <w:bidi w:val="0"/>
        <w:jc w:val="left"/>
        <w:rPr/>
      </w:pPr>
      <w:bookmarkStart w:id="119" w:name="__RefHeading___Toc419534_653776707"/>
      <w:bookmarkStart w:id="120" w:name="_Toc44"/>
      <w:bookmarkEnd w:id="119"/>
      <w:r>
        <w:rPr/>
        <w:t>Periode Ali bin Abi Thalib</w:t>
      </w:r>
      <w:bookmarkEnd w:id="120"/>
    </w:p>
    <w:p>
      <w:pPr>
        <w:pStyle w:val="BookText"/>
        <w:bidi w:val="0"/>
        <w:jc w:val="both"/>
        <w:rPr/>
      </w:pPr>
      <w:r>
        <w:rPr>
          <w:rFonts w:eastAsia="Times New Roman" w:cs="Times New Roman" w:ascii="Times New Roman" w:hAnsi="Times New Roman"/>
          <w:color w:val="111111"/>
          <w:sz w:val="28"/>
          <w:szCs w:val="28"/>
          <w:lang w:val="en-US"/>
        </w:rPr>
        <w:t>Di masa pemerintahan Amirul Mukminin Ali bin Abi Thalib, distorsi dan  kerancuan intelektual telah mencapai klimaksnya. Kondisi ini jauh sebelumnya  sudah ia diperkirakan. Menurut sejumlah hadis, tatkala surah Al-Nashr [110]  diwahyukan, Nabi Saw menatap Ali bin Abi Thalib, mengabarkan kesyahidannya  kelak, dan bersabda:</w:t>
      </w:r>
    </w:p>
    <w:p>
      <w:pPr>
        <w:pStyle w:val="BookText"/>
        <w:bidi w:val="0"/>
        <w:jc w:val="both"/>
        <w:rPr/>
      </w:pPr>
      <w:r>
        <w:rPr>
          <w:rFonts w:eastAsia="Times New Roman" w:cs="Times New Roman" w:ascii="Times New Roman" w:hAnsi="Times New Roman"/>
          <w:color w:val="111111"/>
          <w:sz w:val="28"/>
          <w:szCs w:val="28"/>
          <w:lang w:val="en-US"/>
        </w:rPr>
        <w:t>'Hai Ali! Kapan saja engkau menyaksikan masyarakat menyimpang dari jalan  hidayah menuju jalan kesesatan, berjuanglah melawan mereka ... Engkau kelak  akan berhadapan dengan orang-orang yang berusaha menakwil Al-Qur'an.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Mereka terjangkiti kerancuan-kerancuan, menghalalkan minuman keras dan  .... Ali bin Abi Thalib bertanya, “Apakah orang-orang yang berbuat demikian  itu murtad atau tergolong pelaku fitnah?' Nabi Saw menjawab, 'Mereka itu  pelaku fitnah.'</w:t>
      </w:r>
      <w:r>
        <w:rPr>
          <w:rStyle w:val="FootnoteAnchor"/>
        </w:rPr>
        <w:footnoteReference w:id="200"/>
      </w:r>
      <w:r>
        <w:rPr>
          <w:rFonts w:eastAsia="Times New Roman" w:cs="Times New Roman" w:ascii="Times New Roman" w:hAnsi="Times New Roman"/>
          <w:color w:val="111111"/>
          <w:sz w:val="28"/>
          <w:szCs w:val="28"/>
          <w:lang w:val="en-US"/>
        </w:rPr>
        <w:t xml:space="preserve"> Masalah penting dalam hadis ini ialah Nabi Saw menyebut orang-orang yang  rancu intelektualitasnya mengingkari salah satu ajaran niscaya agama, seperti  hukum haram minuman keras, sebagai biang fitnah, bukan pelaku kemurtadan. </w:t>
      </w:r>
    </w:p>
    <w:p>
      <w:pPr>
        <w:pStyle w:val="BookText"/>
        <w:bidi w:val="0"/>
        <w:rPr/>
      </w:pPr>
      <w:r>
        <w:rPr>
          <w:rFonts w:eastAsia="Times New Roman" w:cs="Times New Roman" w:ascii="Times New Roman" w:hAnsi="Times New Roman"/>
          <w:color w:val="111111"/>
          <w:sz w:val="28"/>
          <w:szCs w:val="28"/>
          <w:lang w:val="en-US"/>
        </w:rPr>
        <w:t>Pengingkaran mereka terhadap ajaran niscaya agama tidak secara terang-terangan  sehingga akan berdampak pada pengingkaran asas keberadaan agama dan kenabian.</w:t>
      </w:r>
    </w:p>
    <w:p>
      <w:pPr>
        <w:pStyle w:val="BookText"/>
        <w:bidi w:val="0"/>
        <w:jc w:val="both"/>
        <w:rPr/>
      </w:pPr>
      <w:r>
        <w:rPr>
          <w:rFonts w:eastAsia="Times New Roman" w:cs="Times New Roman" w:ascii="Times New Roman" w:hAnsi="Times New Roman"/>
          <w:color w:val="111111"/>
          <w:sz w:val="28"/>
          <w:szCs w:val="28"/>
          <w:lang w:val="en-US"/>
        </w:rPr>
        <w:t>Mereka hanya melakukan itu karena kerancuan intelektual (syubhah). Mengingat  pentingnya kerancuan ini dan efeknya yang signifikan, Amirul Mukminin Ali bin  Abi Thalib berkata:</w:t>
      </w:r>
    </w:p>
    <w:p>
      <w:pPr>
        <w:pStyle w:val="BookText"/>
        <w:bidi w:val="0"/>
        <w:jc w:val="both"/>
        <w:rPr/>
      </w:pPr>
      <w:r>
        <w:rPr>
          <w:rFonts w:eastAsia="Times New Roman" w:cs="Times New Roman" w:ascii="Times New Roman" w:hAnsi="Times New Roman"/>
          <w:color w:val="111111"/>
          <w:sz w:val="28"/>
          <w:szCs w:val="28"/>
          <w:lang w:val="en-US"/>
        </w:rPr>
        <w:t>Setelahku kelak, janganlah kalian membunuh orang-orang Khawarij. Karena,  orang yang mencari kebenaran, namun salah jalan, sama sekali berbeda dengan  orang yang mencari kebatilan dan telah mencapainya.</w:t>
      </w:r>
      <w:r>
        <w:rPr>
          <w:rStyle w:val="FootnoteAnchor"/>
        </w:rPr>
        <w:footnoteReference w:id="201"/>
      </w:r>
      <w:r>
        <w:rPr>
          <w:rFonts w:eastAsia="Times New Roman" w:cs="Times New Roman" w:ascii="Times New Roman" w:hAnsi="Times New Roman"/>
          <w:color w:val="111111"/>
          <w:sz w:val="28"/>
          <w:szCs w:val="28"/>
          <w:lang w:val="en-US"/>
        </w:rPr>
        <w:t xml:space="preserve"> Ia berwasiat demikian sementara tidak seorang pun dari sahabatnya yang  menentang sikap tegasnya dalam menumpas kaum Khawarij.</w:t>
      </w:r>
      <w:r>
        <w:rPr>
          <w:rStyle w:val="FootnoteAnchor"/>
        </w:rPr>
        <w:footnoteReference w:id="202"/>
      </w:r>
      <w:r>
        <w:rPr>
          <w:rFonts w:eastAsia="Times New Roman" w:cs="Times New Roman" w:ascii="Times New Roman" w:hAnsi="Times New Roman"/>
          <w:color w:val="111111"/>
          <w:sz w:val="28"/>
          <w:szCs w:val="28"/>
          <w:lang w:val="en-US"/>
        </w:rPr>
        <w:t>Atas dasar itu,  menurut fukaha Syiah, salah satu syarat suatu aksi dinyatakan sebagai pemberontakan  (bagby, yakni terhadap penguasa Islam yang sah, peny.) adalah tak adanya kerancuan  intelektual yang dialami pelakunya.</w:t>
      </w:r>
      <w:r>
        <w:rPr>
          <w:rStyle w:val="FootnoteAnchor"/>
        </w:rPr>
        <w:footnoteReference w:id="203"/>
      </w:r>
      <w:r>
        <w:rPr>
          <w:rFonts w:eastAsia="Times New Roman" w:cs="Times New Roman" w:ascii="Times New Roman" w:hAnsi="Times New Roman"/>
          <w:color w:val="111111"/>
          <w:sz w:val="28"/>
          <w:szCs w:val="28"/>
          <w:lang w:val="en-US"/>
        </w:rPr>
        <w:t xml:space="preserve"> Amirul Mukminin Ali bin Abi Thalib r.a. menyikapi kaum Khawarij dengan  metode yang begitu mengagumkan. Kendati mereka telah melakukan kekerasan  bersenjata—ini memaksa Beliau melakukan sesuatu yang tidak selaras dengan  keinginannya, yakni memerangi mereka sebagai kelompok bâghỉ pemberontak'.</w:t>
      </w:r>
    </w:p>
    <w:p>
      <w:pPr>
        <w:pStyle w:val="BookText"/>
        <w:bidi w:val="0"/>
        <w:jc w:val="both"/>
        <w:rPr/>
      </w:pPr>
      <w:r>
        <w:rPr>
          <w:rFonts w:eastAsia="Times New Roman" w:cs="Times New Roman" w:ascii="Times New Roman" w:hAnsi="Times New Roman"/>
          <w:color w:val="111111"/>
          <w:sz w:val="28"/>
          <w:szCs w:val="28"/>
          <w:lang w:val="en-US"/>
        </w:rPr>
        <w:t>Namun, sebelum memulai perang, beliau lebih dulu mengutus Abdullah bin Abbas  untuk berdialog dengan mereka guna menangani kerancuan yang menyelimuti  pemahaman mereka.</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hadis ini, sebagian fukaha berpendapat bahwa sebelum memerangi  kelompok pemberontak dan penentang imam yang adil, hendaknya pemerintahan  Islam mengirim utusan kepada mereka untuk mengklarifikasi alasan dan motif  pemberontakan mereka, menuntaskan pelbagai kerancuan intelektual, dan menyeru  mereka ke jalan yang benar. Tentunya, pengiriman delegasi ini hanya mungkin  dilakukan jika tidak malah membuat pihak lawan akan bersikap lancang (tajarri). </w:t>
      </w:r>
      <w:r>
        <w:rPr>
          <w:rStyle w:val="FootnoteAnchor"/>
        </w:rPr>
        <w:footnoteReference w:id="204"/>
      </w:r>
      <w:bookmarkStart w:id="121" w:name="pg6393_43065"/>
    </w:p>
    <w:p>
      <w:pPr>
        <w:pStyle w:val="BookText"/>
        <w:bidi w:val="0"/>
        <w:rPr/>
      </w:pPr>
      <w:bookmarkEnd w:id="121"/>
      <w:r>
        <w:rPr>
          <w:rFonts w:eastAsia="Times New Roman" w:cs="Times New Roman" w:ascii="Times New Roman" w:hAnsi="Times New Roman"/>
          <w:color w:val="111111"/>
          <w:sz w:val="28"/>
          <w:szCs w:val="28"/>
          <w:lang w:val="en-US"/>
        </w:rPr>
        <w:t>Inilah pendapat kalangan fukaha Syiah, sekalipun menurut mereka, pemberontakan  terhadap penguasa Islam yang sah (baghy) termasuk kemurtadan.</w:t>
      </w:r>
      <w:r>
        <w:rPr>
          <w:rStyle w:val="FootnoteAnchor"/>
        </w:rPr>
        <w:footnoteReference w:id="205"/>
      </w:r>
      <w:r>
        <w:rPr>
          <w:rFonts w:eastAsia="Times New Roman" w:cs="Times New Roman" w:ascii="Times New Roman" w:hAnsi="Times New Roman"/>
          <w:color w:val="111111"/>
          <w:sz w:val="28"/>
          <w:szCs w:val="28"/>
          <w:lang w:val="en-US"/>
        </w:rPr>
        <w:t xml:space="preserve"> Oleh karena itu, klaim adanya kerancuan intelektual pada diri terdakwa  pengingkar ajaran niscaya agama-tentunya jika klaim ini masih mungkin  diarahkan kepadanya—dapat menggugurkan hukuman had. Klaim ini telah  menciptakan keraguan dalam proses pembuktian perkara. Jadi dalam kondisi ini,  orang terdakwa itu tercakup dalam kaidah Dar: </w:t>
      </w:r>
      <w:r>
        <w:rPr>
          <w:rStyle w:val="FootnoteAnchor"/>
        </w:rPr>
        <w:footnoteReference w:id="206"/>
      </w:r>
    </w:p>
    <w:p>
      <w:pPr>
        <w:pStyle w:val="Heading3"/>
        <w:numPr>
          <w:ilvl w:val="2"/>
          <w:numId w:val="1"/>
        </w:numPr>
        <w:bidi w:val="0"/>
        <w:jc w:val="left"/>
        <w:rPr/>
      </w:pPr>
      <w:bookmarkStart w:id="122" w:name="__RefHeading___Toc419536_653776707"/>
      <w:bookmarkStart w:id="123" w:name="_Toc45"/>
      <w:bookmarkEnd w:id="122"/>
      <w:r>
        <w:rPr/>
        <w:t>Ikhtisar</w:t>
      </w:r>
      <w:bookmarkEnd w:id="12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Meragukan bukan berarti mempercayai. Dengan kata lain, ada kalanya  seseorang mempercayai sesuatu, ada kalanya pula mempercayai hal  yang sebaliknya, dan ada kalanya pula ragu: antara percaya dan tidak,  terhadapnya. Itu artinya, terdapat garis tengah antara Islam dan kekafiran  (kufr). Islam adalah kepercayaan terhadap prinsip-prinsip agama, sementara  kekafiran adalah ketidakpercayaan terhadapnya. Adapun garis demarkasi  percaya dan tidak percaya adalah keraguan atau prasangka terhadap salah  satu di antara keduanya. Pada dasarnya, sebagaimana telah disebutkan,  secara etimologis, kufr adalah penentangan dan pengingkaran. Namun  orang yang meragukan Tuhan, keesaan-Nya, atau kenabian Muhammad  Saw, selama tidak mengingkarinya, secara etimologis tidak dapat disebut  kafir. Oleh karena itu, diperlukan bukti autentik untuk mengaplikasi  istilah kafir di luar makna etimologisnya.</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jika seorang Muslim meragukan prinsip-prinsip  agama, pada level pembuktian (maqâm al-itsbât), asas hukum (ashl) </w:t>
      </w:r>
    </w:p>
    <w:p>
      <w:pPr>
        <w:pStyle w:val="BookText"/>
        <w:bidi w:val="0"/>
        <w:rPr/>
      </w:pPr>
      <w:r>
        <w:rPr>
          <w:rFonts w:eastAsia="Times New Roman" w:cs="Times New Roman" w:ascii="Times New Roman" w:hAnsi="Times New Roman"/>
          <w:color w:val="111111"/>
          <w:sz w:val="28"/>
          <w:szCs w:val="28"/>
          <w:lang w:val="en-US"/>
        </w:rPr>
        <w:t>yang diacu adalah keislamannya, sampai dia sendiri terang-terangan  mengungkapkan ketidapercayaannya terhadap prinsip-prinsip agama.</w:t>
      </w:r>
    </w:p>
    <w:p>
      <w:pPr>
        <w:pStyle w:val="BookText"/>
        <w:bidi w:val="0"/>
        <w:jc w:val="both"/>
        <w:rPr/>
      </w:pPr>
      <w:r>
        <w:rPr>
          <w:rFonts w:eastAsia="Times New Roman" w:cs="Times New Roman" w:ascii="Times New Roman" w:hAnsi="Times New Roman"/>
          <w:color w:val="111111"/>
          <w:sz w:val="28"/>
          <w:szCs w:val="28"/>
          <w:lang w:val="en-US"/>
        </w:rPr>
        <w:t>Berdasarkan hadis yang telah disebutkan, unsur kepercayaan itu sebuah  kemestian dalam realisasi kekafiran seseorang. Adapun keraguan atau  prasangka bukan termasuk kepercayaan. Begitu pula sebaliknya; jika orang  kafir ragu atau berprasangka terhadap kebenaran prinsip-prinsip agama,  maka dirinya tetap kafir sampai percaya pada prinsip-prinsip tersebut.</w:t>
      </w:r>
    </w:p>
    <w:p>
      <w:pPr>
        <w:pStyle w:val="BookText"/>
        <w:bidi w:val="0"/>
        <w:jc w:val="both"/>
        <w:rPr/>
      </w:pPr>
      <w:r>
        <w:rPr>
          <w:rFonts w:eastAsia="Times New Roman" w:cs="Times New Roman" w:ascii="Times New Roman" w:hAnsi="Times New Roman"/>
          <w:color w:val="111111"/>
          <w:sz w:val="28"/>
          <w:szCs w:val="28"/>
          <w:lang w:val="en-US"/>
        </w:rPr>
        <w:t>Menurut hadis, orang yang lemah intelektualitasnya (mustadh'af  fikri) adalah orang yang tidak memiliki akses dan kecenderungan pada  kekafiran, juga tidak terarah pada keimanan; dia tidak dapat menjadi  mukmin maupun kafir. Kategori ini meliputi anak-anak kecil, serta lelaki  dan perempuan yang daya pikirnya seperti anak kecil yang meniscayakan  tugas dan kewajibannya gugur.</w:t>
      </w:r>
    </w:p>
    <w:p>
      <w:pPr>
        <w:pStyle w:val="BookText"/>
        <w:bidi w:val="0"/>
        <w:jc w:val="both"/>
        <w:rPr/>
      </w:pPr>
      <w:r>
        <w:rPr>
          <w:rFonts w:eastAsia="Times New Roman" w:cs="Times New Roman" w:ascii="Times New Roman" w:hAnsi="Times New Roman"/>
          <w:color w:val="111111"/>
          <w:sz w:val="28"/>
          <w:szCs w:val="28"/>
          <w:lang w:val="en-US"/>
        </w:rPr>
        <w:t>Oleh karena itu, terbuka kemungkinan bahwa seseorang bukan kafir  sekaligus bukan mukmin lantaran kelemahan intelektualitasnya. Jadi  setidaknya, sesuai pengamatan yang lazim (tahlîl urfi) dan tradisi kalangan  komit syariat (ʻurf mutasyarri`ah) yang didukung sejumlah hadis—bukan  oleh studi filosofis, terdapat kemungkinan lain atau status ketiga selain  status kafir dan Muslim.</w:t>
      </w:r>
    </w:p>
    <w:p>
      <w:pPr>
        <w:pStyle w:val="BookText"/>
        <w:bidi w:val="0"/>
        <w:jc w:val="both"/>
        <w:rPr/>
      </w:pPr>
      <w:r>
        <w:rPr>
          <w:rFonts w:eastAsia="Times New Roman" w:cs="Times New Roman" w:ascii="Times New Roman" w:hAnsi="Times New Roman"/>
          <w:color w:val="111111"/>
          <w:sz w:val="28"/>
          <w:szCs w:val="28"/>
          <w:lang w:val="en-US"/>
        </w:rPr>
        <w:t>Selama keraguan dan kebimbangan terhadap prinsip-prinsip agama  hanya disuarakan dalam hati dan tidak diungkapkan secara verbal, itu  tidak akan berdampak apa pun. Namun, jika itu diungkapkan secara  verbal hingga berpotensi menular ke orang lain, niscaya akan dihadang  berbagai dampak hukum, terlebih jika itu membentuk propaganda anti  agama. Jika semua itu diungkapkan dengan motif mencari jawaban yang  tepat dan menepis kerancuan intelektual, khususnya di tengah kalangan  pakar dan spesialis di bidangnya, tak akan berdampak hukum apa pun. Ini  sebagaimana pertanyaan dan kerancuan intelektual yang kerap diutarakan  kepada para imam suci, lalu imam menjawabnya dengan arif dan wajah  ceria. Bahkan, dalam beberapa kesempatan, para imam menyebut  kegelisahan akibat keraguan hati sebagai indikator keimanan.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2.Pada tahap kompromisasi hadis-hadis yang saling bertentangan, dapat  dikatakan bahwa maksud serangkaian hadis yang mengindikasikan sekadar  ragu terhadap kenabian Muhammad Saw menyebabkan kemurtadan, yaitu  manakala orang yang ragu, lewat lontaran pernyataannya, membuat orang  lain juga ikut ragu dan bimbang secara pemikiran dan akidah. Begitu pula, </w:t>
      </w:r>
    </w:p>
    <w:p>
      <w:pPr>
        <w:pStyle w:val="BookText"/>
        <w:bidi w:val="0"/>
        <w:rPr/>
      </w:pPr>
      <w:r>
        <w:rPr>
          <w:rFonts w:eastAsia="Times New Roman" w:cs="Times New Roman" w:ascii="Times New Roman" w:hAnsi="Times New Roman"/>
          <w:color w:val="111111"/>
          <w:sz w:val="28"/>
          <w:szCs w:val="28"/>
          <w:lang w:val="en-US"/>
        </w:rPr>
        <w:t>jika dia mengungkapkan keraguannya sedemikian rupa, yang berindikasi  melecehkan agama dan Nabi Saw.</w:t>
      </w:r>
    </w:p>
    <w:p>
      <w:pPr>
        <w:pStyle w:val="BookText"/>
        <w:bidi w:val="0"/>
        <w:jc w:val="both"/>
        <w:rPr/>
      </w:pPr>
      <w:r>
        <w:rPr>
          <w:rFonts w:eastAsia="Times New Roman" w:cs="Times New Roman" w:ascii="Times New Roman" w:hAnsi="Times New Roman"/>
          <w:color w:val="111111"/>
          <w:sz w:val="28"/>
          <w:szCs w:val="28"/>
          <w:lang w:val="en-US"/>
        </w:rPr>
        <w:t>Di samping itu, mengingat alasan dan filosofi yang terkandung dalam  hadis, juga masalah serius yang dihadapi Nabi Saw sekaitan dengan kaum  munafik di masanya, dapat dikatakan bahwa mengungkapkan keraguan  terhadap kenabian Beliau, bahkan secara bertatap muka, merupakan salah  satu intrik kaum munafik. Inilah mengapa kondisi itu memiliki kekhasan  tersendiri, dan kesimpulan hukum yang bersifat umum tak dapat ditarik  dari rangkaian hadis tersebut.</w:t>
      </w:r>
    </w:p>
    <w:p>
      <w:pPr>
        <w:pStyle w:val="BookText"/>
        <w:bidi w:val="0"/>
        <w:jc w:val="both"/>
        <w:rPr/>
      </w:pPr>
      <w:r>
        <w:rPr>
          <w:rFonts w:eastAsia="Times New Roman" w:cs="Times New Roman" w:ascii="Times New Roman" w:hAnsi="Times New Roman"/>
          <w:color w:val="111111"/>
          <w:sz w:val="28"/>
          <w:szCs w:val="28"/>
          <w:lang w:val="en-US"/>
        </w:rPr>
        <w:t>Adapun jika orang yang terjangkiti keraguan, rasa was-was, dan bisikan  hati mendatangi para pakar di bidangnya demi menepis keraguannya, maka  pada tahap pembuktian (istbâtan), tak ada satu pun dampak hukum yang  akan mengarah kepada dirinya. Apalagi jika dia pada dasarnya memang  tidak mengungkapkan keraguannya sekalipun kepada para pakar bidang.</w:t>
      </w:r>
    </w:p>
    <w:p>
      <w:pPr>
        <w:pStyle w:val="BookText"/>
        <w:bidi w:val="0"/>
        <w:jc w:val="both"/>
        <w:rPr/>
      </w:pPr>
      <w:r>
        <w:rPr>
          <w:rFonts w:eastAsia="Times New Roman" w:cs="Times New Roman" w:ascii="Times New Roman" w:hAnsi="Times New Roman"/>
          <w:color w:val="111111"/>
          <w:sz w:val="28"/>
          <w:szCs w:val="28"/>
          <w:lang w:val="en-US"/>
        </w:rPr>
        <w:t>Dalam kondisi ini, pada kenyataannya (tsubûtan) juga tidak akan ada  dampak hukum terhadapnya. Artinya, orang tersebut, baik di sisi dirinya  sendiri maupun di sisi Tuhan, tidak terhitung sebagai murtad sehingga  akan ada dampak hukum yang harus diterapkan terhadapnya.</w:t>
      </w:r>
    </w:p>
    <w:p>
      <w:pPr>
        <w:pStyle w:val="BookText"/>
        <w:bidi w:val="0"/>
        <w:jc w:val="both"/>
        <w:rPr/>
      </w:pPr>
      <w:r>
        <w:rPr>
          <w:rFonts w:eastAsia="Times New Roman" w:cs="Times New Roman" w:ascii="Times New Roman" w:hAnsi="Times New Roman"/>
          <w:color w:val="111111"/>
          <w:sz w:val="28"/>
          <w:szCs w:val="28"/>
          <w:lang w:val="en-US"/>
        </w:rPr>
        <w:t>Bukti paling kuat bahwa sekadar keraguan tidak menyebabkan  kemurtadan adalah cara Nabi Muhammad Saw menyikapi orang-orang  munafik. Mengingat hati orang munafik sama sekali tidak percaya Islam,  namun secara lahiriah berpura-pura mempercayainya, beliau menyikapi  mereka layaknya Muslim. Ini tidak sebagaimana sikap beliau terhadap  orang murtad atau kafir. Oleh karena itu, nyawa dan harta mereka  terlindungi, layaknya nyawa dan harta Muslim.</w:t>
      </w:r>
    </w:p>
    <w:p>
      <w:pPr>
        <w:pStyle w:val="BookText"/>
        <w:bidi w:val="0"/>
        <w:jc w:val="both"/>
        <w:rPr/>
      </w:pPr>
      <w:r>
        <w:rPr>
          <w:rFonts w:eastAsia="Times New Roman" w:cs="Times New Roman" w:ascii="Times New Roman" w:hAnsi="Times New Roman"/>
          <w:color w:val="111111"/>
          <w:sz w:val="28"/>
          <w:szCs w:val="28"/>
          <w:lang w:val="en-US"/>
        </w:rPr>
        <w:t>Pandangan sekelompok fukaha yang menambahkan pengingkaran  sebagai syarat untuk memvonis murtad seseorang lebih sesuai dengan  kaidah dan bukti riwayat serta hadis. Memang, isi rangkaian hadis yang  ditransmisikan seputar persoalan ini cenderung saling bertolak belakang.</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dalam proses seleksi prioritasnya (tarjih), dapat dipastikan bahwa  ayat-ayat Al-Qur'an lebih mendukung hadis-hadis yang menandaskan  bahwa sekadar keraguan tidak menyebabkan seseorang murtad. Kalaupun  tidak ditemukan bukti-bukti yang memihak salah satu dari dua tipe hadis  yang saling bertentangan itu, jalan terakhirnya adalah merujuk asas praktis  (ushủl amaliyyah). Berkenaan dengan kaum Muslim, asas praktis akan  menetapkannya berstatus tidak murtad selama tak ada bukti autentik yang </w:t>
      </w:r>
    </w:p>
    <w:p>
      <w:pPr>
        <w:pStyle w:val="BookText"/>
        <w:bidi w:val="0"/>
        <w:rPr/>
      </w:pPr>
      <w:r>
        <w:rPr>
          <w:rFonts w:eastAsia="Times New Roman" w:cs="Times New Roman" w:ascii="Times New Roman" w:hAnsi="Times New Roman"/>
          <w:color w:val="111111"/>
          <w:sz w:val="28"/>
          <w:szCs w:val="28"/>
          <w:lang w:val="en-US"/>
        </w:rPr>
        <w:t>memastikan kemurtadannya.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Beberapa fukaha Syiah berpendapat bahwa pengingkaran ajaran niscaya  agama merupakan variabel independen kemurtadan. Namun, sejumlah  fukaha lain (kebanyakannya para fukaha terakhir dan kontemporer)  berpendapat sebaliknya; bahwa pengingkaran ajaran niscaya agama  bukanlah variabel independen kemurtadan. Hanya saja, jika berakibat  pada pengingkaran Tuhan atau kenabian, maka itu akan menyebabkan  kemurtadan.</w:t>
      </w:r>
    </w:p>
    <w:p>
      <w:pPr>
        <w:pStyle w:val="BookText"/>
        <w:bidi w:val="0"/>
        <w:jc w:val="both"/>
        <w:rPr/>
      </w:pPr>
      <w:r>
        <w:rPr>
          <w:rFonts w:eastAsia="Times New Roman" w:cs="Times New Roman" w:ascii="Times New Roman" w:hAnsi="Times New Roman"/>
          <w:color w:val="111111"/>
          <w:sz w:val="28"/>
          <w:szCs w:val="28"/>
          <w:lang w:val="en-US"/>
        </w:rPr>
        <w:t>Oleh karena itu, kebanyakan fukaha Syiah, khususnya fukaha  muta’akhkhir, dan kebanyakannya kontemporer, berpendapat bahwa  pengingkaran ajaran niscaya agama hanya akan menyebabkan terjadinya  kemurtadan jika berdampak sampai pengingkaran Tuhan atau kenabian.</w:t>
      </w:r>
    </w:p>
    <w:p>
      <w:pPr>
        <w:pStyle w:val="BookText"/>
        <w:bidi w:val="0"/>
        <w:jc w:val="both"/>
        <w:rPr/>
      </w:pPr>
      <w:r>
        <w:rPr>
          <w:rFonts w:eastAsia="Times New Roman" w:cs="Times New Roman" w:ascii="Times New Roman" w:hAnsi="Times New Roman"/>
          <w:color w:val="111111"/>
          <w:sz w:val="28"/>
          <w:szCs w:val="28"/>
          <w:lang w:val="en-US"/>
        </w:rPr>
        <w:t>Menurut mereka, pengingkaran ajaran niscaya agama an sich bukanlah  variabel independen kemurtadan.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Dari sudut pandang yurisprudensi dan prosedur hukum dalam Islam, satu  poin kiranya perlu dikemukakan di sini. Kalau memang berdampak pada  pengingkaran tauhid atau kenabian, pengingkaran salah satu hukum Islam,  entah niscaya atau bukan, akan menyebabkan terjadinya kemurtadan. Meski  begitu, entah terdapat perbedaan di antara dua jenis pengingkaran itu.</w:t>
      </w:r>
    </w:p>
    <w:p>
      <w:pPr>
        <w:pStyle w:val="BookText"/>
        <w:bidi w:val="0"/>
        <w:jc w:val="both"/>
        <w:rPr/>
      </w:pPr>
      <w:r>
        <w:rPr>
          <w:rFonts w:eastAsia="Times New Roman" w:cs="Times New Roman" w:ascii="Times New Roman" w:hAnsi="Times New Roman"/>
          <w:color w:val="111111"/>
          <w:sz w:val="28"/>
          <w:szCs w:val="28"/>
          <w:lang w:val="en-US"/>
        </w:rPr>
        <w:t>Berdasarkan prosedur hukum dan pembuktian tindak kriminal, jika objek  pengingkaran itu ajaran tak niscaya (ghair dharûrî) agama, pembuktian  klaim bahwa itu berakibat pada pengingkaran Kenabian menjadi tanggung  jawab pengadilan, bukan tugas terdakwa. Adapun objeknya adalah ajaran  niscaya (dharûrî) agama, dan pembuktian klaim bahwa itu berakibat pada  pengingkaran kenabian menjadi tanggung jawab terdakwa.</w:t>
      </w:r>
    </w:p>
    <w:p>
      <w:pPr>
        <w:pStyle w:val="BookText"/>
        <w:bidi w:val="0"/>
        <w:jc w:val="both"/>
        <w:rPr/>
      </w:pPr>
      <w:r>
        <w:rPr>
          <w:rFonts w:eastAsia="Times New Roman" w:cs="Times New Roman" w:ascii="Times New Roman" w:hAnsi="Times New Roman"/>
          <w:color w:val="111111"/>
          <w:sz w:val="28"/>
          <w:szCs w:val="28"/>
          <w:lang w:val="en-US"/>
        </w:rPr>
        <w:t>Bila Tuhan atau kenabian diingkari secara langsung, maka kemurtadan akan  terjadi, sekalipun tindakan itu dilatari aktivitas intelektual. Sebagaimana  telah kami ingatkan sebelumnya, kepastian minimal dari definisi Islam dan  kemusliman ialah 'kepercayaan pada tauhid dan kenabian’.</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Sebagian fukaha Syiah berpendapat bahwa kepercayaan mendetail (tafshili)  terhadap seluruh hukum agama Islam bukan sebuah keharusan. Dengan  kata lain, kepercayaan global (ijmâlî) terhadap risalah Nabi Saw sudah  dianggap cukup. Maksudnya, untuk berstatus Muslim, secara umum  seseorang harus mempercayai secara global kebenaran seluruh hukum  yang disampaikan Nabi Saw yang berasal dari Allah Swt. Berdasarkan  teori ini, 'pengingkaran mendetail selama tidak bertolak belakang dengan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kepercayaan global tidak menyebabkan murtad dari Islam. Maksudnya,  seseorang segera berpaling dari pengingkarannya jika pandangannya  bertentangan dengan risalah Nabi Saw.</w:t>
      </w:r>
    </w:p>
    <w:p>
      <w:pPr>
        <w:pStyle w:val="BookText"/>
        <w:bidi w:val="0"/>
        <w:jc w:val="both"/>
        <w:rPr/>
      </w:pPr>
      <w:r>
        <w:rPr>
          <w:rFonts w:eastAsia="Times New Roman" w:cs="Times New Roman" w:ascii="Times New Roman" w:hAnsi="Times New Roman"/>
          <w:color w:val="111111"/>
          <w:sz w:val="28"/>
          <w:szCs w:val="28"/>
          <w:lang w:val="en-US"/>
        </w:rPr>
        <w:t>Demikian pula kemurtadan intelektual, terjadi akibat kerancuan  intelektual, tatkala pelaku pengingkaran siap membuang pendapatnya-  yang terbukti bertentangan dengan wahyu Ilahi atau sabda Nabi Saw,  kemurtadannya belum terjadi, kendati tindakannya itu berkaitan dengan  salah satu ajaran niscaya agama. Berkat kesiapannya, pengingkaran dirinya  terhadap ajaran niscaya agama tidak menjadikannya ingkar terhadap  kenabian, sebab dirinya masih memegang kepercayaan global.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Apabila etika menafsir dan menakwil tetap dijunjung dalam proses  mengingkari ajaran niscaya agama-yang diakibatkan keraguan atau  kerancuan intelektual, pengingkaran tidak menyebabkan kemurtadan.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Syaikh Anshari berpendapat, (pertama], jika objek yang diingkari  termasuk 'hukum-hukum praktis' (bukan akidah), dan (kedua) itu bukan  dikarenakan keteledoran pelakunya (taqshîr) melainkan kelemahannya  menemukan kebenaran (qushûr). Dengan dua syarat ini si pelaku tidak  dapat divonis murtad. Oleh sebab itu kemutlakan (ithlâq) makna hadis-  hadis yang terkait tidak meliputi orang yang lemah (qâshir).</w:t>
      </w:r>
    </w:p>
    <w:p>
      <w:pPr>
        <w:pStyle w:val="BookText"/>
        <w:bidi w:val="0"/>
        <w:jc w:val="both"/>
        <w:rPr/>
      </w:pPr>
      <w:r>
        <w:rPr>
          <w:rFonts w:eastAsia="Times New Roman" w:cs="Times New Roman" w:ascii="Times New Roman" w:hAnsi="Times New Roman"/>
          <w:color w:val="111111"/>
          <w:sz w:val="28"/>
          <w:szCs w:val="28"/>
          <w:lang w:val="en-US"/>
        </w:rPr>
        <w:t>Di samping itu, berbeda dengan masalah akidah yang sebenarnya  harus dipercayai, kepercayaan orang yang punya kelemahan (qâshir),  secara mandiri, bukanlah keharusan dalam persoalan yang terkait dengan  hukum-hukum praktis. Berdasarkan kaidah Dar, hukum had tidak  akan berlaku pada orang yang tidak mengetahui hukum segala hal yang  diharamkan. Namun argumentasi bahwa ketidakberlakuan hukum itu  berarti ketidakmurtadan tidak dapat diterima karena dalil-dalil yang  menerangkan kaidah Dar’sudah cukup jelas mengindikasikan bahwa pada  dasarnya, orang seperti itu tidak murtad, bukan dia itu murtad lantas  diampuni dari hukuman had karena ketidaktahuannya.</w:t>
      </w:r>
    </w:p>
    <w:p>
      <w:pPr>
        <w:pStyle w:val="BookText"/>
        <w:bidi w:val="0"/>
        <w:jc w:val="both"/>
        <w:rPr/>
      </w:pPr>
      <w:r>
        <w:rPr>
          <w:rFonts w:eastAsia="Times New Roman" w:cs="Times New Roman" w:ascii="Times New Roman" w:hAnsi="Times New Roman"/>
          <w:color w:val="111111"/>
          <w:sz w:val="28"/>
          <w:szCs w:val="28"/>
          <w:lang w:val="en-US"/>
        </w:rPr>
        <w:t>Adapun pengingkaran ajaran niscaya agama di ranah akidah-yang  mengharuskan kepercayaan dan keharusan ini bukan sekadar mengamalkan  atau meninggalkannya-sudah semestinya ditetapkan sebagai kemurtadan  mengingat kemutlakan makna hadis-hadis terkait, baik itu dikarenakan  keteledoran ataupun kelemahan pelaku.</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Perlu diketahui, Syaikh Anshari mengutarakan persoalan ini sebatas  sebuah kemungkinan. Maksudnya, jika kita menerima teori implikasi </w:t>
      </w:r>
    </w:p>
    <w:p>
      <w:pPr>
        <w:pStyle w:val="BookText"/>
        <w:bidi w:val="0"/>
        <w:rPr/>
      </w:pPr>
      <w:r>
        <w:rPr>
          <w:rFonts w:eastAsia="Times New Roman" w:cs="Times New Roman" w:ascii="Times New Roman" w:hAnsi="Times New Roman"/>
          <w:color w:val="111111"/>
          <w:sz w:val="28"/>
          <w:szCs w:val="28"/>
          <w:lang w:val="en-US"/>
        </w:rPr>
        <w:t>(pengingkaran ajaran niscaya agama hanya menyebabkan kemurtadan jika  berdampak pengingkaran tauhid atau kenabian), maka konsekuensinya  tidak mengakibatkan kemurtadan selama dipicu kerancuan intelektual,  sekalipun munculnya kerancuan ini akibat dari keteledoran. Dalam  konteks ini, dia tidak mendustakan Tuhan atau nabi. Paling tidak, dia  dihukum karena keteledorannya dalam mengabaikan komitmen pada  agama Islam.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Menurut Imam Khomeini, jika seorang Muslim mempercayai prinsip-  prinsip Islam (tauhid dan kenabian) secara global, namun karena mengalami  sejumlah kerancuan intelektual, dia mengingkari salah satu ajaran niscaya  agama-umpama, mengira shalat dan ibadah haji hanya wajib di masa  awal Islam, sementara sekarang tidak. Hal ini menurut tradisi kalangan  komit syariat (ʻurf mutasyarri`ah) tidak tergolong murtad, kendati dia telah  mengingkari ajaran niscaya agama.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Mayoritas fukaha-termasuk kalangan yang meyakini pengingkaran ajaran  niscaya agama sebagai variabel independen kemurtadan-mengecualikan  pengingkaran akibat kerancuan intelektual dan ketidaktahuan dari konteks  hukum.</w:t>
      </w:r>
    </w:p>
    <w:p>
      <w:pPr>
        <w:pStyle w:val="BookText"/>
        <w:bidi w:val="0"/>
        <w:jc w:val="both"/>
        <w:rPr/>
      </w:pPr>
      <w:r>
        <w:rPr>
          <w:rFonts w:eastAsia="Times New Roman" w:cs="Times New Roman" w:ascii="Times New Roman" w:hAnsi="Times New Roman"/>
          <w:color w:val="111111"/>
          <w:sz w:val="28"/>
          <w:szCs w:val="28"/>
          <w:lang w:val="en-US"/>
        </w:rPr>
        <w:t>Di samping itu, bila merujuk dampak-dampak khas pidana dan  perdatanya, vonis murtad bertentangan dengan prinsip dasar. Oleh karena  itu, dalam kondisi-kondisi yang masih diragukan, hanya kepastian minimal  dapat dipastikan saja yang harus diberlakukan. Dalam konteks kemurtadan,  kepastian itu berupa asumsi ketidakrancuan dan ketidakbodohan pelaku  saat mengingkari ajaran niscaya agama. Jika sedang mengalami kerancuan  intelektual, dirinya masuk dalam kaidah DarArtinya, dia tidak berhak  dijatuhi hukuman had.</w:t>
      </w:r>
    </w:p>
    <w:p>
      <w:pPr>
        <w:pStyle w:val="BookText"/>
        <w:bidi w:val="0"/>
        <w:jc w:val="both"/>
        <w:rPr/>
      </w:pPr>
      <w:r>
        <w:rPr>
          <w:rFonts w:eastAsia="Times New Roman" w:cs="Times New Roman" w:ascii="Times New Roman" w:hAnsi="Times New Roman"/>
          <w:color w:val="111111"/>
          <w:sz w:val="28"/>
          <w:szCs w:val="28"/>
          <w:lang w:val="en-US"/>
        </w:rPr>
        <w:t>Dari seluruh uraian di atas seputar pandangan sejumlah fukaha, dapat  disimpulkan bahwa sekelompok besar dari mereka, khususnya fukaha  muta’akhkhir dan kontemporer, berpendapat bahwa pengingkaran ajaran  niscaya agama yang dipicu kerancuan intelektual, aktivitas intelektual  dan teoretis, pada hakikatnya tidak menyebabkan kemurtadan. Oleh  karena itu, variabel dalam pengingkaran ini adalah ketidaktahuan dan  ketidaksadaran yang lantas menggugurkan tanggung jawab seseorang.</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Kalaupun ketidaktahuan itu diakibatkan keteledoran; paling tidak si  pelaku telah melakukan tindakan salah lantaran keteledorannya (taqshîr),  bukan karena kemurtadannya. </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Setelah periode khalifah pertama, terdapat beberapa kelompok yang dikenal  sebagai golongan murtad (ashhâb al-riddah). Menurut seluruh kalangan  Muslim masa itu, kelompok yang dipimpin Musailamah Kadzdzab,  Thulaihah, dan Isa memang benar-benar murtad. Adapun kelompok lain,  karena kerancuan intelektual, keliru mengira bahwa zakat hanya wajib di  masa Nabi Saw, dan karenanya tidak sudi membayar zakat pada khalifah  pertama. Mereka dinyatakan penguasa masa itu sebagai murtad. Itulah  sebabnya penguasa memperlakukan mereka layaknya pelaku murtad.</w:t>
      </w:r>
    </w:p>
    <w:p>
      <w:pPr>
        <w:pStyle w:val="BookText"/>
        <w:bidi w:val="0"/>
        <w:jc w:val="both"/>
        <w:rPr/>
      </w:pPr>
      <w:r>
        <w:rPr>
          <w:rFonts w:eastAsia="Times New Roman" w:cs="Times New Roman" w:ascii="Times New Roman" w:hAnsi="Times New Roman"/>
          <w:color w:val="111111"/>
          <w:sz w:val="28"/>
          <w:szCs w:val="28"/>
          <w:lang w:val="en-US"/>
        </w:rPr>
        <w:t>Hanya saja, menurut pandangan mayoritas fukaha Syiah, kelompok  ini hanya terjangkit kerancuan intelektual (syubhah). Mereka pada  hakikatnya bukan murtad. Seandainya mereka benar menolak membayar  zakat, langkah pertama yang ditempuh penguasa saat itu semestinya  mengharuskan mereka membayarnya. Lalu, jika mereka tetap menolak  namun tidak sampai menghalalkan penolakannya, penguasa hanya berhak  memvonis mereka subversif, bukan murtad.</w:t>
      </w:r>
    </w:p>
    <w:p>
      <w:pPr>
        <w:pStyle w:val="BookText"/>
        <w:bidi w:val="0"/>
        <w:jc w:val="both"/>
        <w:rPr/>
      </w:pPr>
      <w:r>
        <w:rPr>
          <w:rFonts w:eastAsia="Times New Roman" w:cs="Times New Roman" w:ascii="Times New Roman" w:hAnsi="Times New Roman"/>
          <w:color w:val="111111"/>
          <w:sz w:val="28"/>
          <w:szCs w:val="28"/>
          <w:lang w:val="en-US"/>
        </w:rPr>
        <w:t>Ada masalah penting yang patut diperhatikan dalam kasus ini:</w:t>
      </w:r>
    </w:p>
    <w:p>
      <w:pPr>
        <w:pStyle w:val="BookText"/>
        <w:bidi w:val="0"/>
        <w:jc w:val="both"/>
        <w:rPr/>
      </w:pPr>
      <w:r>
        <w:rPr>
          <w:rFonts w:eastAsia="Times New Roman" w:cs="Times New Roman" w:ascii="Times New Roman" w:hAnsi="Times New Roman"/>
          <w:color w:val="111111"/>
          <w:sz w:val="28"/>
          <w:szCs w:val="28"/>
          <w:lang w:val="en-US"/>
        </w:rPr>
        <w:t>ketidaksudian orang-orang pada masa itu untuk membayar zakat dilatari  oleh argumen tertentu—sekalipun keliru. Menurut fukaha Syiah,  pengingkaran seperti ini tidak menyebabkan kemurtadan. Ini merupakan  bukti paling kuat bahwa pada prinsipnya, kalangan fukaha Syiah  mengecualikan kondisi kerancuan intelektual (syubhah) dalam konteks  kemurtadan. Ini mengingat mereka masih mempercayai Islam, sekalipun  keliru dalam memahami ayat Al-Qur'an. Akibatnya, mereka menduga,  pascawafat Nabi Saw, bahwa zakat tidak wajib dibayarkan kepada penguasa  Islam (khalifah) yang doanya tidak menciptakan ketenteraman.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Di masa pemerintahan Amirul Mukminin Ali bin Abi Thalib, distorsi  dan kerancuan intelektual telah mencapai klimaksnya. Ia menyikapi  kaum Khawarij dengan metode yang begitu mengagumkan. Kendati  mereka bahkan telah melakukan kekerasan bersenjata—ini memaksa  beliau melakukan sesuatu yang tidak selaras dengan keinginannya, yakni  memerangi mereka sebagai kelompok båghî 'pemberontak’-namun  sebelum memulai perang, beliau lebih dulu mengutus Abdullah bin Abbas  untuk berdialog dengan mereka guna menangani kerancuan pemahaman  mereka.</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hadis ini, sebagian fukaha berpendapat bahwa sebelum  memerangi kelompok pemberontak dan menentang imam yang adil, </w:t>
      </w:r>
    </w:p>
    <w:p>
      <w:pPr>
        <w:pStyle w:val="BookText"/>
        <w:bidi w:val="0"/>
        <w:rPr/>
      </w:pPr>
      <w:r>
        <w:rPr>
          <w:rFonts w:eastAsia="Times New Roman" w:cs="Times New Roman" w:ascii="Times New Roman" w:hAnsi="Times New Roman"/>
          <w:color w:val="111111"/>
          <w:sz w:val="28"/>
          <w:szCs w:val="28"/>
          <w:lang w:val="en-US"/>
        </w:rPr>
        <w:t>pemerintah Islam mengirim utusan kepada mereka untuk mengklarifikasi  alasan dan motif pemberontakan mereka, menuntaskan pelbagai kerancuan  intelektual, dan menyeru mereka ke jalan yang benar. Tentunya, pengiriman  delegasi ini hanya mungkin dilakukan jika tidak malah membuat pihak  lawan akan bersikap lancang (ta-jarri). Inilah pendapat kalangan fukaha  Syiah, sekalipun menurut mereka, pemberontakan terhadap penguasa  Islam yang sah (baghy) termasuk kemurtadan.</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Klaim adanya kerancuan intelektual pada diri terdakwa pengingkar  ajaran niscaya agama-tentunya jika klaim ini masih mungkin  diarahkan kepadanya—dapat menggugurkan hukuman had, karena telah  menciptakan keraguan dalam proses pembuktian sebagai orang salah. Jadi  dalam kondisi ini, orang itu tercakup dalam kaidah Dar.</w:t>
      </w:r>
      <w:bookmarkStart w:id="124" w:name="pg6393_43079"/>
    </w:p>
    <w:p>
      <w:pPr>
        <w:pStyle w:val="Heading2"/>
        <w:numPr>
          <w:ilvl w:val="1"/>
          <w:numId w:val="1"/>
        </w:numPr>
        <w:bidi w:val="0"/>
        <w:jc w:val="left"/>
        <w:rPr/>
      </w:pPr>
      <w:bookmarkStart w:id="125" w:name="__RefHeading___Toc419538_653776707"/>
      <w:bookmarkStart w:id="126" w:name="_Toc46"/>
      <w:bookmarkEnd w:id="124"/>
      <w:bookmarkEnd w:id="125"/>
      <w:r>
        <w:rPr/>
        <w:t>BAB III:Eksekusi Hukuman Murtad dan Penista Simbol Sakral</w:t>
      </w:r>
      <w:bookmarkEnd w:id="126"/>
    </w:p>
    <w:p>
      <w:pPr>
        <w:pStyle w:val="Heading3"/>
        <w:numPr>
          <w:ilvl w:val="2"/>
          <w:numId w:val="1"/>
        </w:numPr>
        <w:bidi w:val="0"/>
        <w:jc w:val="left"/>
        <w:rPr/>
      </w:pPr>
      <w:bookmarkStart w:id="127" w:name="__RefHeading___Toc419540_653776707"/>
      <w:bookmarkStart w:id="128" w:name="_Toc47"/>
      <w:bookmarkEnd w:id="127"/>
      <w:r>
        <w:rPr/>
        <w:t>Point</w:t>
      </w:r>
      <w:bookmarkEnd w:id="128"/>
    </w:p>
    <w:p>
      <w:pPr>
        <w:pStyle w:val="BookText"/>
        <w:bidi w:val="0"/>
        <w:jc w:val="both"/>
        <w:rPr/>
      </w:pPr>
      <w:r>
        <w:rPr>
          <w:rFonts w:eastAsia="Times New Roman" w:cs="Times New Roman" w:ascii="Times New Roman" w:hAnsi="Times New Roman"/>
          <w:color w:val="111111"/>
          <w:sz w:val="28"/>
          <w:szCs w:val="28"/>
          <w:lang w:val="en-US"/>
        </w:rPr>
        <w:t>Salah satu persoalan yang harus dikaji dalam konteks kemurtadan dan penistaan  simbol sakral adalah 'mekanisme eksekusi hukuman'. Ini berada dalam rumusan  pertanyaannya apakah menurut Islam eksekusi hukuman atas tindak kemurtadan  dan penistaan simbol sakral merupakan privilese pemerintah Islam? Ataukah orang  biasa juga boleh melaksanakan hukuman itu? Persoalan ini akan diuraikan dalam  dua ulasan terpisah.</w:t>
      </w:r>
    </w:p>
    <w:p>
      <w:pPr>
        <w:pStyle w:val="Heading3"/>
        <w:numPr>
          <w:ilvl w:val="2"/>
          <w:numId w:val="1"/>
        </w:numPr>
        <w:bidi w:val="0"/>
        <w:jc w:val="left"/>
        <w:rPr/>
      </w:pPr>
      <w:bookmarkStart w:id="129" w:name="__RefHeading___Toc419542_653776707"/>
      <w:bookmarkStart w:id="130" w:name="_Toc48"/>
      <w:bookmarkEnd w:id="129"/>
      <w:r>
        <w:rPr/>
        <w:t>Eksekusi Hukuman Murtad</w:t>
      </w:r>
      <w:bookmarkEnd w:id="130"/>
    </w:p>
    <w:p>
      <w:pPr>
        <w:pStyle w:val="BookText"/>
        <w:bidi w:val="0"/>
        <w:jc w:val="both"/>
        <w:rPr/>
      </w:pPr>
      <w:r>
        <w:rPr>
          <w:rFonts w:eastAsia="Times New Roman" w:cs="Times New Roman" w:ascii="Times New Roman" w:hAnsi="Times New Roman"/>
          <w:color w:val="111111"/>
          <w:sz w:val="28"/>
          <w:szCs w:val="28"/>
          <w:lang w:val="en-US"/>
        </w:rPr>
        <w:t>Sebelum memasuki pokok pembahasan mengenai hal ini terlebih dulu harus  kita harus menjawab pertanyaan apakah kemurtadan termasuk masalah had  sehingga eksekusi hukumannya menjadi privilese pemerintah Islam atau bukan?  Tentunya ini bukan berarti jika kemurtadan diyakini sebagai taʼzîr, maka hukuman  mengenai hal tersebut dapat dilakukan oleh pihak-pihak nonaparat pemerintahan  Islam. Akan tetapi, kemurtadan termasuk wilayah had, secara pasti yang berhak  mengeksekusi hukuman hanyalah pemerintahan Islam. Dari pernyataan beberapa  fukaha dapat ditarik kesimpulan bahwa kemurtadan masuk dalam kategori had.</w:t>
      </w:r>
    </w:p>
    <w:p>
      <w:pPr>
        <w:pStyle w:val="BookText"/>
        <w:bidi w:val="0"/>
        <w:jc w:val="both"/>
        <w:rPr/>
      </w:pPr>
      <w:r>
        <w:rPr>
          <w:rFonts w:eastAsia="Times New Roman" w:cs="Times New Roman" w:ascii="Times New Roman" w:hAnsi="Times New Roman"/>
          <w:color w:val="111111"/>
          <w:sz w:val="28"/>
          <w:szCs w:val="28"/>
          <w:lang w:val="en-US"/>
        </w:rPr>
        <w:t>Muhaqiq Hilli secara tegas menyatakan itu dan mengidentifikasi kemurtadan  sebagai had —bahkan yang tergolong 'hak Allah'.</w:t>
      </w:r>
      <w:r>
        <w:rPr>
          <w:rStyle w:val="FootnoteAnchor"/>
        </w:rPr>
        <w:footnoteReference w:id="2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399, “Karena eksekusi hukuman mati atas orang murtad adalah dikembalikan kepada (baca: tugas)  imam, dan bukan kepada tiap-tiap orang.</w:t>
      </w:r>
    </w:p>
    <w:p>
      <w:pPr>
        <w:pStyle w:val="BookText"/>
        <w:bidi w:val="0"/>
        <w:rPr/>
      </w:pPr>
      <w:r>
        <w:rPr>
          <w:rFonts w:eastAsia="Times New Roman" w:cs="Times New Roman" w:ascii="Times New Roman" w:hAnsi="Times New Roman"/>
          <w:color w:val="111111"/>
          <w:sz w:val="28"/>
          <w:szCs w:val="28"/>
          <w:lang w:val="en-US"/>
        </w:rPr>
        <w:t>Syaikh Thusi juga menegaskan bahwa eksekutor hukuman murtad adalah  pemerintah dan bukan pihak lain di luar pemerintah.</w:t>
      </w:r>
      <w:r>
        <w:rPr>
          <w:rStyle w:val="FootnoteAnchor"/>
        </w:rPr>
        <w:footnoteReference w:id="208"/>
      </w:r>
      <w:r>
        <w:rPr>
          <w:rFonts w:eastAsia="Times New Roman" w:cs="Times New Roman" w:ascii="Times New Roman" w:hAnsi="Times New Roman"/>
          <w:color w:val="111111"/>
          <w:sz w:val="28"/>
          <w:szCs w:val="28"/>
          <w:lang w:val="en-US"/>
        </w:rPr>
        <w:t>Dalam kitab Tahrîr Al-  Ahkâm, Allamah Hilli juga menyatakan hal yang sama.</w:t>
      </w:r>
      <w:r>
        <w:rPr>
          <w:rStyle w:val="FootnoteAnchor"/>
        </w:rPr>
        <w:footnoteReference w:id="209"/>
      </w:r>
      <w:r>
        <w:rPr>
          <w:rFonts w:eastAsia="Times New Roman" w:cs="Times New Roman" w:ascii="Times New Roman" w:hAnsi="Times New Roman"/>
          <w:color w:val="111111"/>
          <w:sz w:val="28"/>
          <w:szCs w:val="28"/>
          <w:lang w:val="en-US"/>
        </w:rPr>
        <w:t>Bahkan, pada bagian lain  buku itu dia menyebutnya sebagai keniscayaan yang sudah disepakati (mafrúdh).</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Akan tetapi, wewenang eksekusi hukuman murtad adalah milik Imam sehingga berarti petugas  eksekusi itu telah melampaui batas dengan pembunuhan itu, adapun pendapat yang lebih tepat  adalah diyah orang yang dieksekusi mati karena kekeliruan itu harus ditebus."</w:t>
      </w:r>
    </w:p>
    <w:p>
      <w:pPr>
        <w:pStyle w:val="BookText"/>
        <w:bidi w:val="0"/>
        <w:jc w:val="both"/>
        <w:rPr/>
      </w:pPr>
      <w:r>
        <w:rPr>
          <w:rFonts w:eastAsia="Times New Roman" w:cs="Times New Roman" w:ascii="Times New Roman" w:hAnsi="Times New Roman"/>
          <w:color w:val="111111"/>
          <w:sz w:val="28"/>
          <w:szCs w:val="28"/>
          <w:lang w:val="en-US"/>
        </w:rPr>
        <w:t>Namun, dalam kitab Qawa'id Al-Ahkâm, ia sendiri secara implisit (ghair sharih)  menyatakan sebaliknya.</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Mayoritas fukaha Syiah juga berpendapat bahwa eksekutor  hukuman murtad merupakan privilese pemerintah Islam.</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Sekarang telah diperoleh kejelasan seputar dua hal. Pertama, kemurtadan  termasuk had. Kedua, kemurtadan juga termasuk hak Allah dan bukan menjadi  hak manusia. Oleh karena itu, eksekusi hukuman murtad dan proses pengadilan  sebelum dan sesudah hukuman merupakan tugas pemerintah Islam dan bukan  menjadi tanggungjawab pihak lain baik itu individu maupun institusi formal.</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samping itu, berdasarkan keistimewaan-keistimewaan hak Allah, munculnya  keraguan terhadap hukum atau subjeknya dalam proses pengadilan bukan saja  mengharuskan kaidah Dar' diberlakukan, melainkan juga kaidah-kaidah lain yang  berhubungan dengan hak Allah. Sebagai contoh dalam konteks hak Allah hakim  berkewajiban sedapat mungkin untuk mengalihkan terdakwa sebagai pelanggar  hak Allah dari pengakuannya (melanggar hak Allah). </w:t>
      </w:r>
      <w:bookmarkStart w:id="131" w:name="pg6393_43083"/>
    </w:p>
    <w:p>
      <w:pPr>
        <w:pStyle w:val="BookText"/>
        <w:bidi w:val="0"/>
        <w:rPr/>
      </w:pPr>
      <w:bookmarkEnd w:id="131"/>
      <w:r>
        <w:rPr>
          <w:rFonts w:eastAsia="Times New Roman" w:cs="Times New Roman" w:ascii="Times New Roman" w:hAnsi="Times New Roman"/>
          <w:color w:val="111111"/>
          <w:sz w:val="28"/>
          <w:szCs w:val="28"/>
          <w:lang w:val="en-US"/>
        </w:rPr>
        <w:t>Selain itu, esensi kriminalitas murtad dan kondisi-kondisi khas yang harus  diperhatikan dalam kasus ini menjadikannya benar-benar rumit dan istimewa. Itulah  sebabnya selain pihak lembaga peradilan menentukan fakta konkret kriminalitas  murtad dan memastikan kondisi-kondisi yang terkait dengannya sangat sulit.</w:t>
      </w:r>
    </w:p>
    <w:p>
      <w:pPr>
        <w:pStyle w:val="BookText"/>
        <w:bidi w:val="0"/>
        <w:jc w:val="both"/>
        <w:rPr/>
      </w:pPr>
      <w:r>
        <w:rPr>
          <w:rFonts w:eastAsia="Times New Roman" w:cs="Times New Roman" w:ascii="Times New Roman" w:hAnsi="Times New Roman"/>
          <w:color w:val="111111"/>
          <w:sz w:val="28"/>
          <w:szCs w:val="28"/>
          <w:lang w:val="en-US"/>
        </w:rPr>
        <w:t>Misalnya, seseorang melontarkan statement bernada kekafiran karena emosi yang  tinggi. Dalam kasus ini, kemurtadan masih belum terjadi karena pelaku tidak punya  kesadaran (ikhtiar) yang semestinya. Syarat ini dikemukakan oleh banyak fukaha.</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Jawâhir Al-Kalâm fi Syarh Syarâ'i' Al-Islâm, jld. 41, hlm. 439: “Sebagaimana tidak ada perdebatan  lagi bahwa tidak ada hukuman apa pun yang ditetapkan atas orang yang tidak bermaksud untuk  mencaci-maki nabi atau imam, entah karena dia lalai atau karena alasan lain yang semacamnya,  bahkan di dalam hadis yang diriwayatkan oleh Ali bin Athiyah dari Abu Abdillah Imam Ja'far Shadiq  as. yang berkata ...."Kasyif Ghitha: Kasyf Al-Ghithảº an Mubhamât Syari'at Al-Gharrá, jld. 2, hlm. 417; Khomeini  (Imam): Tahrîr Al-Wasilah, jld. 2, hlm. 495.</w:t>
      </w:r>
    </w:p>
    <w:p>
      <w:pPr>
        <w:pStyle w:val="BookText"/>
        <w:bidi w:val="0"/>
        <w:jc w:val="both"/>
        <w:rPr/>
      </w:pPr>
      <w:r>
        <w:rPr>
          <w:rFonts w:eastAsia="Times New Roman" w:cs="Times New Roman" w:ascii="Times New Roman" w:hAnsi="Times New Roman"/>
          <w:color w:val="111111"/>
          <w:sz w:val="28"/>
          <w:szCs w:val="28"/>
          <w:lang w:val="en-US"/>
        </w:rPr>
        <w:t>Rujukannya adalah hadis-hadis khusus yang diriwayatkan dari Imam Ja'far Shadiq.</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Adapun berkenaan dengan kriminalitas yang lain, syarat khusus seperti ini tidak  disebutkan, baik dalam hadis maupun keterangan fukaha. Sekalipun penyebab  syarat ini berupa 'potensi menyebar ke semua jenis kriminalitas lain. Namun  demikian, mengingat pentingnya masalah murtad dan dalil khusus tentangnya  boleh jadi syarat ini hanya dikhususkan dalam konteks murtad.</w:t>
      </w:r>
    </w:p>
    <w:p>
      <w:pPr>
        <w:pStyle w:val="Heading3"/>
        <w:numPr>
          <w:ilvl w:val="2"/>
          <w:numId w:val="1"/>
        </w:numPr>
        <w:bidi w:val="0"/>
        <w:jc w:val="left"/>
        <w:rPr/>
      </w:pPr>
      <w:bookmarkStart w:id="132" w:name="__RefHeading___Toc419544_653776707"/>
      <w:bookmarkStart w:id="133" w:name="_Toc49"/>
      <w:bookmarkEnd w:id="132"/>
      <w:r>
        <w:rPr/>
        <w:t>Eksekusi Hukuman Penista Simbol Sakral</w:t>
      </w:r>
      <w:bookmarkEnd w:id="133"/>
    </w:p>
    <w:p>
      <w:pPr>
        <w:pStyle w:val="Heading3"/>
        <w:numPr>
          <w:ilvl w:val="2"/>
          <w:numId w:val="1"/>
        </w:numPr>
        <w:bidi w:val="0"/>
        <w:jc w:val="left"/>
        <w:rPr/>
      </w:pPr>
      <w:bookmarkStart w:id="134" w:name="__RefHeading___Toc419546_653776707"/>
      <w:bookmarkStart w:id="135" w:name="_Toc50"/>
      <w:bookmarkEnd w:id="134"/>
      <w:r>
        <w:rPr/>
        <w:t>Hukuman Penistaan Simbol Sakral</w:t>
      </w:r>
      <w:bookmarkEnd w:id="13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Menurut Islam menuduh berzina (qadzf), menista, dan memfitnah Muslim  (iftirâ) bahkan non-Muslim dari kalangan agama samawi lainnya, hukumnya  terlarang.</w:t>
      </w:r>
      <w:r>
        <w:rPr>
          <w:rStyle w:val="FootnoteAnchor"/>
        </w:rPr>
        <w:footnoteReference w:id="212"/>
      </w:r>
      <w:r>
        <w:rPr>
          <w:rFonts w:eastAsia="Times New Roman" w:cs="Times New Roman" w:ascii="Times New Roman" w:hAnsi="Times New Roman"/>
          <w:color w:val="111111"/>
          <w:sz w:val="28"/>
          <w:szCs w:val="28"/>
          <w:lang w:val="en-US"/>
        </w:rPr>
        <w:t>Masing-masing kriminalitas itu telah ditentukan hukuman had atau  takzir.</w:t>
      </w:r>
      <w:r>
        <w:rPr>
          <w:rStyle w:val="FootnoteAnchor"/>
        </w:rPr>
        <w:footnoteReference w:id="213"/>
      </w:r>
      <w:r>
        <w:rPr>
          <w:rFonts w:eastAsia="Times New Roman" w:cs="Times New Roman" w:ascii="Times New Roman" w:hAnsi="Times New Roman"/>
          <w:color w:val="111111"/>
          <w:sz w:val="28"/>
          <w:szCs w:val="28"/>
          <w:lang w:val="en-US"/>
        </w:rPr>
        <w:t xml:space="preserve">Berdasarkan pendidikan agama dan hadis-hadis yang diriwayatkan dari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para imam suci menista, melaknat, dan mengutuk binatang</w:t>
      </w:r>
      <w:r>
        <w:rPr>
          <w:rStyle w:val="FootnoteAnchor"/>
        </w:rPr>
        <w:footnoteReference w:id="214"/>
      </w:r>
      <w:r>
        <w:rPr>
          <w:rFonts w:eastAsia="Times New Roman" w:cs="Times New Roman" w:ascii="Times New Roman" w:hAnsi="Times New Roman"/>
          <w:color w:val="111111"/>
          <w:sz w:val="28"/>
          <w:szCs w:val="28"/>
          <w:lang w:val="en-US"/>
        </w:rPr>
        <w:t>bahkan makhluk tak  bernyawa tergolong perbuatan buruk dan makruh.</w:t>
      </w:r>
      <w:r>
        <w:rPr>
          <w:rStyle w:val="FootnoteAnchor"/>
        </w:rPr>
        <w:footnoteReference w:id="215"/>
      </w:r>
      <w:r>
        <w:rPr>
          <w:rFonts w:eastAsia="Times New Roman" w:cs="Times New Roman" w:ascii="Times New Roman" w:hAnsi="Times New Roman"/>
          <w:color w:val="111111"/>
          <w:sz w:val="28"/>
          <w:szCs w:val="28"/>
          <w:lang w:val="en-US"/>
        </w:rPr>
        <w:t xml:space="preserve"> Saat berperang melawan Muawiyah, Amirul Mukminin Ali bin Abi Thalib  melarang sahabatnya menghina atau melaknat sahabat Muawiyah.</w:t>
      </w:r>
      <w:r>
        <w:rPr>
          <w:rStyle w:val="FootnoteAnchor"/>
        </w:rPr>
        <w:footnoteReference w:id="216"/>
      </w:r>
      <w:r>
        <w:rPr>
          <w:rFonts w:eastAsia="Times New Roman" w:cs="Times New Roman" w:ascii="Times New Roman" w:hAnsi="Times New Roman"/>
          <w:color w:val="111111"/>
          <w:sz w:val="28"/>
          <w:szCs w:val="28"/>
          <w:lang w:val="en-US"/>
        </w:rPr>
        <w:t>Dalam sebuah  riwayat juga disebutkan bahwa Imam Ja'far Shadiq menegur keras sahabatnya yang  kala itu sedang mencaci-maki musuh-musuhnya di masjid, dan Imam menasehatkan  agar mereka berhenti melakukan itu.</w:t>
      </w:r>
      <w:r>
        <w:rPr>
          <w:rStyle w:val="FootnoteAnchor"/>
        </w:rPr>
        <w:footnoteReference w:id="217"/>
      </w:r>
      <w:r>
        <w:rPr>
          <w:rFonts w:eastAsia="Times New Roman" w:cs="Times New Roman" w:ascii="Times New Roman" w:hAnsi="Times New Roman"/>
          <w:color w:val="111111"/>
          <w:sz w:val="28"/>
          <w:szCs w:val="28"/>
          <w:lang w:val="en-US"/>
        </w:rPr>
        <w:t xml:space="preserve"> Yang penting diperhatikan sekarang betapa agama ini sedemikian peka terhadap  penistaan atau caci-maki terhadap manusia, binatang, makhluk tak bernyawa,  bahkan musuh-musuhnya. Lalu, seberapa besar kepekaannya terhadap fenomena  penistaan simbol-simbol sakral agama, terutama terhadap penistaan dan pelecehan  terhadap nabi dan Imam suci sebagai para insan termulia?  Blasphemy atau pelecehan simbol sakral dalam agama Kristen menurut sistem  Common Law, baik lisan maupun tulisan, terbilang kriminalitas dan dosa.</w:t>
      </w:r>
      <w:r>
        <w:rPr>
          <w:rStyle w:val="FootnoteAnchor"/>
        </w:rPr>
        <w:footnoteReference w:id="218"/>
      </w:r>
      <w:r>
        <w:rPr>
          <w:rFonts w:eastAsia="Times New Roman" w:cs="Times New Roman" w:ascii="Times New Roman" w:hAnsi="Times New Roman"/>
          <w:color w:val="111111"/>
          <w:sz w:val="28"/>
          <w:szCs w:val="28"/>
          <w:lang w:val="en-US"/>
        </w:rPr>
        <w:t xml:space="preserve"> Pelakunya akan diganjar salah satu jenis hukuman yuridis yang paling umum  dewasa ini di semua negara Barat, yaitu penjara. </w:t>
      </w:r>
      <w:r>
        <w:rPr>
          <w:rStyle w:val="FootnoteAnchor"/>
        </w:rPr>
        <w:footnoteReference w:id="219"/>
      </w:r>
      <w:r>
        <w:rPr>
          <w:rFonts w:eastAsia="Times New Roman" w:cs="Times New Roman" w:ascii="Times New Roman" w:hAnsi="Times New Roman"/>
          <w:color w:val="111111"/>
          <w:sz w:val="28"/>
          <w:szCs w:val="28"/>
          <w:lang w:val="en-US"/>
        </w:rPr>
        <w:t xml:space="preserve">Dalam konteks ini hukuman  dijatuhkan tanpa pandang agama. </w:t>
      </w:r>
    </w:p>
    <w:p>
      <w:pPr>
        <w:pStyle w:val="BookText"/>
        <w:bidi w:val="0"/>
        <w:rPr/>
      </w:pPr>
      <w:r>
        <w:rPr>
          <w:rFonts w:eastAsia="Times New Roman" w:cs="Times New Roman" w:ascii="Times New Roman" w:hAnsi="Times New Roman"/>
          <w:color w:val="111111"/>
          <w:sz w:val="28"/>
          <w:szCs w:val="28"/>
          <w:lang w:val="en-US"/>
        </w:rPr>
        <w:t>Adapun menurut Islam terdapat klasifikasi logis dari segi identitas agama di  antara pelaku penistaan simbol-simbol sakral. Jika pelaku penistaan itu seorang  Muslim, sebagaimana telah disebutkan sebelumnya, mayoritas mazhab Islam  menetapkan vonis paling keras yang tersedia dalam sistem hukum Islam terhadapnya  yaitu hukuman mati.</w:t>
      </w:r>
      <w:r>
        <w:rPr>
          <w:rStyle w:val="FootnoteAnchor"/>
        </w:rPr>
        <w:footnoteReference w:id="220"/>
      </w:r>
      <w:r>
        <w:rPr>
          <w:rFonts w:eastAsia="Times New Roman" w:cs="Times New Roman" w:ascii="Times New Roman" w:hAnsi="Times New Roman"/>
          <w:color w:val="111111"/>
          <w:sz w:val="28"/>
          <w:szCs w:val="28"/>
          <w:lang w:val="en-US"/>
        </w:rPr>
        <w:t>Jika pelakunya seorang kafir dzimmi, menurut pendapat  banyak fukaha dari berbagai mazhab Islam, ganjarannya bukan hukuman mati.</w:t>
      </w:r>
    </w:p>
    <w:p>
      <w:pPr>
        <w:pStyle w:val="BookText"/>
        <w:bidi w:val="0"/>
        <w:jc w:val="both"/>
        <w:rPr/>
      </w:pPr>
      <w:r>
        <w:rPr>
          <w:rFonts w:eastAsia="Times New Roman" w:cs="Times New Roman" w:ascii="Times New Roman" w:hAnsi="Times New Roman"/>
          <w:color w:val="111111"/>
          <w:sz w:val="28"/>
          <w:szCs w:val="28"/>
          <w:lang w:val="en-US"/>
        </w:rPr>
        <w:t>Namun, sebagian fukaha Syiah berpendapat tak ada beda antara kafir dzimmi dan  Muslim dalam soal hukuman atas penistaan simbol-simbol sakral: kedua-duanya  patut dihukum mati. Perbedaan keduanya hanyalah jika pelaku yang berstatus kafir  dzimmi memeluk Islam setelah melakukan penistaan, maka hukumannya batal.</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Karena orang semacam ini masuk dalam kategori Kaidah Jubb.</w:t>
      </w:r>
      <w:r>
        <w:rPr>
          <w:rStyle w:val="FootnoteAnchor"/>
        </w:rPr>
        <w:footnoteReference w:id="221"/>
      </w:r>
      <w:r>
        <w:rPr>
          <w:rFonts w:eastAsia="Times New Roman" w:cs="Times New Roman" w:ascii="Times New Roman" w:hAnsi="Times New Roman"/>
          <w:color w:val="111111"/>
          <w:sz w:val="28"/>
          <w:szCs w:val="28"/>
          <w:lang w:val="en-US"/>
        </w:rPr>
        <w:t xml:space="preserve"> Para pengikut mazhab Malikiyah juga berpendapat bahwa kapan pun seorang  kafir dzimmi menista simbol-simbol sakral (Tuhan dan nabi) lewat cara selain yang  membuatnya kafir maka layak dihukum mati kecuali jika dia memeluk Islam.</w:t>
      </w:r>
      <w:r>
        <w:rPr>
          <w:rStyle w:val="FootnoteAnchor"/>
        </w:rPr>
        <w:footnoteReference w:id="222"/>
      </w:r>
      <w:r>
        <w:rPr>
          <w:rFonts w:eastAsia="Times New Roman" w:cs="Times New Roman" w:ascii="Times New Roman" w:hAnsi="Times New Roman"/>
          <w:color w:val="111111"/>
          <w:sz w:val="28"/>
          <w:szCs w:val="28"/>
          <w:lang w:val="en-US"/>
        </w:rPr>
        <w:t xml:space="preserve"> Namun demikian, ada pula pendapat lain yang dinukil dari kalangan mazhab  Malikiyah, bahwa hukuman bagi kafir dzimmi sama dengan yang berlaku pada  seorang Muslim, sekalipun kafir dzimmi itu akhirnya memeluk Islam.</w:t>
      </w:r>
      <w:r>
        <w:rPr>
          <w:rStyle w:val="FootnoteAnchor"/>
        </w:rPr>
        <w:footnoteReference w:id="223"/>
      </w:r>
      <w:r>
        <w:rPr>
          <w:rFonts w:eastAsia="Times New Roman" w:cs="Times New Roman" w:ascii="Times New Roman" w:hAnsi="Times New Roman"/>
          <w:color w:val="111111"/>
          <w:sz w:val="28"/>
          <w:szCs w:val="28"/>
          <w:lang w:val="en-US"/>
        </w:rPr>
        <w:t xml:space="preserve"> Menurut mazhab Hanafiyah pada dasarnya seorang kafir dzimmi dalam masalah  ini tidak layak dihukum mati tetapi cukup dicegah dari perbuatan itu. Kendati  begitu sebagian kalangan Mazhab Hanafiyah juga berpendapat bahwa kafir dzimmi  harus dihukum takzir. </w:t>
      </w:r>
      <w:r>
        <w:rPr>
          <w:rStyle w:val="FootnoteAnchor"/>
        </w:rPr>
        <w:footnoteReference w:id="224"/>
      </w:r>
      <w:r>
        <w:rPr>
          <w:rFonts w:eastAsia="Times New Roman" w:cs="Times New Roman" w:ascii="Times New Roman" w:hAnsi="Times New Roman"/>
          <w:color w:val="111111"/>
          <w:sz w:val="28"/>
          <w:szCs w:val="28"/>
          <w:lang w:val="en-US"/>
        </w:rPr>
        <w:t xml:space="preserve"> Syafi'iyah berpendapat bahwa kapan pun orang kafir dzimmi memaki Nabi  Saw akan dihukum mati. Di samping itu tindakan tersebut menyebabkan ikatan </w:t>
      </w:r>
    </w:p>
    <w:p>
      <w:pPr>
        <w:pStyle w:val="BookText"/>
        <w:bidi w:val="0"/>
        <w:rPr/>
      </w:pPr>
      <w:r>
        <w:rPr>
          <w:rFonts w:eastAsia="Times New Roman" w:cs="Times New Roman" w:ascii="Times New Roman" w:hAnsi="Times New Roman"/>
          <w:color w:val="111111"/>
          <w:sz w:val="28"/>
          <w:szCs w:val="28"/>
          <w:lang w:val="en-US"/>
        </w:rPr>
        <w:t>wilayah dzimmah gugur dengan sendirinya.</w:t>
      </w:r>
      <w:r>
        <w:rPr>
          <w:rStyle w:val="FootnoteAnchor"/>
        </w:rPr>
        <w:footnoteReference w:id="225"/>
      </w:r>
      <w:r>
        <w:rPr>
          <w:rFonts w:eastAsia="Times New Roman" w:cs="Times New Roman" w:ascii="Times New Roman" w:hAnsi="Times New Roman"/>
          <w:color w:val="111111"/>
          <w:sz w:val="28"/>
          <w:szCs w:val="28"/>
          <w:lang w:val="en-US"/>
        </w:rPr>
        <w:t>Ada pula pendapat lain yang  dinisbatkan kepada Imam Syafi'i bahwa ikatan wilayah dzimmah hanya digugurkan  jika di dalamnya dicantumkan syarat untuk tidak menista simbol-simbol sakral.</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Dengan demikian jika di dalamnya tidak dibubuhi syarat tersebut secara jelas,  ikatan wilayah dzimmah tidak bisa digugurkan.</w:t>
      </w:r>
      <w:r>
        <w:rPr>
          <w:rStyle w:val="FootnoteAnchor"/>
        </w:rPr>
        <w:footnoteReference w:id="226"/>
      </w:r>
      <w:r>
        <w:rPr>
          <w:rFonts w:eastAsia="Times New Roman" w:cs="Times New Roman" w:ascii="Times New Roman" w:hAnsi="Times New Roman"/>
          <w:color w:val="111111"/>
          <w:sz w:val="28"/>
          <w:szCs w:val="28"/>
          <w:lang w:val="en-US"/>
        </w:rPr>
        <w:t xml:space="preserve"> Sebagian fukaha Syiah berpendapat bahwa memaki Tuhan atau Nabi Saw yang  dilakukan oleh seorang kafir dzimmi layak dihukum mati sekaligus digugurkan  ikatan wilayah dzim mah-nya. Namun, jika tidak mencapai bentuk caci-maki,  ungkapan-ungkapan tak senonohnya terhadap Tuhan dan Nabi Saw itu hanya  berdampak hukuman taʼzir. Perbuatan itu hanya menggugurkan ikatan wilayah  dzimmah jika memang dijadikan persyaratan saat dibuat.</w:t>
      </w:r>
      <w:r>
        <w:rPr>
          <w:rStyle w:val="FootnoteAnchor"/>
        </w:rPr>
        <w:footnoteReference w:id="227"/>
      </w:r>
      <w:r>
        <w:rPr>
          <w:rFonts w:eastAsia="Times New Roman" w:cs="Times New Roman" w:ascii="Times New Roman" w:hAnsi="Times New Roman"/>
          <w:color w:val="111111"/>
          <w:sz w:val="28"/>
          <w:szCs w:val="28"/>
          <w:lang w:val="en-US"/>
        </w:rPr>
        <w:t xml:space="preserve"> Menurut mazhab Hanafiyah, memaki Nabi Saw tidak menggugurkan ikatan  wilayah dzimmah kecuali jika setelah melakukan pelanggaran itu si pelaku yang  kafir dzimmi kabur dan bersuaka di negara kafir (dâr al-harb) atau memerangi  pemerintahan Islam.</w:t>
      </w:r>
      <w:r>
        <w:rPr>
          <w:rStyle w:val="FootnoteAnchor"/>
        </w:rPr>
        <w:footnoteReference w:id="228"/>
      </w:r>
      <w:r>
        <w:rPr>
          <w:rFonts w:eastAsia="Times New Roman" w:cs="Times New Roman" w:ascii="Times New Roman" w:hAnsi="Times New Roman"/>
          <w:color w:val="111111"/>
          <w:sz w:val="28"/>
          <w:szCs w:val="28"/>
          <w:lang w:val="en-US"/>
        </w:rPr>
        <w:t xml:space="preserve"> Dari seluruh referensi yang telah dipaparkan di atas dapat dipahami bahwa  dibandingkan Common Law, khususnya berkenaan dengan pelaku penistaan simbol-  simbol sakral agama, hukum Islam bukan hanya melarang tindak diskriminatif  terhadap non-Muslim (kafir dzimmi). Bahkan, jika dibandingkan dengan seorang  Muslim, ganjaran hukuman bagi seorang non-Muslim dilengkapi kelembutan  dan keringanan. Ini layak dipertimbangkan dari segi hak asasi manusia. Adapun  kriminalitas murtad pada dasarnya dikhususkan bagi kaum Muslim dan tak ada  relasinya dengan non-Muslim, kecuali ditinjau dari doktrin yang mengatakan  bahwa perpindahan dari agama samawi lain ke selain agama Islam juga terlarang. </w:t>
      </w:r>
      <w:bookmarkStart w:id="136" w:name="pg6393_43090"/>
    </w:p>
    <w:p>
      <w:pPr>
        <w:pStyle w:val="BookText"/>
        <w:bidi w:val="0"/>
        <w:rPr/>
      </w:pPr>
      <w:bookmarkEnd w:id="136"/>
      <w:r>
        <w:rPr>
          <w:rFonts w:eastAsia="Times New Roman" w:cs="Times New Roman" w:ascii="Times New Roman" w:hAnsi="Times New Roman"/>
          <w:color w:val="111111"/>
          <w:sz w:val="28"/>
          <w:szCs w:val="28"/>
          <w:lang w:val="en-US"/>
        </w:rPr>
        <w:t>Namun doktrin ini tidak terlalu penting bagi kalangan fukaha Syiah.</w:t>
      </w:r>
      <w:r>
        <w:rPr>
          <w:rStyle w:val="FootnoteAnchor"/>
        </w:rPr>
        <w:footnoteReference w:id="229"/>
      </w:r>
    </w:p>
    <w:p>
      <w:pPr>
        <w:pStyle w:val="Heading3"/>
        <w:numPr>
          <w:ilvl w:val="2"/>
          <w:numId w:val="1"/>
        </w:numPr>
        <w:bidi w:val="0"/>
        <w:jc w:val="left"/>
        <w:rPr/>
      </w:pPr>
      <w:bookmarkStart w:id="137" w:name="__RefHeading___Toc419548_653776707"/>
      <w:bookmarkStart w:id="138" w:name="_Toc51"/>
      <w:bookmarkEnd w:id="137"/>
      <w:r>
        <w:rPr/>
        <w:t>Hukuman Penistaan Simbol Sakral oleh Pemerintah Islam</w:t>
      </w:r>
      <w:bookmarkEnd w:id="138"/>
    </w:p>
    <w:p>
      <w:pPr>
        <w:pStyle w:val="BookText"/>
        <w:bidi w:val="0"/>
        <w:jc w:val="both"/>
        <w:rPr/>
      </w:pPr>
      <w:r>
        <w:rPr>
          <w:rFonts w:eastAsia="Times New Roman" w:cs="Times New Roman" w:ascii="Times New Roman" w:hAnsi="Times New Roman"/>
          <w:color w:val="111111"/>
          <w:sz w:val="28"/>
          <w:szCs w:val="28"/>
          <w:lang w:val="en-US"/>
        </w:rPr>
        <w:t>Dalam konteks hukum Islam eksekusi hukuman pada prinsipnya harus  dilaksanakan pemerintahan Islam. Tentunya itu setelah melewati tahapan-tahapan  tertentu dan sesuai prosedur hukum yang berlaku. Pelanggaran itu berkenaan  dengan hak Allah Swt, prinsip-prinsip dan prosedur hukumnya harus diaplikasikan  secara cermat dan ketat agar cenderung menguntungkan pihak terdakwa-  khususnya dari segi syarat dan bukti. Meskipun demikian, hukuman atas  kriminalitas memaki Nabi Saw dan Imam suci menurut pendapat masyhur fukaha  Syiah boleh dilaksanakan siapa pun yang mendengar langsung makian itu (bukan  semua orang, tentunya) tanpa lebih dulu meminta izin pemerintah.</w:t>
      </w:r>
      <w:r>
        <w:rPr>
          <w:rStyle w:val="FootnoteAnchor"/>
        </w:rPr>
        <w:footnoteReference w:id="230"/>
      </w:r>
      <w:r>
        <w:rPr>
          <w:rFonts w:eastAsia="Times New Roman" w:cs="Times New Roman" w:ascii="Times New Roman" w:hAnsi="Times New Roman"/>
          <w:color w:val="111111"/>
          <w:sz w:val="28"/>
          <w:szCs w:val="28"/>
          <w:lang w:val="en-US"/>
        </w:rPr>
        <w:t>Pandangan  ini juga berlandaskan hadis.</w:t>
      </w:r>
      <w:r>
        <w:rPr>
          <w:rStyle w:val="FootnoteAnchor"/>
        </w:rPr>
        <w:footnoteReference w:id="231"/>
      </w:r>
      <w:r>
        <w:rPr>
          <w:rFonts w:eastAsia="Times New Roman" w:cs="Times New Roman" w:ascii="Times New Roman" w:hAnsi="Times New Roman"/>
          <w:color w:val="111111"/>
          <w:sz w:val="28"/>
          <w:szCs w:val="28"/>
          <w:lang w:val="en-US"/>
        </w:rPr>
        <w:t xml:space="preserve"> Sebagian fukaha kenamaan Syiah, yang ditokohi Syaikh Mufid dan Allamah  Hilli, menolak pandangan ini. Syaikh Mufid mengatakan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Orang yang memaki Nabi Saw atau salah seorang imam suci telah murtad dan  darahnya halal dikucurkan; dan orang yang bertanggung jawab melaksanakan  hukuman adalah pemimpin kaum Muslimin.</w:t>
      </w:r>
      <w:r>
        <w:rPr>
          <w:rStyle w:val="FootnoteAnchor"/>
        </w:rPr>
        <w:footnoteReference w:id="232"/>
      </w:r>
      <w:r>
        <w:rPr>
          <w:rFonts w:eastAsia="Times New Roman" w:cs="Times New Roman" w:ascii="Times New Roman" w:hAnsi="Times New Roman"/>
          <w:color w:val="111111"/>
          <w:sz w:val="28"/>
          <w:szCs w:val="28"/>
          <w:lang w:val="en-US"/>
        </w:rPr>
        <w:t xml:space="preserve"> Allamah Hilli juga mendukung pandangan Syaikh Mufid dan berargumentasi  bahwa kriminalitas murtad termasuk had dan eksekutornya adalah pemerintah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Islam.</w:t>
      </w:r>
      <w:r>
        <w:rPr>
          <w:rStyle w:val="FootnoteAnchor"/>
        </w:rPr>
        <w:footnoteReference w:id="233"/>
      </w:r>
      <w:r>
        <w:rPr>
          <w:rFonts w:eastAsia="Times New Roman" w:cs="Times New Roman" w:ascii="Times New Roman" w:hAnsi="Times New Roman"/>
          <w:color w:val="111111"/>
          <w:sz w:val="28"/>
          <w:szCs w:val="28"/>
          <w:lang w:val="en-US"/>
        </w:rPr>
        <w:t>Untuk membuktikan itu, dia mengemukakan hadis dari Imam Ja'far  Shadiq.</w:t>
      </w:r>
      <w:r>
        <w:rPr>
          <w:rStyle w:val="FootnoteAnchor"/>
        </w:rPr>
        <w:footnoteReference w:id="234"/>
      </w:r>
      <w:r>
        <w:rPr>
          <w:rFonts w:eastAsia="Times New Roman" w:cs="Times New Roman" w:ascii="Times New Roman" w:hAnsi="Times New Roman"/>
          <w:color w:val="111111"/>
          <w:sz w:val="28"/>
          <w:szCs w:val="28"/>
          <w:lang w:val="en-US"/>
        </w:rPr>
        <w:t xml:space="preserve">Kasyif Litsam juga mendukung pandangan ini. </w:t>
      </w:r>
      <w:r>
        <w:rPr>
          <w:rStyle w:val="FootnoteAnchor"/>
        </w:rPr>
        <w:footnoteReference w:id="235"/>
      </w:r>
      <w:r>
        <w:rPr>
          <w:rFonts w:eastAsia="Times New Roman" w:cs="Times New Roman" w:ascii="Times New Roman" w:hAnsi="Times New Roman"/>
          <w:color w:val="111111"/>
          <w:sz w:val="28"/>
          <w:szCs w:val="28"/>
          <w:lang w:val="en-US"/>
        </w:rPr>
        <w:t xml:space="preserve"> Selain menyandarkan bukti pada hadis, pandangan ini juga tampak lebih selaras  dengan prinsip dan kaidah yang telah disepakati dalam fikih Syiah. Pasalnya,  pemberian izin secara umum dan penuh kepada siapa pun selain aparat pemerintah  Islam untuk melaksanakan hukuman. Apalagi di era formatif pemerintahan  Islam, secara tipikal (nau'an) menyebabkan hiruk-pikuk dan chaos, khususnya  proses identifikasi kondisi dan syarat-syarat kriminalitas murtad pada umumnya  melampaui kemampuan orang biasa. Contohnya sebagaimana telah diingatkan  dalam bab sebelumnya, mayoritas fukaha Syiah Imamiyah berpendapat bahwa  seseorang yang mengungkapkan hal-hal bernuansa penistaan dan kekafiran dalam  kondisi yang sangat emosional, hingga membutakan kesadarannya, tidak layak  divonis sebagai murtad. </w:t>
      </w:r>
      <w:r>
        <w:rPr>
          <w:rStyle w:val="FootnoteAnchor"/>
        </w:rPr>
        <w:footnoteReference w:id="236"/>
      </w:r>
      <w:r>
        <w:rPr>
          <w:rFonts w:eastAsia="Times New Roman" w:cs="Times New Roman" w:ascii="Times New Roman" w:hAnsi="Times New Roman"/>
          <w:color w:val="111111"/>
          <w:sz w:val="28"/>
          <w:szCs w:val="28"/>
          <w:lang w:val="en-US"/>
        </w:rPr>
        <w:t xml:space="preserve"> Selain itu, sebagaimana dinyatakan Allamah Hilli, menurut salah satu kaidah  yang disepakati kalangan Syiah, pelaksanaan hukuman had termasuk privilese  pemerintah Islam. Berdasarkan informasi, banyak hadis hak ini kewenangan  eksklusif aparat pemerintahan Islam, bukan menjadi hak semua orang. </w:t>
      </w:r>
      <w:r>
        <w:rPr>
          <w:rStyle w:val="FootnoteAnchor"/>
        </w:rPr>
        <w:footnoteReference w:id="237"/>
      </w:r>
      <w:r>
        <w:rPr>
          <w:rFonts w:eastAsia="Times New Roman" w:cs="Times New Roman" w:ascii="Times New Roman" w:hAnsi="Times New Roman"/>
          <w:color w:val="111111"/>
          <w:sz w:val="28"/>
          <w:szCs w:val="28"/>
          <w:lang w:val="en-US"/>
        </w:rPr>
        <w:t xml:space="preserve">Hadis-  hadis yang bertentangan dengan prinsip tersebut tak punya kapasitas untuk  menentang kaidah yang telah disepakati itu. </w:t>
      </w:r>
    </w:p>
    <w:p>
      <w:pPr>
        <w:pStyle w:val="BookText"/>
        <w:bidi w:val="0"/>
        <w:rPr/>
      </w:pPr>
      <w:r>
        <w:rPr>
          <w:rFonts w:eastAsia="Times New Roman" w:cs="Times New Roman" w:ascii="Times New Roman" w:hAnsi="Times New Roman"/>
          <w:color w:val="111111"/>
          <w:sz w:val="28"/>
          <w:szCs w:val="28"/>
          <w:lang w:val="en-US"/>
        </w:rPr>
        <w:t>Pandangan ini juga tidak bertolak belakang dengan kewajiban publik melakukan  amar makruf nahi munkar. Karena jika berdampak melukai atau membunuh,  menurut kebanyakan fukaha Syiah Imamiyah, langkah mengenai amar makruf nahi  munkar harus dilaksanakan dengan seizin fakih mujtahid yang memenuhi kriteria  (jâmi' al-syarà’ith).</w:t>
      </w:r>
      <w:r>
        <w:rPr>
          <w:rStyle w:val="FootnoteAnchor"/>
        </w:rPr>
        <w:footnoteReference w:id="238"/>
      </w:r>
      <w:r>
        <w:rPr>
          <w:rFonts w:eastAsia="Times New Roman" w:cs="Times New Roman" w:ascii="Times New Roman" w:hAnsi="Times New Roman"/>
          <w:color w:val="111111"/>
          <w:sz w:val="28"/>
          <w:szCs w:val="28"/>
          <w:lang w:val="en-US"/>
        </w:rPr>
        <w:t>Namun, amar makruf nahi munkar dipastikan merenggut  nyawa pihak lawan, tak ada lagi alasan (legal) untuk melaksanakannya. Karena  tujuan pelaksanaan amar makruf nahi munkar adalah meninggalkan perbuatan  yang dituntut kewajiban ini, sementara salah satu syarat dalam kewajiban ini adalah  ‘kemungkinan adanya pengaruh'. Jadi, dalam kondisi ketika amar makruf nahi  mungkar berefek pembunuhan, baik tujuan maupun syaratnya tidak terpenuhi.</w:t>
      </w:r>
      <w:r>
        <w:rPr>
          <w:rStyle w:val="FootnoteAnchor"/>
        </w:rPr>
        <w:footnoteReference w:id="239"/>
      </w:r>
      <w:r>
        <w:rPr>
          <w:rFonts w:eastAsia="Times New Roman" w:cs="Times New Roman" w:ascii="Times New Roman" w:hAnsi="Times New Roman"/>
          <w:color w:val="111111"/>
          <w:sz w:val="28"/>
          <w:szCs w:val="28"/>
          <w:lang w:val="en-US"/>
        </w:rPr>
        <w:t xml:space="preserve"> Berkenaan dengan kasus penistaan Salman Rushdi terhadap Nabi Saw, Imam  Khomeini sebagai fakih mujtahid sekaligus kepala pemerintahan Islam, setelah  mencermati kasus ini dari segi hukum dan objeknya, menerbitkan perintah eksekusi  publik hukuman murtad. Ini bukan berarti menyerahkan proses penetapan objek  kriminalitas, syarat dan kondisinya kepada khalayak umum. Sudah tentu semua  jenjang ini membutuhkan proses pengadilan yang sangat khusus dan rumit sekali.</w:t>
      </w:r>
    </w:p>
    <w:p>
      <w:pPr>
        <w:pStyle w:val="BookText"/>
        <w:bidi w:val="0"/>
        <w:jc w:val="both"/>
        <w:rPr/>
      </w:pPr>
      <w:r>
        <w:rPr>
          <w:rFonts w:eastAsia="Times New Roman" w:cs="Times New Roman" w:ascii="Times New Roman" w:hAnsi="Times New Roman"/>
          <w:color w:val="111111"/>
          <w:sz w:val="28"/>
          <w:szCs w:val="28"/>
          <w:lang w:val="en-US"/>
        </w:rPr>
        <w:t xml:space="preserve">Kendati demikian, berdasarkan bukti-bukti khusus yang ada, pelaksanaan  sebagian hukuman had diserahkan kepada pribadi-pribadi yang bukan aparat  pengadilan. Contohnya, kapan pun seorang lelaki menyaksikan lelaki lain  bersetubuh dengan istrinya, jika istrinya berada dalam keadaan terpaksa, dia berhak  membunuh lelaki pemerkosa istrinya, saat itu juga. Jika istrinya ternyata sukarela  dalam perselingkuhan itu, dia berhak melaksanakan hukuman had Allah pada dua  pelaku zina tersebut, saat itu juga. </w:t>
      </w:r>
      <w:r>
        <w:rPr>
          <w:rStyle w:val="FootnoteAnchor"/>
        </w:rPr>
        <w:footnoteReference w:id="240"/>
      </w:r>
      <w:r>
        <w:rPr>
          <w:rFonts w:eastAsia="Times New Roman" w:cs="Times New Roman" w:ascii="Times New Roman" w:hAnsi="Times New Roman"/>
          <w:color w:val="111111"/>
          <w:sz w:val="28"/>
          <w:szCs w:val="28"/>
          <w:lang w:val="en-US"/>
        </w:rPr>
        <w:t xml:space="preserve"> Namun hukuman itu juga hukuman serupa lainnya tidak dapat dianalogikan  dengan persoalan di sini. Karena, pertama, zina dalam kasus tadi —seandainya  kesahihan landasan hukumnya telah terbukti, merupakan kriminalitas personal  dan terkait dengan hak manusia. Ini mengingat dalam asumsi kedua sekalipun-  istri sukarela bersetubuh dengan selain suaminya, hak suami telah dilanggar.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Sementara itu, kriminalitas yang sedang dibicarakan di sini, yakni penistaan simbol-  simbol sakral agama, tergolong kriminalitas sosial dan terkait dengan hak Allah  Swt. Dalam konteks pelanggaran hak Allah Swt, khususnya had-had-Nya, prinsip </w:t>
      </w:r>
      <w:bookmarkStart w:id="139" w:name="pg6393_43096"/>
    </w:p>
    <w:p>
      <w:pPr>
        <w:pStyle w:val="BookText"/>
        <w:bidi w:val="0"/>
        <w:rPr/>
      </w:pPr>
      <w:bookmarkEnd w:id="139"/>
      <w:r>
        <w:rPr>
          <w:rFonts w:eastAsia="Times New Roman" w:cs="Times New Roman" w:ascii="Times New Roman" w:hAnsi="Times New Roman"/>
          <w:color w:val="111111"/>
          <w:sz w:val="28"/>
          <w:szCs w:val="28"/>
          <w:lang w:val="en-US"/>
        </w:rPr>
        <w:t>dasar pembuat syariat adalah keringanan (takhfif) dan kehati-hatian (ihtiyâth).</w:t>
      </w:r>
    </w:p>
    <w:p>
      <w:pPr>
        <w:pStyle w:val="BookText"/>
        <w:bidi w:val="0"/>
        <w:jc w:val="both"/>
        <w:rPr/>
      </w:pPr>
      <w:r>
        <w:rPr>
          <w:rFonts w:eastAsia="Times New Roman" w:cs="Times New Roman" w:ascii="Times New Roman" w:hAnsi="Times New Roman"/>
          <w:color w:val="111111"/>
          <w:sz w:val="28"/>
          <w:szCs w:val="28"/>
          <w:lang w:val="en-US"/>
        </w:rPr>
        <w:t>Itulah sebabnya, bersandarkan kaidah Dar’dapat dipastikan bahwa keraguan dan  kebimbangan sudah memadai untuk membatalkan hukuman had dari seorang  terdakwa.</w:t>
      </w:r>
    </w:p>
    <w:p>
      <w:pPr>
        <w:pStyle w:val="BookText"/>
        <w:bidi w:val="0"/>
        <w:jc w:val="both"/>
        <w:rPr/>
      </w:pPr>
      <w:r>
        <w:rPr>
          <w:rFonts w:eastAsia="Times New Roman" w:cs="Times New Roman" w:ascii="Times New Roman" w:hAnsi="Times New Roman"/>
          <w:color w:val="111111"/>
          <w:sz w:val="28"/>
          <w:szCs w:val="28"/>
          <w:lang w:val="en-US"/>
        </w:rPr>
        <w:t>Kedua, menentukan objek pelanggaran, seperti zina, berikut syarat-syaratnya  dalam kondisi di atas, bukanlah persoalan pelik. Ini berbeda dengan kasus penistaan  simbol sakral agama. Pelanggaran ini memiliki kerangka dan kondisi yang sangat  rumit. Pada umumnya, orang biasa tak mampu memahaminya secara benar dan  akurat. Selain itu, menurut hukum pidana Islam, jika terjadi pertentangan yang  seimbang di antara bukti-bukti yang ada, hukum yang ‘menguntungkan terdakwa’  lebih diprioritaskan. Berkenaan dengan kriminalitas penistaan simbol sakral agama,  dakwaan hukum dan eksekusinya dalam proses pengadilan dan pemerintahan  harus menguntungkan pihak terdakwa, serta harus sesuai dengan sikap hati-hati  dalam mengadili. Sikap ini juga harus lebih ditingkatkan jika berhubungan dengan  darah dan nyawa.</w:t>
      </w:r>
    </w:p>
    <w:p>
      <w:pPr>
        <w:pStyle w:val="Heading3"/>
        <w:numPr>
          <w:ilvl w:val="2"/>
          <w:numId w:val="1"/>
        </w:numPr>
        <w:bidi w:val="0"/>
        <w:jc w:val="left"/>
        <w:rPr/>
      </w:pPr>
      <w:bookmarkStart w:id="140" w:name="__RefHeading___Toc419550_653776707"/>
      <w:bookmarkStart w:id="141" w:name="_Toc52"/>
      <w:bookmarkEnd w:id="140"/>
      <w:r>
        <w:rPr/>
        <w:t>Ikhtisar</w:t>
      </w:r>
      <w:bookmarkEnd w:id="14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Dari pernyataan beberapa fukaha dapat ditarik kesimpulan bahwa  kemurtadan masuk dalam kategori had, bahkan tergolong ‘hak Allah'.</w:t>
      </w:r>
    </w:p>
    <w:p>
      <w:pPr>
        <w:pStyle w:val="BookText"/>
        <w:bidi w:val="0"/>
        <w:jc w:val="both"/>
        <w:rPr/>
      </w:pPr>
      <w:r>
        <w:rPr>
          <w:rFonts w:eastAsia="Times New Roman" w:cs="Times New Roman" w:ascii="Times New Roman" w:hAnsi="Times New Roman"/>
          <w:color w:val="111111"/>
          <w:sz w:val="28"/>
          <w:szCs w:val="28"/>
          <w:lang w:val="en-US"/>
        </w:rPr>
        <w:t>Selain itu, esensi kriminalitas murtad dan kondisi-kondisi khas yang harus  diperhatikan dalam kasus ini, menjadikannya benar-benar rumit dan  istimewa. Itulah sebabnya, selain pihak lembaga peradilan, menentukan  fakta konkret kriminalitas murtad dan memastikan kondisi-kondisi  yang terkait dengannya sangatlah sulit. Misalnya seseorang melontarkan  statement bernada kekafiran karena emosi yang tinggi. Dalam kasus ini,  kemurtadan masih belum terjadi karena pelaku tidak punya kesadaran  (ikhtiar) yang semestinya.</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Mengingat kemurtadan termasuk hak Allah, dan bukan hak manusia,  munculnya keraguan terhadap hukum atau subjeknya dalam proses  pengadilan bukan saja mengharuskan kaidah Dar' diberlakukan tetapi  kaidah-kaidah lain yang berhubungan dengan hak Allah. Sebagai contoh,  dalam konteks hak Allah, hakim berkewajiban sedapat mungkin untuk  mengalihkan terdakwa sebagai pelanggar hak Allah dari pengakuannya  (melanggar hak Allah). Atau, tidak dibolehkan menjatuhkan vonis in  absentia. Bahkan asas utama pembuat syariat dalam mengadili pelanggaran  hak Allah adalah sebisa mungkin proses peradilan menguntungkan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terdakwa.</w:t>
      </w:r>
    </w:p>
    <w:p>
      <w:pPr>
        <w:pStyle w:val="BookText"/>
        <w:bidi w:val="0"/>
        <w:jc w:val="both"/>
        <w:rPr/>
      </w:pPr>
      <w:r>
        <w:rPr>
          <w:rFonts w:eastAsia="Times New Roman" w:cs="Times New Roman" w:ascii="Times New Roman" w:hAnsi="Times New Roman"/>
          <w:color w:val="111111"/>
          <w:sz w:val="28"/>
          <w:szCs w:val="28"/>
          <w:lang w:val="en-US"/>
        </w:rPr>
        <w:t>Blasphemy atau pelecehan simbol sakral dalam agama Kristen, menurut  sistem Common Law, baik lisan maupun tulisan, terbilang kriminalitas.</w:t>
      </w:r>
    </w:p>
    <w:p>
      <w:pPr>
        <w:pStyle w:val="BookText"/>
        <w:bidi w:val="0"/>
        <w:jc w:val="both"/>
        <w:rPr/>
      </w:pPr>
      <w:r>
        <w:rPr>
          <w:rFonts w:eastAsia="Times New Roman" w:cs="Times New Roman" w:ascii="Times New Roman" w:hAnsi="Times New Roman"/>
          <w:color w:val="111111"/>
          <w:sz w:val="28"/>
          <w:szCs w:val="28"/>
          <w:lang w:val="en-US"/>
        </w:rPr>
        <w:t>Pelakunya diganjar salah satu jenis hukuman yuridis yang paling umum  dewasa ini nyaris di semua negara Barat, yaitu penjara. Dalam konteks ini,  hukuman dijatuhkan tanpa pandang agama.</w:t>
      </w:r>
    </w:p>
    <w:p>
      <w:pPr>
        <w:pStyle w:val="BookText"/>
        <w:bidi w:val="0"/>
        <w:jc w:val="both"/>
        <w:rPr/>
      </w:pPr>
      <w:r>
        <w:rPr>
          <w:rFonts w:eastAsia="Times New Roman" w:cs="Times New Roman" w:ascii="Times New Roman" w:hAnsi="Times New Roman"/>
          <w:color w:val="111111"/>
          <w:sz w:val="28"/>
          <w:szCs w:val="28"/>
          <w:lang w:val="en-US"/>
        </w:rPr>
        <w:t>Adapun menurut Islam, menuduh berzina (gadzf), menista, dan memfitnah  Muslim (iftirâ) bahkan non-Muslim dari kalangan agama samawi lainnya  dianggap terlarang. Masing-masing kriminalitas itu telah ditentukan  hukuman had atau taʼzir.</w:t>
      </w:r>
    </w:p>
    <w:p>
      <w:pPr>
        <w:pStyle w:val="BookText"/>
        <w:bidi w:val="0"/>
        <w:jc w:val="both"/>
        <w:rPr/>
      </w:pPr>
      <w:r>
        <w:rPr>
          <w:rFonts w:eastAsia="Times New Roman" w:cs="Times New Roman" w:ascii="Times New Roman" w:hAnsi="Times New Roman"/>
          <w:color w:val="111111"/>
          <w:sz w:val="28"/>
          <w:szCs w:val="28"/>
          <w:lang w:val="en-US"/>
        </w:rPr>
        <w:t>Masih dalam Islam terdapat klasifikasi logis dari segi agama di antara  pelaku penistaan simbol-simbol sakral. Jika pelaku penistaan itu seorang  Muslim, sebagaimana telah disebutkan sebelumnya, mayoritas mazhab  Islam memilih hukuman paling keras yang tersedia dalam sistem hukum  Islam terhadapnya, yaitu hukuman mati. Jika pelakunya seorang kafir  dzimmi, menurut pendapat banyak fukaha dari berbagai mazhab Islam,  ganjarannya bukan hukuman mati. Namun, sebagian fukaha Syiah  berpendapat tak ada beda antara kafir dzimmi dan Muslim dalam soal  hukuman atas penistaan simbol-simbol sakral. Kedua-duanya patut  dihukum mati. Perbedaan keduanya, hanyalah pelaku yang berstatus kafir  dzimmi memeluk Islam setelah melakukan penistaan, maka hukumannya  batal, karena orang semacam ini termasuk dalam kaidah Jubb.</w:t>
      </w:r>
    </w:p>
    <w:p>
      <w:pPr>
        <w:pStyle w:val="BookText"/>
        <w:bidi w:val="0"/>
        <w:jc w:val="both"/>
        <w:rPr/>
      </w:pPr>
      <w:r>
        <w:rPr>
          <w:rFonts w:eastAsia="Times New Roman" w:cs="Times New Roman" w:ascii="Times New Roman" w:hAnsi="Times New Roman"/>
          <w:color w:val="111111"/>
          <w:sz w:val="28"/>
          <w:szCs w:val="28"/>
          <w:lang w:val="en-US"/>
        </w:rPr>
        <w:t>4.Sebagian fukaha Syiah berpendapat bahwa jika memang memaki Tuhan  atau Nabi Saw, seorang kafir dzimmi layak dihukum mati sekaligus  digugurkan ikatan wilayah dzimmah-nya. Jika tidak mencapai bentuk caci-  maki, ungkapan-ungkapan tak senonoh terhadap Tuhan dan Nabi Saw itu  hanya berdampak hukuman taʼzir. Perbuatan itu hanya menggugurkan  ikatan wilayah dzimmah jika memang dijadikan persyaratan saat dibuat.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5.Dalam konteks hukum Islam eksekusi hukuman pada prinsipnya harus  dilaksanakan pemerintahan Islam. Tentunya hal itu dilakukan setelah  melewati tahapan-tahapan tertentu dan sesuai prosedur hukum yang  berlaku. Jika pelanggaran itu berkenaan dengan hak Allah Swt, maka  prinsip-prinsip dan prosedur hukumnya harus diaplikasikan secara cermat  dan ketat agar cenderung menguntungkan pihak terdakwa —khususnya  dari segi syarat dan bukti. Beberapa pandangan mengatakan hukuman  atas kriminalitas memaki Nabi Saw dan Imam suci, boleh dilaksanakan </w:t>
      </w:r>
    </w:p>
    <w:p>
      <w:pPr>
        <w:pStyle w:val="BookText"/>
        <w:bidi w:val="0"/>
        <w:rPr/>
      </w:pPr>
      <w:r>
        <w:rPr>
          <w:rFonts w:eastAsia="Times New Roman" w:cs="Times New Roman" w:ascii="Times New Roman" w:hAnsi="Times New Roman"/>
          <w:color w:val="111111"/>
          <w:sz w:val="28"/>
          <w:szCs w:val="28"/>
          <w:lang w:val="en-US"/>
        </w:rPr>
        <w:t>siapa pun yang mendengar langsung makian itu (bukan semua orang,  tentunya) tanpa lebih dulu meminta izin pemerintah. Pandangan ini  juga berlandaskan hadis. Namun, sebagian fukaha kenamaan Syiah, yang  ditokohi Syaikh Mufid dan Allamah Hilli, menolak pandangan di atas.</w:t>
      </w:r>
    </w:p>
    <w:p>
      <w:pPr>
        <w:pStyle w:val="BookText"/>
        <w:bidi w:val="0"/>
        <w:jc w:val="both"/>
        <w:rPr/>
      </w:pPr>
      <w:r>
        <w:rPr>
          <w:rFonts w:eastAsia="Times New Roman" w:cs="Times New Roman" w:ascii="Times New Roman" w:hAnsi="Times New Roman"/>
          <w:color w:val="111111"/>
          <w:sz w:val="28"/>
          <w:szCs w:val="28"/>
          <w:lang w:val="en-US"/>
        </w:rPr>
        <w:t>Selain menyandarkan bukti pada hadis, pandangan ini juga tampak lebih  selaras dengan prinsip dan kaidah yang telah disepakati dalam fikih Syiah.</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Pasalnya, pemberian izin secara umum dan penuh kepada siapa pun  selain aparat pemerintah Islam untuk melaksanakan hukuman, apalagi  di era formatif pemerintahan Islam, secara tipikal (nau‘an) menyebabkan  hiruk-pikuk dan chaos, khususnya proses identifikasi kondisi dan syarat-  syarat kriminalitas murtad pada umumnya melampaui kemampuan  orang biasa. </w:t>
      </w:r>
      <w:bookmarkStart w:id="142" w:name="pg6393_43102"/>
    </w:p>
    <w:p>
      <w:pPr>
        <w:pStyle w:val="Heading2"/>
        <w:numPr>
          <w:ilvl w:val="1"/>
          <w:numId w:val="1"/>
        </w:numPr>
        <w:bidi w:val="0"/>
        <w:jc w:val="left"/>
        <w:rPr/>
      </w:pPr>
      <w:bookmarkStart w:id="143" w:name="__RefHeading___Toc419552_653776707"/>
      <w:bookmarkStart w:id="144" w:name="_Toc53"/>
      <w:bookmarkEnd w:id="142"/>
      <w:bookmarkEnd w:id="143"/>
      <w:r>
        <w:rPr/>
        <w:t>BAB IV Falsafah Kemurtadan dan Penistaan Simbol Sakral</w:t>
      </w:r>
      <w:bookmarkEnd w:id="144"/>
    </w:p>
    <w:p>
      <w:pPr>
        <w:pStyle w:val="Heading3"/>
        <w:numPr>
          <w:ilvl w:val="2"/>
          <w:numId w:val="1"/>
        </w:numPr>
        <w:bidi w:val="0"/>
        <w:jc w:val="left"/>
        <w:rPr/>
      </w:pPr>
      <w:bookmarkStart w:id="145" w:name="__RefHeading___Toc419554_653776707"/>
      <w:bookmarkStart w:id="146" w:name="_Toc54"/>
      <w:bookmarkEnd w:id="145"/>
      <w:r>
        <w:rPr/>
        <w:t>Point</w:t>
      </w:r>
      <w:bookmarkEnd w:id="146"/>
    </w:p>
    <w:p>
      <w:pPr>
        <w:pStyle w:val="BookText"/>
        <w:bidi w:val="0"/>
        <w:jc w:val="both"/>
        <w:rPr/>
      </w:pPr>
      <w:r>
        <w:rPr>
          <w:rFonts w:eastAsia="Times New Roman" w:cs="Times New Roman" w:ascii="Times New Roman" w:hAnsi="Times New Roman"/>
          <w:color w:val="111111"/>
          <w:sz w:val="28"/>
          <w:szCs w:val="28"/>
          <w:lang w:val="en-US"/>
        </w:rPr>
        <w:t>Hipotesis seputar realisasi kemurtadan yang cukup dengan sekadar  pengingkaran sebagaimana diulas sebelumnya patut ditindaklanjuti. Namun,  kajian seputar fakta-fakta kemurtadan dalam sejarah Nabi Saw dan imam suci  mendukung hipotesis bahwa praktis hanya kemurtadan lewat penistaan simbol-  simbol sakral agama saja yang memiliki kepekaan sangat tinggi. Demikian pula  fakta kemurtadan yang pelakunya berniat memprovokasi sikap anti-agama secara  terencana, berupa pengingkaran ajaran niscaya (dharûrî) agama. Sekarang hipotesis  akan dipertimbangkan dalam dua topik kajian seputar falsafah kemurtadan dan  penistaan simbol sakral agama.</w:t>
      </w:r>
    </w:p>
    <w:p>
      <w:pPr>
        <w:pStyle w:val="Heading3"/>
        <w:numPr>
          <w:ilvl w:val="2"/>
          <w:numId w:val="1"/>
        </w:numPr>
        <w:bidi w:val="0"/>
        <w:jc w:val="left"/>
        <w:rPr/>
      </w:pPr>
      <w:bookmarkStart w:id="147" w:name="__RefHeading___Toc419556_653776707"/>
      <w:bookmarkStart w:id="148" w:name="_Toc55"/>
      <w:bookmarkEnd w:id="147"/>
      <w:r>
        <w:rPr/>
        <w:t>Falsafah Pidana Kemurtadan</w:t>
      </w:r>
      <w:bookmarkEnd w:id="14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Berdasarkan pembahasan sebelumnya seputar definisi, kerangka, kondisi, dan  syarat-syarat kemurtadan dapat disimpulkan bahwa makna hakiki dari kemurtadan  adalah ekspresi pengingkaran terhadapagama dan propaganda anti-agama dengan  sikap keras kepala ("inâd) dan motif permusuhan.</w:t>
      </w:r>
      <w:r>
        <w:rPr>
          <w:rStyle w:val="FootnoteAnchor"/>
        </w:rPr>
        <w:footnoteReference w:id="241"/>
      </w:r>
      <w:r>
        <w:rPr>
          <w:rFonts w:eastAsia="Times New Roman" w:cs="Times New Roman" w:ascii="Times New Roman" w:hAnsi="Times New Roman"/>
          <w:color w:val="111111"/>
          <w:sz w:val="28"/>
          <w:szCs w:val="28"/>
          <w:lang w:val="en-US"/>
        </w:rPr>
        <w:t>Sikap ini bukan didorong  argumentasi dan logika, atau dipicu kerancuan dan kekeliruan intelektual.</w:t>
      </w:r>
      <w:r>
        <w:rPr>
          <w:rStyle w:val="FootnoteAnchor"/>
        </w:rPr>
        <w:footnoteReference w:id="242"/>
      </w:r>
      <w:r>
        <w:rPr>
          <w:rFonts w:eastAsia="Times New Roman" w:cs="Times New Roman" w:ascii="Times New Roman" w:hAnsi="Times New Roman"/>
          <w:color w:val="111111"/>
          <w:sz w:val="28"/>
          <w:szCs w:val="28"/>
          <w:lang w:val="en-US"/>
        </w:rPr>
        <w:t xml:space="preserve">Oleh </w:t>
      </w:r>
      <w:bookmarkStart w:id="149" w:name="pg6393_43103"/>
    </w:p>
    <w:p>
      <w:pPr>
        <w:pStyle w:val="BookText"/>
        <w:bidi w:val="0"/>
        <w:rPr/>
      </w:pPr>
      <w:bookmarkEnd w:id="149"/>
      <w:r>
        <w:rPr>
          <w:rFonts w:eastAsia="Times New Roman" w:cs="Times New Roman" w:ascii="Times New Roman" w:hAnsi="Times New Roman"/>
          <w:color w:val="111111"/>
          <w:sz w:val="28"/>
          <w:szCs w:val="28"/>
          <w:lang w:val="en-US"/>
        </w:rPr>
        <w:t>karena itu dasar sebuah sikap dikatakan murtad adalah propaganda anti-agama dan  selanjutnya ancaman bagi ketertiban umum dan etika sosial masyarakat Islam.</w:t>
      </w:r>
    </w:p>
    <w:p>
      <w:pPr>
        <w:pStyle w:val="Heading3"/>
        <w:numPr>
          <w:ilvl w:val="2"/>
          <w:numId w:val="1"/>
        </w:numPr>
        <w:bidi w:val="0"/>
        <w:jc w:val="left"/>
        <w:rPr/>
      </w:pPr>
      <w:bookmarkStart w:id="150" w:name="__RefHeading___Toc419558_653776707"/>
      <w:bookmarkStart w:id="151" w:name="_Toc56"/>
      <w:bookmarkEnd w:id="150"/>
      <w:r>
        <w:rPr/>
        <w:t>Ancaman Ketertiban Umum dan Etika Sosial</w:t>
      </w:r>
      <w:bookmarkEnd w:id="151"/>
    </w:p>
    <w:p>
      <w:pPr>
        <w:pStyle w:val="Heading3"/>
        <w:numPr>
          <w:ilvl w:val="2"/>
          <w:numId w:val="1"/>
        </w:numPr>
        <w:bidi w:val="0"/>
        <w:jc w:val="left"/>
        <w:rPr/>
      </w:pPr>
      <w:bookmarkStart w:id="152" w:name="__RefHeading___Toc419560_653776707"/>
      <w:bookmarkStart w:id="153" w:name="_Toc57"/>
      <w:bookmarkEnd w:id="152"/>
      <w:r>
        <w:rPr/>
        <w:t>Definisi</w:t>
      </w:r>
      <w:bookmarkEnd w:id="153"/>
    </w:p>
    <w:p>
      <w:pPr>
        <w:pStyle w:val="BookText"/>
        <w:bidi w:val="0"/>
        <w:jc w:val="both"/>
        <w:rPr/>
      </w:pPr>
      <w:r>
        <w:rPr>
          <w:rFonts w:eastAsia="Times New Roman" w:cs="Times New Roman" w:ascii="Times New Roman" w:hAnsi="Times New Roman"/>
          <w:color w:val="111111"/>
          <w:sz w:val="28"/>
          <w:szCs w:val="28"/>
          <w:lang w:val="en-US"/>
        </w:rPr>
        <w:t>Berkenaan dengan definisi ketertiban umum, kalangan pakar hukum  menyebutkan:</w:t>
      </w:r>
    </w:p>
    <w:p>
      <w:pPr>
        <w:pStyle w:val="BookText"/>
        <w:bidi w:val="0"/>
        <w:jc w:val="both"/>
        <w:rPr/>
      </w:pPr>
      <w:r>
        <w:rPr>
          <w:rFonts w:eastAsia="Times New Roman" w:cs="Times New Roman" w:ascii="Times New Roman" w:hAnsi="Times New Roman"/>
          <w:color w:val="111111"/>
          <w:sz w:val="28"/>
          <w:szCs w:val="28"/>
          <w:lang w:val="en-US"/>
        </w:rPr>
        <w:t>Ketertiban adalah ekstensi dari serangkaian ketetapan yang dengannya jiwa,  kehormatan, dan kepentingan material serta spiritual terlindungi secara serius.</w:t>
      </w:r>
    </w:p>
    <w:p>
      <w:pPr>
        <w:pStyle w:val="BookText"/>
        <w:bidi w:val="0"/>
        <w:jc w:val="both"/>
        <w:rPr/>
      </w:pPr>
      <w:r>
        <w:rPr>
          <w:rFonts w:eastAsia="Times New Roman" w:cs="Times New Roman" w:ascii="Times New Roman" w:hAnsi="Times New Roman"/>
          <w:color w:val="111111"/>
          <w:sz w:val="28"/>
          <w:szCs w:val="28"/>
          <w:lang w:val="en-US"/>
        </w:rPr>
        <w:t>Jika ketertiban umum kacau perasaan masyarakat akan terlukai. Oleh karena itu,  segala bentuk tindak pemaksaan atau pencegahan demi menjaga ketertiban umum  dipandang tepat dan layak.</w:t>
      </w:r>
      <w:r>
        <w:rPr>
          <w:rStyle w:val="FootnoteAnchor"/>
        </w:rPr>
        <w:footnoteReference w:id="243"/>
      </w:r>
      <w:r>
        <w:rPr>
          <w:rFonts w:eastAsia="Times New Roman" w:cs="Times New Roman" w:ascii="Times New Roman" w:hAnsi="Times New Roman"/>
          <w:color w:val="111111"/>
          <w:sz w:val="28"/>
          <w:szCs w:val="28"/>
          <w:lang w:val="en-US"/>
        </w:rPr>
        <w:t xml:space="preserve"> Adapun berkaitan dengan etika sosial (moral publik)</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20–21.</w:t>
      </w:r>
    </w:p>
    <w:p>
      <w:pPr>
        <w:pStyle w:val="BookText"/>
        <w:bidi w:val="0"/>
        <w:jc w:val="both"/>
        <w:rPr/>
      </w:pPr>
      <w:r>
        <w:rPr>
          <w:rFonts w:eastAsia="Times New Roman" w:cs="Times New Roman" w:ascii="Times New Roman" w:hAnsi="Times New Roman"/>
          <w:color w:val="111111"/>
          <w:sz w:val="28"/>
          <w:szCs w:val="28"/>
          <w:lang w:val="en-US"/>
        </w:rPr>
        <w:t>, mereka mengatakan:</w:t>
      </w:r>
    </w:p>
    <w:p>
      <w:pPr>
        <w:pStyle w:val="BookText"/>
        <w:bidi w:val="0"/>
        <w:jc w:val="both"/>
        <w:rPr/>
      </w:pPr>
      <w:r>
        <w:rPr>
          <w:rFonts w:eastAsia="Times New Roman" w:cs="Times New Roman" w:ascii="Times New Roman" w:hAnsi="Times New Roman"/>
          <w:color w:val="111111"/>
          <w:sz w:val="28"/>
          <w:szCs w:val="28"/>
          <w:lang w:val="en-US"/>
        </w:rPr>
        <w:t>(Etika sosial) adalah norma-norma yang harus diperhatikan mayoritas masyarakat  dalam ruang dan waktu tertentu atau yang dipandang baik bila dipraktikkan,  namun tidak ada jaminan pelaksanaannya.</w:t>
      </w:r>
      <w:r>
        <w:rPr>
          <w:rStyle w:val="FootnoteAnchor"/>
        </w:rPr>
        <w:footnoteReference w:id="245"/>
      </w:r>
      <w:r>
        <w:rPr>
          <w:rFonts w:eastAsia="Times New Roman" w:cs="Times New Roman" w:ascii="Times New Roman" w:hAnsi="Times New Roman"/>
          <w:color w:val="111111"/>
          <w:sz w:val="28"/>
          <w:szCs w:val="28"/>
          <w:lang w:val="en-US"/>
        </w:rPr>
        <w:t xml:space="preserve"> Hanya perlu diingat, catatan tanpa jaminan pelaksanaan' dalam definisi etika  sosial menjadi poin yang sangat krusial untuk direnungkan kembali. Karena dalam  hukum yang berlaku di berbagai negara, bahkan dalam hukum internasional,  terdapat jaminan pelaksanaan hukum terhadap setiap pelanggaran etika sosial.</w:t>
      </w:r>
    </w:p>
    <w:p>
      <w:pPr>
        <w:pStyle w:val="Heading3"/>
        <w:numPr>
          <w:ilvl w:val="2"/>
          <w:numId w:val="1"/>
        </w:numPr>
        <w:bidi w:val="0"/>
        <w:jc w:val="left"/>
        <w:rPr/>
      </w:pPr>
      <w:bookmarkStart w:id="154" w:name="__RefHeading___Toc419562_653776707"/>
      <w:bookmarkStart w:id="155" w:name="_Toc58"/>
      <w:bookmarkEnd w:id="154"/>
      <w:r>
        <w:rPr/>
        <w:t>Peran Agama</w:t>
      </w:r>
      <w:bookmarkEnd w:id="155"/>
    </w:p>
    <w:p>
      <w:pPr>
        <w:pStyle w:val="BookText"/>
        <w:bidi w:val="0"/>
        <w:jc w:val="both"/>
        <w:rPr/>
      </w:pPr>
      <w:r>
        <w:rPr>
          <w:rFonts w:eastAsia="Times New Roman" w:cs="Times New Roman" w:ascii="Times New Roman" w:hAnsi="Times New Roman"/>
          <w:color w:val="111111"/>
          <w:sz w:val="28"/>
          <w:szCs w:val="28"/>
          <w:lang w:val="en-US"/>
        </w:rPr>
        <w:t>Menurut sejumlah pakar Muslim, jalan untuk mencapai tujuan syariat adalah  pembelaan terhadap lima prinsip yang populer disebut al-darâriyât al-khams: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agama, nyawa, akal, keturunan, dan harta manusia. Artinya, telah tersedia  mekanisme tertentu untuk melindungi masing-masing prinsip tersebut. Adapun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cara melindungi agama berupa “jihad' dan 'hukuman kemurtadan'.</w:t>
      </w:r>
      <w:r>
        <w:rPr>
          <w:rStyle w:val="FootnoteAnchor"/>
        </w:rPr>
        <w:footnoteReference w:id="246"/>
      </w:r>
      <w:r>
        <w:rPr>
          <w:rFonts w:eastAsia="Times New Roman" w:cs="Times New Roman" w:ascii="Times New Roman" w:hAnsi="Times New Roman"/>
          <w:color w:val="111111"/>
          <w:sz w:val="28"/>
          <w:szCs w:val="28"/>
          <w:lang w:val="en-US"/>
        </w:rPr>
        <w:t xml:space="preserve"> Dari beberapa ayat Al-Qur'an perihal murtad dapat pula disimpulkan bahwa  pada dasarnya kepekaan Al-Qur'an sekaitan dengan fenomena kemurtadan  terpusat pada sekelompok orang yang dengannya hendak menggerogoti agama  dan keimanan religius Muslimin. Jelasnya lagi, orang-orang musyrik berusaha  melemahkan semangat Muslimin dengan berpura-pura masuk Islam. Tak lama  kemudian, mereka pun memproklamasikan diri keluar dari agama tersebut.</w:t>
      </w:r>
      <w:r>
        <w:rPr>
          <w:rStyle w:val="FootnoteAnchor"/>
        </w:rPr>
        <w:footnoteReference w:id="247"/>
      </w:r>
      <w:r>
        <w:rPr>
          <w:rFonts w:eastAsia="Times New Roman" w:cs="Times New Roman" w:ascii="Times New Roman" w:hAnsi="Times New Roman"/>
          <w:color w:val="111111"/>
          <w:sz w:val="28"/>
          <w:szCs w:val="28"/>
          <w:lang w:val="en-US"/>
        </w:rPr>
        <w:t xml:space="preserve">Ini  berbeda dengan kasus keluarnya anak-anak seorang sahabat nabi dari Islam dan  kembali memeluk agama Kristen. Mereka melakukan itu secara wajar dan jauh dari  tipikal konspirasi. Allah Swt lalu menenangkan kegelisahan ayah Muslim mereka  yang berusaha memaksa mereka kembali memeluk Islam, lewat firman-Nya, 'Lâ  ikrâh fi al-dîn .... </w:t>
      </w:r>
      <w:r>
        <w:rPr>
          <w:rStyle w:val="FootnoteAnchor"/>
        </w:rPr>
        <w:footnoteReference w:id="248"/>
      </w:r>
      <w:r>
        <w:rPr>
          <w:rFonts w:eastAsia="Times New Roman" w:cs="Times New Roman" w:ascii="Times New Roman" w:hAnsi="Times New Roman"/>
          <w:color w:val="111111"/>
          <w:sz w:val="28"/>
          <w:szCs w:val="28"/>
          <w:lang w:val="en-US"/>
        </w:rPr>
        <w:t xml:space="preserve"> Dalam masyarakat beragama khususnya, manakala pemerintah punya komitmen  yang sama dengan khalayak terhadap hukum-hukum agama, propaganda anti-  agama akan merusak ketertiban dan etika sosial. Itulah mengapa, pemerintah juga  layaknya individu dalam masyarakat, berkewajiban melindungi eksistensi agama. </w:t>
      </w:r>
    </w:p>
    <w:p>
      <w:pPr>
        <w:pStyle w:val="BookText"/>
        <w:bidi w:val="0"/>
        <w:rPr/>
      </w:pPr>
      <w:r>
        <w:rPr>
          <w:rFonts w:eastAsia="Times New Roman" w:cs="Times New Roman" w:ascii="Times New Roman" w:hAnsi="Times New Roman"/>
          <w:color w:val="111111"/>
          <w:sz w:val="28"/>
          <w:szCs w:val="28"/>
          <w:lang w:val="en-US"/>
        </w:rPr>
        <w:t>Sungguh memprihatinkan bila di sejumlah negara sekuler dan liberal para penguasa  di sana tidak sudi menerima fakta bahwa wanita Muslim (tetap) berjilbab dengan  dalih bahwa jilbab tidak sejalan dengan prinsip mereka!</w:t>
      </w:r>
      <w:r>
        <w:rPr>
          <w:rStyle w:val="FootnoteAnchor"/>
        </w:rPr>
        <w:footnoteReference w:id="249"/>
      </w:r>
      <w:r>
        <w:rPr>
          <w:rFonts w:eastAsia="Times New Roman" w:cs="Times New Roman" w:ascii="Times New Roman" w:hAnsi="Times New Roman"/>
          <w:color w:val="111111"/>
          <w:sz w:val="28"/>
          <w:szCs w:val="28"/>
          <w:lang w:val="en-US"/>
        </w:rPr>
        <w:t>Namun, di sisi lain,  terhadap sejumlah negara Islam yang—berdasarkan propaganda sepihak Barat-  melarang propaganda anti prinsip-prinsip Islam, mereka justru melancarkan  tuduhan 'menginjak-injak hak-hak asasi manusia'!  Oleh karena itu, dapat dipastikan bahwa memperkarakan kemurtadan secara  pidana, dengan alasan bertentangan dengan ketertiban umum dan etika sosial  di negara yang menetapkan kemurtadan sebagai delik pidana, khususnya negara  Islam, sudah sesuai dengan hak asasi manusia dalam hukum internasional. Menurut  laporan khusus perihal kebebasan berpendapat, butir ke-3 pasal ke-19 mengenai  hak-hak sipil dan politiko,</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Pada butir 3 dari pasal 18 juga tertera, “Kebebasan untuk mengungkapkan agama atau kepercayaan  tidak bisa diikutkan pada keterbatasan-keterabatasan, kecuali jika itu merupakan satu-satunya  jalan yang harus ditempuh berdasarkan undang-undang yang telah ditetapkan dan dalam rangka  melindungi keamanan, ketertiban, keselamatan, etika sosial, atau hak-hak dan kebebasan-kebebasan  asasi orang lain.”</w:t>
      </w:r>
    </w:p>
    <w:p>
      <w:pPr>
        <w:pStyle w:val="BookText"/>
        <w:bidi w:val="0"/>
        <w:jc w:val="both"/>
        <w:rPr/>
      </w:pPr>
      <w:r>
        <w:rPr>
          <w:rFonts w:eastAsia="Times New Roman" w:cs="Times New Roman" w:ascii="Times New Roman" w:hAnsi="Times New Roman"/>
          <w:color w:val="111111"/>
          <w:sz w:val="28"/>
          <w:szCs w:val="28"/>
          <w:lang w:val="en-US"/>
        </w:rPr>
        <w:t>kebebasan berpendapat dibatasi sedemikian rupa guna  melindungi etika sosial. Itulah sebabnya, pihak pemerintah berhak melakukan  intervensi dalam hal kebebasan berekspresi dan membatasi seperlunya dalam  kerangka konstitusi demi melindungi etika sosial.</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Laporan khusus hak asasi manusia juga menekankan bahwa etika sosial  merupakan konsep yang luas dan berbeda-beda, sesuai prinsip undang-undang dan  pemahaman lokal setiap negara yang diakomodasi dari berbagai latar politik dan</w:t>
      </w:r>
      <w:bookmarkStart w:id="156" w:name="pg6393_43109"/>
    </w:p>
    <w:p>
      <w:pPr>
        <w:pStyle w:val="BookText"/>
        <w:bidi w:val="0"/>
        <w:rPr/>
      </w:pPr>
      <w:bookmarkEnd w:id="156"/>
      <w:r>
        <w:rPr>
          <w:rFonts w:eastAsia="Times New Roman" w:cs="Times New Roman" w:ascii="Times New Roman" w:hAnsi="Times New Roman"/>
          <w:color w:val="111111"/>
          <w:sz w:val="28"/>
          <w:szCs w:val="28"/>
          <w:lang w:val="en-US"/>
        </w:rPr>
        <w:t>budaya nasional.</w:t>
      </w:r>
      <w:r>
        <w:rPr>
          <w:rStyle w:val="FootnoteAnchor"/>
        </w:rPr>
        <w:footnoteReference w:id="251"/>
      </w:r>
      <w:r>
        <w:rPr>
          <w:rFonts w:eastAsia="Times New Roman" w:cs="Times New Roman" w:ascii="Times New Roman" w:hAnsi="Times New Roman"/>
          <w:color w:val="111111"/>
          <w:sz w:val="28"/>
          <w:szCs w:val="28"/>
          <w:lang w:val="en-US"/>
        </w:rPr>
        <w:t xml:space="preserve"> Oleh karena itu, bobot subversif kemurtadan vis-à-vis ketertiban umum dan  etika sosial sangat bergantung pada tingkat keterikatan setiap bangsa dengan agama.</w:t>
      </w:r>
    </w:p>
    <w:p>
      <w:pPr>
        <w:pStyle w:val="BookText"/>
        <w:bidi w:val="0"/>
        <w:jc w:val="both"/>
        <w:rPr/>
      </w:pPr>
      <w:r>
        <w:rPr>
          <w:rFonts w:eastAsia="Times New Roman" w:cs="Times New Roman" w:ascii="Times New Roman" w:hAnsi="Times New Roman"/>
          <w:color w:val="111111"/>
          <w:sz w:val="28"/>
          <w:szCs w:val="28"/>
          <w:lang w:val="en-US"/>
        </w:rPr>
        <w:t>Kadar subversif kemurtadan terhadap ketertiban umum dan etika sosial semakin  kuat bila keterikatan bangsa dengan agama juga semakin kokoh. Sebaliknya,  semakin rapuh keterikatan bangsa dengan agama, semakin minim pula bobot  subversif kemurtadan vis-à-vis ketertiban umum dan etika sosial. Inilah sebabnya  dasar keputusan negara-negara Barat dalam bidang ini tidak layak dijadikan standar  bagi negara-negara Islam.</w:t>
      </w:r>
    </w:p>
    <w:p>
      <w:pPr>
        <w:pStyle w:val="BookText"/>
        <w:bidi w:val="0"/>
        <w:jc w:val="both"/>
        <w:rPr/>
      </w:pPr>
      <w:r>
        <w:rPr>
          <w:rFonts w:eastAsia="Times New Roman" w:cs="Times New Roman" w:ascii="Times New Roman" w:hAnsi="Times New Roman"/>
          <w:color w:val="111111"/>
          <w:sz w:val="28"/>
          <w:szCs w:val="28"/>
          <w:lang w:val="en-US"/>
        </w:rPr>
        <w:t>Selain itu, pada pasal 29 Deklarasi Hak Asasi Manusia juga menegaskan  peran tuntutan etis' dan 'ketertiban umum' dalam membatasi kebebasan.</w:t>
      </w:r>
    </w:p>
    <w:p>
      <w:pPr>
        <w:pStyle w:val="Heading3"/>
        <w:numPr>
          <w:ilvl w:val="2"/>
          <w:numId w:val="1"/>
        </w:numPr>
        <w:bidi w:val="0"/>
        <w:jc w:val="left"/>
        <w:rPr/>
      </w:pPr>
      <w:bookmarkStart w:id="157" w:name="__RefHeading___Toc419564_653776707"/>
      <w:bookmarkStart w:id="158" w:name="_Toc59"/>
      <w:bookmarkEnd w:id="157"/>
      <w:r>
        <w:rPr/>
        <w:t>Relasi Kemurtadan dan Hukum Eksekutif</w:t>
      </w:r>
      <w:bookmarkEnd w:id="158"/>
    </w:p>
    <w:p>
      <w:pPr>
        <w:pStyle w:val="BookText"/>
        <w:bidi w:val="0"/>
        <w:jc w:val="both"/>
        <w:rPr/>
      </w:pPr>
      <w:r>
        <w:rPr>
          <w:rFonts w:eastAsia="Times New Roman" w:cs="Times New Roman" w:ascii="Times New Roman" w:hAnsi="Times New Roman"/>
          <w:color w:val="111111"/>
          <w:sz w:val="28"/>
          <w:szCs w:val="28"/>
          <w:lang w:val="en-US"/>
        </w:rPr>
        <w:t>Sebagian ulama berpendapat bahwa kemurtadan merupakan hukum eksekutif  (al-hukm al-hukûmatî) negara yang berubah-ubah sesuai perubahan ruang dan  waktu. Mengingat falsafah pidana kemurtadan dalam pandangan Islam yang telah  dijelaskan sebelumnya, persoalan apakah secara mendasar kemurtadan itu hukum  eksekutif ataukah hukum primer (al-hukm al-awwalî) syariat pada akhirnya  menjadikan kebijakan pemerintah Islam, berdasarkan prinsip maslahat, dapat  memasuki ruang lingkup ini (sebagaimana hukum-hukum primer lain yang dalam  kondisi tertentu, mendahulukan hukum eksekutif atas hukum primer).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Terdapat sejumlah indikasi bahwa pada dasarnya kemurtadan di masa fajar  Islam merupakan hukum eksekutif negara. Contohnya Nabi Saw membatalkan  vonis terhadap sekelompok orang yang layak dihukum mati-kemungkinan besar  salah satu penyebab hukuman mati itu adalah kemurtadan mereka—hanya lantaran  adanya maslahat dan dalam rangka mengantisipasi isu yang direkayasa pihak musuh  bahwa setelah meraih kemenangan atas musuh, Nabi Saw akan membantai kaum  yang telah dimintai bantuan oleh beliau.</w:t>
      </w:r>
      <w:r>
        <w:rPr>
          <w:rStyle w:val="FootnoteAnchor"/>
        </w:rPr>
        <w:footnoteReference w:id="252"/>
      </w:r>
    </w:p>
    <w:p>
      <w:pPr>
        <w:pStyle w:val="BookText"/>
        <w:bidi w:val="0"/>
        <w:rPr/>
      </w:pPr>
      <w:r>
        <w:rPr>
          <w:rFonts w:eastAsia="Times New Roman" w:cs="Times New Roman" w:ascii="Times New Roman" w:hAnsi="Times New Roman"/>
          <w:color w:val="111111"/>
          <w:sz w:val="28"/>
          <w:szCs w:val="28"/>
          <w:lang w:val="en-US"/>
        </w:rPr>
        <w:t>Bahkan menurut pandangan kelompok tertentu, Nabi Saw membatalkan  pelaksanaan hukuman mati terhadap sejumlah orang Yahudi karena adanya  maslahat yang beliau pertimbangkan.</w:t>
      </w:r>
      <w:r>
        <w:rPr>
          <w:rStyle w:val="FootnoteAnchor"/>
        </w:rPr>
        <w:footnoteReference w:id="253"/>
      </w:r>
      <w:r>
        <w:rPr>
          <w:rFonts w:eastAsia="Times New Roman" w:cs="Times New Roman" w:ascii="Times New Roman" w:hAnsi="Times New Roman"/>
          <w:color w:val="111111"/>
          <w:sz w:val="28"/>
          <w:szCs w:val="28"/>
          <w:lang w:val="en-US"/>
        </w:rPr>
        <w:t xml:space="preserve"> Di sisi lain bertolak belakang dengan konsensus (ijma') fukaha yang menyatakan  perempuan murtad tidak patut dihukum mati, Amirul Mukminin Ali bin Abi  Thalib menjatuhkan hukuman mati terhadap seorang perempuan dengan tuduhan  murtad. Itulah sebabnya, setelah menukil hadis ini, Syaikh Thusi mengatakan,  Mungkin dalam kasus ini, Amirul Mukminin Ali bin Abi Thalib memandang  hukuman mati bagi perempuan itu sesuai dengan maslahat.'</w:t>
      </w:r>
      <w:r>
        <w:rPr>
          <w:rStyle w:val="FootnoteAnchor"/>
        </w:rPr>
        <w:footnoteReference w:id="254"/>
      </w:r>
      <w:r>
        <w:rPr>
          <w:rFonts w:eastAsia="Times New Roman" w:cs="Times New Roman" w:ascii="Times New Roman" w:hAnsi="Times New Roman"/>
          <w:color w:val="111111"/>
          <w:sz w:val="28"/>
          <w:szCs w:val="28"/>
          <w:lang w:val="en-US"/>
        </w:rPr>
        <w:t xml:space="preserve"> Syaikh Thusi menambahkan boleh jadi vonis yang dijatuhkan itu bersifat  kebijakan pemerintahan. Oleh karenanya itu, tak dapat diterapkan pada kasus-  kasus serupa.</w:t>
      </w:r>
    </w:p>
    <w:p>
      <w:pPr>
        <w:pStyle w:val="BookText"/>
        <w:bidi w:val="0"/>
        <w:jc w:val="both"/>
        <w:rPr/>
      </w:pPr>
      <w:r>
        <w:rPr>
          <w:rFonts w:eastAsia="Times New Roman" w:cs="Times New Roman" w:ascii="Times New Roman" w:hAnsi="Times New Roman"/>
          <w:color w:val="111111"/>
          <w:sz w:val="28"/>
          <w:szCs w:val="28"/>
          <w:lang w:val="en-US"/>
        </w:rPr>
        <w:t xml:space="preserve">Hanya saja, seluruh bukti itu tampaknya tidak mengindikasikan bahwa  kemurtadan termasuk hukum eksekutif. Sebaliknya, dari landasan landasan hukum  urtadan dapat dipahami bahwa kemurtadan merupakan hukum primer syariat,  kendatipun pertimbangan maslahat pemerintah Islam terlibat di dalamnya. Ini  sebagaimana hukum-hukum primer lain yang, kendati berkedudukan sebagai  undang-undang tetap, namun dalam kondisi tertentu yang bergantung pada  pertimbangan pemerintah Islam, hukum eksekutif negara lebih diprioritaskan  ketimbang hukum primer. </w:t>
      </w:r>
      <w:r>
        <w:rPr>
          <w:rStyle w:val="FootnoteAnchor"/>
        </w:rPr>
        <w:footnoteReference w:id="255"/>
      </w:r>
      <w:r>
        <w:rPr>
          <w:rFonts w:eastAsia="Times New Roman" w:cs="Times New Roman" w:ascii="Times New Roman" w:hAnsi="Times New Roman"/>
          <w:color w:val="111111"/>
          <w:sz w:val="28"/>
          <w:szCs w:val="28"/>
          <w:lang w:val="en-US"/>
        </w:rPr>
        <w:t xml:space="preserve"> Atas dasar ini, termasuk pula ihwal kemurtadan, selama falsafah hukumnya  masih berlaku hukumannya juga tetap ada. Hanya, ketika memandang pelaksanaan  hukuman murtad benar-benar bertolak belakang dengan maslahat Islam dan  Muslimin, pemerintah Islam berhak mengurungkannya selama maslahat itu masih  ada. Kasus-kasus di atas juga mempertimbangkan aspek ini.</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sejumlah cendekiawan hipotesis bahwa kemurtadan dapat dikenai  esensi taʻzir dan karenanya, masuk dalam kategori hukum eksekutif negara, </w:t>
      </w:r>
    </w:p>
    <w:p>
      <w:pPr>
        <w:pStyle w:val="BookText"/>
        <w:bidi w:val="0"/>
        <w:rPr/>
      </w:pPr>
      <w:r>
        <w:rPr>
          <w:rFonts w:eastAsia="Times New Roman" w:cs="Times New Roman" w:ascii="Times New Roman" w:hAnsi="Times New Roman"/>
          <w:color w:val="111111"/>
          <w:sz w:val="28"/>
          <w:szCs w:val="28"/>
          <w:lang w:val="en-US"/>
        </w:rPr>
        <w:t>diutarakan sekadar sebuah kemungkinan.</w:t>
      </w:r>
      <w:r>
        <w:rPr>
          <w:rStyle w:val="FootnoteAnchor"/>
        </w:rPr>
        <w:footnoteReference w:id="256"/>
      </w:r>
      <w:r>
        <w:rPr>
          <w:rFonts w:eastAsia="Times New Roman" w:cs="Times New Roman" w:ascii="Times New Roman" w:hAnsi="Times New Roman"/>
          <w:color w:val="111111"/>
          <w:sz w:val="28"/>
          <w:szCs w:val="28"/>
          <w:lang w:val="en-US"/>
        </w:rPr>
        <w:t xml:space="preserve"> Dalam menanggapi hipotesis di atas perlu dikatakan bahwa kemungkinan  hukuman sebuah vonis beresensi had atau taʼzir sama sekali tidak otomatis  membuktikan hukum itu berkategori eksekutif negara (hukûmatî) atau tidak.</w:t>
      </w:r>
    </w:p>
    <w:p>
      <w:pPr>
        <w:pStyle w:val="BookText"/>
        <w:bidi w:val="0"/>
        <w:jc w:val="both"/>
        <w:rPr/>
      </w:pPr>
      <w:r>
        <w:rPr>
          <w:rFonts w:eastAsia="Times New Roman" w:cs="Times New Roman" w:ascii="Times New Roman" w:hAnsi="Times New Roman"/>
          <w:color w:val="111111"/>
          <w:sz w:val="28"/>
          <w:szCs w:val="28"/>
          <w:lang w:val="en-US"/>
        </w:rPr>
        <w:t>Oleh karena itu boleh jadi sebuah hukum berkategori hukum primer syariat yang  tetap, tetapi hukuman yang ditetapkan untuknya beresensi taʼzir. Ini sebagaimana  hukuman yang telah ditetapkan untuk berbagai hukum haram yang primer dan  tetap merupakan taʼzir, bukan had. Dengan demikian kendatipun dapat dibuktikan  bahwa hukuman murtad beresensi taʼzir tetap saja tak dapat ditarik kesimpulan  implikatif bahwa kemurtadan bersifat hukum eksekutif.</w:t>
      </w:r>
    </w:p>
    <w:p>
      <w:pPr>
        <w:pStyle w:val="BookText"/>
        <w:bidi w:val="0"/>
        <w:jc w:val="both"/>
        <w:rPr/>
      </w:pPr>
      <w:r>
        <w:rPr>
          <w:rFonts w:eastAsia="Times New Roman" w:cs="Times New Roman" w:ascii="Times New Roman" w:hAnsi="Times New Roman"/>
          <w:color w:val="111111"/>
          <w:sz w:val="28"/>
          <w:szCs w:val="28"/>
          <w:lang w:val="en-US"/>
        </w:rPr>
        <w:t>Sebagian pihak juga memandang ihwal kemurtadan sebagai hukum eksekutif  dengan cara berbeda:</w:t>
      </w:r>
    </w:p>
    <w:p>
      <w:pPr>
        <w:pStyle w:val="BookText"/>
        <w:bidi w:val="0"/>
        <w:jc w:val="both"/>
        <w:rPr/>
      </w:pPr>
      <w:r>
        <w:rPr>
          <w:rFonts w:eastAsia="Times New Roman" w:cs="Times New Roman" w:ascii="Times New Roman" w:hAnsi="Times New Roman"/>
          <w:color w:val="111111"/>
          <w:sz w:val="28"/>
          <w:szCs w:val="28"/>
          <w:lang w:val="en-US"/>
        </w:rPr>
        <w:t>Konteks kemurtadan dan ketegasan menindak lawan bukanlah konteks benar-  salah, melainkan konteks subversi dan ancaman yang dialamatkan pada sebuah  komunitas yang masih lemah. Tatkala Islam masih berada dalam fase infansi,  bibit yang baru tumbuh ini dapat dengan mudah dicerabut. Oleh sebab itu,  Islam dilindungi dari segala bahaya yang mengancam, sekecil apa pun. Namun,  sekarang pohon ini sudah kokoh dan tegak berdiri sehingga tak seorang pun dapat  berkhayal mencerabutnya. Kekuatan apa pun tak lagi sanggup melakukannya.</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Dipetiknya sehelai daun dari pohon itu tak lagi berpengaruh apa-apa.</w:t>
      </w:r>
      <w:r>
        <w:rPr>
          <w:rStyle w:val="FootnoteAnchor"/>
        </w:rPr>
        <w:footnoteReference w:id="257"/>
      </w:r>
      <w:r>
        <w:rPr>
          <w:rFonts w:eastAsia="Times New Roman" w:cs="Times New Roman" w:ascii="Times New Roman" w:hAnsi="Times New Roman"/>
          <w:color w:val="111111"/>
          <w:sz w:val="28"/>
          <w:szCs w:val="28"/>
          <w:lang w:val="en-US"/>
        </w:rPr>
        <w:t xml:space="preserve"> Dalam menanggapi pandangan di atas perlu dinyatakan bahwa memang  keimanan religius kaum Muslimin sekarang jauh lebih kokoh daripada di masa  fajar Islam dan pohon Islam kini sudah sangat kekar. Namun, gejala itu jangan  sampai meleburkan fakta bahwa di era teknologi dan komunikasi dewasa ini pihak  lawan telah menguasai media massa: arus utama dan jauh lebih unggul dalam  bidang konstruksi kebudayaan. Seolah penulis yang terhormat itu telah melupakan  data konkret dan analisis objektifnya sendiri tatkala berpidato di Amerika:</w:t>
      </w:r>
      <w:r>
        <w:rPr>
          <w:rStyle w:val="FootnoteAnchor"/>
        </w:rPr>
        <w:footnoteReference w:id="258"/>
      </w:r>
      <w:r>
        <w:rPr>
          <w:rFonts w:eastAsia="Times New Roman" w:cs="Times New Roman" w:ascii="Times New Roman" w:hAnsi="Times New Roman"/>
          <w:color w:val="111111"/>
          <w:sz w:val="28"/>
          <w:szCs w:val="28"/>
          <w:lang w:val="en-US"/>
        </w:rPr>
        <w:t xml:space="preserve"> Statement ini juga benar. Contohnya, benar bahwa negara Amerika mengklaim  diri sebagai (negara) demokrasi liberal. ...Akan tetapi, jika praktik dan struktur  negara ini dicermati, kalian akan tahu faktanya tidaklah demikian. Artinya, semua </w:t>
      </w:r>
    </w:p>
    <w:p>
      <w:pPr>
        <w:pStyle w:val="BookText"/>
        <w:bidi w:val="0"/>
        <w:rPr/>
      </w:pPr>
      <w:r>
        <w:rPr>
          <w:rFonts w:eastAsia="Times New Roman" w:cs="Times New Roman" w:ascii="Times New Roman" w:hAnsi="Times New Roman"/>
          <w:color w:val="111111"/>
          <w:sz w:val="28"/>
          <w:szCs w:val="28"/>
          <w:lang w:val="en-US"/>
        </w:rPr>
        <w:t>orang sangat berhati-hati agar tidak sampai dari mulutnya keluar kata-kata, atau  dari penanya mengalir tulisan yang sekiranya bakal menamatkan riwayat profesi,  kebebasan, dan kehormatannya.</w:t>
      </w:r>
    </w:p>
    <w:p>
      <w:pPr>
        <w:pStyle w:val="BookText"/>
        <w:bidi w:val="0"/>
        <w:jc w:val="both"/>
        <w:rPr/>
      </w:pPr>
      <w:r>
        <w:rPr>
          <w:rFonts w:eastAsia="Times New Roman" w:cs="Times New Roman" w:ascii="Times New Roman" w:hAnsi="Times New Roman"/>
          <w:color w:val="111111"/>
          <w:sz w:val="28"/>
          <w:szCs w:val="28"/>
          <w:lang w:val="en-US"/>
        </w:rPr>
        <w:t>Di Amerika, jika seseorang terlalu banyak bicara tentang (Zionis) Israel, apalagi  sampai melawan hal-hal seperti itu, pada dasarnya ia sedang berhadapan dengan  bahaya yang sangat serius. Jangankan rakyat biasa, kalangan akademisi sekalipun  yang seyogianya berkewajiban menyampaikan pandangan-pandangan seputar  itu, lebih-kurang beraktivitas dalam bingkai kebijakan-kebijakan resmi dan tidak  berani melangkahkan kaki di luar garis merah. Seandainya segelintir orang seperti  Chomsky bergerak di trek lain mereka setidaknya sudah berada di posisi aman dari  gangguan dan ancaman orang lain.</w:t>
      </w:r>
    </w:p>
    <w:p>
      <w:pPr>
        <w:pStyle w:val="BookText"/>
        <w:bidi w:val="0"/>
        <w:jc w:val="both"/>
        <w:rPr/>
      </w:pPr>
      <w:r>
        <w:rPr>
          <w:rFonts w:eastAsia="Times New Roman" w:cs="Times New Roman" w:ascii="Times New Roman" w:hAnsi="Times New Roman"/>
          <w:color w:val="111111"/>
          <w:sz w:val="28"/>
          <w:szCs w:val="28"/>
          <w:lang w:val="en-US"/>
        </w:rPr>
        <w:t>Selain itu, orang biasa atau dosen-dosen umum mempersoalkan masalah  ini, sudah tentu akan memenuhi banyak gangguan yang muncul di sekitarnya...</w:t>
      </w:r>
    </w:p>
    <w:p>
      <w:pPr>
        <w:pStyle w:val="BookText"/>
        <w:bidi w:val="0"/>
        <w:jc w:val="both"/>
        <w:rPr/>
      </w:pPr>
      <w:r>
        <w:rPr>
          <w:rFonts w:eastAsia="Times New Roman" w:cs="Times New Roman" w:ascii="Times New Roman" w:hAnsi="Times New Roman"/>
          <w:color w:val="111111"/>
          <w:sz w:val="28"/>
          <w:szCs w:val="28"/>
          <w:lang w:val="en-US"/>
        </w:rPr>
        <w:t>gangguan-gangguan itu dimunculkan agar tak ada lagi orang yang berani buka  suara; agar tidak ada lagi kata-kata yang terdengar, dan tidak semua keberanian  diperagakan. Keberanian terlebih dulu ditakar dan kata-kata dipola sedemikian  rupa. Lebih khusus lagi keberadaan pelbagai media massa yang siang-malam  memproduksi pemikiran dan menyuntikkannya dengan kisah tersendiri. Secara  lahiriah, memang berlaku kebebasan berekspresi dan berpendapat, tetapi pendapat  seperti apa? Rumi mengatakan, “Tak ada ikat tak ada belenggu, kita semua terikat,  kenapa? Baik ikat maupun belenggu, semua bekerja, wahai Tuhan!  Ribuan pengikat dan belenggu sedang membelit tangan dan kaki. Di dunia  sekarang, negara-negara demokratis punya kekuasaan yang bahkan tak pernah  diimpikan diktator-diktator dalam sejarah. Kita mengecam Jenghis Khan Mongol,  Hitler, Nero, Attila, dan orang-orang seperti mereka yang berbuat zalim pada rakyat  serta menguasai nyawa, harta, dan martabat mereka.</w:t>
      </w:r>
    </w:p>
    <w:p>
      <w:pPr>
        <w:pStyle w:val="BookText"/>
        <w:bidi w:val="0"/>
        <w:jc w:val="both"/>
        <w:rPr/>
      </w:pPr>
      <w:r>
        <w:rPr>
          <w:rFonts w:eastAsia="Times New Roman" w:cs="Times New Roman" w:ascii="Times New Roman" w:hAnsi="Times New Roman"/>
          <w:color w:val="111111"/>
          <w:sz w:val="28"/>
          <w:szCs w:val="28"/>
          <w:lang w:val="en-US"/>
        </w:rPr>
        <w:t>Kita mengira dunia kontemporer tidak seperti itu; alias rumah-rumah keadilan  telah berdiri tegak dan pengadilan-pengadilan serta para hakim senantiasa  menghakimi secara adil. ...Sudah tentu saya tidak mengingkari semua itu. Namun,  kalian jangan lupa, sekarang ini kekuasaan hidup di tengah masyarakat dan rezim  berkuasa yang bahkan tak pernah diimpikan orang-orang di masa silam. Mereka tak  pernah membayangkan mampu menguasai rakyat dalam segala dimensi dan miliknya.</w:t>
      </w:r>
    </w:p>
    <w:p>
      <w:pPr>
        <w:pStyle w:val="BookText"/>
        <w:bidi w:val="0"/>
        <w:jc w:val="both"/>
        <w:rPr/>
      </w:pPr>
      <w:r>
        <w:rPr>
          <w:rFonts w:eastAsia="Times New Roman" w:cs="Times New Roman" w:ascii="Times New Roman" w:hAnsi="Times New Roman"/>
          <w:color w:val="111111"/>
          <w:sz w:val="28"/>
          <w:szCs w:val="28"/>
          <w:lang w:val="en-US"/>
        </w:rPr>
        <w:t>Mereka juga tak pernah membayangkan rakyat sampai tertawan seperti itu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Gerbang menuju ekspresi bebas adalah pemikiran bebas. Tapi apakah di  negara-negara ini pikiran benar-benar bebas? Bagaimana mungkin orang-orang  yang selama 24 jam menyimak siaran radio dan televisi serta melahap isi surat </w:t>
      </w:r>
    </w:p>
    <w:p>
      <w:pPr>
        <w:pStyle w:val="BookText"/>
        <w:bidi w:val="0"/>
        <w:rPr/>
      </w:pPr>
      <w:r>
        <w:rPr>
          <w:rFonts w:eastAsia="Times New Roman" w:cs="Times New Roman" w:ascii="Times New Roman" w:hAnsi="Times New Roman"/>
          <w:color w:val="111111"/>
          <w:sz w:val="28"/>
          <w:szCs w:val="28"/>
          <w:lang w:val="en-US"/>
        </w:rPr>
        <w:t>kabar mampu berpikir merdeka? Banjir data dan informasi telah meluap di benak  mereka. Kalaupun mereka ingin mengekspresikan sesuatu maka data dan informasi  itulah yang mereka ekspresikan. Masih untung jika data dan informasi yang mereka  cerap itu memang berharga! Sebagian besar data dan informasi itu berkisar tentang  aktor ini atau aktris itu yang bertingkah ini-itu: kawin dengan siapa, apa makanan  favoritnya, apa model yang dipakai, ke mana ia berwisata... dan data lain yang  nilainya rendah atau bahkan tidak berharga sama sekali.</w:t>
      </w:r>
      <w:r>
        <w:rPr>
          <w:rStyle w:val="FootnoteAnchor"/>
        </w:rPr>
        <w:footnoteReference w:id="259"/>
      </w:r>
      <w:r>
        <w:rPr>
          <w:rFonts w:eastAsia="Times New Roman" w:cs="Times New Roman" w:ascii="Times New Roman" w:hAnsi="Times New Roman"/>
          <w:color w:val="111111"/>
          <w:sz w:val="28"/>
          <w:szCs w:val="28"/>
          <w:lang w:val="en-US"/>
        </w:rPr>
        <w:t xml:space="preserve"> Mencermati demikian dominasi dan serangan budaya Barat, mungkinkah rakyat  diserahkan secara sukarela kepada koloni budaya semacam itu seraya mengatakan:</w:t>
      </w:r>
    </w:p>
    <w:p>
      <w:pPr>
        <w:pStyle w:val="BookText"/>
        <w:bidi w:val="0"/>
        <w:jc w:val="both"/>
        <w:rPr/>
      </w:pPr>
      <w:r>
        <w:rPr>
          <w:rFonts w:eastAsia="Times New Roman" w:cs="Times New Roman" w:ascii="Times New Roman" w:hAnsi="Times New Roman"/>
          <w:color w:val="111111"/>
          <w:sz w:val="28"/>
          <w:szCs w:val="28"/>
          <w:lang w:val="en-US"/>
        </w:rPr>
        <w:t>falsafah pidana hukum murtad di masa fajar Islam sudah tidak berlaku lagi di masa  sekarang? Sungguh, apakah di masa sekarang, keluar dan murtadnya seseorang  atau kelompok tertentu dari Islam sama sekali tidak memengaruhi keimanan kaum  Muslimin? Apakah akar-akar penindasan agama dan keimanan rakyat sudah benar-  benar kering dan rapuh?  Hakikatnya Islam di masa sekarang identik dengan di masa Nabi Saw, sama-  sama teraniaya di tangan musuh-musuhnya. Berbagai media massa dunia bukan  saja merenggut kebebasan berpikir rakyat mereka sendiri melainkan juga dari kaum  Muslimin sekaligus menindas keimanan religius mereka.</w:t>
      </w:r>
    </w:p>
    <w:p>
      <w:pPr>
        <w:pStyle w:val="BookText"/>
        <w:bidi w:val="0"/>
        <w:jc w:val="both"/>
        <w:rPr/>
      </w:pPr>
      <w:r>
        <w:rPr>
          <w:rFonts w:eastAsia="Times New Roman" w:cs="Times New Roman" w:ascii="Times New Roman" w:hAnsi="Times New Roman"/>
          <w:color w:val="111111"/>
          <w:sz w:val="28"/>
          <w:szCs w:val="28"/>
          <w:lang w:val="en-US"/>
        </w:rPr>
        <w:t>Oleh karena itu, sebagaimana diakui penulis di atas, setelah negara-negara  adidaya berhasil menguasai rakyatnya lewat fasilitas media dan modus propagandis  lalu melihat peluang serupa di negara Muslim, niscaya mereka akan mengganggu  sistem negara itu dengan cara memperalat antek-anteknya di sana.</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Perlu dicatat juga bahwa menurut Nabi Saw, melindungi masyarakat Islam  merupakan tindakan mustahil kecuali dengan menjaga pemerintahan Islam. Ini  tidak sebagaimana dibayangkan para juru bicara teori pemisahan agama dari  politik; juga oleh sebagian orang yang berpikir naif bahwa masyarakat religius dan  Muslim yang kuat sekaligus dinamis juga dapat dibangun tanpa pemerintahan  agama. Jika demikian kenapa Nabi Saw harus sampai bersusah-payah mendirikan  sistem politik; tidak puas hanya dengan memberi nasihat dan berpidato di depan  masyarakat?!  Dengan demikian, ada konsekuensi dari argumentasi yang dirumuskan penulis  itu: bahwa di dunia sekarang ini pun, acapkali kemurtadan seseorang menyebabkan  goncangan terhadap fondasi keimanan masyarakat, maka hukuman murtad- </w:t>
      </w:r>
      <w:bookmarkStart w:id="159" w:name="pg6393_43118"/>
    </w:p>
    <w:p>
      <w:pPr>
        <w:pStyle w:val="BookText"/>
        <w:bidi w:val="0"/>
        <w:rPr/>
      </w:pPr>
      <w:bookmarkEnd w:id="159"/>
      <w:r>
        <w:rPr>
          <w:rFonts w:eastAsia="Times New Roman" w:cs="Times New Roman" w:ascii="Times New Roman" w:hAnsi="Times New Roman"/>
          <w:color w:val="111111"/>
          <w:sz w:val="28"/>
          <w:szCs w:val="28"/>
          <w:lang w:val="en-US"/>
        </w:rPr>
        <w:t>minimal sebagai hukum eksekutif negara-menjadi legitimate. Sebab dengan tetap  eksisnya falsafah kemurtadan di masa Nabi Saw pada masa sekarang, tak ada alasan  untuk menolaknya.</w:t>
      </w:r>
    </w:p>
    <w:p>
      <w:pPr>
        <w:pStyle w:val="Heading3"/>
        <w:numPr>
          <w:ilvl w:val="2"/>
          <w:numId w:val="1"/>
        </w:numPr>
        <w:bidi w:val="0"/>
        <w:jc w:val="left"/>
        <w:rPr/>
      </w:pPr>
      <w:bookmarkStart w:id="160" w:name="__RefHeading___Toc419566_653776707"/>
      <w:bookmarkStart w:id="161" w:name="_Toc60"/>
      <w:bookmarkEnd w:id="160"/>
      <w:r>
        <w:rPr/>
        <w:t>Batas Kebebasan Berekspresi di Barat</w:t>
      </w:r>
      <w:bookmarkEnd w:id="161"/>
    </w:p>
    <w:p>
      <w:pPr>
        <w:pStyle w:val="BookText"/>
        <w:bidi w:val="0"/>
        <w:jc w:val="both"/>
        <w:rPr/>
      </w:pPr>
      <w:r>
        <w:rPr>
          <w:rFonts w:eastAsia="Times New Roman" w:cs="Times New Roman" w:ascii="Times New Roman" w:hAnsi="Times New Roman"/>
          <w:color w:val="111111"/>
          <w:sz w:val="28"/>
          <w:szCs w:val="28"/>
          <w:lang w:val="en-US"/>
        </w:rPr>
        <w:t>Sebelumnya telah dikemukakan bahwa dalam pandangan Islam kemurtadan  merupakan vonis bagi propaganda anti-ajaran niscaya agama, baik berupa praktik  maupun teori. Berdasarkan falsafah kemurtadan dapat dikatakan bahwa hukuman  murtad bukan dalam rangka memaksa seseorang menganut atau menanggalkan  akidah tertentu. Pada dasarnya seseorang tak dapat dinyatakan murtad hanya  karena berkeyakinan non-agama.</w:t>
      </w:r>
    </w:p>
    <w:p>
      <w:pPr>
        <w:pStyle w:val="BookText"/>
        <w:bidi w:val="0"/>
        <w:jc w:val="both"/>
        <w:rPr/>
      </w:pPr>
      <w:r>
        <w:rPr>
          <w:rFonts w:eastAsia="Times New Roman" w:cs="Times New Roman" w:ascii="Times New Roman" w:hAnsi="Times New Roman"/>
          <w:color w:val="111111"/>
          <w:sz w:val="28"/>
          <w:szCs w:val="28"/>
          <w:lang w:val="en-US"/>
        </w:rPr>
        <w:t>Dengan kata lain kemurtadan hanya dapat diklaim lewat pengungkapan  keyakinan hati yang membahayakan masyarakat religius dan bertolak belakang  dengan ketertiban umum serta etika sosial. Sebagaimana pelaksanaan pelbagai  hukuman had lain, seperti untuk pencurian dan hukuman Islam lainnya, atau  hukuman yang termaktub dalam undang-undang resmi berbagai negara, eksekusi  hukuman murtad sama sekali tidak bertentangan dengan kebebasan berpikir  dan berkeyakinan; melainkan bertentangan dengan kebebasan berekspresi dan  mengungkapkan keyakinan.</w:t>
      </w:r>
    </w:p>
    <w:p>
      <w:pPr>
        <w:pStyle w:val="BookText"/>
        <w:bidi w:val="0"/>
        <w:jc w:val="both"/>
        <w:rPr/>
      </w:pPr>
      <w:r>
        <w:rPr>
          <w:rFonts w:eastAsia="Times New Roman" w:cs="Times New Roman" w:ascii="Times New Roman" w:hAnsi="Times New Roman"/>
          <w:color w:val="111111"/>
          <w:sz w:val="28"/>
          <w:szCs w:val="28"/>
          <w:lang w:val="en-US"/>
        </w:rPr>
        <w:t>Di sejumlah sistem hukum dunia juga tidak berlaku kebebasan mutlak dalam  mengungkapkan setiap keyakinan. Masing-masing sistem hukum itu menetapkan  batas-batas tertentu bagi kebebasan berekspresi atau mengungkapkan keyakinan.</w:t>
      </w:r>
    </w:p>
    <w:p>
      <w:pPr>
        <w:pStyle w:val="BookText"/>
        <w:bidi w:val="0"/>
        <w:jc w:val="both"/>
        <w:rPr/>
      </w:pPr>
      <w:r>
        <w:rPr>
          <w:rFonts w:eastAsia="Times New Roman" w:cs="Times New Roman" w:ascii="Times New Roman" w:hAnsi="Times New Roman"/>
          <w:color w:val="111111"/>
          <w:sz w:val="28"/>
          <w:szCs w:val="28"/>
          <w:lang w:val="en-US"/>
        </w:rPr>
        <w:t>Oleh sebab itu, dapat dipastikan bahwa tak satu pun negara di dunia ini yang  mengakui kebebasan berekspresi secara absolut. Mereka telah menetapkan sejumlah  batasan bagi kebebasan tersebut sesuai jenis ideologi dan tingkat konsistensinya  terhadap prinsip moral.</w:t>
      </w:r>
    </w:p>
    <w:p>
      <w:pPr>
        <w:pStyle w:val="BookText"/>
        <w:bidi w:val="0"/>
        <w:jc w:val="both"/>
        <w:rPr/>
      </w:pPr>
      <w:r>
        <w:rPr>
          <w:rFonts w:eastAsia="Times New Roman" w:cs="Times New Roman" w:ascii="Times New Roman" w:hAnsi="Times New Roman"/>
          <w:color w:val="111111"/>
          <w:sz w:val="28"/>
          <w:szCs w:val="28"/>
          <w:lang w:val="en-US"/>
        </w:rPr>
        <w:t>Sebagaimana telah dijelaskan sebelumnya bangsa Barat konon sangat memuja  prinsip demokrasi, sekalipun di sana banyak juga kalangan yang menentangnya.</w:t>
      </w:r>
    </w:p>
    <w:p>
      <w:pPr>
        <w:pStyle w:val="BookText"/>
        <w:bidi w:val="0"/>
        <w:jc w:val="both"/>
        <w:rPr/>
      </w:pPr>
      <w:r>
        <w:rPr>
          <w:rFonts w:eastAsia="Times New Roman" w:cs="Times New Roman" w:ascii="Times New Roman" w:hAnsi="Times New Roman"/>
          <w:color w:val="111111"/>
          <w:sz w:val="28"/>
          <w:szCs w:val="28"/>
          <w:lang w:val="en-US"/>
        </w:rPr>
        <w:t>Jadi, demi mempertahankan prinsip-prinsip tersebut mereka merasa berhak  menghancurkan bangsa lain. Oleh karena itu, pada kenyataannya, dalam sistem  demokrasi—yang menentang hukum kemurtadan versi Islam sendiri terdapat  sejenis larangan untuk memprovokasi sikap anti-prinsip dan doktrin yang diusung  logika demokrasi. Kalaupun tidak mengakui larangan itu secara formal, namun  pada praktiknya, mereka begitu komit terhadapnya.</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Masih melekat dalam ingatan umat Islam bagaimana di sejumlah negara Barat  jilbab Muslimah di perkantoran dan forum-forum publik dianggap sebagai aksi  pemberontakan melawan asas-asas demokrasi. Sungguh tak dapat dibayangkan apa </w:t>
      </w:r>
    </w:p>
    <w:p>
      <w:pPr>
        <w:pStyle w:val="BookText"/>
        <w:bidi w:val="0"/>
        <w:rPr/>
      </w:pPr>
      <w:r>
        <w:rPr>
          <w:rFonts w:eastAsia="Times New Roman" w:cs="Times New Roman" w:ascii="Times New Roman" w:hAnsi="Times New Roman"/>
          <w:color w:val="111111"/>
          <w:sz w:val="28"/>
          <w:szCs w:val="28"/>
          <w:lang w:val="en-US"/>
        </w:rPr>
        <w:t>jadinya bila sekelompok perempuan Kristen di salah satu negara Barat tiba-tiba  dan secara massal mengenakan busana lengkap Muslimah di tempat umum! Bila  negara-negara yang mengklaim demokratis itu tak sanggup menerima fakta seorang  Muslimah berjilbab sudah tentu mereka akan memandang negatif perbuatan  kelompok perempuan tersebut dan menilainya sebagai tindakan merusak ketertiban  umum masyarakat demokratis. Reaksi kalangan Barat ini dapat disebut dengan  ‘hukuman atas kemurtadan modern' atau 'larangan keluar dari prinsip-prinsip  demokrasi'.</w:t>
      </w:r>
    </w:p>
    <w:p>
      <w:pPr>
        <w:pStyle w:val="BookText"/>
        <w:bidi w:val="0"/>
        <w:jc w:val="both"/>
        <w:rPr/>
      </w:pPr>
      <w:r>
        <w:rPr>
          <w:rFonts w:eastAsia="Times New Roman" w:cs="Times New Roman" w:ascii="Times New Roman" w:hAnsi="Times New Roman"/>
          <w:color w:val="111111"/>
          <w:sz w:val="28"/>
          <w:szCs w:val="28"/>
          <w:lang w:val="en-US"/>
        </w:rPr>
        <w:t>Juga telah dikatakan sebelum ini, sistem kehidupan Barat-minimal secara  praktis—bahkan tak sanggup menerima fakta provokasi anti-Kristen atau  penentangan terhadap prinsip-prinsip ajaran Kristen. Bagi mereka sama saja apakah  penentangan itu diekspresikan orang lain atau oleh warga negaranya sendiri.</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Selain kasus jilbab, contoh kebrutalan lain dari sikap antitoleransi keagamaan  bangsa Barat dapat disaksikan pula dalam aksi kekerasan polisi Amerika (FBI)  yang membunuh 80 pengikut Branch Davidians secara massal. Perlakuan brutal  itu dilindungi dewan peradilan Amerika. Insiden ini terjadi pada 19 April 1993  di daerah Waco yang terletak di propinsi Texas, Amerika Serikat. Sebanyak 80  pengikut Branch Davidians, termasuk David Koreshsang pemimpin, dikepung  di sebuah hunian selama 51 hari oleh pihak kepolisian Amerika. Lantas mereka  dibakar hidup-hidup dengan cara menembakkan gas air mata yang juga efektif  untuk menyulut kebakaran. Di antara korban terdapat sejumlah perempuan dan  14 anak kecil!</w:t>
      </w:r>
      <w:r>
        <w:rPr>
          <w:rStyle w:val="FootnoteAnchor"/>
        </w:rPr>
        <w:footnoteReference w:id="260"/>
      </w:r>
      <w:r>
        <w:rPr>
          <w:rFonts w:eastAsia="Times New Roman" w:cs="Times New Roman" w:ascii="Times New Roman" w:hAnsi="Times New Roman"/>
          <w:color w:val="111111"/>
          <w:sz w:val="28"/>
          <w:szCs w:val="28"/>
          <w:lang w:val="en-US"/>
        </w:rPr>
        <w:t xml:space="preserve"> Mayoritas media massa Barat, khususnya media Amerika Serikat, berusaha keras  mempertahankan citra demokrasi Barat, juga polisi Amerika, dengan menyebarkan  isu bahwa insiden itu sebagai kecelakaan yang masih diselidiki. Namun, pengacara  yang membela korban insiden mendakwa penguasa Amerika dengan tuduhan  pembunuhan tanpa dasar hukum. Menurut mereka jaksa pengadilan tidak netral.</w:t>
      </w:r>
      <w:r>
        <w:rPr>
          <w:rStyle w:val="FootnoteAnchor"/>
        </w:rPr>
        <w:footnoteReference w:id="261"/>
      </w:r>
      <w:r>
        <w:rPr>
          <w:rFonts w:eastAsia="Times New Roman" w:cs="Times New Roman" w:ascii="Times New Roman" w:hAnsi="Times New Roman"/>
          <w:color w:val="111111"/>
          <w:sz w:val="28"/>
          <w:szCs w:val="28"/>
          <w:lang w:val="en-US"/>
        </w:rPr>
        <w:t xml:space="preserve"> Mengherankan sekali pengadilan AS menolak dakwaan korban yang selamat dari  insiden ini dan menjatuhkan vonis yang menguntungkan pihak kepolisian Amerika. </w:t>
      </w:r>
    </w:p>
    <w:p>
      <w:pPr>
        <w:pStyle w:val="BookText"/>
        <w:bidi w:val="0"/>
        <w:rPr/>
      </w:pPr>
      <w:r>
        <w:rPr>
          <w:rFonts w:eastAsia="Times New Roman" w:cs="Times New Roman" w:ascii="Times New Roman" w:hAnsi="Times New Roman"/>
          <w:color w:val="111111"/>
          <w:sz w:val="28"/>
          <w:szCs w:val="28"/>
          <w:lang w:val="en-US"/>
        </w:rPr>
        <w:t>Alasannya aparat keamanan Amerika sama sekali tidak bersalah dalam insiden itu.</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Sebaliknya mereka mendakwa para korban insiden itulah biang kerok kebakaran!</w:t>
      </w:r>
      <w:r>
        <w:rPr>
          <w:rStyle w:val="FootnoteAnchor"/>
        </w:rPr>
        <w:footnoteReference w:id="262"/>
      </w:r>
      <w:r>
        <w:rPr>
          <w:rFonts w:eastAsia="Times New Roman" w:cs="Times New Roman" w:ascii="Times New Roman" w:hAnsi="Times New Roman"/>
          <w:color w:val="111111"/>
          <w:sz w:val="28"/>
          <w:szCs w:val="28"/>
          <w:lang w:val="en-US"/>
        </w:rPr>
        <w:t xml:space="preserve"> Padahal, tuduhan konspirasi untuk menutup-nutupi bukti kriminalitas ditujukan  tepat ke sejumlah pejabat keamanan dan pengadilan Texas!</w:t>
      </w:r>
      <w:r>
        <w:rPr>
          <w:rStyle w:val="FootnoteAnchor"/>
        </w:rPr>
        <w:footnoteReference w:id="263"/>
      </w:r>
      <w:r>
        <w:rPr>
          <w:rFonts w:eastAsia="Times New Roman" w:cs="Times New Roman" w:ascii="Times New Roman" w:hAnsi="Times New Roman"/>
          <w:color w:val="111111"/>
          <w:sz w:val="28"/>
          <w:szCs w:val="28"/>
          <w:lang w:val="en-US"/>
        </w:rPr>
        <w:t>Namun mengingat  kesalahan pejabat pengadilan dan polisi Amerika dalam menggunakan gas air mata  yang berakibat kebakaran itu, tak seorang pun yang dihukum!</w:t>
      </w:r>
      <w:r>
        <w:rPr>
          <w:rStyle w:val="FootnoteAnchor"/>
        </w:rPr>
        <w:footnoteReference w:id="264"/>
      </w:r>
      <w:r>
        <w:rPr>
          <w:rFonts w:eastAsia="Times New Roman" w:cs="Times New Roman" w:ascii="Times New Roman" w:hAnsi="Times New Roman"/>
          <w:color w:val="111111"/>
          <w:sz w:val="28"/>
          <w:szCs w:val="28"/>
          <w:lang w:val="en-US"/>
        </w:rPr>
        <w:t>Padahal, dari sekian  bukti yang ditemukan, kesalahan mereka dalam tragedi berdarah ini benar-benar  gamblang dan valid.</w:t>
      </w:r>
      <w:r>
        <w:rPr>
          <w:rStyle w:val="FootnoteAnchor"/>
        </w:rPr>
        <w:footnoteReference w:id="265"/>
      </w:r>
      <w:r>
        <w:rPr>
          <w:rFonts w:eastAsia="Times New Roman" w:cs="Times New Roman" w:ascii="Times New Roman" w:hAnsi="Times New Roman"/>
          <w:color w:val="111111"/>
          <w:sz w:val="28"/>
          <w:szCs w:val="28"/>
          <w:lang w:val="en-US"/>
        </w:rPr>
        <w:t>Sebab tak satu pun orang merdeka dan bersikap adil akan  setuju dengan perlakuan terhadap hunian penduduk yang dikepung polisi selama  51 hari. Kapan pun dapat terjadi bahaya serius; lalu, pada saat yang sama, tak  satu pun antisipasi keamanan yang ditempuh aparat berwajib, seperti menyediakan  fasilitas antikebakaran. Polisi malah hanya berpangku tangan menonton 80 orang  tak bersalah (lelaki, perempuan, dan anak-anak) terpanggang hidup-hidup!  Poin yang patut diperhatikan di sini; kelompok Branch Davidians meyakini  dirinya hamba-hamba pilihan Tuhan untuk akhir zaman. Atas dasar itu pula  mereka percaya Tuhan senantiasa mengutus nabi guna membimbing mereka.</w:t>
      </w:r>
      <w:r>
        <w:rPr>
          <w:rStyle w:val="FootnoteAnchor"/>
        </w:rPr>
        <w:footnoteReference w:id="266"/>
      </w:r>
      <w:r>
        <w:rPr>
          <w:rFonts w:eastAsia="Times New Roman" w:cs="Times New Roman" w:ascii="Times New Roman" w:hAnsi="Times New Roman"/>
          <w:color w:val="111111"/>
          <w:sz w:val="28"/>
          <w:szCs w:val="28"/>
          <w:lang w:val="en-US"/>
        </w:rPr>
        <w:t xml:space="preserve"> David Koresh sangat menguasai kitab suci. Kata-katanya juga punya pengaruh  besar di hati para pengikutnya. Dalam komunitas Kristen keyakinan ini terbilang  bid'ah. Agaknya faktor utama yang memicu heboh kasus ini adalah keyakinan  tersebut, kendati pihak kepolisian Amerika seolah menampilkan diri berselisih  dengan mereka dalam kasus penimbunan senjata dan amunisi. </w:t>
      </w:r>
    </w:p>
    <w:p>
      <w:pPr>
        <w:pStyle w:val="BookText"/>
        <w:bidi w:val="0"/>
        <w:rPr/>
      </w:pPr>
      <w:r>
        <w:rPr>
          <w:rFonts w:eastAsia="Times New Roman" w:cs="Times New Roman" w:ascii="Times New Roman" w:hAnsi="Times New Roman"/>
          <w:color w:val="111111"/>
          <w:sz w:val="28"/>
          <w:szCs w:val="28"/>
          <w:lang w:val="en-US"/>
        </w:rPr>
        <w:t xml:space="preserve">Perlu diketahui berdasarkan pernyataan sejumlah penulis Barat, di Texas,  untuk memiliki (membawa) senjata, seseorang tidak perlu mendaftarkannya secara  hukum, tetapi cukup dengan membayar 30 Dolar AS kepada Kantor Alkohol,  Tembako, Senjata Api, dan Bahan Peledak Amerika (ATF). Itulah sebabnya,  masyarakat sangat gampang dan dengan biaya murah dapat mengakses senjata di  negara bagian ini. Berdasarkan statistik jumlah korban terbunuh oleh senjata api di  Texas lebih banyak dari jumlah korban tewas akibat kecelakaan lalu lintas. </w:t>
      </w:r>
      <w:r>
        <w:rPr>
          <w:rStyle w:val="FootnoteAnchor"/>
        </w:rPr>
        <w:footnoteReference w:id="267"/>
      </w:r>
      <w:r>
        <w:rPr>
          <w:rFonts w:eastAsia="Times New Roman" w:cs="Times New Roman" w:ascii="Times New Roman" w:hAnsi="Times New Roman"/>
          <w:color w:val="111111"/>
          <w:sz w:val="28"/>
          <w:szCs w:val="28"/>
          <w:lang w:val="en-US"/>
        </w:rPr>
        <w:t xml:space="preserve"> Oleh karena itu, tuduhan membawa senjata ilegal di kawasan yang begitu  gampang mengeluarkan izin kepemilikannya tidak selayaknya direspon sedemikian  keras dan dijatuhi hukuman (bunuh) semacam itu.</w:t>
      </w:r>
    </w:p>
    <w:p>
      <w:pPr>
        <w:pStyle w:val="BookText"/>
        <w:bidi w:val="0"/>
        <w:jc w:val="both"/>
        <w:rPr/>
      </w:pPr>
      <w:r>
        <w:rPr>
          <w:rFonts w:eastAsia="Times New Roman" w:cs="Times New Roman" w:ascii="Times New Roman" w:hAnsi="Times New Roman"/>
          <w:color w:val="111111"/>
          <w:sz w:val="28"/>
          <w:szCs w:val="28"/>
          <w:lang w:val="en-US"/>
        </w:rPr>
        <w:t>Dengan kata lain, tak satu pun negara dan sistem hukum di dunia, sejak dulu  sampai sekarang, yang dapat mengklaim mengakui kebebasan berekspresi secara  absolut. Negara-negara yang mengklaim demokratis dalam kondisi tertentu ternyata  memberlakukan batas yang jauh lebih ketat bagi kebebasan berekspresi. Tentunya  bentuk dan skala batasan itu sangat bergantung pada kecenderungan intelektual  dan tingkat kepekaan masing-masing terhadap subjek tertentu. Umpamanya,  di sejumlah negara Barat, segala bentuk kerusuhan (riot) umumnya ditindak  secara tegas. Di Inggris, misalnya, kerusuhan dipandang sebagai kriminalitas dan  mengakibatkan hukuman berat yang tidak dapat dielakkan.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Berdasarkan undang-undang Inggris, jika sekelompok individu berjumlah lebih  dari 12 orang dan bertujuan sama telah menyulut aksi kekerasan atau berpotensi  untuk itu, yang mengakibatkan masyarakat umum merasa terancam, mereka akan  langsung diklaim penjahat. Sementara itu, orang yang hanya ikut-ikutan dalam  kelompok itu, namun tidak sampai melakukan aksi kekerasan secara langsung,  dianggap sebagai pembantu kejahatan.</w:t>
      </w:r>
      <w:r>
        <w:rPr>
          <w:rStyle w:val="FootnoteAnchor"/>
        </w:rPr>
        <w:footnoteReference w:id="268"/>
      </w:r>
      <w:r>
        <w:rPr>
          <w:rFonts w:eastAsia="Times New Roman" w:cs="Times New Roman" w:ascii="Times New Roman" w:hAnsi="Times New Roman"/>
          <w:color w:val="111111"/>
          <w:sz w:val="28"/>
          <w:szCs w:val="28"/>
          <w:lang w:val="en-US"/>
        </w:rPr>
        <w:t xml:space="preserve">Dalam undang-undang Inggris, untuk  kerusuhan yang memenuhi kriteria tersebut, ditetapkan hukuman 10 tahun </w:t>
      </w:r>
    </w:p>
    <w:p>
      <w:pPr>
        <w:pStyle w:val="BookText"/>
        <w:bidi w:val="0"/>
        <w:rPr/>
      </w:pPr>
      <w:r>
        <w:rPr>
          <w:rFonts w:eastAsia="Times New Roman" w:cs="Times New Roman" w:ascii="Times New Roman" w:hAnsi="Times New Roman"/>
          <w:color w:val="111111"/>
          <w:sz w:val="28"/>
          <w:szCs w:val="28"/>
          <w:lang w:val="en-US"/>
        </w:rPr>
        <w:t>penjara, atau denda kontan tak terbatas, atau bahkan kedua-duanya.</w:t>
      </w:r>
      <w:r>
        <w:rPr>
          <w:rStyle w:val="FootnoteAnchor"/>
        </w:rPr>
        <w:footnoteReference w:id="269"/>
      </w:r>
      <w:r>
        <w:rPr>
          <w:rFonts w:eastAsia="Times New Roman" w:cs="Times New Roman" w:ascii="Times New Roman" w:hAnsi="Times New Roman"/>
          <w:color w:val="111111"/>
          <w:sz w:val="28"/>
          <w:szCs w:val="28"/>
          <w:lang w:val="en-US"/>
        </w:rPr>
        <w:t xml:space="preserve"> Layak digarisbawahi, masih menurut undang-undang Inggris, untuk menyulut  kerusuhan ‘tujuan bersama di antara para pelakunya tidak mesti tanpa dasar  hukum. Andaipun itu atas dasar hukum, mereka tetap akan divonis sebagai pelaku  kerusuhan dengan syarat-syarat yang lain.</w:t>
      </w:r>
      <w:r>
        <w:rPr>
          <w:rStyle w:val="FootnoteAnchor"/>
        </w:rPr>
        <w:footnoteReference w:id="270"/>
      </w:r>
      <w:r>
        <w:rPr>
          <w:rFonts w:eastAsia="Times New Roman" w:cs="Times New Roman" w:ascii="Times New Roman" w:hAnsi="Times New Roman"/>
          <w:color w:val="111111"/>
          <w:sz w:val="28"/>
          <w:szCs w:val="28"/>
          <w:lang w:val="en-US"/>
        </w:rPr>
        <w:t xml:space="preserve"> Dalam Undang-Undang Hukum Pidana Islam di Republik Islam Iran  (RII), kendati tak ada tema tersendiri bagi kriminalitas kerusuhan, namun dari  kumpulan pasal yang berkaitan dengan kerusuhan, dapat disimpulkan bahwa dari  berbagai aspeknya, undang-undang RII lebih ringan dari undang-undang Inggris.</w:t>
      </w:r>
    </w:p>
    <w:p>
      <w:pPr>
        <w:pStyle w:val="BookText"/>
        <w:bidi w:val="0"/>
        <w:jc w:val="both"/>
        <w:rPr/>
      </w:pPr>
      <w:r>
        <w:rPr>
          <w:rFonts w:eastAsia="Times New Roman" w:cs="Times New Roman" w:ascii="Times New Roman" w:hAnsi="Times New Roman"/>
          <w:color w:val="111111"/>
          <w:sz w:val="28"/>
          <w:szCs w:val="28"/>
          <w:lang w:val="en-US"/>
        </w:rPr>
        <w:t>Contohnya, pada pasal 610 Undang-Undang Hukum Pidana RII disebutkan:</w:t>
      </w:r>
    </w:p>
    <w:p>
      <w:pPr>
        <w:pStyle w:val="BookText"/>
        <w:bidi w:val="0"/>
        <w:jc w:val="both"/>
        <w:rPr/>
      </w:pPr>
      <w:r>
        <w:rPr>
          <w:rFonts w:eastAsia="Times New Roman" w:cs="Times New Roman" w:ascii="Times New Roman" w:hAnsi="Times New Roman"/>
          <w:color w:val="111111"/>
          <w:sz w:val="28"/>
          <w:szCs w:val="28"/>
          <w:lang w:val="en-US"/>
        </w:rPr>
        <w:t>Kapan saja dua orang atau lebih berkumpul atau bersekongkol untuk  melakukan kriminalitas antikeamanan internal atau eksternal negara, atau  untuk mempersiapkan sarana dan prasarana kriminalitas itu, jika mereka tidak  layak menyandang sebutan muhârib, mereka akan dihukum penjara dua sampai  lima tahun.</w:t>
      </w:r>
    </w:p>
    <w:p>
      <w:pPr>
        <w:pStyle w:val="BookText"/>
        <w:bidi w:val="0"/>
        <w:jc w:val="both"/>
        <w:rPr/>
      </w:pPr>
      <w:r>
        <w:rPr>
          <w:rFonts w:eastAsia="Times New Roman" w:cs="Times New Roman" w:ascii="Times New Roman" w:hAnsi="Times New Roman"/>
          <w:color w:val="111111"/>
          <w:sz w:val="28"/>
          <w:szCs w:val="28"/>
          <w:lang w:val="en-US"/>
        </w:rPr>
        <w:t>Berdasarkan pasal 183 Undang-Undang Hukum Pidana RII, salah satu syarat  penetapan predikat muhârib yang memerangi' bagi seseorang adalah mengangkat  senjata. Berdasarkan catatan ini, dapat dikatakan bahwa umumnya, oknum  kerusuhan yang beraksi tanpa menggunakan senjata, baik senjata tajam maupun  senjata api, tercakup dalam pasal 610 Undang-Undang Hukum Pidana. Dapat  dipastikan bahwa undang-undang Hukum Pidana RII bagi para oposan politiknya,  selama tidak mengangkat senjata, jauh lebih ringan dari undang-undang Inggris,  karena:</w:t>
      </w:r>
    </w:p>
    <w:p>
      <w:pPr>
        <w:pStyle w:val="BookText"/>
        <w:bidi w:val="0"/>
        <w:jc w:val="both"/>
        <w:rPr/>
      </w:pPr>
      <w:r>
        <w:rPr>
          <w:rFonts w:eastAsia="Times New Roman" w:cs="Times New Roman" w:ascii="Times New Roman" w:hAnsi="Times New Roman"/>
          <w:color w:val="111111"/>
          <w:sz w:val="28"/>
          <w:szCs w:val="28"/>
          <w:lang w:val="en-US"/>
        </w:rPr>
        <w:t>Pertama, dalam hukum RII, berdasarkan pasal 610, telah ditetapkan hukuman  penjara dua sampai lima tahun bagi oknum kerusuhan, sedangkan dalam aturan  hukum Inggris, sebagaimana telah disebutkan, vonis mereka adalah 10 tahun  penjara.</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dalam aturan hukum Inggris, selain 10 tahun hukuman penjara  bagi oknum kerusuhan, telah ditetapkan pula hukuman denda kontan tanpa  batas”. Yang justru menarik, dalam undang-undang Inggris, jarang sekali terjadi  kriminalitas yang dihukumi dengan 'denda kontan tanpa batas', sedangkan dalam  aturan hukum RII, tidak ada hukuman denda semacam itu. </w:t>
      </w:r>
      <w:bookmarkStart w:id="162" w:name="pg6393_43128"/>
    </w:p>
    <w:p>
      <w:pPr>
        <w:pStyle w:val="BookText"/>
        <w:bidi w:val="0"/>
        <w:rPr/>
      </w:pPr>
      <w:bookmarkEnd w:id="162"/>
      <w:r>
        <w:rPr>
          <w:rFonts w:eastAsia="Times New Roman" w:cs="Times New Roman" w:ascii="Times New Roman" w:hAnsi="Times New Roman"/>
          <w:color w:val="111111"/>
          <w:sz w:val="28"/>
          <w:szCs w:val="28"/>
          <w:lang w:val="en-US"/>
        </w:rPr>
        <w:t>Ketiga, menurut aturan hukum RII, hendaknya maksud atau motif oknum  kerusuhan adalah ‘konspirasi melakukan kejahatan antikeamanan internal dan  eksternal negara'. Akan tetapi menurut aturan hukum Inggris, seandainya pun  tujuan bersama oknum kerusuhan itu bersifat ‘atas dasar hukum’, maka tetap  saja selama kerusuhan itu menyulut aksi kekerasan atau berpotensi ke arah itu,  kerusuhan itu dinyatakan telah sebagai kriminalitas.</w:t>
      </w:r>
    </w:p>
    <w:p>
      <w:pPr>
        <w:pStyle w:val="BookText"/>
        <w:bidi w:val="0"/>
        <w:jc w:val="both"/>
        <w:rPr/>
      </w:pPr>
      <w:r>
        <w:rPr>
          <w:rFonts w:eastAsia="Times New Roman" w:cs="Times New Roman" w:ascii="Times New Roman" w:hAnsi="Times New Roman"/>
          <w:color w:val="111111"/>
          <w:sz w:val="28"/>
          <w:szCs w:val="28"/>
          <w:lang w:val="en-US"/>
        </w:rPr>
        <w:t>Dari seluruh uraian di atas dapat ditarik kesimpulan betapa sejumlah negara  Barat yang mengklaim demokratis, seperti Inggris, melangkah terlalu jauh dan keras  dalam menindak secara hukum segala bentuk kerusuhan dan kriminalitas lain yang  mengusik ketertiban umum dan keamanan masyarakat. Mereka juga membatasi  kebebasan berekspresi dengan alasan mengancam ketertiban umum'.</w:t>
      </w:r>
    </w:p>
    <w:p>
      <w:pPr>
        <w:pStyle w:val="BookText"/>
        <w:bidi w:val="0"/>
        <w:jc w:val="both"/>
        <w:rPr/>
      </w:pPr>
      <w:r>
        <w:rPr>
          <w:rFonts w:eastAsia="Times New Roman" w:cs="Times New Roman" w:ascii="Times New Roman" w:hAnsi="Times New Roman"/>
          <w:color w:val="111111"/>
          <w:sz w:val="28"/>
          <w:szCs w:val="28"/>
          <w:lang w:val="en-US"/>
        </w:rPr>
        <w:t>Batas kebebasan berekspresi tidak hanya dalam contoh-contoh tersebut. Masih  banyak contoh lain yang layak dikemukakan seputar pembatasan kebebasan  berekspresi di Barat; misalnya, larangan pornografi.</w:t>
      </w:r>
      <w:r>
        <w:rPr>
          <w:rStyle w:val="FootnoteAnchor"/>
        </w:rPr>
        <w:footnoteReference w:id="271"/>
      </w:r>
      <w:r>
        <w:rPr>
          <w:rFonts w:eastAsia="Times New Roman" w:cs="Times New Roman" w:ascii="Times New Roman" w:hAnsi="Times New Roman"/>
          <w:color w:val="111111"/>
          <w:sz w:val="28"/>
          <w:szCs w:val="28"/>
          <w:lang w:val="en-US"/>
        </w:rPr>
        <w:t>Yaman Akdinez, seorang pakar  hukum melakukan penelitian untuk disertasi doktoralnya yang bertajuk 'Internet  dan Kebebasan Berekspresi', di fakultas hukum Universitas Leeds, Inggris.</w:t>
      </w:r>
      <w:r>
        <w:rPr>
          <w:rStyle w:val="FootnoteAnchor"/>
        </w:rPr>
        <w:footnoteReference w:id="272"/>
      </w:r>
      <w:r>
        <w:rPr>
          <w:rFonts w:eastAsia="Times New Roman" w:cs="Times New Roman" w:ascii="Times New Roman" w:hAnsi="Times New Roman"/>
          <w:color w:val="111111"/>
          <w:sz w:val="28"/>
          <w:szCs w:val="28"/>
          <w:lang w:val="en-US"/>
        </w:rPr>
        <w:t>Dalam  tulisannya yang mengupas larangan pornografi berdasarkan aturan hukum Barat,  seperti Perancis, Inggris, dan Amerika Serikat, dia menelaah berbagai arsip hukum  pengadilan di bidang ini. Menurut sebuah arsip yang ditelitinya, pengadilan federal  Amerika di Memphis menjatuhkan hukuman berat terhadap pasangan suami-istri  asal AS karena telah menyebarkan hal-hal yang bertentangan dengan etika umum  via internet. Atas dasar itu, Robert Thomas dijatuhi hukuman 37 bulan penjara dan  Carleen Thomas 30 bulan penjara yang sama. Di samping itu, perangkat komputer  mereka juga disita pemerintah federal Amerika. Pengadilan tingkat banding di sana  juga mendukung hukuman ini.</w:t>
      </w:r>
      <w:r>
        <w:rPr>
          <w:rStyle w:val="FootnoteAnchor"/>
        </w:rPr>
        <w:footnoteReference w:id="273"/>
      </w:r>
    </w:p>
    <w:p>
      <w:pPr>
        <w:pStyle w:val="Heading3"/>
        <w:numPr>
          <w:ilvl w:val="2"/>
          <w:numId w:val="1"/>
        </w:numPr>
        <w:bidi w:val="0"/>
        <w:jc w:val="left"/>
        <w:rPr/>
      </w:pPr>
      <w:bookmarkStart w:id="163" w:name="__RefHeading___Toc419568_653776707"/>
      <w:bookmarkStart w:id="164" w:name="_Toc61"/>
      <w:bookmarkEnd w:id="163"/>
      <w:r>
        <w:rPr/>
        <w:t>Falsafah Pidana Penistaan Simbol Sakral</w:t>
      </w:r>
      <w:bookmarkEnd w:id="16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Sekarang pun, di kebanyakan negara Barat, termasuk yang mengadopsi sistem  Common Law, moralitas dan agama hanya berperan sekunder. Secara keseluruhan  ruang lingkupnya juga terpisah dari ranah hukum. Contohnya, dalam aturan  hukum Amerika Serikat dan berdasarkan komplemen pertama undang-undang  tulisan cabul yang bertentangan dengan </w:t>
      </w:r>
    </w:p>
    <w:p>
      <w:pPr>
        <w:pStyle w:val="BookText"/>
        <w:bidi w:val="0"/>
        <w:rPr/>
      </w:pPr>
      <w:r>
        <w:rPr>
          <w:rFonts w:eastAsia="Times New Roman" w:cs="Times New Roman" w:ascii="Times New Roman" w:hAnsi="Times New Roman"/>
          <w:color w:val="111111"/>
          <w:sz w:val="28"/>
          <w:szCs w:val="28"/>
          <w:lang w:val="en-US"/>
        </w:rPr>
        <w:t>dasarnya, Kongres tidak berhak menetapkan undang-undang yang menjadikan  agama tertentu mendapat dukungan atau sebaliknya menjadikan agama tertentu  terhalang dari kebebasannya.</w:t>
      </w:r>
      <w:r>
        <w:rPr>
          <w:rStyle w:val="FootnoteAnchor"/>
        </w:rPr>
        <w:footnoteReference w:id="274"/>
      </w:r>
      <w:r>
        <w:rPr>
          <w:rFonts w:eastAsia="Times New Roman" w:cs="Times New Roman" w:ascii="Times New Roman" w:hAnsi="Times New Roman"/>
          <w:color w:val="111111"/>
          <w:sz w:val="28"/>
          <w:szCs w:val="28"/>
          <w:lang w:val="en-US"/>
        </w:rPr>
        <w:t xml:space="preserve"> Kendati demikian, dalam sistem Common Law sendiri, dapat dijumpai  adanya akar-akar pengaruh agama terhadap aturan hukum. Di dalamnya tertera  sebuah kaidah yang karenanya para hakim harus mengikuti prinsip-prinsip yang  dibubuhkan dalam semua keputusan yuridis sebelumnya. Sebelum AS merdeka,  seorang pakar hukum Inggris terkemuka bernama Black Stone menjustifikasi  kaidah otentisitas latar belakang dengan cara yang menarik. Penjelasannya aparat  pengadilan hanya bertugas menjelaskan hak-hak dan tidak berwenang menetapkan  undang-undang. Tegasnya, dia harus menghormati semua yang telah diputuskan  para hakim sebelumnya. Kendati demikian, Black Stone mengecualikan satu  kondisi dari kaidah ini: jika vonis yang dijatuhkan secara jelas bertolak belakang  dengan ‘moralitas dan undang-undang Ilahi’. </w:t>
      </w:r>
      <w:r>
        <w:rPr>
          <w:rStyle w:val="FootnoteAnchor"/>
        </w:rPr>
        <w:footnoteReference w:id="275"/>
      </w:r>
      <w:r>
        <w:rPr>
          <w:rFonts w:eastAsia="Times New Roman" w:cs="Times New Roman" w:ascii="Times New Roman" w:hAnsi="Times New Roman"/>
          <w:color w:val="111111"/>
          <w:sz w:val="28"/>
          <w:szCs w:val="28"/>
          <w:lang w:val="en-US"/>
        </w:rPr>
        <w:t xml:space="preserve"> Berdasarkan pengaruh agama terhadap hukum ini, undang-undang yang berkaitan  dengan blasphemy masih diapresiasi nilai hukum di Inggris. Padahal, belakangan  banyak pihak berupaya menghapus undang-undang tersebut.</w:t>
      </w:r>
      <w:r>
        <w:rPr>
          <w:rStyle w:val="FootnoteAnchor"/>
        </w:rPr>
        <w:footnoteReference w:id="276"/>
      </w:r>
      <w:r>
        <w:rPr>
          <w:rFonts w:eastAsia="Times New Roman" w:cs="Times New Roman" w:ascii="Times New Roman" w:hAnsi="Times New Roman"/>
          <w:color w:val="111111"/>
          <w:sz w:val="28"/>
          <w:szCs w:val="28"/>
          <w:lang w:val="en-US"/>
        </w:rPr>
        <w:t>Menurut mereka, di  samping fakta bahwa undang-undang yang tidak melindungi agama-agama lain ini  tidak logis, pada dasarnya agama Kristen tidak perlu perlindungan hukum.</w:t>
      </w:r>
      <w:r>
        <w:rPr>
          <w:rStyle w:val="FootnoteAnchor"/>
        </w:rPr>
        <w:footnoteReference w:id="277"/>
      </w:r>
      <w:r>
        <w:rPr>
          <w:rFonts w:eastAsia="Times New Roman" w:cs="Times New Roman" w:ascii="Times New Roman" w:hAnsi="Times New Roman"/>
          <w:color w:val="111111"/>
          <w:sz w:val="28"/>
          <w:szCs w:val="28"/>
          <w:lang w:val="en-US"/>
        </w:rPr>
        <w:t xml:space="preserve"> Argumentasi ini otomatis menjadi bukti paling konkret bahwa mengingat  negara-negara Barat tak punya ketergantungan pada agama, banyak sekali  upaya untuk menghapus undang-undang tersebut. Itu bukan lantaran adanya  penghormatan terhadap kebebasan berekspresi. Artinya, tak adanya penekanan  atas undang-undang ini dikategorikan negatif lantaran ketiadaan subjeknya.</w:t>
      </w:r>
    </w:p>
    <w:p>
      <w:pPr>
        <w:pStyle w:val="BookText"/>
        <w:bidi w:val="0"/>
        <w:jc w:val="both"/>
        <w:rPr/>
      </w:pPr>
      <w:r>
        <w:rPr>
          <w:rFonts w:eastAsia="Times New Roman" w:cs="Times New Roman" w:ascii="Times New Roman" w:hAnsi="Times New Roman"/>
          <w:color w:val="111111"/>
          <w:sz w:val="28"/>
          <w:szCs w:val="28"/>
          <w:lang w:val="en-US"/>
        </w:rPr>
        <w:t>Kapanpun propaganda anti-Kristen, atau penistaan simbol sakral agama, dianggap  benar-benar—dan secara serius—bertentangan dengan ketertiban umum dan etika  sosial, niscaya negara-negara Barat akan langsung memaksakan delik pidana atas  kemurtadan dan penistaan simbol sakral agama. Mengingat negara-negara Barat  dewasa ini aktif penyokong sekularisme, baik secara terbuka maupun diam-diam.</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Kebanyakan mereka menganggap propaganda anti-agama seirama dan tidak </w:t>
      </w:r>
    </w:p>
    <w:p>
      <w:pPr>
        <w:pStyle w:val="BookText"/>
        <w:bidi w:val="0"/>
        <w:rPr/>
      </w:pPr>
      <w:r>
        <w:rPr>
          <w:rFonts w:eastAsia="Times New Roman" w:cs="Times New Roman" w:ascii="Times New Roman" w:hAnsi="Times New Roman"/>
          <w:color w:val="111111"/>
          <w:sz w:val="28"/>
          <w:szCs w:val="28"/>
          <w:lang w:val="en-US"/>
        </w:rPr>
        <w:t>bertentangan dengan tujuan mereka. Sebagian pakar hukum Barat berpendapat  kalaupun melindungi semua agama, undang-undang ini tetap bertolak belakang  dengan konvensi Eropa tentang hak asasi manusia.</w:t>
      </w:r>
      <w:r>
        <w:rPr>
          <w:rStyle w:val="FootnoteAnchor"/>
        </w:rPr>
        <w:footnoteReference w:id="278"/>
      </w:r>
      <w:r>
        <w:rPr>
          <w:rFonts w:eastAsia="Times New Roman" w:cs="Times New Roman" w:ascii="Times New Roman" w:hAnsi="Times New Roman"/>
          <w:color w:val="111111"/>
          <w:sz w:val="28"/>
          <w:szCs w:val="28"/>
          <w:lang w:val="en-US"/>
        </w:rPr>
        <w:t xml:space="preserve"> Sejumlah pakar hukum Inggris melakukan pembelaan atas undang-undang  ini seraya menjelaskan falsafah pidana blasphemy. Menurut mereka, penistaan  simbol sakral agama dimaksudkan untuk melukai perasaan umat manusia,  secara terbuka menghina gereja resmi, atau menyebarkan hal-hal asusila. Hal itu  terbilang kriminalitas.</w:t>
      </w:r>
      <w:r>
        <w:rPr>
          <w:rStyle w:val="FootnoteAnchor"/>
        </w:rPr>
        <w:footnoteReference w:id="279"/>
      </w:r>
      <w:r>
        <w:rPr>
          <w:rFonts w:eastAsia="Times New Roman" w:cs="Times New Roman" w:ascii="Times New Roman" w:hAnsi="Times New Roman"/>
          <w:color w:val="111111"/>
          <w:sz w:val="28"/>
          <w:szCs w:val="28"/>
          <w:lang w:val="en-US"/>
        </w:rPr>
        <w:t>Dengan justifikasi ini, mereka berniat menjelaskan falsafah  kriminalitas tersebut, yaitu to wound the feelings of mankind (melukai perasaan umat  manusia) dan to promote immorality (menyebarkan hal-hal tak etis) yang semuanya  berkorelasi dengan etika sosial.</w:t>
      </w:r>
    </w:p>
    <w:p>
      <w:pPr>
        <w:pStyle w:val="BookText"/>
        <w:bidi w:val="0"/>
        <w:jc w:val="both"/>
        <w:rPr/>
      </w:pPr>
      <w:r>
        <w:rPr>
          <w:rFonts w:eastAsia="Times New Roman" w:cs="Times New Roman" w:ascii="Times New Roman" w:hAnsi="Times New Roman"/>
          <w:color w:val="111111"/>
          <w:sz w:val="28"/>
          <w:szCs w:val="28"/>
          <w:lang w:val="en-US"/>
        </w:rPr>
        <w:t>Beberapa pakar hukum Barat menganggap kriminalitas ini sebagai kondisi  yang berpotensi mengobrak-abrik struktur kehidupan sosial.</w:t>
      </w:r>
      <w:r>
        <w:rPr>
          <w:rStyle w:val="FootnoteAnchor"/>
        </w:rPr>
        <w:footnoteReference w:id="280"/>
      </w:r>
      <w:r>
        <w:rPr>
          <w:rFonts w:eastAsia="Times New Roman" w:cs="Times New Roman" w:ascii="Times New Roman" w:hAnsi="Times New Roman"/>
          <w:color w:val="111111"/>
          <w:sz w:val="28"/>
          <w:szCs w:val="28"/>
          <w:lang w:val="en-US"/>
        </w:rPr>
        <w:t>Sebagaimana  telah diutarakan sebelumnya, saat memvonis penistaan simbol sakral agama  sebagai tindak kejahatan, pihak pengadilan AS sendiri beralasan karena hal itu  melawan ketertiban umum dan etika sosial.</w:t>
      </w:r>
      <w:r>
        <w:rPr>
          <w:rStyle w:val="FootnoteAnchor"/>
        </w:rPr>
        <w:footnoteReference w:id="281"/>
      </w:r>
      <w:r>
        <w:rPr>
          <w:rFonts w:eastAsia="Times New Roman" w:cs="Times New Roman" w:ascii="Times New Roman" w:hAnsi="Times New Roman"/>
          <w:color w:val="111111"/>
          <w:sz w:val="28"/>
          <w:szCs w:val="28"/>
          <w:lang w:val="en-US"/>
        </w:rPr>
        <w:t>Namun, rangkaian justifikasi untuk  memidanakan penistaan simbol sakral agama ini tidak begitu berarti. Alasannya,  pertama: masyarakat Barat sekarang ini pun pada umumnya tak punya ikatan  spiritual yang cukup kokoh dengan ajaran Kristen. Kedua, kontras dengan Islam,  agama Kristen tak lagi memiliki legitimasi dari segi teks keagamaan dan sumber  wahyu, khususnya di kalangan penganutnya sendiri. Di sisi lain, teks-teks ajaran  Kristen sekarang ini lebih banyak mengemukakan bimbingan moral yang telah  terdistorsi sedemikian rupa dari pada undang-undang yuridis. Bahkan menurut  pengakuan para pemikir Barat, hukum gereja bukanlah produk wahyu.</w:t>
      </w:r>
      <w:r>
        <w:rPr>
          <w:rStyle w:val="FootnoteAnchor"/>
        </w:rPr>
        <w:footnoteReference w:id="282"/>
      </w:r>
      <w:r>
        <w:rPr>
          <w:rFonts w:eastAsia="Times New Roman" w:cs="Times New Roman" w:ascii="Times New Roman" w:hAnsi="Times New Roman"/>
          <w:color w:val="111111"/>
          <w:sz w:val="28"/>
          <w:szCs w:val="28"/>
          <w:lang w:val="en-US"/>
        </w:rPr>
        <w:t xml:space="preserve"> Kendati demikian, prinsip memperkarakan secara pidana penistaan simbol  sakral agama dan pembelaan undang-undang blasphemy dalam undang-undang  Inggris, patut diapresiasi, khususnya dari aspek perlindungan terhadap etika sosial.</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Hanya dari aspek nepotisnya yang tidak melindungi agama-agama samawi non- </w:t>
      </w:r>
    </w:p>
    <w:p>
      <w:pPr>
        <w:pStyle w:val="BookText"/>
        <w:bidi w:val="0"/>
        <w:rPr/>
      </w:pPr>
      <w:r>
        <w:rPr>
          <w:rFonts w:eastAsia="Times New Roman" w:cs="Times New Roman" w:ascii="Times New Roman" w:hAnsi="Times New Roman"/>
          <w:color w:val="111111"/>
          <w:sz w:val="28"/>
          <w:szCs w:val="28"/>
          <w:lang w:val="en-US"/>
        </w:rPr>
        <w:t>Kristen, undang-undang ini dianggap cacat dan mendapat gugatan dari kaum  Muslimin juga ari sejumlah pakar hukum Barat sendiri. Berbeda halnya dengan  undang-undang Islam yang telah merasuki relung kehidupan masyarakat Islam.</w:t>
      </w:r>
    </w:p>
    <w:p>
      <w:pPr>
        <w:pStyle w:val="BookText"/>
        <w:bidi w:val="0"/>
        <w:jc w:val="both"/>
        <w:rPr/>
      </w:pPr>
      <w:r>
        <w:rPr>
          <w:rFonts w:eastAsia="Times New Roman" w:cs="Times New Roman" w:ascii="Times New Roman" w:hAnsi="Times New Roman"/>
          <w:color w:val="111111"/>
          <w:sz w:val="28"/>
          <w:szCs w:val="28"/>
          <w:lang w:val="en-US"/>
        </w:rPr>
        <w:t>Bukan saja telah menyerap karakter moral yang begitu pekat, melainkan pada  hakikatnya, undang-undang ini telah menjadi pembentuk hukum masyarakat  tersebut, sekaligus berperan penting dalam membangun dan menentukan sistem  hukum negara. Di samping itu undang-undang Islam juga menjadi variabel  entukan dan khas bagi ketertiban umum di tengah masyarakat Muslim, dan  pelanggaran terhadapnya dipandang kontra etika sosial.</w:t>
      </w:r>
    </w:p>
    <w:p>
      <w:pPr>
        <w:pStyle w:val="BookText"/>
        <w:bidi w:val="0"/>
        <w:jc w:val="both"/>
        <w:rPr/>
      </w:pPr>
      <w:r>
        <w:rPr>
          <w:rFonts w:eastAsia="Times New Roman" w:cs="Times New Roman" w:ascii="Times New Roman" w:hAnsi="Times New Roman"/>
          <w:color w:val="111111"/>
          <w:sz w:val="28"/>
          <w:szCs w:val="28"/>
          <w:lang w:val="en-US"/>
        </w:rPr>
        <w:t>Berdasarkan uraian di atas, dapat disimpulkan bahwa penistaan simbol sakral  di sejumlah masyarakat Kristen saja dapat melukai perasaan publik serta mengusik  tatanan sosialnya, lantas bagaimana dengan penistaan simbol sakral di tengah  masyarakat Islam yang jelas-jelas tidak dapat dibenarkan berdasarkan falsafah  pidananya. Padahal di negara-negara Muslim, sumber ajaran Islam (Al-Qur'an dan  Sunnah) jauh lebih diapresiasi kaum Muslimin ketimbang sumber ajaran Kristen  (Alkitab) oleh para pengikutnya. Tuntunan-tuntunan Islam juga punya pengaruh  dominan dalam konteks hukum di negara Muslim ketimbang tuntunan ajaran  Kristen di negaranya. Para pemimpin Islam khususnya Nabi Muhammad Saw jauh  lebih dicintai dan disakralkan umat Islam daripada pemimpin Kristen di kalangan  pengikutnya sendiri. Bahkan, berdasarkan ajaran Islam, kaum Muslimin juga  mewajibkan dirinya menghormati dan menyucikan nabi-nabi Ilahi lain.</w:t>
      </w:r>
    </w:p>
    <w:p>
      <w:pPr>
        <w:pStyle w:val="BookText"/>
        <w:bidi w:val="0"/>
        <w:jc w:val="both"/>
        <w:rPr/>
      </w:pPr>
      <w:r>
        <w:rPr>
          <w:rFonts w:eastAsia="Times New Roman" w:cs="Times New Roman" w:ascii="Times New Roman" w:hAnsi="Times New Roman"/>
          <w:color w:val="111111"/>
          <w:sz w:val="28"/>
          <w:szCs w:val="28"/>
          <w:lang w:val="en-US"/>
        </w:rPr>
        <w:t>Oleh karena itu, dapat ditegaskan bahwa memperkarakan secara pidana penistaan  simbol sakral agama, seperti kemurtadan, karena berbahaya bagi ketertiban umum  dan moral publik, sepenuhnya sejalan dengan hukum humaniter internasional.</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Sebagaimana telah diutarakan sebelumnya, berdasarkan laporan khusus perihal  kebebasan berpendapat dan berekspresi, artikel 3 pasal 19 Perjanjian Internasional  Hak-hak Sipil dan Politik, telah membatasi kebebasan berekspresi demi melindungi  etika sosial. Itulah sebabnya pihak pemerintah berhak campur tangan dalam masalah  kebebasan berekspresi dan membatasi seperlunya, dalam kerangka ketetapan  konstitusional, demi melindungi etika sosial dan moral publik.</w:t>
      </w:r>
      <w:r>
        <w:rPr>
          <w:rStyle w:val="FootnoteAnchor"/>
        </w:rPr>
        <w:footnoteReference w:id="283"/>
      </w:r>
      <w:r>
        <w:rPr>
          <w:rFonts w:eastAsia="Times New Roman" w:cs="Times New Roman" w:ascii="Times New Roman" w:hAnsi="Times New Roman"/>
          <w:color w:val="111111"/>
          <w:sz w:val="28"/>
          <w:szCs w:val="28"/>
          <w:lang w:val="en-US"/>
        </w:rPr>
        <w:t xml:space="preserve"> Dalam laporan itu, blasphemy atau penistaan simbol sakral agama telah  diputuskan sebagai fakta subversif vis-a-vis etika sosial. Kebebasan bereskpresi  layak dibatasi. Kendati pada praktiknya, negara-negara yang secara konstitusional </w:t>
      </w:r>
    </w:p>
    <w:p>
      <w:pPr>
        <w:pStyle w:val="BookText"/>
        <w:bidi w:val="0"/>
        <w:rPr/>
      </w:pPr>
      <w:r>
        <w:rPr>
          <w:rFonts w:eastAsia="Times New Roman" w:cs="Times New Roman" w:ascii="Times New Roman" w:hAnsi="Times New Roman"/>
          <w:color w:val="111111"/>
          <w:sz w:val="28"/>
          <w:szCs w:val="28"/>
          <w:lang w:val="en-US"/>
        </w:rPr>
        <w:t>menggunakan hak ini berdasarkan undang-undang resminya, senantiasa digugat  lembaga-lembaga internasional hak asasi manusia.</w:t>
      </w:r>
      <w:r>
        <w:rPr>
          <w:rStyle w:val="FootnoteAnchor"/>
        </w:rPr>
        <w:footnoteReference w:id="284"/>
      </w:r>
      <w:r>
        <w:rPr>
          <w:rFonts w:eastAsia="Times New Roman" w:cs="Times New Roman" w:ascii="Times New Roman" w:hAnsi="Times New Roman"/>
          <w:color w:val="111111"/>
          <w:sz w:val="28"/>
          <w:szCs w:val="28"/>
          <w:lang w:val="en-US"/>
        </w:rPr>
        <w:t xml:space="preserve"> Kesimpulan umumnya, falsafah pidana atas penistaan simbol sakral dalam  konteks hukum Islam ialah melindungi ketertiban umum dan etika sosial, serta  menghormati perasaan publik pengikut agama-agama samawi. Filsafat hukum ini  juga maktub dalam Common Law. Namun pada saat yang sama, para pengikut  Islam-seraya mengingat nilai sumber ajarannya serta keterikatan yang erat  dengan aturan agama—meyakini kesakralan dan kesucian khusus para nabi dan  tokoh-tokoh agama, khususnya Nabi Muhammad Saw. Kenyataannya, mereka  memandang penistaan para nabi atau tokoh agama identik dengan penistaan  terhadap semua pengikut agama samawi.</w:t>
      </w:r>
    </w:p>
    <w:p>
      <w:pPr>
        <w:pStyle w:val="BookText"/>
        <w:bidi w:val="0"/>
        <w:jc w:val="both"/>
        <w:rPr/>
      </w:pPr>
      <w:r>
        <w:rPr>
          <w:rFonts w:eastAsia="Times New Roman" w:cs="Times New Roman" w:ascii="Times New Roman" w:hAnsi="Times New Roman"/>
          <w:color w:val="111111"/>
          <w:sz w:val="28"/>
          <w:szCs w:val="28"/>
          <w:lang w:val="en-US"/>
        </w:rPr>
        <w:t>Merujuk penjelasan seputar falsafah status penistaan simbol sakral sebagai  kriminalitas dapat dipastikan bahwa memperkarakan secara pidana kasus tersebut,  khususnya di tengah masyarakat Islam sama sekali tidak bertentangan dengan prinsip  hak asasi manusia. Malah sejalan dengan butir 3 pasal 19 Perjanjian Internasional  Hak-hak Sipil dan Politik (bahwa kebebasan berekspresi layak dibatasi sedemikian  rupa demi melindungi ‘etika sosial').</w:t>
      </w:r>
    </w:p>
    <w:p>
      <w:pPr>
        <w:pStyle w:val="BookText"/>
        <w:bidi w:val="0"/>
        <w:jc w:val="both"/>
        <w:rPr/>
      </w:pPr>
      <w:r>
        <w:rPr>
          <w:rFonts w:eastAsia="Times New Roman" w:cs="Times New Roman" w:ascii="Times New Roman" w:hAnsi="Times New Roman"/>
          <w:color w:val="111111"/>
          <w:sz w:val="28"/>
          <w:szCs w:val="28"/>
          <w:lang w:val="en-US"/>
        </w:rPr>
        <w:t>Dalam konteks ini terdapat pendapat lain yang menyatakan bahwa  memperkarakan secara pidana penistaan simbol sakral agama bertentangan dengan  kebebasan berekspresi, bahkan kebebasan beragama.</w:t>
      </w:r>
      <w:r>
        <w:rPr>
          <w:rStyle w:val="FootnoteAnchor"/>
        </w:rPr>
        <w:footnoteReference w:id="285"/>
      </w:r>
      <w:r>
        <w:rPr>
          <w:rFonts w:eastAsia="Times New Roman" w:cs="Times New Roman" w:ascii="Times New Roman" w:hAnsi="Times New Roman"/>
          <w:color w:val="111111"/>
          <w:sz w:val="28"/>
          <w:szCs w:val="28"/>
          <w:lang w:val="en-US"/>
        </w:rPr>
        <w:t>Menanggapi pendapat ini,  perlu dikatakan bahwa jika sebagian negara, seperti AS mengakomodasi kebebasan  beragama dalam undang-undang dasarnya, itu berarti setiap orang bebas memilih  agama yang diminatinya. Namun, kebebasan itu tidak sampai memberinya hak  untuk melecehkan keyakinan dan agama yang tidak dipilihnya.</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Secara prinsip, penistaan bukanlah ekspresi, melainkan tindak kriminal. Karena  menurut semua sistem hukum yang secara formal mengakui kebebasan berekspresi,  penistaan terhadap yang lain adalah terlarang. Penistaan ini dapat ditujukan  kepada individu atau juga keimanannya. Objek ini jelas relatif. Maksudnya,  berbeda-beda sesuai adat dan budaya setempat. Oleh karena itu, di negara Islam </w:t>
      </w:r>
      <w:bookmarkStart w:id="165" w:name="pg6393_43137"/>
    </w:p>
    <w:p>
      <w:pPr>
        <w:pStyle w:val="BookText"/>
        <w:bidi w:val="0"/>
        <w:rPr/>
      </w:pPr>
      <w:bookmarkEnd w:id="165"/>
      <w:r>
        <w:rPr>
          <w:rFonts w:eastAsia="Times New Roman" w:cs="Times New Roman" w:ascii="Times New Roman" w:hAnsi="Times New Roman"/>
          <w:color w:val="111111"/>
          <w:sz w:val="28"/>
          <w:szCs w:val="28"/>
          <w:lang w:val="en-US"/>
        </w:rPr>
        <w:t>yang penduduknya punya keterikatan yang sangat erat dengan agama dan simbol  sakralnya, kemurtadan yang senyatanya propaganda anti-agama jelas bertentangan  dengan ketertiban umum dan etika sosial.</w:t>
      </w:r>
    </w:p>
    <w:p>
      <w:pPr>
        <w:pStyle w:val="BookText"/>
        <w:bidi w:val="0"/>
        <w:jc w:val="both"/>
        <w:rPr/>
      </w:pPr>
      <w:r>
        <w:rPr>
          <w:rFonts w:eastAsia="Times New Roman" w:cs="Times New Roman" w:ascii="Times New Roman" w:hAnsi="Times New Roman"/>
          <w:color w:val="111111"/>
          <w:sz w:val="28"/>
          <w:szCs w:val="28"/>
          <w:lang w:val="en-US"/>
        </w:rPr>
        <w:t>Atas dasar itu falsafah pidana penistaan simbol sakral agama menurut hukum  Islam tak lain adalah subversi terhadap ketertiban umum dan etika sosial. Oleh  karena itu dalam masyarakat beragama, terlebih yang hidup di bawah pemerintahan  agama, mengingat opini para pengikut agama samawi berkaitan sangat erat dengan  ihwal sakral dan para pemimpin agama. Selain status mereka sebagai figur personal  juga figur hukum-bagaimana mungkin penistaan simbol sakral dibiarkan begitu  saja? Padahal, dalam masyarakat yang bernaung di bawah rezim sekuler sekalipun  penistaan prinsip-prinsip sosial yang dapat mengusik ketertiban umum atau etika  sosial secara hukum tidak diperbolehkan minimal secara praktis dipandang ilegal.</w:t>
      </w:r>
    </w:p>
    <w:p>
      <w:pPr>
        <w:pStyle w:val="BookText"/>
        <w:bidi w:val="0"/>
        <w:jc w:val="both"/>
        <w:rPr/>
      </w:pPr>
      <w:r>
        <w:rPr>
          <w:rFonts w:eastAsia="Times New Roman" w:cs="Times New Roman" w:ascii="Times New Roman" w:hAnsi="Times New Roman"/>
          <w:color w:val="111111"/>
          <w:sz w:val="28"/>
          <w:szCs w:val="28"/>
          <w:lang w:val="en-US"/>
        </w:rPr>
        <w:t>Banyak contoh fakta di atas dapat dengan mudah dijumpai pada sikap negara  adidaya barat dalam memperlakukan negara-negara dunia ketiga, dan khususnya  negara Islam. Kalangan liberal di dunia tentu masih ingat bagaimana negara-negara  Barat dalam konteks pemilu bebas di Aljazair—yang akhirnya dimenangkan  kelompok Islam-menggunakan kekerasan untuk melawan suara rakyat dengan  alasan: membela kebebasan dan demokrasi, minimal mendukung pembungkaman  massal suara publik!  Belakangan, seorang pejabat tinggi Amerika secara resmi menyatakan, “Kami  tidak akan membiarkan rakyat Irak mendirikan pemerintahan seperti pemerintahan  Republik Islam Iran! Inilah nilai demokrasi Barat! Oleh karena itu, menurut  demokrasi ala Amerika, rakyat Irak hanya berhak menuntut sesuatu yang diinginkan  AS untuk masa depannya!</w:t>
      </w:r>
    </w:p>
    <w:p>
      <w:pPr>
        <w:pStyle w:val="Heading3"/>
        <w:numPr>
          <w:ilvl w:val="2"/>
          <w:numId w:val="1"/>
        </w:numPr>
        <w:bidi w:val="0"/>
        <w:jc w:val="left"/>
        <w:rPr/>
      </w:pPr>
      <w:bookmarkStart w:id="166" w:name="__RefHeading___Toc419570_653776707"/>
      <w:bookmarkStart w:id="167" w:name="_Toc62"/>
      <w:bookmarkEnd w:id="166"/>
      <w:r>
        <w:rPr/>
        <w:t>Ikhtisar</w:t>
      </w:r>
      <w:bookmarkEnd w:id="16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Berdasarkan pembahasan sebelumnya seputar definisi, kerangka, kondisi,  dan syarat-syarat kemurtadan dapat disimpulkan bahwa, makna hakiki dari  kemurtadan adalah ekspresi pengingkaran terhadap agama dan propaganda  anti-agama dengan sikap keras kepala (“inâd) dan motif permusuhan, bukan  didorong argumentasi dan logika, atau dipicu kerancuan dan kekeliruan  intelektual. Oleh karena itu, dapat dikatakan falsafah kemurtadan adalah  propaganda anti-agama dan selanjutnya ancaman bagi ketertiban umum  dan etika sosial masyarakat Islam.</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sejumlah pakar Muslim, jalan untuk mencapai tujuan syariat  adalah pembelaan terhadap lima prinsip yang populer disebut al-darâriyât </w:t>
      </w:r>
    </w:p>
    <w:p>
      <w:pPr>
        <w:pStyle w:val="BookText"/>
        <w:bidi w:val="0"/>
        <w:rPr/>
      </w:pPr>
      <w:r>
        <w:rPr>
          <w:rFonts w:eastAsia="Times New Roman" w:cs="Times New Roman" w:ascii="Times New Roman" w:hAnsi="Times New Roman"/>
          <w:color w:val="111111"/>
          <w:sz w:val="28"/>
          <w:szCs w:val="28"/>
          <w:lang w:val="en-US"/>
        </w:rPr>
        <w:t>al-khams: agama, nyawa, akal, keturunan, dan harta manusia. Menurut  mereka, telah tersedia mekanisme tertentu untuk melindungi masing-  masing prinsip tersebut. Adapun cara melindungi agama adalah “jihad' dan  ‘hukuman kemurtadan'.</w:t>
      </w:r>
    </w:p>
    <w:p>
      <w:pPr>
        <w:pStyle w:val="BookText"/>
        <w:bidi w:val="0"/>
        <w:jc w:val="both"/>
        <w:rPr/>
      </w:pPr>
      <w:r>
        <w:rPr>
          <w:rFonts w:eastAsia="Times New Roman" w:cs="Times New Roman" w:ascii="Times New Roman" w:hAnsi="Times New Roman"/>
          <w:color w:val="111111"/>
          <w:sz w:val="28"/>
          <w:szCs w:val="28"/>
          <w:lang w:val="en-US"/>
        </w:rPr>
        <w:t>Dalam masyarakat religius khususnya, manakala pemerintah mepunyai  komitmen yang sama dengan khalayak terhadap hukum-hukum agama,  propaganda anti-agama akan merusak ketertiban dan etika sosial. Itulah  mengapa pemerintah, juga individu dalam masyarakat, berkewajiban  melindungi eksistensi agama.</w:t>
      </w:r>
    </w:p>
    <w:p>
      <w:pPr>
        <w:pStyle w:val="BookText"/>
        <w:bidi w:val="0"/>
        <w:jc w:val="both"/>
        <w:rPr/>
      </w:pPr>
      <w:r>
        <w:rPr>
          <w:rFonts w:eastAsia="Times New Roman" w:cs="Times New Roman" w:ascii="Times New Roman" w:hAnsi="Times New Roman"/>
          <w:color w:val="111111"/>
          <w:sz w:val="28"/>
          <w:szCs w:val="28"/>
          <w:lang w:val="en-US"/>
        </w:rPr>
        <w:t>Oleh karena itu, dapat dipastikan bahwa memperkarakan kemurtadan  secara pidana, dengan alasan bertentangan dengan ketertiban umum dan  etika sosial di negara yang menetapkan kemurtadan sebagai delik pidana,  khususnya negara Islam, sesuai dengan hak asasi manusia dalam hukum  internasional. Menurut laporan khusus perihal kebebasan berpendapat  dan berekspresi, artikel ke-3 pasal ke-19 mengenai hak-hak sipil dan  politik, kebebasan berekspresi dibatasi sedemikian rupa guna melindungi  etika sosial. Itulah sebabnya, pihak pemerintah berhak intervensi dalam hal  kebebasan berekspresi dan membatasi seperlunya dalam bingkai konstitusi  demi melindungi etika sosial.</w:t>
      </w:r>
    </w:p>
    <w:p>
      <w:pPr>
        <w:pStyle w:val="BookText"/>
        <w:bidi w:val="0"/>
        <w:jc w:val="both"/>
        <w:rPr/>
      </w:pPr>
      <w:r>
        <w:rPr>
          <w:rFonts w:eastAsia="Times New Roman" w:cs="Times New Roman" w:ascii="Times New Roman" w:hAnsi="Times New Roman"/>
          <w:color w:val="111111"/>
          <w:sz w:val="28"/>
          <w:szCs w:val="28"/>
          <w:lang w:val="en-US"/>
        </w:rPr>
        <w:t>Laporan khusus hak-hak asasi manusia juga menekankan bahwa etika  sosial merupakan konsep yang luas dan berbeda-beda, sesuai prinsip undang-  undang dan pemahaman domestik setiap negara, yang diakomodasi dari  berbagai latar politik dan budaya nasional.</w:t>
      </w:r>
    </w:p>
    <w:p>
      <w:pPr>
        <w:pStyle w:val="BookText"/>
        <w:bidi w:val="0"/>
        <w:jc w:val="both"/>
        <w:rPr/>
      </w:pPr>
      <w:r>
        <w:rPr>
          <w:rFonts w:eastAsia="Times New Roman" w:cs="Times New Roman" w:ascii="Times New Roman" w:hAnsi="Times New Roman"/>
          <w:color w:val="111111"/>
          <w:sz w:val="28"/>
          <w:szCs w:val="28"/>
          <w:lang w:val="en-US"/>
        </w:rPr>
        <w:t>2.Selain itu, pasal 29 Deklarasi Hak Asasi Manusia juga menegaskan peran  tuntutan etis dan ketertiban umum dalam membatasi kebebasan.</w:t>
      </w:r>
    </w:p>
    <w:p>
      <w:pPr>
        <w:pStyle w:val="BookText"/>
        <w:bidi w:val="0"/>
        <w:jc w:val="both"/>
        <w:rPr/>
      </w:pPr>
      <w:r>
        <w:rPr>
          <w:rFonts w:eastAsia="Times New Roman" w:cs="Times New Roman" w:ascii="Times New Roman" w:hAnsi="Times New Roman"/>
          <w:color w:val="111111"/>
          <w:sz w:val="28"/>
          <w:szCs w:val="28"/>
          <w:lang w:val="en-US"/>
        </w:rPr>
        <w:t>Sebagian ulama berpendapat bahwa kemurtadan merupakan hukum  eksekutif (al-hukm al-hukûmatî) negara yang berubah-ubah sesuai  perubahan ruang dan waktu. Mengingat falsafah pidana kemurtadan  dalam pandangan Islam yang telah dijelaskan sebelumnya, persoalan  apakah secara mendasar kemurtadan itu hukum eksekutif ataukah hukum  primer (al-hukm al-awwalî) syariat, pada akhirnya menjadikan kebijakan  pemerintah Islam. Berdasarkan prinsip maslahat, dapat memasuki ruang  lingkup ini (sebagaimana hukum-hukum primer lain yang dalam kondisi  tertentu, mendahulukan hukum eksekutif atas hukum primer).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dasar ini, termasuk pula ihwal kemurtadan, selama falsafah  hukumnya masih berlaku, hukumannya juga tetap ada. Hanya ketika </w:t>
      </w:r>
    </w:p>
    <w:p>
      <w:pPr>
        <w:pStyle w:val="BookText"/>
        <w:bidi w:val="0"/>
        <w:rPr/>
      </w:pPr>
      <w:r>
        <w:rPr>
          <w:rFonts w:eastAsia="Times New Roman" w:cs="Times New Roman" w:ascii="Times New Roman" w:hAnsi="Times New Roman"/>
          <w:color w:val="111111"/>
          <w:sz w:val="28"/>
          <w:szCs w:val="28"/>
          <w:lang w:val="en-US"/>
        </w:rPr>
        <w:t>memandang pelaksanaan hukuman murtad benar-benar bertolak  belakang dengan maslahat Islam dan Muslimin, pemerintah Islam berhak  mengurungkannya selama maslahat itu masih ada.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Undang-undang yang berkaitan dengan blasphemy masih diapresiasi  nilai hukum di Inggris. Padahal, belakangan, banyak pihak berupaya  menghapus undang-undang tersebut. Menurut mereka, di samping fakta  bahwa undang-undang yang tidak melindungi agama-agama lain ini tidak  logis, pada dasarnya agama Kristen tidak perlu perlindungan hukum.</w:t>
      </w:r>
    </w:p>
    <w:p>
      <w:pPr>
        <w:pStyle w:val="BookText"/>
        <w:bidi w:val="0"/>
        <w:jc w:val="both"/>
        <w:rPr/>
      </w:pPr>
      <w:r>
        <w:rPr>
          <w:rFonts w:eastAsia="Times New Roman" w:cs="Times New Roman" w:ascii="Times New Roman" w:hAnsi="Times New Roman"/>
          <w:color w:val="111111"/>
          <w:sz w:val="28"/>
          <w:szCs w:val="28"/>
          <w:lang w:val="en-US"/>
        </w:rPr>
        <w:t>Argumentasi ini otomatis menjadi bukti paling konkret, bahwa  mengingat negara-negara Barat tak punya ketergantungan pada agama.</w:t>
      </w:r>
    </w:p>
    <w:p>
      <w:pPr>
        <w:pStyle w:val="BookText"/>
        <w:bidi w:val="0"/>
        <w:jc w:val="both"/>
        <w:rPr/>
      </w:pPr>
      <w:r>
        <w:rPr>
          <w:rFonts w:eastAsia="Times New Roman" w:cs="Times New Roman" w:ascii="Times New Roman" w:hAnsi="Times New Roman"/>
          <w:color w:val="111111"/>
          <w:sz w:val="28"/>
          <w:szCs w:val="28"/>
          <w:lang w:val="en-US"/>
        </w:rPr>
        <w:t>Dengan demikian banyak sekali upaya untuk menghapus undang-  undang tersebut. Jadi, itu bukan lantaran adanya penghormatan terhadap  kebebasan berekspresi. Dengan kata lain, tidak adanya penekanan atas  undang-undang ini dikategorikan negatif lantaran ketiadaan subjeknya.</w:t>
      </w:r>
    </w:p>
    <w:p>
      <w:pPr>
        <w:pStyle w:val="BookText"/>
        <w:bidi w:val="0"/>
        <w:jc w:val="both"/>
        <w:rPr/>
      </w:pPr>
      <w:r>
        <w:rPr>
          <w:rFonts w:eastAsia="Times New Roman" w:cs="Times New Roman" w:ascii="Times New Roman" w:hAnsi="Times New Roman"/>
          <w:color w:val="111111"/>
          <w:sz w:val="28"/>
          <w:szCs w:val="28"/>
          <w:lang w:val="en-US"/>
        </w:rPr>
        <w:t>Karenanya, kapan pun propaganda anti-Kristen, atau penistaan simbol  sakral agama, dianggap benar-benar—dan secara serius—bertentangan  dengan ketertiban umum dan etika sosial, niscaya negara-negara Barat  akan langsung memaksakan delik pidana atas kemurtadan dan penistaan  simbol sakral agama. Namun, mengingat negara-negara Barat dewasa ini  aktif penyokong sekularisme, baik secara terbuka maupun diam-diam,  kebanyakan mereka menganggap propaganda anti-agama seirama dan  tidak bertentangan dengan tujuan mereka.</w:t>
      </w:r>
    </w:p>
    <w:p>
      <w:pPr>
        <w:pStyle w:val="BookText"/>
        <w:bidi w:val="0"/>
        <w:jc w:val="both"/>
        <w:rPr/>
      </w:pPr>
      <w:r>
        <w:rPr>
          <w:rFonts w:eastAsia="Times New Roman" w:cs="Times New Roman" w:ascii="Times New Roman" w:hAnsi="Times New Roman"/>
          <w:color w:val="111111"/>
          <w:sz w:val="28"/>
          <w:szCs w:val="28"/>
          <w:lang w:val="en-US"/>
        </w:rPr>
        <w:t>Sejumlah besar pakar hukum Inggris melakukan pembelaan atas  undang-undang ini seraya menjelaskan falsafah pidana blasphemy.</w:t>
      </w:r>
    </w:p>
    <w:p>
      <w:pPr>
        <w:pStyle w:val="BookText"/>
        <w:bidi w:val="0"/>
        <w:jc w:val="both"/>
        <w:rPr/>
      </w:pPr>
      <w:r>
        <w:rPr>
          <w:rFonts w:eastAsia="Times New Roman" w:cs="Times New Roman" w:ascii="Times New Roman" w:hAnsi="Times New Roman"/>
          <w:color w:val="111111"/>
          <w:sz w:val="28"/>
          <w:szCs w:val="28"/>
          <w:lang w:val="en-US"/>
        </w:rPr>
        <w:t>Menurut mereka, jika penistaan simbol sakral agama dimaksudkan untuk  melukai perasaan umat manusia, secara terbuka menghina gereja resmi,  atau menyebarkan hal-hal asusila, akan termasuk kriminalitas. Sebenarnya,  dengan justifikasi ini, mereka berniat menjelaskan falsafah kriminalitas  tersebut, yaitu to wound the feelings of mankind(melukai perasaan umat  manusia) dan to promote immorality(menyebarkan hal-hal tak etis) yang  semuanya berkorelasi dengan etika sosial.</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Rangkaian justifikasi untuk memidanakan penistaan simbol sakral  agama ini tidak begitu berarti. Alasannya, pertama: masyarakat Barat  sekarang ini pun pada umumnya tak punya ikatan spiritual yang cukup  kokoh dengan ajaran Kristen. Kedua, kontras dengan Islam, agama Kristen  tak lagi memiliki legitimasi dari segi teks keagamaan dan sumber wahyu, </w:t>
      </w:r>
    </w:p>
    <w:p>
      <w:pPr>
        <w:pStyle w:val="BookText"/>
        <w:bidi w:val="0"/>
        <w:rPr/>
      </w:pPr>
      <w:r>
        <w:rPr>
          <w:rFonts w:eastAsia="Times New Roman" w:cs="Times New Roman" w:ascii="Times New Roman" w:hAnsi="Times New Roman"/>
          <w:color w:val="111111"/>
          <w:sz w:val="28"/>
          <w:szCs w:val="28"/>
          <w:lang w:val="en-US"/>
        </w:rPr>
        <w:t>khususnya di kalangan penganutnya sendiri. Di sisi lain, teks-teks ajaran  Kristen sekarang ini lebih banyak mengemukakan bimbingan moral  yang telah terdistorsi sedemikian rupa daripada undang-undang yuridis.</w:t>
      </w:r>
    </w:p>
    <w:p>
      <w:pPr>
        <w:pStyle w:val="BookText"/>
        <w:bidi w:val="0"/>
        <w:jc w:val="both"/>
        <w:rPr/>
      </w:pPr>
      <w:r>
        <w:rPr>
          <w:rFonts w:eastAsia="Times New Roman" w:cs="Times New Roman" w:ascii="Times New Roman" w:hAnsi="Times New Roman"/>
          <w:color w:val="111111"/>
          <w:sz w:val="28"/>
          <w:szCs w:val="28"/>
          <w:lang w:val="en-US"/>
        </w:rPr>
        <w:t>Bahkan, menurut pengakuan para pemikir Barat, hukum gereja bukanlah  produk wahyu. Berbeda halnya dengan undang-undang Islam yang telah  merasuki relung kehidupan masyarakat Islam. Jadinya, bukan saja telah  menyerap karakter moral yang begitu pekat, melainkan pada hakikatnya,  undang-undang ini telah menjadi pembentuk hukum masyarakat tersebut,  sekaligus berperan penting dalam membangun dan menentukan sistem  hukum negaranya. Di samping itu, undang-undang Islam juga menjadi  variabel menentukan dan khas bagi ketertiban umum di tengah masyarakat  Muslim  Secara prinsip, penistaan bukanlah ekspresi, melainkan tindak kriminal.</w:t>
      </w:r>
    </w:p>
    <w:p>
      <w:pPr>
        <w:pStyle w:val="BookText"/>
        <w:bidi w:val="0"/>
        <w:jc w:val="both"/>
        <w:rPr/>
      </w:pPr>
      <w:r>
        <w:rPr>
          <w:rFonts w:eastAsia="Times New Roman" w:cs="Times New Roman" w:ascii="Times New Roman" w:hAnsi="Times New Roman"/>
          <w:color w:val="111111"/>
          <w:sz w:val="28"/>
          <w:szCs w:val="28"/>
          <w:lang w:val="en-US"/>
        </w:rPr>
        <w:t>Karena, menurut semua sistem hukum yang secara formal mengakui  kebebasan berekspresi, penistaan terhadap yang lain adalah tindakan  terlarang. Penistaan ini dapat ditujukan kepada individu atau juga  keimanannya. Objek ini jelas relatif. Maksudnya, berbeda-beda sesuai adat  dan budaya setempat. Oleh karena itu, di negara Islam yang penduduknya  punya keterikatan yang sangat erat dengan agama dan simbol sakralnya,  kemurtadan yang senyatanya propaganda anti-agama jelas bertentangan  dengan ketertiban umum dan etika sosial.</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Bahkan, dalam masyarakat yang bernaung di bawah rezim demokratis  sekalipun, penistaan prinsip-prinsip sosial yang dapat mengusik ketertiban  umum atau etika sosial secara hukum tidak diperbolehkan minimal  secara praktis dipandang ilegal. Banyak contoh fakta di atas dapat dengan  mudah dijumpai pada sikap negara adidaya barat dalam memperlakukan  negara-negara dunia ketiga, dan khususnya negara Islam.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68" w:name="pg6393_43142"/>
      <w:bookmarkStart w:id="169" w:name="pg6393_43142"/>
      <w:bookmarkEnd w:id="169"/>
    </w:p>
    <w:p>
      <w:pPr>
        <w:pStyle w:val="Heading2"/>
        <w:numPr>
          <w:ilvl w:val="1"/>
          <w:numId w:val="1"/>
        </w:numPr>
        <w:bidi w:val="0"/>
        <w:jc w:val="left"/>
        <w:rPr/>
      </w:pPr>
      <w:bookmarkStart w:id="170" w:name="pg6393_43142"/>
      <w:bookmarkStart w:id="171" w:name="__RefHeading___Toc419572_653776707"/>
      <w:bookmarkStart w:id="172" w:name="_Toc63"/>
      <w:bookmarkEnd w:id="170"/>
      <w:bookmarkEnd w:id="171"/>
      <w:r>
        <w:rPr/>
        <w:t>Daftar Pustaka</w:t>
      </w:r>
      <w:bookmarkEnd w:id="172"/>
    </w:p>
    <w:p>
      <w:pPr>
        <w:pStyle w:val="BookText"/>
        <w:bidi w:val="0"/>
        <w:jc w:val="both"/>
        <w:rPr/>
      </w:pPr>
      <w:r>
        <w:rPr>
          <w:rFonts w:eastAsia="Times New Roman" w:cs="Times New Roman" w:ascii="Times New Roman" w:hAnsi="Times New Roman"/>
          <w:color w:val="111111"/>
          <w:sz w:val="28"/>
          <w:szCs w:val="28"/>
          <w:lang w:val="en-US"/>
        </w:rPr>
        <w:t>Al-Qur'an  Nahj Al-Balâghah  Literatur Parsi  David, Rene: Nezdomho-ye Buzurg-e Huqûqi-e Mu'osher, terj. Dr. Ashuri, Safa'i and  Iraqi, Markaz-e Nasyr-e Doneshgohi, Tehran, cet. 3, 1375 HS.</w:t>
      </w:r>
    </w:p>
    <w:p>
      <w:pPr>
        <w:pStyle w:val="BookText"/>
        <w:bidi w:val="0"/>
        <w:jc w:val="both"/>
        <w:rPr/>
      </w:pPr>
      <w:r>
        <w:rPr>
          <w:rFonts w:eastAsia="Times New Roman" w:cs="Times New Roman" w:ascii="Times New Roman" w:hAnsi="Times New Roman"/>
          <w:color w:val="111111"/>
          <w:sz w:val="28"/>
          <w:szCs w:val="28"/>
          <w:lang w:val="en-US"/>
        </w:rPr>
        <w:t>Hashimi, Sayid Muhammad: Huqûq-e Asosi-e Jumhuri-e Eslomi-e Iron, jld. 2,  Mujtama'-e Omuzesy-e Oli-e Qom, cet. 2, musim semi, 1375 HS.</w:t>
      </w:r>
    </w:p>
    <w:p>
      <w:pPr>
        <w:pStyle w:val="BookText"/>
        <w:bidi w:val="0"/>
        <w:jc w:val="both"/>
        <w:rPr/>
      </w:pPr>
      <w:r>
        <w:rPr>
          <w:rFonts w:eastAsia="Times New Roman" w:cs="Times New Roman" w:ascii="Times New Roman" w:hAnsi="Times New Roman"/>
          <w:color w:val="111111"/>
          <w:sz w:val="28"/>
          <w:szCs w:val="28"/>
          <w:lang w:val="en-US"/>
        </w:rPr>
        <w:t>Hashimi, Sayid Husain: Majma'-e Tasykhish-e Mashlahat (Tahlil-e Mabo-ni-e Feqhi  va Huqûqi), Markaz-e Mutole ot va Pazhuhesyho-ye Farhangi-e Hauzeh-e  Elmiyyeh, Qom, cet. 1, 1381 HS.</w:t>
      </w:r>
    </w:p>
    <w:p>
      <w:pPr>
        <w:pStyle w:val="BookText"/>
        <w:bidi w:val="0"/>
        <w:jc w:val="both"/>
        <w:rPr/>
      </w:pPr>
      <w:r>
        <w:rPr>
          <w:rFonts w:eastAsia="Times New Roman" w:cs="Times New Roman" w:ascii="Times New Roman" w:hAnsi="Times New Roman"/>
          <w:color w:val="111111"/>
          <w:sz w:val="28"/>
          <w:szCs w:val="28"/>
          <w:lang w:val="en-US"/>
        </w:rPr>
        <w:t>Jaʼfari Langgarudi, Muhammad Jaʼfar: Terminologi-e Huquq, Ganj-e Danesy, Tehran,  cet. 8, 1376 Hs.</w:t>
      </w:r>
    </w:p>
    <w:p>
      <w:pPr>
        <w:pStyle w:val="BookText"/>
        <w:bidi w:val="0"/>
        <w:jc w:val="both"/>
        <w:rPr/>
      </w:pPr>
      <w:r>
        <w:rPr>
          <w:rFonts w:eastAsia="Times New Roman" w:cs="Times New Roman" w:ascii="Times New Roman" w:hAnsi="Times New Roman"/>
          <w:color w:val="111111"/>
          <w:sz w:val="28"/>
          <w:szCs w:val="28"/>
          <w:lang w:val="en-US"/>
        </w:rPr>
        <w:t>Kadiwar, Muhsin: “Ozodi-e `Aqideh va Madzhab dar Eslom va Asnod-e Huqûq-e  Basyar”, Majmu’eh-e Maqolot-e Hamoyesy-e Beinal Melali-e Huquq-e Basyar va  Goftegu-ye Tamaddunho, Moasseseh-e Entesyorot-e Doneshgoh-e Mufid, cet. 1,  1380 HS.</w:t>
      </w:r>
    </w:p>
    <w:p>
      <w:pPr>
        <w:pStyle w:val="BookText"/>
        <w:bidi w:val="0"/>
        <w:jc w:val="both"/>
        <w:rPr/>
      </w:pPr>
      <w:r>
        <w:rPr>
          <w:rFonts w:eastAsia="Times New Roman" w:cs="Times New Roman" w:ascii="Times New Roman" w:hAnsi="Times New Roman"/>
          <w:color w:val="111111"/>
          <w:sz w:val="28"/>
          <w:szCs w:val="28"/>
          <w:lang w:val="en-US"/>
        </w:rPr>
        <w:t>Soroush, Muhammad: "Oyo Ertedod Kaifar-e Hadd Dorad?”, majalah Hukûmat-e  Eslomi, vol. 19.</w:t>
      </w:r>
    </w:p>
    <w:p>
      <w:pPr>
        <w:pStyle w:val="BookText"/>
        <w:bidi w:val="0"/>
        <w:jc w:val="both"/>
        <w:rPr/>
      </w:pPr>
      <w:r>
        <w:rPr>
          <w:rFonts w:eastAsia="Times New Roman" w:cs="Times New Roman" w:ascii="Times New Roman" w:hAnsi="Times New Roman"/>
          <w:color w:val="111111"/>
          <w:sz w:val="28"/>
          <w:szCs w:val="28"/>
          <w:lang w:val="en-US"/>
        </w:rPr>
        <w:t>Soroush, Abdulkarim: “Ozodi-e Bayon”, bulanan Oftob, vol. 24, Farvar-din, 1382 HS.</w:t>
      </w:r>
    </w:p>
    <w:p>
      <w:pPr>
        <w:pStyle w:val="BookText"/>
        <w:bidi w:val="0"/>
        <w:jc w:val="both"/>
        <w:rPr/>
      </w:pPr>
      <w:r>
        <w:rPr>
          <w:rFonts w:eastAsia="Times New Roman" w:cs="Times New Roman" w:ascii="Times New Roman" w:hAnsi="Times New Roman"/>
          <w:color w:val="111111"/>
          <w:sz w:val="28"/>
          <w:szCs w:val="28"/>
          <w:lang w:val="en-US"/>
        </w:rPr>
        <w:t>__: “Ozodi-e Bayon: Haqq-e Ezdhor-e Nazdar va Ozodi-e `Aqideh”, dalam  bulanan Oftob, vol. 25, Ordibehesht, 1382 HS.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Tunc, André: Huqûq-e Eyolot-e Muttahedeh-e Omriko, terj. S. Hasan Safa’i,  Entesyorot-e Doneshgoh-e Tehran, cet. 4, musim panas, 1374 HS. </w:t>
      </w:r>
    </w:p>
    <w:p>
      <w:pPr>
        <w:pStyle w:val="BookText"/>
        <w:bidi w:val="0"/>
        <w:rPr/>
      </w:pPr>
      <w:r>
        <w:rPr>
          <w:rFonts w:eastAsia="Times New Roman" w:cs="Times New Roman" w:ascii="Times New Roman" w:hAnsi="Times New Roman"/>
          <w:color w:val="111111"/>
          <w:sz w:val="28"/>
          <w:szCs w:val="28"/>
          <w:lang w:val="en-US"/>
        </w:rPr>
        <w:t>Abi (Fadhil), Zainudin: Kasyf Al-Rumûz fi Syarh Al-Mukhtashar Al-Nafi', Muassasah  Al-Nasyr Al-Islami, cet. 3, Qom, 1417 H.</w:t>
      </w:r>
    </w:p>
    <w:p>
      <w:pPr>
        <w:pStyle w:val="BookText"/>
        <w:bidi w:val="0"/>
        <w:jc w:val="both"/>
        <w:rPr/>
      </w:pPr>
      <w:r>
        <w:rPr>
          <w:rFonts w:eastAsia="Times New Roman" w:cs="Times New Roman" w:ascii="Times New Roman" w:hAnsi="Times New Roman"/>
          <w:color w:val="111111"/>
          <w:sz w:val="28"/>
          <w:szCs w:val="28"/>
          <w:lang w:val="en-US"/>
        </w:rPr>
        <w:t>Alu Bahril Ulum, Sayid Muhammad Taqi: Bulghat Al-Faqih, Maktabah Al-Shadiq,  Tehran, cet. 4, 1403 H.</w:t>
      </w:r>
    </w:p>
    <w:p>
      <w:pPr>
        <w:pStyle w:val="BookText"/>
        <w:bidi w:val="0"/>
        <w:jc w:val="both"/>
        <w:rPr/>
      </w:pPr>
      <w:r>
        <w:rPr>
          <w:rFonts w:eastAsia="Times New Roman" w:cs="Times New Roman" w:ascii="Times New Roman" w:hAnsi="Times New Roman"/>
          <w:color w:val="111111"/>
          <w:sz w:val="28"/>
          <w:szCs w:val="28"/>
          <w:lang w:val="en-US"/>
        </w:rPr>
        <w:t>Amili (Syahid Awal), Abu Abdillah Muhammad bin Makki: Al-Durûs Al-Syar'iyah,  Muassasah Al-Nasyr Al-Islami, Qom, 1412 H.</w:t>
      </w:r>
    </w:p>
    <w:p>
      <w:pPr>
        <w:pStyle w:val="BookText"/>
        <w:bidi w:val="0"/>
        <w:jc w:val="both"/>
        <w:rPr/>
      </w:pPr>
      <w:r>
        <w:rPr>
          <w:rFonts w:eastAsia="Times New Roman" w:cs="Times New Roman" w:ascii="Times New Roman" w:hAnsi="Times New Roman"/>
          <w:color w:val="111111"/>
          <w:sz w:val="28"/>
          <w:szCs w:val="28"/>
          <w:lang w:val="en-US"/>
        </w:rPr>
        <w:t>_ : Al-Qawa'id wa Al-Fawâ’id, Maktabah Al-Mufid, Qom.</w:t>
      </w:r>
    </w:p>
    <w:p>
      <w:pPr>
        <w:pStyle w:val="BookText"/>
        <w:bidi w:val="0"/>
        <w:jc w:val="both"/>
        <w:rPr/>
      </w:pPr>
      <w:r>
        <w:rPr>
          <w:rFonts w:eastAsia="Times New Roman" w:cs="Times New Roman" w:ascii="Times New Roman" w:hAnsi="Times New Roman"/>
          <w:color w:val="111111"/>
          <w:sz w:val="28"/>
          <w:szCs w:val="28"/>
          <w:lang w:val="en-US"/>
        </w:rPr>
        <w:t>_ : Al-Lumʻah Al-Dimisyqiyah, Dar Al-Fikr, Qom, cet. 1, 1411 H.</w:t>
      </w:r>
    </w:p>
    <w:p>
      <w:pPr>
        <w:pStyle w:val="BookText"/>
        <w:bidi w:val="0"/>
        <w:jc w:val="both"/>
        <w:rPr/>
      </w:pPr>
      <w:r>
        <w:rPr>
          <w:rFonts w:eastAsia="Times New Roman" w:cs="Times New Roman" w:ascii="Times New Roman" w:hAnsi="Times New Roman"/>
          <w:color w:val="111111"/>
          <w:sz w:val="28"/>
          <w:szCs w:val="28"/>
          <w:lang w:val="en-US"/>
        </w:rPr>
        <w:t>Amili, Muhammad bin Hasan Hur: Tafshîl Wasâ'il Al-Syi'ah ilâ Tahshil Maså'il Al-  Syariah, (20 jilid) Dar Ihya' Al-Turats Al-Arabi, Bairut.</w:t>
      </w:r>
    </w:p>
    <w:p>
      <w:pPr>
        <w:pStyle w:val="BookText"/>
        <w:bidi w:val="0"/>
        <w:jc w:val="both"/>
        <w:rPr/>
      </w:pPr>
      <w:r>
        <w:rPr>
          <w:rFonts w:eastAsia="Times New Roman" w:cs="Times New Roman" w:ascii="Times New Roman" w:hAnsi="Times New Roman"/>
          <w:color w:val="111111"/>
          <w:sz w:val="28"/>
          <w:szCs w:val="28"/>
          <w:lang w:val="en-US"/>
        </w:rPr>
        <w:t>_ : Waså'il Al-Syiah ilâ Tahshil Masá’il Al-Syariah, (30 jilid) Muassasah Alu  Al-Albait, Qom, cet. 2, 1414 H.</w:t>
      </w:r>
    </w:p>
    <w:p>
      <w:pPr>
        <w:pStyle w:val="BookText"/>
        <w:bidi w:val="0"/>
        <w:jc w:val="both"/>
        <w:rPr/>
      </w:pPr>
      <w:r>
        <w:rPr>
          <w:rFonts w:eastAsia="Times New Roman" w:cs="Times New Roman" w:ascii="Times New Roman" w:hAnsi="Times New Roman"/>
          <w:color w:val="111111"/>
          <w:sz w:val="28"/>
          <w:szCs w:val="28"/>
          <w:lang w:val="en-US"/>
        </w:rPr>
        <w:t>Anshari, Syaikh Murtadha: Farấ'id Al-Ushủl, Majma' Al-Fikr Al-Islami, cet. 2,  Qom, 1415 H.</w:t>
      </w:r>
    </w:p>
    <w:p>
      <w:pPr>
        <w:pStyle w:val="BookText"/>
        <w:bidi w:val="0"/>
        <w:jc w:val="both"/>
        <w:rPr/>
      </w:pPr>
      <w:r>
        <w:rPr>
          <w:rFonts w:eastAsia="Times New Roman" w:cs="Times New Roman" w:ascii="Times New Roman" w:hAnsi="Times New Roman"/>
          <w:color w:val="111111"/>
          <w:sz w:val="28"/>
          <w:szCs w:val="28"/>
          <w:lang w:val="en-US"/>
        </w:rPr>
        <w:t>Ardabili (Muqaddas), Ahmad: Majma' Al-Fâ'idah wa Al-Burhân Fî Syarh Irsyad Al-  Adzhân, Muassasah Al-Nasyr Al-Islami, cet. 1, Qom, 1416 H.</w:t>
      </w:r>
    </w:p>
    <w:p>
      <w:pPr>
        <w:pStyle w:val="BookText"/>
        <w:bidi w:val="0"/>
        <w:jc w:val="both"/>
        <w:rPr/>
      </w:pPr>
      <w:r>
        <w:rPr>
          <w:rFonts w:eastAsia="Times New Roman" w:cs="Times New Roman" w:ascii="Times New Roman" w:hAnsi="Times New Roman"/>
          <w:color w:val="111111"/>
          <w:sz w:val="28"/>
          <w:szCs w:val="28"/>
          <w:lang w:val="en-US"/>
        </w:rPr>
        <w:t>Bahrani, Syaikh Yusuf: Al-Hadâ'iq Al-Nadhirah fi Ahkâm Al-'Itrat Al-Thâhirah,  diteliti oleh Muhammad Taqi Irawani, Muassasah Al-Nasyr Al-Islami, Qom.</w:t>
      </w:r>
    </w:p>
    <w:p>
      <w:pPr>
        <w:pStyle w:val="BookText"/>
        <w:bidi w:val="0"/>
        <w:jc w:val="both"/>
        <w:rPr/>
      </w:pPr>
      <w:r>
        <w:rPr>
          <w:rFonts w:eastAsia="Times New Roman" w:cs="Times New Roman" w:ascii="Times New Roman" w:hAnsi="Times New Roman"/>
          <w:color w:val="111111"/>
          <w:sz w:val="28"/>
          <w:szCs w:val="28"/>
          <w:lang w:val="en-US"/>
        </w:rPr>
        <w:t>Dailami (Sayyar), Abu Hamzah bin Abdulaziz: Al-Marâsim Al-'Alawiyah Fî Al-  Ahkâm Al-Nabawiyah, Muawenate Farhanggie Majma’e Jahanie Ahle Bait,  Qom, 1414 H.</w:t>
      </w:r>
    </w:p>
    <w:p>
      <w:pPr>
        <w:pStyle w:val="BookText"/>
        <w:bidi w:val="0"/>
        <w:jc w:val="both"/>
        <w:rPr/>
      </w:pPr>
      <w:r>
        <w:rPr>
          <w:rFonts w:eastAsia="Times New Roman" w:cs="Times New Roman" w:ascii="Times New Roman" w:hAnsi="Times New Roman"/>
          <w:color w:val="111111"/>
          <w:sz w:val="28"/>
          <w:szCs w:val="28"/>
          <w:lang w:val="en-US"/>
        </w:rPr>
        <w:t>Hakim, Sayid Muhsin: Mustamsak Al-'Urwah, Kitabkhanehe Ayatullah Mar’asyi,  Qom, 1404 H.</w:t>
      </w:r>
    </w:p>
    <w:p>
      <w:pPr>
        <w:pStyle w:val="BookText"/>
        <w:bidi w:val="0"/>
        <w:jc w:val="both"/>
        <w:rPr/>
      </w:pPr>
      <w:r>
        <w:rPr>
          <w:rFonts w:eastAsia="Times New Roman" w:cs="Times New Roman" w:ascii="Times New Roman" w:hAnsi="Times New Roman"/>
          <w:color w:val="111111"/>
          <w:sz w:val="28"/>
          <w:szCs w:val="28"/>
          <w:lang w:val="en-US"/>
        </w:rPr>
        <w:t>Halabi, Taqiudin Abu Shalah: Al-Kâfi fi Al-Fiqh, diteliti Ridha Ustadi.</w:t>
      </w:r>
    </w:p>
    <w:p>
      <w:pPr>
        <w:pStyle w:val="BookText"/>
        <w:bidi w:val="0"/>
        <w:jc w:val="both"/>
        <w:rPr/>
      </w:pPr>
      <w:r>
        <w:rPr>
          <w:rFonts w:eastAsia="Times New Roman" w:cs="Times New Roman" w:ascii="Times New Roman" w:hAnsi="Times New Roman"/>
          <w:color w:val="111111"/>
          <w:sz w:val="28"/>
          <w:szCs w:val="28"/>
          <w:lang w:val="en-US"/>
        </w:rPr>
        <w:t>Hilli (Allamah), Hasan bin Yusuf: Tahrîr Al-Ahkâm Al-Syar'iyah ‘alâ Madzhab Al-  Imâmiyyah, Muassasah Al Al-Bait, cetakan batu.</w:t>
      </w:r>
    </w:p>
    <w:p>
      <w:pPr>
        <w:pStyle w:val="BookText"/>
        <w:bidi w:val="0"/>
        <w:jc w:val="both"/>
        <w:rPr/>
      </w:pPr>
      <w:r>
        <w:rPr>
          <w:rFonts w:eastAsia="Times New Roman" w:cs="Times New Roman" w:ascii="Times New Roman" w:hAnsi="Times New Roman"/>
          <w:color w:val="111111"/>
          <w:sz w:val="28"/>
          <w:szCs w:val="28"/>
          <w:lang w:val="en-US"/>
        </w:rPr>
        <w:t>_ : Tadzkirat Al-Fuqahở” (Th. J.), Muassasah Al Al-Bait li Ihya' Al-Turats,  Qom, cet. 1, 1414 H.</w:t>
      </w:r>
    </w:p>
    <w:p>
      <w:pPr>
        <w:pStyle w:val="BookText"/>
        <w:bidi w:val="0"/>
        <w:jc w:val="both"/>
        <w:rPr/>
      </w:pPr>
      <w:r>
        <w:rPr>
          <w:rFonts w:eastAsia="Times New Roman" w:cs="Times New Roman" w:ascii="Times New Roman" w:hAnsi="Times New Roman"/>
          <w:color w:val="111111"/>
          <w:sz w:val="28"/>
          <w:szCs w:val="28"/>
          <w:lang w:val="en-US"/>
        </w:rPr>
        <w:t>_ : Qawa'id Al-Ahkâm fi Maʼrifat Al-Halâl wa Al-Harâm, Muassasah Al-  Nasyr Al-Islami, Qom, cet. 1, 1413 H.</w:t>
      </w:r>
    </w:p>
    <w:p>
      <w:pPr>
        <w:pStyle w:val="BookText"/>
        <w:bidi w:val="0"/>
        <w:jc w:val="both"/>
        <w:rPr/>
      </w:pPr>
      <w:r>
        <w:rPr>
          <w:rFonts w:eastAsia="Times New Roman" w:cs="Times New Roman" w:ascii="Times New Roman" w:hAnsi="Times New Roman"/>
          <w:color w:val="111111"/>
          <w:sz w:val="28"/>
          <w:szCs w:val="28"/>
          <w:lang w:val="en-US"/>
        </w:rPr>
        <w:t>: Muntahà Al-Mathlab, Nasyre Ahmad, Tabriz, 1333.</w:t>
      </w:r>
    </w:p>
    <w:p>
      <w:pPr>
        <w:pStyle w:val="BookText"/>
        <w:bidi w:val="0"/>
        <w:jc w:val="both"/>
        <w:rPr/>
      </w:pPr>
      <w:r>
        <w:rPr>
          <w:rFonts w:eastAsia="Times New Roman" w:cs="Times New Roman" w:ascii="Times New Roman" w:hAnsi="Times New Roman"/>
          <w:color w:val="111111"/>
          <w:sz w:val="28"/>
          <w:szCs w:val="28"/>
          <w:lang w:val="en-US"/>
        </w:rPr>
        <w:t>_ : Irsyad Al-Adzhân ilâ Ahkâm Al-Îmân, Muassasah Al-Nasyr Al-Islami,  Qom, cet.1, 1410 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_: Mukhtalaf Al-Syi'ah fi Ahkâm Al-Syariah, Muassasah Al-Nasyr Al-Islami, </w:t>
      </w:r>
    </w:p>
    <w:p>
      <w:pPr>
        <w:pStyle w:val="BookText"/>
        <w:bidi w:val="0"/>
        <w:rPr/>
      </w:pPr>
      <w:r>
        <w:rPr>
          <w:rFonts w:eastAsia="Times New Roman" w:cs="Times New Roman" w:ascii="Times New Roman" w:hAnsi="Times New Roman"/>
          <w:color w:val="111111"/>
          <w:sz w:val="28"/>
          <w:szCs w:val="28"/>
          <w:lang w:val="en-US"/>
        </w:rPr>
        <w:t>Qom, cet. 1, 1412 H.</w:t>
      </w:r>
    </w:p>
    <w:p>
      <w:pPr>
        <w:pStyle w:val="BookText"/>
        <w:bidi w:val="0"/>
        <w:jc w:val="both"/>
        <w:rPr/>
      </w:pPr>
      <w:r>
        <w:rPr>
          <w:rFonts w:eastAsia="Times New Roman" w:cs="Times New Roman" w:ascii="Times New Roman" w:hAnsi="Times New Roman"/>
          <w:color w:val="111111"/>
          <w:sz w:val="28"/>
          <w:szCs w:val="28"/>
          <w:lang w:val="en-US"/>
        </w:rPr>
        <w:t>Hilli (Fakhrul Muhaqiqin), Abu Thalib Muhammad bin Hasan: ſdhâh Al-Fawâ'id  fi Syarh Isykâlât Al-Qawâʻid, Muassasah Ismailiyan, Qom, cet. 1, 1389 H.</w:t>
      </w:r>
    </w:p>
    <w:p>
      <w:pPr>
        <w:pStyle w:val="BookText"/>
        <w:bidi w:val="0"/>
        <w:jc w:val="both"/>
        <w:rPr/>
      </w:pPr>
      <w:r>
        <w:rPr>
          <w:rFonts w:eastAsia="Times New Roman" w:cs="Times New Roman" w:ascii="Times New Roman" w:hAnsi="Times New Roman"/>
          <w:color w:val="111111"/>
          <w:sz w:val="28"/>
          <w:szCs w:val="28"/>
          <w:lang w:val="en-US"/>
        </w:rPr>
        <w:t>Hilli (Muhaqiq), Syaikh Ja'far: Syarâi" Al-Islâm fi Masâ'il Al-Halâl wa Al-Harâm,  Entesyorot-e Esteqlol, Tehran, cet. 2, 1403 H.</w:t>
      </w:r>
    </w:p>
    <w:p>
      <w:pPr>
        <w:pStyle w:val="BookText"/>
        <w:bidi w:val="0"/>
        <w:jc w:val="both"/>
        <w:rPr/>
      </w:pPr>
      <w:r>
        <w:rPr>
          <w:rFonts w:eastAsia="Times New Roman" w:cs="Times New Roman" w:ascii="Times New Roman" w:hAnsi="Times New Roman"/>
          <w:color w:val="111111"/>
          <w:sz w:val="28"/>
          <w:szCs w:val="28"/>
          <w:lang w:val="en-US"/>
        </w:rPr>
        <w:t>Ibnu Idris Hilli, Abu Ja'far Muhammad bin Mansur: Kitâb Al-Sarâ'ir Al-Hâwî li  Tahrir Al-Fatâwî, Intisyarat Jami'ah Mudarrisin, Qom, cet. 2, 1410 H.</w:t>
      </w:r>
    </w:p>
    <w:p>
      <w:pPr>
        <w:pStyle w:val="BookText"/>
        <w:bidi w:val="0"/>
        <w:jc w:val="both"/>
        <w:rPr/>
      </w:pPr>
      <w:r>
        <w:rPr>
          <w:rFonts w:eastAsia="Times New Roman" w:cs="Times New Roman" w:ascii="Times New Roman" w:hAnsi="Times New Roman"/>
          <w:color w:val="111111"/>
          <w:sz w:val="28"/>
          <w:szCs w:val="28"/>
          <w:lang w:val="en-US"/>
        </w:rPr>
        <w:t>Ibnu Barraj, Abdulaziz: Al-Muhadzdzab, Entesyorot-e Jomi'eh Mudarrisin, Qom,  1406 H.</w:t>
      </w:r>
    </w:p>
    <w:p>
      <w:pPr>
        <w:pStyle w:val="BookText"/>
        <w:bidi w:val="0"/>
        <w:jc w:val="both"/>
        <w:rPr/>
      </w:pPr>
      <w:r>
        <w:rPr>
          <w:rFonts w:eastAsia="Times New Roman" w:cs="Times New Roman" w:ascii="Times New Roman" w:hAnsi="Times New Roman"/>
          <w:color w:val="111111"/>
          <w:sz w:val="28"/>
          <w:szCs w:val="28"/>
          <w:lang w:val="en-US"/>
        </w:rPr>
        <w:t>Ibnu Hamzah Thusi, Abu Ja'far: Al-Wasilah ilâ Nayl Al-Fadhilah, Maktabah  Ayatullah Al-Mar‘asyi, Qom, cet. 1, 1408 H.</w:t>
      </w:r>
    </w:p>
    <w:p>
      <w:pPr>
        <w:pStyle w:val="BookText"/>
        <w:bidi w:val="0"/>
        <w:jc w:val="both"/>
        <w:rPr/>
      </w:pPr>
      <w:r>
        <w:rPr>
          <w:rFonts w:eastAsia="Times New Roman" w:cs="Times New Roman" w:ascii="Times New Roman" w:hAnsi="Times New Roman"/>
          <w:color w:val="111111"/>
          <w:sz w:val="28"/>
          <w:szCs w:val="28"/>
          <w:lang w:val="en-US"/>
        </w:rPr>
        <w:t>Ibnu Zuhrah, Abu Makarim: Ghunyat Al-Nazů“ ilâ 'Ilmai Al-Ushủl wa Al-Furû',  Muassasah Al-Imam Al-Shadiq as, cet.1, Qom, 1417 H.</w:t>
      </w:r>
    </w:p>
    <w:p>
      <w:pPr>
        <w:pStyle w:val="BookText"/>
        <w:bidi w:val="0"/>
        <w:jc w:val="both"/>
        <w:rPr/>
      </w:pPr>
      <w:r>
        <w:rPr>
          <w:rFonts w:eastAsia="Times New Roman" w:cs="Times New Roman" w:ascii="Times New Roman" w:hAnsi="Times New Roman"/>
          <w:color w:val="111111"/>
          <w:sz w:val="28"/>
          <w:szCs w:val="28"/>
          <w:lang w:val="en-US"/>
        </w:rPr>
        <w:t>Ibnu Fahad Hilli, Jamaludin Ahmad bin Muhammad: Al-Muhadzdzab Al-Bâri' fi  Syarh Al-Mukhtashar Al-Nafi", Intisyarat Jami'ah Mudarrisin, Qom, 1413 H.</w:t>
      </w:r>
    </w:p>
    <w:p>
      <w:pPr>
        <w:pStyle w:val="BookText"/>
        <w:bidi w:val="0"/>
        <w:jc w:val="both"/>
        <w:rPr/>
      </w:pPr>
      <w:r>
        <w:rPr>
          <w:rFonts w:eastAsia="Times New Roman" w:cs="Times New Roman" w:ascii="Times New Roman" w:hAnsi="Times New Roman"/>
          <w:color w:val="111111"/>
          <w:sz w:val="28"/>
          <w:szCs w:val="28"/>
          <w:lang w:val="en-US"/>
        </w:rPr>
        <w:t>Hamadani, Aqha Ridha: Mishbâh Al-Faqih, Maktabah Al-Shadr.</w:t>
      </w:r>
    </w:p>
    <w:p>
      <w:pPr>
        <w:pStyle w:val="BookText"/>
        <w:bidi w:val="0"/>
        <w:jc w:val="both"/>
        <w:rPr/>
      </w:pPr>
      <w:r>
        <w:rPr>
          <w:rFonts w:eastAsia="Times New Roman" w:cs="Times New Roman" w:ascii="Times New Roman" w:hAnsi="Times New Roman"/>
          <w:color w:val="111111"/>
          <w:sz w:val="28"/>
          <w:szCs w:val="28"/>
          <w:lang w:val="en-US"/>
        </w:rPr>
        <w:t>Isfahani, Muhammad Husain: Al-Fushủl Al-Ghariwiyah, Dar Ihya' Al-Ulum Al-  Islamiyah, Qom, 1404 H.</w:t>
      </w:r>
    </w:p>
    <w:p>
      <w:pPr>
        <w:pStyle w:val="BookText"/>
        <w:bidi w:val="0"/>
        <w:jc w:val="both"/>
        <w:rPr/>
      </w:pPr>
      <w:r>
        <w:rPr>
          <w:rFonts w:eastAsia="Times New Roman" w:cs="Times New Roman" w:ascii="Times New Roman" w:hAnsi="Times New Roman"/>
          <w:color w:val="111111"/>
          <w:sz w:val="28"/>
          <w:szCs w:val="28"/>
          <w:lang w:val="en-US"/>
        </w:rPr>
        <w:t>Isfahani (Fadhil Hindi), Bahaudin Muhammad bin Hasan: Kasyf Al-Litsâm wa  Al-Ibhâm 'an Kitâb Qawa'id Al-Ahkâm, Muassasah Al-Nasyr Al-Islami, cet. 1,  Qom, 1416 H.</w:t>
      </w:r>
    </w:p>
    <w:p>
      <w:pPr>
        <w:pStyle w:val="BookText"/>
        <w:bidi w:val="0"/>
        <w:jc w:val="both"/>
        <w:rPr/>
      </w:pPr>
      <w:r>
        <w:rPr>
          <w:rFonts w:eastAsia="Times New Roman" w:cs="Times New Roman" w:ascii="Times New Roman" w:hAnsi="Times New Roman"/>
          <w:color w:val="111111"/>
          <w:sz w:val="28"/>
          <w:szCs w:val="28"/>
          <w:lang w:val="en-US"/>
        </w:rPr>
        <w:t>_ : Kitâb Al-Thahârah, Muassasah Alu Al-Bait, Qom, tanpa tahun.</w:t>
      </w:r>
    </w:p>
    <w:p>
      <w:pPr>
        <w:pStyle w:val="BookText"/>
        <w:bidi w:val="0"/>
        <w:jc w:val="both"/>
        <w:rPr/>
      </w:pPr>
      <w:r>
        <w:rPr>
          <w:rFonts w:eastAsia="Times New Roman" w:cs="Times New Roman" w:ascii="Times New Roman" w:hAnsi="Times New Roman"/>
          <w:color w:val="111111"/>
          <w:sz w:val="28"/>
          <w:szCs w:val="28"/>
          <w:lang w:val="en-US"/>
        </w:rPr>
        <w:t>Jab’i Amili, Zainudin (Syahid Tsani): Masâlik Al-Afhâm fi Syarh Syarâ'i' Al-Islâm,  Intisyarat Bashirati, Qom.</w:t>
      </w:r>
    </w:p>
    <w:p>
      <w:pPr>
        <w:pStyle w:val="BookText"/>
        <w:bidi w:val="0"/>
        <w:jc w:val="both"/>
        <w:rPr/>
      </w:pPr>
      <w:r>
        <w:rPr>
          <w:rFonts w:eastAsia="Times New Roman" w:cs="Times New Roman" w:ascii="Times New Roman" w:hAnsi="Times New Roman"/>
          <w:color w:val="111111"/>
          <w:sz w:val="28"/>
          <w:szCs w:val="28"/>
          <w:lang w:val="en-US"/>
        </w:rPr>
        <w:t>__: Al-Rawdhat Al-Bahiyah fi Syarh Al-Lumʻah Al-Dimisyqiyah, Dar Al-Hadi  li Al-Mathbu’at, Qom, 1403 H.</w:t>
      </w:r>
    </w:p>
    <w:p>
      <w:pPr>
        <w:pStyle w:val="BookText"/>
        <w:bidi w:val="0"/>
        <w:jc w:val="both"/>
        <w:rPr/>
      </w:pPr>
      <w:r>
        <w:rPr>
          <w:rFonts w:eastAsia="Times New Roman" w:cs="Times New Roman" w:ascii="Times New Roman" w:hAnsi="Times New Roman"/>
          <w:color w:val="111111"/>
          <w:sz w:val="28"/>
          <w:szCs w:val="28"/>
          <w:lang w:val="en-US"/>
        </w:rPr>
        <w:t>Karaki (Muhammad Tsani), Ali bin Husain: JâmiAl-Maqashid fi Syarh Al-Qawa'id,  Muassasah Al Al-Bait as li Ihya' Al-Turats, Qom, cet. 1, 1408 H.</w:t>
      </w:r>
    </w:p>
    <w:p>
      <w:pPr>
        <w:pStyle w:val="BookText"/>
        <w:bidi w:val="0"/>
        <w:jc w:val="both"/>
        <w:rPr/>
      </w:pPr>
      <w:r>
        <w:rPr>
          <w:rFonts w:eastAsia="Times New Roman" w:cs="Times New Roman" w:ascii="Times New Roman" w:hAnsi="Times New Roman"/>
          <w:color w:val="111111"/>
          <w:sz w:val="28"/>
          <w:szCs w:val="28"/>
          <w:lang w:val="en-US"/>
        </w:rPr>
        <w:t>: Raså'il Al-Karakî, Maktabah Ayatullah Mar‘asyi, Qom, cet. 1, 1409 H.</w:t>
      </w:r>
    </w:p>
    <w:p>
      <w:pPr>
        <w:pStyle w:val="BookText"/>
        <w:bidi w:val="0"/>
        <w:jc w:val="both"/>
        <w:rPr/>
      </w:pPr>
      <w:r>
        <w:rPr>
          <w:rFonts w:eastAsia="Times New Roman" w:cs="Times New Roman" w:ascii="Times New Roman" w:hAnsi="Times New Roman"/>
          <w:color w:val="111111"/>
          <w:sz w:val="28"/>
          <w:szCs w:val="28"/>
          <w:lang w:val="en-US"/>
        </w:rPr>
        <w:t>Kasyif Ghitha, Syaikh Ja'far: Kasyf Al-Ghithâ’ ‘an Mubhamât Syariat Al-Gharra,  Intisyarat Mahdawi, Isfahan.</w:t>
      </w:r>
    </w:p>
    <w:p>
      <w:pPr>
        <w:pStyle w:val="BookText"/>
        <w:bidi w:val="0"/>
        <w:jc w:val="both"/>
        <w:rPr/>
      </w:pPr>
      <w:r>
        <w:rPr>
          <w:rFonts w:eastAsia="Times New Roman" w:cs="Times New Roman" w:ascii="Times New Roman" w:hAnsi="Times New Roman"/>
          <w:color w:val="111111"/>
          <w:sz w:val="28"/>
          <w:szCs w:val="28"/>
          <w:lang w:val="en-US"/>
        </w:rPr>
        <w:t>Khomeini (Imam ra.), Sayid Ruhullah: Tahrîr Al-Wasîlah, Entesyorot-e Eftimod,  cet. 2, 1403 H.</w:t>
      </w:r>
    </w:p>
    <w:p>
      <w:pPr>
        <w:pStyle w:val="BookText"/>
        <w:bidi w:val="0"/>
        <w:jc w:val="both"/>
        <w:rPr/>
      </w:pPr>
      <w:r>
        <w:rPr>
          <w:rFonts w:eastAsia="Times New Roman" w:cs="Times New Roman" w:ascii="Times New Roman" w:hAnsi="Times New Roman"/>
          <w:color w:val="111111"/>
          <w:sz w:val="28"/>
          <w:szCs w:val="28"/>
          <w:lang w:val="en-US"/>
        </w:rPr>
        <w:t>_ : Kitâb Al-Thahârah, Muassasah Isma'iliyan, Qom, 1410 H.</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Khurasani, Muhammad Kazdim: Kifayat Al-Ushủl, Muassasah Al Al-Bait li Ihya'  Al-Turats. </w:t>
      </w:r>
    </w:p>
    <w:p>
      <w:pPr>
        <w:pStyle w:val="BookText"/>
        <w:bidi w:val="0"/>
        <w:rPr/>
      </w:pPr>
      <w:r>
        <w:rPr>
          <w:rFonts w:eastAsia="Times New Roman" w:cs="Times New Roman" w:ascii="Times New Roman" w:hAnsi="Times New Roman"/>
          <w:color w:val="111111"/>
          <w:sz w:val="28"/>
          <w:szCs w:val="28"/>
          <w:lang w:val="en-US"/>
        </w:rPr>
        <w:t>Khu’i, Sayid Abul Qasim: Kitâb Al-Thahârah, Dar Al-Hadi, Qom, cet. 3, 1410 H.</w:t>
      </w:r>
    </w:p>
    <w:p>
      <w:pPr>
        <w:pStyle w:val="BookText"/>
        <w:bidi w:val="0"/>
        <w:jc w:val="both"/>
        <w:rPr/>
      </w:pPr>
      <w:r>
        <w:rPr>
          <w:rFonts w:eastAsia="Times New Roman" w:cs="Times New Roman" w:ascii="Times New Roman" w:hAnsi="Times New Roman"/>
          <w:color w:val="111111"/>
          <w:sz w:val="28"/>
          <w:szCs w:val="28"/>
          <w:lang w:val="en-US"/>
        </w:rPr>
        <w:t>_ : Mabânî Takmilat Al-Minhâj, Dar Al-Hadi, Qom, 1407 H.</w:t>
      </w:r>
    </w:p>
    <w:p>
      <w:pPr>
        <w:pStyle w:val="BookText"/>
        <w:bidi w:val="0"/>
        <w:jc w:val="both"/>
        <w:rPr/>
      </w:pPr>
      <w:r>
        <w:rPr>
          <w:rFonts w:eastAsia="Times New Roman" w:cs="Times New Roman" w:ascii="Times New Roman" w:hAnsi="Times New Roman"/>
          <w:color w:val="111111"/>
          <w:sz w:val="28"/>
          <w:szCs w:val="28"/>
          <w:lang w:val="en-US"/>
        </w:rPr>
        <w:t>_: Muhadharât fi Al-Ushûl, Ansharian, Qom, cet. 4, 1417 H.</w:t>
      </w:r>
    </w:p>
    <w:p>
      <w:pPr>
        <w:pStyle w:val="BookText"/>
        <w:bidi w:val="0"/>
        <w:jc w:val="both"/>
        <w:rPr/>
      </w:pPr>
      <w:r>
        <w:rPr>
          <w:rFonts w:eastAsia="Times New Roman" w:cs="Times New Roman" w:ascii="Times New Roman" w:hAnsi="Times New Roman"/>
          <w:color w:val="111111"/>
          <w:sz w:val="28"/>
          <w:szCs w:val="28"/>
          <w:lang w:val="en-US"/>
        </w:rPr>
        <w:t>Khunsari (Muhaqiq), Sayid Ahmad: Jâmi' Al-Madârik fi Syarh Al-Mukhtashar Al-  Nåfi, Maktabah Al-Shaduq, Tehran, cet. 2, 1355 Hs.</w:t>
      </w:r>
    </w:p>
    <w:p>
      <w:pPr>
        <w:pStyle w:val="BookText"/>
        <w:bidi w:val="0"/>
        <w:jc w:val="both"/>
        <w:rPr/>
      </w:pPr>
      <w:r>
        <w:rPr>
          <w:rFonts w:eastAsia="Times New Roman" w:cs="Times New Roman" w:ascii="Times New Roman" w:hAnsi="Times New Roman"/>
          <w:color w:val="111111"/>
          <w:sz w:val="28"/>
          <w:szCs w:val="28"/>
          <w:lang w:val="en-US"/>
        </w:rPr>
        <w:t>Khunsari (Muhaqiq), Jamaludin Muhammad: Masyâriq Al-Syum ûs, Muassasah Al  Al-Bait as.</w:t>
      </w:r>
    </w:p>
    <w:p>
      <w:pPr>
        <w:pStyle w:val="BookText"/>
        <w:bidi w:val="0"/>
        <w:jc w:val="both"/>
        <w:rPr/>
      </w:pPr>
      <w:r>
        <w:rPr>
          <w:rFonts w:eastAsia="Times New Roman" w:cs="Times New Roman" w:ascii="Times New Roman" w:hAnsi="Times New Roman"/>
          <w:color w:val="111111"/>
          <w:sz w:val="28"/>
          <w:szCs w:val="28"/>
          <w:lang w:val="en-US"/>
        </w:rPr>
        <w:t>Kulaini, Ya'qub: Ushûl Kâfi, Dar Al-Kutub Al-Islamiyah, Tehran, 1365 Hs.</w:t>
      </w:r>
    </w:p>
    <w:p>
      <w:pPr>
        <w:pStyle w:val="BookText"/>
        <w:bidi w:val="0"/>
        <w:jc w:val="both"/>
        <w:rPr/>
      </w:pPr>
      <w:r>
        <w:rPr>
          <w:rFonts w:eastAsia="Times New Roman" w:cs="Times New Roman" w:ascii="Times New Roman" w:hAnsi="Times New Roman"/>
          <w:color w:val="111111"/>
          <w:sz w:val="28"/>
          <w:szCs w:val="28"/>
          <w:lang w:val="en-US"/>
        </w:rPr>
        <w:t>Mazandarani, Maula Muhammad Shaleh: Syarh Ushủl Al-Kafi, dengan catatan kaki  Mirza Abu Hasan Sya’rani.</w:t>
      </w:r>
    </w:p>
    <w:p>
      <w:pPr>
        <w:pStyle w:val="BookText"/>
        <w:bidi w:val="0"/>
        <w:jc w:val="both"/>
        <w:rPr/>
      </w:pPr>
      <w:r>
        <w:rPr>
          <w:rFonts w:eastAsia="Times New Roman" w:cs="Times New Roman" w:ascii="Times New Roman" w:hAnsi="Times New Roman"/>
          <w:color w:val="111111"/>
          <w:sz w:val="28"/>
          <w:szCs w:val="28"/>
          <w:lang w:val="en-US"/>
        </w:rPr>
        <w:t>Mufid (Syaikh), Muhammad bin Nu'man: Al-Amâlî, Intisyarat Jami'ah  Mudarrisin.</w:t>
      </w:r>
    </w:p>
    <w:p>
      <w:pPr>
        <w:pStyle w:val="BookText"/>
        <w:bidi w:val="0"/>
        <w:jc w:val="both"/>
        <w:rPr/>
      </w:pPr>
      <w:r>
        <w:rPr>
          <w:rFonts w:eastAsia="Times New Roman" w:cs="Times New Roman" w:ascii="Times New Roman" w:hAnsi="Times New Roman"/>
          <w:color w:val="111111"/>
          <w:sz w:val="28"/>
          <w:szCs w:val="28"/>
          <w:lang w:val="en-US"/>
        </w:rPr>
        <w:t>_: Al-Muqni'ah, Muassasah Al-Nasyr Al-Islami, cet. 4, Qom, 1417 H.</w:t>
      </w:r>
    </w:p>
    <w:p>
      <w:pPr>
        <w:pStyle w:val="BookText"/>
        <w:bidi w:val="0"/>
        <w:jc w:val="both"/>
        <w:rPr/>
      </w:pPr>
      <w:r>
        <w:rPr>
          <w:rFonts w:eastAsia="Times New Roman" w:cs="Times New Roman" w:ascii="Times New Roman" w:hAnsi="Times New Roman"/>
          <w:color w:val="111111"/>
          <w:sz w:val="28"/>
          <w:szCs w:val="28"/>
          <w:lang w:val="en-US"/>
        </w:rPr>
        <w:t>: Al-I'tiqâdât, Dar Al-Mufid, cet. 2, 1414 H.</w:t>
      </w:r>
    </w:p>
    <w:p>
      <w:pPr>
        <w:pStyle w:val="BookText"/>
        <w:bidi w:val="0"/>
        <w:jc w:val="both"/>
        <w:rPr/>
      </w:pPr>
      <w:r>
        <w:rPr>
          <w:rFonts w:eastAsia="Times New Roman" w:cs="Times New Roman" w:ascii="Times New Roman" w:hAnsi="Times New Roman"/>
          <w:color w:val="111111"/>
          <w:sz w:val="28"/>
          <w:szCs w:val="28"/>
          <w:lang w:val="en-US"/>
        </w:rPr>
        <w:t>Musawi Bujnurdi, Sayid Hasan: Al-Qawa'id Al-Fiqhiyyah, Muasseseh Mathbuati  Ismailiyan, Qom, cet. 2, 1371 Hs.</w:t>
      </w:r>
    </w:p>
    <w:p>
      <w:pPr>
        <w:pStyle w:val="BookText"/>
        <w:bidi w:val="0"/>
        <w:jc w:val="both"/>
        <w:rPr/>
      </w:pPr>
      <w:r>
        <w:rPr>
          <w:rFonts w:eastAsia="Times New Roman" w:cs="Times New Roman" w:ascii="Times New Roman" w:hAnsi="Times New Roman"/>
          <w:color w:val="111111"/>
          <w:sz w:val="28"/>
          <w:szCs w:val="28"/>
          <w:lang w:val="en-US"/>
        </w:rPr>
        <w:t>Musawi Baghdadi (Alamul Huda), Sayid Murtadha: Al-Intishâr, Muassasah Al-  Nasyr Al-Islami, Qom, 1415 H.</w:t>
      </w:r>
    </w:p>
    <w:p>
      <w:pPr>
        <w:pStyle w:val="BookText"/>
        <w:bidi w:val="0"/>
        <w:jc w:val="both"/>
        <w:rPr/>
      </w:pPr>
      <w:r>
        <w:rPr>
          <w:rFonts w:eastAsia="Times New Roman" w:cs="Times New Roman" w:ascii="Times New Roman" w:hAnsi="Times New Roman"/>
          <w:color w:val="111111"/>
          <w:sz w:val="28"/>
          <w:szCs w:val="28"/>
          <w:lang w:val="en-US"/>
        </w:rPr>
        <w:t>Musawi Gulpaigani, Sayid Muhammad Ridha: Al-Durr Al-Mandhûd fi Ahkâm Al-  Hudúd, keterangan Ali Karimi Jahrumi, Dar Al-Qur'an Al-Karim, Qom, cet. 1,  1412 H.</w:t>
      </w:r>
    </w:p>
    <w:p>
      <w:pPr>
        <w:pStyle w:val="BookText"/>
        <w:bidi w:val="0"/>
        <w:jc w:val="both"/>
        <w:rPr/>
      </w:pPr>
      <w:r>
        <w:rPr>
          <w:rFonts w:eastAsia="Times New Roman" w:cs="Times New Roman" w:ascii="Times New Roman" w:hAnsi="Times New Roman"/>
          <w:color w:val="111111"/>
          <w:sz w:val="28"/>
          <w:szCs w:val="28"/>
          <w:lang w:val="en-US"/>
        </w:rPr>
        <w:t>_. Taqrîrât Al-Hudúd wa Al-Ta zîrât, cet. batu.</w:t>
      </w:r>
    </w:p>
    <w:p>
      <w:pPr>
        <w:pStyle w:val="BookText"/>
        <w:bidi w:val="0"/>
        <w:jc w:val="both"/>
        <w:rPr/>
      </w:pPr>
      <w:r>
        <w:rPr>
          <w:rFonts w:eastAsia="Times New Roman" w:cs="Times New Roman" w:ascii="Times New Roman" w:hAnsi="Times New Roman"/>
          <w:color w:val="111111"/>
          <w:sz w:val="28"/>
          <w:szCs w:val="28"/>
          <w:lang w:val="en-US"/>
        </w:rPr>
        <w:t>. Natâ’ij Al-Afkâr, Dar Al-Qur'an Al-Karim, Qom, cet. 1, 1413 H.</w:t>
      </w:r>
    </w:p>
    <w:p>
      <w:pPr>
        <w:pStyle w:val="BookText"/>
        <w:bidi w:val="0"/>
        <w:jc w:val="both"/>
        <w:rPr/>
      </w:pPr>
      <w:r>
        <w:rPr>
          <w:rFonts w:eastAsia="Times New Roman" w:cs="Times New Roman" w:ascii="Times New Roman" w:hAnsi="Times New Roman"/>
          <w:color w:val="111111"/>
          <w:sz w:val="28"/>
          <w:szCs w:val="28"/>
          <w:lang w:val="en-US"/>
        </w:rPr>
        <w:t>Najafi, Syaikh Muhammad Hasan: Jawâhir Al-Kalâm fi Syarh Syarâi“ Al-Islâm, Dar  Ihya' Al-Turats Al-Arabi, cet. 7, Bairut, 1981 M.</w:t>
      </w:r>
    </w:p>
    <w:p>
      <w:pPr>
        <w:pStyle w:val="BookText"/>
        <w:bidi w:val="0"/>
        <w:jc w:val="both"/>
        <w:rPr/>
      </w:pPr>
      <w:r>
        <w:rPr>
          <w:rFonts w:eastAsia="Times New Roman" w:cs="Times New Roman" w:ascii="Times New Roman" w:hAnsi="Times New Roman"/>
          <w:color w:val="111111"/>
          <w:sz w:val="28"/>
          <w:szCs w:val="28"/>
          <w:lang w:val="en-US"/>
        </w:rPr>
        <w:t>Naraqi, Ahmad. Awa'id Al-Ayyâm, Maktabeh-e Bashirati, Qom, cet. 3, 1408 H.</w:t>
      </w:r>
    </w:p>
    <w:p>
      <w:pPr>
        <w:pStyle w:val="BookText"/>
        <w:bidi w:val="0"/>
        <w:jc w:val="both"/>
        <w:rPr/>
      </w:pPr>
      <w:r>
        <w:rPr>
          <w:rFonts w:eastAsia="Times New Roman" w:cs="Times New Roman" w:ascii="Times New Roman" w:hAnsi="Times New Roman"/>
          <w:color w:val="111111"/>
          <w:sz w:val="28"/>
          <w:szCs w:val="28"/>
          <w:lang w:val="en-US"/>
        </w:rPr>
        <w:t>Nuri, Mirza Husain: Mustadrak Al-Waså'il wa Mustanbath Al-Masá’il, Muassasah Al  Al-Bait li Ihya' Al-Turats, cet. 1, Qom.</w:t>
      </w:r>
    </w:p>
    <w:p>
      <w:pPr>
        <w:pStyle w:val="BookText"/>
        <w:bidi w:val="0"/>
        <w:jc w:val="both"/>
        <w:rPr/>
      </w:pPr>
      <w:r>
        <w:rPr>
          <w:rFonts w:eastAsia="Times New Roman" w:cs="Times New Roman" w:ascii="Times New Roman" w:hAnsi="Times New Roman"/>
          <w:color w:val="111111"/>
          <w:sz w:val="28"/>
          <w:szCs w:val="28"/>
          <w:lang w:val="en-US"/>
        </w:rPr>
        <w:t>Qumi Sabzawari, Ali bin Muhammad: Jâmi' Al-Khilaf wa Al-Wifâq, Pasdar-e  Eslom, Qom, cet. 1.</w:t>
      </w:r>
    </w:p>
    <w:p>
      <w:pPr>
        <w:pStyle w:val="BookText"/>
        <w:bidi w:val="0"/>
        <w:jc w:val="both"/>
        <w:rPr/>
      </w:pPr>
      <w:r>
        <w:rPr>
          <w:rFonts w:eastAsia="Times New Roman" w:cs="Times New Roman" w:ascii="Times New Roman" w:hAnsi="Times New Roman"/>
          <w:color w:val="111111"/>
          <w:sz w:val="28"/>
          <w:szCs w:val="28"/>
          <w:lang w:val="en-US"/>
        </w:rPr>
        <w:t>Raghib Isfahani, Abu Qasim Husain bin Muhammad: Al-Mufradât Fi Gharîb Al-  Qur'ân, Daftar-e Nasyr-e Ketob, cet 2, 1404 H.</w:t>
      </w:r>
    </w:p>
    <w:p>
      <w:pPr>
        <w:pStyle w:val="BookText"/>
        <w:bidi w:val="0"/>
        <w:jc w:val="both"/>
        <w:rPr/>
      </w:pPr>
      <w:r>
        <w:rPr>
          <w:rFonts w:eastAsia="Times New Roman" w:cs="Times New Roman" w:ascii="Times New Roman" w:hAnsi="Times New Roman"/>
          <w:color w:val="111111"/>
          <w:sz w:val="28"/>
          <w:szCs w:val="28"/>
          <w:lang w:val="en-US"/>
        </w:rPr>
        <w:t>Sabzawari, Mulla Hadi. Syarh Asmå Al-Husna, Maktabah Bashirati.</w:t>
      </w:r>
    </w:p>
    <w:p>
      <w:pPr>
        <w:pStyle w:val="BookText"/>
        <w:bidi w:val="0"/>
        <w:jc w:val="both"/>
        <w:rPr/>
      </w:pPr>
      <w:r>
        <w:rPr>
          <w:rFonts w:eastAsia="Times New Roman" w:cs="Times New Roman" w:ascii="Times New Roman" w:hAnsi="Times New Roman"/>
          <w:color w:val="111111"/>
          <w:sz w:val="28"/>
          <w:szCs w:val="28"/>
          <w:lang w:val="en-US"/>
        </w:rPr>
        <w:t>Sayuri Hilli, Miqdad bin Abdullah. Nadhd Al-Qawa'id Al-Fiqhiyah, Maktabah  Ayathullah Al-Mar'asyi, Qom, 1403 H.</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Shadr, Syahid Sayid Muhammad Baqir. Syarh Al-'Urwat Al-Wutsqâ, Mathba'ah Al- </w:t>
      </w:r>
    </w:p>
    <w:p>
      <w:pPr>
        <w:pStyle w:val="BookText"/>
        <w:bidi w:val="0"/>
        <w:rPr/>
      </w:pPr>
      <w:r>
        <w:rPr>
          <w:rFonts w:eastAsia="Times New Roman" w:cs="Times New Roman" w:ascii="Times New Roman" w:hAnsi="Times New Roman"/>
          <w:color w:val="111111"/>
          <w:sz w:val="28"/>
          <w:szCs w:val="28"/>
          <w:lang w:val="en-US"/>
        </w:rPr>
        <w:t>Adab, Najaf, cet. 1, 1391 H.</w:t>
      </w:r>
    </w:p>
    <w:p>
      <w:pPr>
        <w:pStyle w:val="BookText"/>
        <w:bidi w:val="0"/>
        <w:jc w:val="both"/>
        <w:rPr/>
      </w:pPr>
      <w:r>
        <w:rPr>
          <w:rFonts w:eastAsia="Times New Roman" w:cs="Times New Roman" w:ascii="Times New Roman" w:hAnsi="Times New Roman"/>
          <w:color w:val="111111"/>
          <w:sz w:val="28"/>
          <w:szCs w:val="28"/>
          <w:lang w:val="en-US"/>
        </w:rPr>
        <w:t>Shaduq, Ali bin Babuwaih: Ilal Al-Syarâi, Al-Matbaah Al-Haidariyah, Najaf, 1386H.</w:t>
      </w:r>
    </w:p>
    <w:p>
      <w:pPr>
        <w:pStyle w:val="BookText"/>
        <w:bidi w:val="0"/>
        <w:jc w:val="both"/>
        <w:rPr/>
      </w:pPr>
      <w:r>
        <w:rPr>
          <w:rFonts w:eastAsia="Times New Roman" w:cs="Times New Roman" w:ascii="Times New Roman" w:hAnsi="Times New Roman"/>
          <w:color w:val="111111"/>
          <w:sz w:val="28"/>
          <w:szCs w:val="28"/>
          <w:lang w:val="en-US"/>
        </w:rPr>
        <w:t>_;. Man là Yahdhuruh Al-Faqih, Entesyorot-e Jomi'eh-e Mudarrisin, Qom,  cet. 2, 1404 H.</w:t>
      </w:r>
    </w:p>
    <w:p>
      <w:pPr>
        <w:pStyle w:val="BookText"/>
        <w:bidi w:val="0"/>
        <w:jc w:val="both"/>
        <w:rPr/>
      </w:pPr>
      <w:r>
        <w:rPr>
          <w:rFonts w:eastAsia="Times New Roman" w:cs="Times New Roman" w:ascii="Times New Roman" w:hAnsi="Times New Roman"/>
          <w:color w:val="111111"/>
          <w:sz w:val="28"/>
          <w:szCs w:val="28"/>
          <w:lang w:val="en-US"/>
        </w:rPr>
        <w:t>Thabathaba'i, Sayid Ali: Riyadh Al-Masâ'il fi Bayân Al-Ahkâm bi Al-Dalâ'il,  Muassasah Al Al-Bait, Qom, 1404 H.</w:t>
      </w:r>
    </w:p>
    <w:p>
      <w:pPr>
        <w:pStyle w:val="BookText"/>
        <w:bidi w:val="0"/>
        <w:jc w:val="both"/>
        <w:rPr/>
      </w:pPr>
      <w:r>
        <w:rPr>
          <w:rFonts w:eastAsia="Times New Roman" w:cs="Times New Roman" w:ascii="Times New Roman" w:hAnsi="Times New Roman"/>
          <w:color w:val="111111"/>
          <w:sz w:val="28"/>
          <w:szCs w:val="28"/>
          <w:lang w:val="en-US"/>
        </w:rPr>
        <w:t>Thabathaba'i, Sayid Muhammad Husain: Al-Mizan fi Tafsir Al-Qur'ân, Muassasah  Al-Nasyr Al-Islami, Qom.</w:t>
      </w:r>
    </w:p>
    <w:p>
      <w:pPr>
        <w:pStyle w:val="BookText"/>
        <w:bidi w:val="0"/>
        <w:jc w:val="both"/>
        <w:rPr/>
      </w:pPr>
      <w:r>
        <w:rPr>
          <w:rFonts w:eastAsia="Times New Roman" w:cs="Times New Roman" w:ascii="Times New Roman" w:hAnsi="Times New Roman"/>
          <w:color w:val="111111"/>
          <w:sz w:val="28"/>
          <w:szCs w:val="28"/>
          <w:lang w:val="en-US"/>
        </w:rPr>
        <w:t>Thuraihi, Fakhrudin: Majma' Al-Bahrain, tanpa penerbit, tanpa tahun.</w:t>
      </w:r>
    </w:p>
    <w:p>
      <w:pPr>
        <w:pStyle w:val="BookText"/>
        <w:bidi w:val="0"/>
        <w:jc w:val="both"/>
        <w:rPr/>
      </w:pPr>
      <w:r>
        <w:rPr>
          <w:rFonts w:eastAsia="Times New Roman" w:cs="Times New Roman" w:ascii="Times New Roman" w:hAnsi="Times New Roman"/>
          <w:color w:val="111111"/>
          <w:sz w:val="28"/>
          <w:szCs w:val="28"/>
          <w:lang w:val="en-US"/>
        </w:rPr>
        <w:t>Thusi, Ibnu Hamzah: Al-Wasîlah ilâ Nail Al-Fadhilah, Ketobkhoneh-e Ayatullah  Mar‘asyi, cet. 1, Qom, 1408 H.</w:t>
      </w:r>
    </w:p>
    <w:p>
      <w:pPr>
        <w:pStyle w:val="BookText"/>
        <w:bidi w:val="0"/>
        <w:jc w:val="both"/>
        <w:rPr/>
      </w:pPr>
      <w:r>
        <w:rPr>
          <w:rFonts w:eastAsia="Times New Roman" w:cs="Times New Roman" w:ascii="Times New Roman" w:hAnsi="Times New Roman"/>
          <w:color w:val="111111"/>
          <w:sz w:val="28"/>
          <w:szCs w:val="28"/>
          <w:lang w:val="en-US"/>
        </w:rPr>
        <w:t>Thusi, Syaikh Abu Ja'far: Al-Tibyân fi Tafsir Al-Qur'ân, Maktab Al-I’lam Al-Islami,  cet. 1, Qom, 1409 H.</w:t>
      </w:r>
    </w:p>
    <w:p>
      <w:pPr>
        <w:pStyle w:val="BookText"/>
        <w:bidi w:val="0"/>
        <w:jc w:val="both"/>
        <w:rPr/>
      </w:pPr>
      <w:r>
        <w:rPr>
          <w:rFonts w:eastAsia="Times New Roman" w:cs="Times New Roman" w:ascii="Times New Roman" w:hAnsi="Times New Roman"/>
          <w:color w:val="111111"/>
          <w:sz w:val="28"/>
          <w:szCs w:val="28"/>
          <w:lang w:val="en-US"/>
        </w:rPr>
        <w:t>__: Al-Khilâf, Muassasah Al-Nasyr Al-Islami, Qom, cet. 1, 1407 H.</w:t>
      </w:r>
    </w:p>
    <w:p>
      <w:pPr>
        <w:pStyle w:val="BookText"/>
        <w:bidi w:val="0"/>
        <w:jc w:val="both"/>
        <w:rPr/>
      </w:pPr>
      <w:r>
        <w:rPr>
          <w:rFonts w:eastAsia="Times New Roman" w:cs="Times New Roman" w:ascii="Times New Roman" w:hAnsi="Times New Roman"/>
          <w:color w:val="111111"/>
          <w:sz w:val="28"/>
          <w:szCs w:val="28"/>
          <w:lang w:val="en-US"/>
        </w:rPr>
        <w:t>.: Al-Nihâyah fi Mujarrad Al-Fiqh wa Al-Fatâwâ, Entesyorot-e Quds-e  Muhammadi, Qom, tanpa tahun.</w:t>
      </w:r>
    </w:p>
    <w:p>
      <w:pPr>
        <w:pStyle w:val="BookText"/>
        <w:bidi w:val="0"/>
        <w:jc w:val="both"/>
        <w:rPr/>
      </w:pPr>
      <w:r>
        <w:rPr>
          <w:rFonts w:eastAsia="Times New Roman" w:cs="Times New Roman" w:ascii="Times New Roman" w:hAnsi="Times New Roman"/>
          <w:color w:val="111111"/>
          <w:sz w:val="28"/>
          <w:szCs w:val="28"/>
          <w:lang w:val="en-US"/>
        </w:rPr>
        <w:t>_ Al-Mabsûth fi Fiqh Al-Imâmiyah, Entesyorot-e Ketobkhoneh-e  Murtadhawiyeh, 1351 Hs.</w:t>
      </w:r>
    </w:p>
    <w:p>
      <w:pPr>
        <w:pStyle w:val="BookText"/>
        <w:bidi w:val="0"/>
        <w:jc w:val="both"/>
        <w:rPr/>
      </w:pPr>
      <w:r>
        <w:rPr>
          <w:rFonts w:eastAsia="Times New Roman" w:cs="Times New Roman" w:ascii="Times New Roman" w:hAnsi="Times New Roman"/>
          <w:color w:val="111111"/>
          <w:sz w:val="28"/>
          <w:szCs w:val="28"/>
          <w:lang w:val="en-US"/>
        </w:rPr>
        <w:t>.: Tahdzîb Al-Ahkâm, Dar Al-Kutub Al-Islamiyah, Tehran, cet. 4, 1365 Hs.</w:t>
      </w:r>
    </w:p>
    <w:p>
      <w:pPr>
        <w:pStyle w:val="BookText"/>
        <w:bidi w:val="0"/>
        <w:jc w:val="both"/>
        <w:rPr/>
      </w:pPr>
      <w:r>
        <w:rPr>
          <w:rFonts w:eastAsia="Times New Roman" w:cs="Times New Roman" w:ascii="Times New Roman" w:hAnsi="Times New Roman"/>
          <w:color w:val="111111"/>
          <w:sz w:val="28"/>
          <w:szCs w:val="28"/>
          <w:lang w:val="en-US"/>
        </w:rPr>
        <w:t>Ahli Sunnah  Asqalani, Syihabudin bin Hajar: Fath Al-Bâri, Dar Al-Ma'rifah, Bairut, cet .2,  tanpa tahun.</w:t>
      </w:r>
    </w:p>
    <w:p>
      <w:pPr>
        <w:pStyle w:val="BookText"/>
        <w:bidi w:val="0"/>
        <w:jc w:val="both"/>
        <w:rPr/>
      </w:pPr>
      <w:r>
        <w:rPr>
          <w:rFonts w:eastAsia="Times New Roman" w:cs="Times New Roman" w:ascii="Times New Roman" w:hAnsi="Times New Roman"/>
          <w:color w:val="111111"/>
          <w:sz w:val="28"/>
          <w:szCs w:val="28"/>
          <w:lang w:val="en-US"/>
        </w:rPr>
        <w:t>: Subul Al-Salâm, Syirkah Maktabah Wa Mathaba'ah Al-Babi, Mesir, cet. 4,  1379 H.</w:t>
      </w:r>
    </w:p>
    <w:p>
      <w:pPr>
        <w:pStyle w:val="BookText"/>
        <w:bidi w:val="0"/>
        <w:jc w:val="both"/>
        <w:rPr/>
      </w:pPr>
      <w:r>
        <w:rPr>
          <w:rFonts w:eastAsia="Times New Roman" w:cs="Times New Roman" w:ascii="Times New Roman" w:hAnsi="Times New Roman"/>
          <w:color w:val="111111"/>
          <w:sz w:val="28"/>
          <w:szCs w:val="28"/>
          <w:lang w:val="en-US"/>
        </w:rPr>
        <w:t>Baihaqi, Ahmad bin Hasan: Al-Sunan Al-Kubrâ, Dar Al-Fikr, Bairut, tanpa tahun.</w:t>
      </w:r>
    </w:p>
    <w:p>
      <w:pPr>
        <w:pStyle w:val="BookText"/>
        <w:bidi w:val="0"/>
        <w:jc w:val="both"/>
        <w:rPr/>
      </w:pPr>
      <w:r>
        <w:rPr>
          <w:rFonts w:eastAsia="Times New Roman" w:cs="Times New Roman" w:ascii="Times New Roman" w:hAnsi="Times New Roman"/>
          <w:color w:val="111111"/>
          <w:sz w:val="28"/>
          <w:szCs w:val="28"/>
          <w:lang w:val="en-US"/>
        </w:rPr>
        <w:t>Dardir Abu Barakat, Ahmad: Al-Syarh Al-Kabîr, Dar Al-Fikr, Bairut.</w:t>
      </w:r>
    </w:p>
    <w:p>
      <w:pPr>
        <w:pStyle w:val="BookText"/>
        <w:bidi w:val="0"/>
        <w:jc w:val="both"/>
        <w:rPr/>
      </w:pPr>
      <w:r>
        <w:rPr>
          <w:rFonts w:eastAsia="Times New Roman" w:cs="Times New Roman" w:ascii="Times New Roman" w:hAnsi="Times New Roman"/>
          <w:color w:val="111111"/>
          <w:sz w:val="28"/>
          <w:szCs w:val="28"/>
          <w:lang w:val="en-US"/>
        </w:rPr>
        <w:t>Hadi, Yahya bin Husain bin Qasim: Al-Ahkâm fi Al-Halâl wa Al-Harâm.</w:t>
      </w:r>
    </w:p>
    <w:p>
      <w:pPr>
        <w:pStyle w:val="BookText"/>
        <w:bidi w:val="0"/>
        <w:jc w:val="both"/>
        <w:rPr/>
      </w:pPr>
      <w:r>
        <w:rPr>
          <w:rFonts w:eastAsia="Times New Roman" w:cs="Times New Roman" w:ascii="Times New Roman" w:hAnsi="Times New Roman"/>
          <w:color w:val="111111"/>
          <w:sz w:val="28"/>
          <w:szCs w:val="28"/>
          <w:lang w:val="en-US"/>
        </w:rPr>
        <w:t>Haitsami, Ali bin Abi Bakar: Majma' Al-Zawa'id wa Manba' Al-Fawâ’id, Dar Al-  Kutub Al-Ilmiah, Bairut, 1408 H.</w:t>
      </w:r>
    </w:p>
    <w:p>
      <w:pPr>
        <w:pStyle w:val="BookText"/>
        <w:bidi w:val="0"/>
        <w:jc w:val="both"/>
        <w:rPr/>
      </w:pPr>
      <w:r>
        <w:rPr>
          <w:rFonts w:eastAsia="Times New Roman" w:cs="Times New Roman" w:ascii="Times New Roman" w:hAnsi="Times New Roman"/>
          <w:color w:val="111111"/>
          <w:sz w:val="28"/>
          <w:szCs w:val="28"/>
          <w:lang w:val="en-US"/>
        </w:rPr>
        <w:t>Ghazali, Muhammad Abu Hamid: Al-Mustashfa, Dar Al-Kutub Al-Islamiah, Bairut,  cet. 1, 1413 H.</w:t>
      </w:r>
    </w:p>
    <w:p>
      <w:pPr>
        <w:pStyle w:val="BookText"/>
        <w:bidi w:val="0"/>
        <w:jc w:val="both"/>
        <w:rPr/>
      </w:pPr>
      <w:r>
        <w:rPr>
          <w:rFonts w:eastAsia="Times New Roman" w:cs="Times New Roman" w:ascii="Times New Roman" w:hAnsi="Times New Roman"/>
          <w:color w:val="111111"/>
          <w:sz w:val="28"/>
          <w:szCs w:val="28"/>
          <w:lang w:val="en-US"/>
        </w:rPr>
        <w:t>Ibnu Abil Hadid: Syarh Nahj Al-Balaghah, diteliti oleh Muhammad Abul Fadhl  Ibrahim, Dar Ihya' Al-Kutub Al-Arabiyah, tanpa tahun.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Ibnu Atsir, Mubarak bin Muhammad: Al-Nihâyah fi Gharib Al-Hadîts wa Al-Atsar,  Muasseseh Isma'iliah, Qom, cet. 4, 1364 Hs. </w:t>
      </w:r>
    </w:p>
    <w:p>
      <w:pPr>
        <w:pStyle w:val="BookText"/>
        <w:bidi w:val="0"/>
        <w:rPr/>
      </w:pPr>
      <w:r>
        <w:rPr>
          <w:rFonts w:eastAsia="Times New Roman" w:cs="Times New Roman" w:ascii="Times New Roman" w:hAnsi="Times New Roman"/>
          <w:color w:val="111111"/>
          <w:sz w:val="28"/>
          <w:szCs w:val="28"/>
          <w:lang w:val="en-US"/>
        </w:rPr>
        <w:t>Ibnu Hazm Andalusi: Al-Muhalla, Dar Al-Fikr, Bairut.</w:t>
      </w:r>
    </w:p>
    <w:p>
      <w:pPr>
        <w:pStyle w:val="BookText"/>
        <w:bidi w:val="0"/>
        <w:jc w:val="both"/>
        <w:rPr/>
      </w:pPr>
      <w:r>
        <w:rPr>
          <w:rFonts w:eastAsia="Times New Roman" w:cs="Times New Roman" w:ascii="Times New Roman" w:hAnsi="Times New Roman"/>
          <w:color w:val="111111"/>
          <w:sz w:val="28"/>
          <w:szCs w:val="28"/>
          <w:lang w:val="en-US"/>
        </w:rPr>
        <w:t>Ibnu Mandzur, Muhammad bin Mukarram: Lisân Al-Arab, Nasyr Adab Al-Hauzah,  Qom, cet. 1, 1405 H.</w:t>
      </w:r>
    </w:p>
    <w:p>
      <w:pPr>
        <w:pStyle w:val="BookText"/>
        <w:bidi w:val="0"/>
        <w:jc w:val="both"/>
        <w:rPr/>
      </w:pPr>
      <w:r>
        <w:rPr>
          <w:rFonts w:eastAsia="Times New Roman" w:cs="Times New Roman" w:ascii="Times New Roman" w:hAnsi="Times New Roman"/>
          <w:color w:val="111111"/>
          <w:sz w:val="28"/>
          <w:szCs w:val="28"/>
          <w:lang w:val="en-US"/>
        </w:rPr>
        <w:t>Ibnu Qudamah Maqdisi, Abdurrahman: Al-Syarh Al-Kabîr. Dar Al-Kutub Al-  Arabi, Bairut.</w:t>
      </w:r>
    </w:p>
    <w:p>
      <w:pPr>
        <w:pStyle w:val="BookText"/>
        <w:bidi w:val="0"/>
        <w:jc w:val="both"/>
        <w:rPr/>
      </w:pPr>
      <w:r>
        <w:rPr>
          <w:rFonts w:eastAsia="Times New Roman" w:cs="Times New Roman" w:ascii="Times New Roman" w:hAnsi="Times New Roman"/>
          <w:color w:val="111111"/>
          <w:sz w:val="28"/>
          <w:szCs w:val="28"/>
          <w:lang w:val="en-US"/>
        </w:rPr>
        <w:t>: Al-Kâfi fi Fiqh Ibnu Hambal, Al-Maktab Al-Islami, Bairut, cet. 5, 1408  H/1988 M.</w:t>
      </w:r>
    </w:p>
    <w:p>
      <w:pPr>
        <w:pStyle w:val="BookText"/>
        <w:bidi w:val="0"/>
        <w:jc w:val="both"/>
        <w:rPr/>
      </w:pPr>
      <w:r>
        <w:rPr>
          <w:rFonts w:eastAsia="Times New Roman" w:cs="Times New Roman" w:ascii="Times New Roman" w:hAnsi="Times New Roman"/>
          <w:color w:val="111111"/>
          <w:sz w:val="28"/>
          <w:szCs w:val="28"/>
          <w:lang w:val="en-US"/>
        </w:rPr>
        <w:t>_: Al-Mughnî, Dar Al-Fikr, Bairut, cet. 1, 1405 H.</w:t>
      </w:r>
    </w:p>
    <w:p>
      <w:pPr>
        <w:pStyle w:val="BookText"/>
        <w:bidi w:val="0"/>
        <w:jc w:val="both"/>
        <w:rPr/>
      </w:pPr>
      <w:r>
        <w:rPr>
          <w:rFonts w:eastAsia="Times New Roman" w:cs="Times New Roman" w:ascii="Times New Roman" w:hAnsi="Times New Roman"/>
          <w:color w:val="111111"/>
          <w:sz w:val="28"/>
          <w:szCs w:val="28"/>
          <w:lang w:val="en-US"/>
        </w:rPr>
        <w:t>Ibnu Qutaibah Dinawari, Abu Muhammad Abdullah bin Muslim: Al-Imâmah wa  Al-Siyâsah, Intisyarat Al-Syarif Al-Radhi, cet. 1, Qom, 1371 H.</w:t>
      </w:r>
    </w:p>
    <w:p>
      <w:pPr>
        <w:pStyle w:val="BookText"/>
        <w:bidi w:val="0"/>
        <w:jc w:val="both"/>
        <w:rPr/>
      </w:pPr>
      <w:r>
        <w:rPr>
          <w:rFonts w:eastAsia="Times New Roman" w:cs="Times New Roman" w:ascii="Times New Roman" w:hAnsi="Times New Roman"/>
          <w:color w:val="111111"/>
          <w:sz w:val="28"/>
          <w:szCs w:val="28"/>
          <w:lang w:val="en-US"/>
        </w:rPr>
        <w:t>Jauhari, Isam’il bin Hammad. Al-Shihah, Dar Al-Ilm li Al-Malayin, Bairut, cet. 4,  1407 H.</w:t>
      </w:r>
    </w:p>
    <w:p>
      <w:pPr>
        <w:pStyle w:val="BookText"/>
        <w:bidi w:val="0"/>
        <w:jc w:val="both"/>
        <w:rPr/>
      </w:pPr>
      <w:r>
        <w:rPr>
          <w:rFonts w:eastAsia="Times New Roman" w:cs="Times New Roman" w:ascii="Times New Roman" w:hAnsi="Times New Roman"/>
          <w:color w:val="111111"/>
          <w:sz w:val="28"/>
          <w:szCs w:val="28"/>
          <w:lang w:val="en-US"/>
        </w:rPr>
        <w:t>Khathib Syabini, Muhammad: Mughnî Al-Muhtâj, Dar Al-Fikr, Bairut.</w:t>
      </w:r>
    </w:p>
    <w:p>
      <w:pPr>
        <w:pStyle w:val="BookText"/>
        <w:bidi w:val="0"/>
        <w:jc w:val="both"/>
        <w:rPr/>
      </w:pPr>
      <w:r>
        <w:rPr>
          <w:rFonts w:eastAsia="Times New Roman" w:cs="Times New Roman" w:ascii="Times New Roman" w:hAnsi="Times New Roman"/>
          <w:color w:val="111111"/>
          <w:sz w:val="28"/>
          <w:szCs w:val="28"/>
          <w:lang w:val="en-US"/>
        </w:rPr>
        <w:t>Kasyani, Alaudin: Badâ'' Al-Shanâ'i, Dar Al-Kitab Al-Arabi, Bairut, cet. 2, 1982 M.</w:t>
      </w:r>
    </w:p>
    <w:p>
      <w:pPr>
        <w:pStyle w:val="BookText"/>
        <w:bidi w:val="0"/>
        <w:jc w:val="both"/>
        <w:rPr/>
      </w:pPr>
      <w:r>
        <w:rPr>
          <w:rFonts w:eastAsia="Times New Roman" w:cs="Times New Roman" w:ascii="Times New Roman" w:hAnsi="Times New Roman"/>
          <w:color w:val="111111"/>
          <w:sz w:val="28"/>
          <w:szCs w:val="28"/>
          <w:lang w:val="en-US"/>
        </w:rPr>
        <w:t>Mardawi, Ali bin Sulaiman: Al-Inshaf fi Ma'rifat Al-Rajih min Al-Khilaf, Dar Ihva?  Al-Turats Al-Arabi, Bairut.</w:t>
      </w:r>
    </w:p>
    <w:p>
      <w:pPr>
        <w:pStyle w:val="BookText"/>
        <w:bidi w:val="0"/>
        <w:jc w:val="both"/>
        <w:rPr/>
      </w:pPr>
      <w:r>
        <w:rPr>
          <w:rFonts w:eastAsia="Times New Roman" w:cs="Times New Roman" w:ascii="Times New Roman" w:hAnsi="Times New Roman"/>
          <w:color w:val="111111"/>
          <w:sz w:val="28"/>
          <w:szCs w:val="28"/>
          <w:lang w:val="en-US"/>
        </w:rPr>
        <w:t>Marghinani, Ali bin Abi Bakar bin Abdil Jalil: Al-Hidayah Syarh Al-Bidâyah, Al-  Maktabah Al-Islamiah, Bairut.</w:t>
      </w:r>
    </w:p>
    <w:p>
      <w:pPr>
        <w:pStyle w:val="BookText"/>
        <w:bidi w:val="0"/>
        <w:jc w:val="both"/>
        <w:rPr/>
      </w:pPr>
      <w:r>
        <w:rPr>
          <w:rFonts w:eastAsia="Times New Roman" w:cs="Times New Roman" w:ascii="Times New Roman" w:hAnsi="Times New Roman"/>
          <w:color w:val="111111"/>
          <w:sz w:val="28"/>
          <w:szCs w:val="28"/>
          <w:lang w:val="en-US"/>
        </w:rPr>
        <w:t>: Bidâyat Al-Mubtadí, Mathba'ah Muhammad Ali Shabih, Kairo, cet. 1,  1355 H.</w:t>
      </w:r>
    </w:p>
    <w:p>
      <w:pPr>
        <w:pStyle w:val="BookText"/>
        <w:bidi w:val="0"/>
        <w:jc w:val="both"/>
        <w:rPr/>
      </w:pPr>
      <w:r>
        <w:rPr>
          <w:rFonts w:eastAsia="Times New Roman" w:cs="Times New Roman" w:ascii="Times New Roman" w:hAnsi="Times New Roman"/>
          <w:color w:val="111111"/>
          <w:sz w:val="28"/>
          <w:szCs w:val="28"/>
          <w:lang w:val="en-US"/>
        </w:rPr>
        <w:t>Nawawi, Muhyidin bin Syaraf: Al-Majmů fi Syarh Al-Muhadzdzab, Dar Al-Fikr,  Bairut, tanpa tahun.</w:t>
      </w:r>
    </w:p>
    <w:p>
      <w:pPr>
        <w:pStyle w:val="BookText"/>
        <w:bidi w:val="0"/>
        <w:jc w:val="both"/>
        <w:rPr/>
      </w:pPr>
      <w:r>
        <w:rPr>
          <w:rFonts w:eastAsia="Times New Roman" w:cs="Times New Roman" w:ascii="Times New Roman" w:hAnsi="Times New Roman"/>
          <w:color w:val="111111"/>
          <w:sz w:val="28"/>
          <w:szCs w:val="28"/>
          <w:lang w:val="en-US"/>
        </w:rPr>
        <w:t>: Rawdhat Al-Thâlibîn, Dar Al-Kutub Al-Ilmiah, Libanon.</w:t>
      </w:r>
    </w:p>
    <w:p>
      <w:pPr>
        <w:pStyle w:val="BookText"/>
        <w:bidi w:val="0"/>
        <w:jc w:val="both"/>
        <w:rPr/>
      </w:pPr>
      <w:r>
        <w:rPr>
          <w:rFonts w:eastAsia="Times New Roman" w:cs="Times New Roman" w:ascii="Times New Roman" w:hAnsi="Times New Roman"/>
          <w:color w:val="111111"/>
          <w:sz w:val="28"/>
          <w:szCs w:val="28"/>
          <w:lang w:val="en-US"/>
        </w:rPr>
        <w:t>Qurthubi, Abu Umar Yusuf bin Abdillah bin Abdil Bar: Al-Kâfi, Dar Al-Kutub Al-  Ilmiah, Bairut, cet. 1, 1407 H.</w:t>
      </w:r>
    </w:p>
    <w:p>
      <w:pPr>
        <w:pStyle w:val="BookText"/>
        <w:bidi w:val="0"/>
        <w:jc w:val="both"/>
        <w:rPr/>
      </w:pPr>
      <w:r>
        <w:rPr>
          <w:rFonts w:eastAsia="Times New Roman" w:cs="Times New Roman" w:ascii="Times New Roman" w:hAnsi="Times New Roman"/>
          <w:color w:val="111111"/>
          <w:sz w:val="28"/>
          <w:szCs w:val="28"/>
          <w:lang w:val="en-US"/>
        </w:rPr>
        <w:t>Qirawani, Abdullah bin Abi Zaid: Risâlat Al-Qirawânî, Dar Al-Fikr, Bairut.</w:t>
      </w:r>
    </w:p>
    <w:p>
      <w:pPr>
        <w:pStyle w:val="BookText"/>
        <w:bidi w:val="0"/>
        <w:jc w:val="both"/>
        <w:rPr/>
      </w:pPr>
      <w:r>
        <w:rPr>
          <w:rFonts w:eastAsia="Times New Roman" w:cs="Times New Roman" w:ascii="Times New Roman" w:hAnsi="Times New Roman"/>
          <w:color w:val="111111"/>
          <w:sz w:val="28"/>
          <w:szCs w:val="28"/>
          <w:lang w:val="en-US"/>
        </w:rPr>
        <w:t>Sha'idi Adwi Maliki, Ali: Hâsyiyah Al-'Adwi, Dar Al-Fikr, Bairut, 1412 H.</w:t>
      </w:r>
    </w:p>
    <w:p>
      <w:pPr>
        <w:pStyle w:val="BookText"/>
        <w:bidi w:val="0"/>
        <w:jc w:val="both"/>
        <w:rPr/>
      </w:pPr>
      <w:r>
        <w:rPr>
          <w:rFonts w:eastAsia="Times New Roman" w:cs="Times New Roman" w:ascii="Times New Roman" w:hAnsi="Times New Roman"/>
          <w:color w:val="111111"/>
          <w:sz w:val="28"/>
          <w:szCs w:val="28"/>
          <w:lang w:val="en-US"/>
        </w:rPr>
        <w:t>Tamimi Maghribi, (Qadhi) Nu'man bin Muhammad: Daa'im Al-Islâm wa Dzikr  Al-Halâl wa Al-Harâm, Dar Al-Ma'arif, Mesir, 1383 H.</w:t>
      </w:r>
    </w:p>
    <w:p>
      <w:pPr>
        <w:pStyle w:val="BookText"/>
        <w:bidi w:val="0"/>
        <w:jc w:val="both"/>
        <w:rPr/>
      </w:pPr>
      <w:r>
        <w:rPr>
          <w:rFonts w:eastAsia="Times New Roman" w:cs="Times New Roman" w:ascii="Times New Roman" w:hAnsi="Times New Roman"/>
          <w:color w:val="111111"/>
          <w:sz w:val="28"/>
          <w:szCs w:val="28"/>
          <w:lang w:val="en-US"/>
        </w:rPr>
        <w:t>Wahidi Naisaburi, Abu Hasan: Asbấb Nuzủl Al-Ayât, Muassasah Al-Halabi, Kairo,  tanpa tahun.</w:t>
      </w:r>
    </w:p>
    <w:p>
      <w:pPr>
        <w:pStyle w:val="BookText"/>
        <w:bidi w:val="0"/>
        <w:jc w:val="both"/>
        <w:rPr/>
      </w:pPr>
      <w:r>
        <w:rPr>
          <w:rFonts w:eastAsia="Times New Roman" w:cs="Times New Roman" w:ascii="Times New Roman" w:hAnsi="Times New Roman"/>
          <w:color w:val="111111"/>
          <w:sz w:val="28"/>
          <w:szCs w:val="28"/>
          <w:lang w:val="en-US"/>
        </w:rPr>
        <w:t>Zaid bin Ali: Musnad Zaid ibn Aliy, Dar Maktabah Al-Hayah, Bairut.</w:t>
      </w:r>
    </w:p>
    <w:p>
      <w:pPr>
        <w:pStyle w:val="BookText"/>
        <w:bidi w:val="0"/>
        <w:jc w:val="both"/>
        <w:rPr/>
      </w:pPr>
      <w:r>
        <w:rPr>
          <w:rFonts w:eastAsia="Times New Roman" w:cs="Times New Roman" w:ascii="Times New Roman" w:hAnsi="Times New Roman"/>
          <w:color w:val="111111"/>
          <w:sz w:val="28"/>
          <w:szCs w:val="28"/>
          <w:lang w:val="en-US"/>
        </w:rPr>
        <w:t>Literatur Latin  Akdeniz, Yaman: Pornography on the Internet, 1996.</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Commission on Human Rights, Fifty-first session, item 10 of the provisional agenda, </w:t>
      </w:r>
    </w:p>
    <w:p>
      <w:pPr>
        <w:pStyle w:val="BookText"/>
        <w:bidi w:val="0"/>
        <w:rPr/>
      </w:pPr>
      <w:r>
        <w:rPr>
          <w:rFonts w:eastAsia="Times New Roman" w:cs="Times New Roman" w:ascii="Times New Roman" w:hAnsi="Times New Roman"/>
          <w:color w:val="111111"/>
          <w:sz w:val="28"/>
          <w:szCs w:val="28"/>
          <w:lang w:val="en-US"/>
        </w:rPr>
        <w:t>E/CN. 4/1995/32, (14 December 1994).</w:t>
      </w:r>
    </w:p>
    <w:p>
      <w:pPr>
        <w:pStyle w:val="BookText"/>
        <w:bidi w:val="0"/>
        <w:jc w:val="both"/>
        <w:rPr/>
      </w:pPr>
      <w:r>
        <w:rPr>
          <w:rFonts w:eastAsia="Times New Roman" w:cs="Times New Roman" w:ascii="Times New Roman" w:hAnsi="Times New Roman"/>
          <w:color w:val="111111"/>
          <w:sz w:val="28"/>
          <w:szCs w:val="28"/>
          <w:lang w:val="en-US"/>
        </w:rPr>
        <w:t>Dicey, A.V.: Law of Constitution, Macmillan, 9th ed., London, 1950.</w:t>
      </w:r>
    </w:p>
    <w:p>
      <w:pPr>
        <w:pStyle w:val="BookText"/>
        <w:bidi w:val="0"/>
        <w:jc w:val="both"/>
        <w:rPr/>
      </w:pPr>
      <w:r>
        <w:rPr>
          <w:rFonts w:eastAsia="Times New Roman" w:cs="Times New Roman" w:ascii="Times New Roman" w:hAnsi="Times New Roman"/>
          <w:color w:val="111111"/>
          <w:sz w:val="28"/>
          <w:szCs w:val="28"/>
          <w:lang w:val="en-US"/>
        </w:rPr>
        <w:t>Dworkin, Ronald: Freedom's Law (The moral reading of the American constitution),  Oxford, 1996.</w:t>
      </w:r>
    </w:p>
    <w:p>
      <w:pPr>
        <w:pStyle w:val="BookText"/>
        <w:bidi w:val="0"/>
        <w:jc w:val="both"/>
        <w:rPr/>
      </w:pPr>
      <w:r>
        <w:rPr>
          <w:rFonts w:eastAsia="Times New Roman" w:cs="Times New Roman" w:ascii="Times New Roman" w:hAnsi="Times New Roman"/>
          <w:color w:val="111111"/>
          <w:sz w:val="28"/>
          <w:szCs w:val="28"/>
          <w:lang w:val="en-US"/>
        </w:rPr>
        <w:t>Ganey, Terry: Former U.S. Attorney is Accused of Obstructing Waco Investigation, St.</w:t>
      </w:r>
    </w:p>
    <w:p>
      <w:pPr>
        <w:pStyle w:val="BookText"/>
        <w:bidi w:val="0"/>
        <w:jc w:val="both"/>
        <w:rPr/>
      </w:pPr>
      <w:r>
        <w:rPr>
          <w:rFonts w:eastAsia="Times New Roman" w:cs="Times New Roman" w:ascii="Times New Roman" w:hAnsi="Times New Roman"/>
          <w:color w:val="111111"/>
          <w:sz w:val="28"/>
          <w:szCs w:val="28"/>
          <w:lang w:val="en-US"/>
        </w:rPr>
        <w:t>Louis Post-Dispatch, November 9, 2000.</w:t>
      </w:r>
    </w:p>
    <w:p>
      <w:pPr>
        <w:pStyle w:val="BookText"/>
        <w:bidi w:val="0"/>
        <w:jc w:val="both"/>
        <w:rPr/>
      </w:pPr>
      <w:r>
        <w:rPr>
          <w:rFonts w:eastAsia="Times New Roman" w:cs="Times New Roman" w:ascii="Times New Roman" w:hAnsi="Times New Roman"/>
          <w:color w:val="111111"/>
          <w:sz w:val="28"/>
          <w:szCs w:val="28"/>
          <w:lang w:val="en-US"/>
        </w:rPr>
        <w:t>Linedecker, Clifford: Massacer AT WACO TEXAS (The shocking true story of cult  leader DAVID KORESH and the Branch Davidians).</w:t>
      </w:r>
    </w:p>
    <w:p>
      <w:pPr>
        <w:pStyle w:val="BookText"/>
        <w:bidi w:val="0"/>
        <w:jc w:val="both"/>
        <w:rPr/>
      </w:pPr>
      <w:r>
        <w:rPr>
          <w:rFonts w:eastAsia="Times New Roman" w:cs="Times New Roman" w:ascii="Times New Roman" w:hAnsi="Times New Roman"/>
          <w:color w:val="111111"/>
          <w:sz w:val="28"/>
          <w:szCs w:val="28"/>
          <w:lang w:val="en-US"/>
        </w:rPr>
        <w:t>Mason, Alpheus Thomas and Beaney, William: American Constitutional Law, Prentice  Hall, inc., 3rd ed.. New Jersey, 1964.</w:t>
      </w:r>
    </w:p>
    <w:p>
      <w:pPr>
        <w:pStyle w:val="BookText"/>
        <w:bidi w:val="0"/>
        <w:jc w:val="both"/>
        <w:rPr/>
      </w:pPr>
      <w:r>
        <w:rPr>
          <w:rFonts w:eastAsia="Times New Roman" w:cs="Times New Roman" w:ascii="Times New Roman" w:hAnsi="Times New Roman"/>
          <w:color w:val="111111"/>
          <w:sz w:val="28"/>
          <w:szCs w:val="28"/>
          <w:lang w:val="en-US"/>
        </w:rPr>
        <w:t>Nossiter, Adam: Branch Davidians Make Little Headway in Push for New Trial  against U.S., News Observer.com, February 10, 2003.</w:t>
      </w:r>
    </w:p>
    <w:p>
      <w:pPr>
        <w:pStyle w:val="BookText"/>
        <w:bidi w:val="0"/>
        <w:jc w:val="both"/>
        <w:rPr/>
      </w:pPr>
      <w:r>
        <w:rPr>
          <w:rFonts w:eastAsia="Times New Roman" w:cs="Times New Roman" w:ascii="Times New Roman" w:hAnsi="Times New Roman"/>
          <w:color w:val="111111"/>
          <w:sz w:val="28"/>
          <w:szCs w:val="28"/>
          <w:lang w:val="en-US"/>
        </w:rPr>
        <w:t>Peter Carey: Media Law, Sweet and Maxwell, London, 1996.</w:t>
      </w:r>
    </w:p>
    <w:p>
      <w:pPr>
        <w:pStyle w:val="BookText"/>
        <w:bidi w:val="0"/>
        <w:jc w:val="both"/>
        <w:rPr/>
      </w:pPr>
      <w:r>
        <w:rPr>
          <w:rFonts w:eastAsia="Times New Roman" w:cs="Times New Roman" w:ascii="Times New Roman" w:hAnsi="Times New Roman"/>
          <w:color w:val="111111"/>
          <w:sz w:val="28"/>
          <w:szCs w:val="28"/>
          <w:lang w:val="en-US"/>
        </w:rPr>
        <w:t>Smith, John and Hogan, Brian: Criminal Law, 8th ed., Butterworths, London,  Edinburgh, 1996.</w:t>
      </w:r>
    </w:p>
    <w:p>
      <w:pPr>
        <w:pStyle w:val="BookText"/>
        <w:bidi w:val="0"/>
        <w:jc w:val="both"/>
        <w:rPr/>
      </w:pPr>
      <w:r>
        <w:rPr>
          <w:rFonts w:eastAsia="Times New Roman" w:cs="Times New Roman" w:ascii="Times New Roman" w:hAnsi="Times New Roman"/>
          <w:color w:val="111111"/>
          <w:sz w:val="28"/>
          <w:szCs w:val="28"/>
          <w:lang w:val="en-US"/>
        </w:rPr>
        <w:t>Stange, Joe: Davidian Prosecutor Gets Probation, Associated Press, June 7, 2001.</w:t>
      </w:r>
    </w:p>
    <w:p>
      <w:pPr>
        <w:pStyle w:val="BookText"/>
        <w:bidi w:val="0"/>
        <w:jc w:val="both"/>
        <w:rPr/>
      </w:pPr>
      <w:r>
        <w:rPr>
          <w:rFonts w:eastAsia="Times New Roman" w:cs="Times New Roman" w:ascii="Times New Roman" w:hAnsi="Times New Roman"/>
          <w:color w:val="111111"/>
          <w:sz w:val="28"/>
          <w:szCs w:val="28"/>
          <w:lang w:val="en-US"/>
        </w:rPr>
        <w:t>WWW.CRF-USA.org/terror/rushdie: Terrorism, Blasphemy! Salman Rushdie and  Freedom of Expression.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WWW.Fountain.btinternet.co.uk\koresh: What Happened at Waco?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73" w:name="pg6393_43150"/>
      <w:bookmarkStart w:id="174" w:name="pg6393_43150"/>
      <w:bookmarkEnd w:id="174"/>
    </w:p>
    <w:p>
      <w:pPr>
        <w:pStyle w:val="Heading2"/>
        <w:numPr>
          <w:ilvl w:val="1"/>
          <w:numId w:val="1"/>
        </w:numPr>
        <w:bidi w:val="0"/>
        <w:jc w:val="left"/>
        <w:rPr/>
      </w:pPr>
      <w:bookmarkStart w:id="175" w:name="pg6393_43150"/>
      <w:bookmarkStart w:id="176" w:name="__RefHeading___Toc419574_653776707"/>
      <w:bookmarkStart w:id="177" w:name="_Toc64"/>
      <w:bookmarkEnd w:id="175"/>
      <w:bookmarkEnd w:id="176"/>
      <w:r>
        <w:rPr/>
        <w:t>Indeks</w:t>
      </w:r>
      <w:bookmarkEnd w:id="177"/>
    </w:p>
    <w:p>
      <w:pPr>
        <w:pStyle w:val="BookText"/>
        <w:bidi w:val="0"/>
        <w:jc w:val="both"/>
        <w:rPr/>
      </w:pPr>
      <w:r>
        <w:rPr>
          <w:rFonts w:eastAsia="Times New Roman" w:cs="Times New Roman" w:ascii="Times New Roman" w:hAnsi="Times New Roman"/>
          <w:color w:val="111111"/>
          <w:sz w:val="28"/>
          <w:szCs w:val="28"/>
          <w:lang w:val="en-US"/>
        </w:rPr>
        <w:t>Carleen Thomas</w:t>
      </w:r>
    </w:p>
    <w:p>
      <w:pPr>
        <w:pStyle w:val="BookText"/>
        <w:bidi w:val="0"/>
        <w:jc w:val="both"/>
        <w:rPr/>
      </w:pPr>
      <w:r>
        <w:rPr>
          <w:rFonts w:eastAsia="Times New Roman" w:cs="Times New Roman" w:ascii="Times New Roman" w:hAnsi="Times New Roman"/>
          <w:color w:val="111111"/>
          <w:sz w:val="28"/>
          <w:szCs w:val="28"/>
          <w:lang w:val="en-US"/>
        </w:rPr>
        <w:t>Chomsky</w:t>
      </w:r>
    </w:p>
    <w:p>
      <w:pPr>
        <w:pStyle w:val="BookText"/>
        <w:bidi w:val="0"/>
        <w:jc w:val="both"/>
        <w:rPr/>
      </w:pPr>
      <w:r>
        <w:rPr>
          <w:rFonts w:eastAsia="Times New Roman" w:cs="Times New Roman" w:ascii="Times New Roman" w:hAnsi="Times New Roman"/>
          <w:color w:val="111111"/>
          <w:sz w:val="28"/>
          <w:szCs w:val="28"/>
          <w:lang w:val="en-US"/>
        </w:rPr>
        <w:t>Common Law</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al-jâmi'li al-syarâ'ith</w:t>
      </w:r>
    </w:p>
    <w:p>
      <w:pPr>
        <w:pStyle w:val="BookText"/>
        <w:bidi w:val="0"/>
        <w:jc w:val="both"/>
        <w:rPr/>
      </w:pPr>
      <w:r>
        <w:rPr>
          <w:rFonts w:eastAsia="Times New Roman" w:cs="Times New Roman" w:ascii="Times New Roman" w:hAnsi="Times New Roman"/>
          <w:color w:val="111111"/>
          <w:sz w:val="28"/>
          <w:szCs w:val="28"/>
          <w:lang w:val="en-US"/>
        </w:rPr>
        <w:t>Aljazair</w:t>
      </w:r>
    </w:p>
    <w:p>
      <w:pPr>
        <w:pStyle w:val="BookText"/>
        <w:bidi w:val="0"/>
        <w:jc w:val="both"/>
        <w:rPr/>
      </w:pPr>
      <w:r>
        <w:rPr>
          <w:rFonts w:eastAsia="Times New Roman" w:cs="Times New Roman" w:ascii="Times New Roman" w:hAnsi="Times New Roman"/>
          <w:color w:val="111111"/>
          <w:sz w:val="28"/>
          <w:szCs w:val="28"/>
          <w:lang w:val="en-US"/>
        </w:rPr>
        <w:t>al-jîmi'li al-syarâ'ith</w:t>
      </w:r>
    </w:p>
    <w:p>
      <w:pPr>
        <w:pStyle w:val="BookText"/>
        <w:bidi w:val="0"/>
        <w:jc w:val="both"/>
        <w:rPr/>
      </w:pPr>
      <w:r>
        <w:rPr>
          <w:rFonts w:eastAsia="Times New Roman" w:cs="Times New Roman" w:ascii="Times New Roman" w:hAnsi="Times New Roman"/>
          <w:color w:val="111111"/>
          <w:sz w:val="28"/>
          <w:szCs w:val="28"/>
          <w:lang w:val="en-US"/>
        </w:rPr>
        <w:t>al-khuruj 'alà</w:t>
      </w:r>
    </w:p>
    <w:p>
      <w:pPr>
        <w:pStyle w:val="BookText"/>
        <w:bidi w:val="0"/>
        <w:jc w:val="both"/>
        <w:rPr/>
      </w:pPr>
      <w:r>
        <w:rPr>
          <w:rFonts w:eastAsia="Times New Roman" w:cs="Times New Roman" w:ascii="Times New Roman" w:hAnsi="Times New Roman"/>
          <w:color w:val="111111"/>
          <w:sz w:val="28"/>
          <w:szCs w:val="28"/>
          <w:lang w:val="en-US"/>
        </w:rPr>
        <w:t>Allamah Hilli</w:t>
      </w:r>
    </w:p>
    <w:p>
      <w:pPr>
        <w:pStyle w:val="BookText"/>
        <w:bidi w:val="0"/>
        <w:jc w:val="both"/>
        <w:rPr/>
      </w:pPr>
      <w:r>
        <w:rPr>
          <w:rFonts w:eastAsia="Times New Roman" w:cs="Times New Roman" w:ascii="Times New Roman" w:hAnsi="Times New Roman"/>
          <w:color w:val="111111"/>
          <w:sz w:val="28"/>
          <w:szCs w:val="28"/>
          <w:lang w:val="en-US"/>
        </w:rPr>
        <w:t>Allamah Thabathaba'i</w:t>
      </w:r>
    </w:p>
    <w:p>
      <w:pPr>
        <w:pStyle w:val="BookText"/>
        <w:bidi w:val="0"/>
        <w:jc w:val="both"/>
        <w:rPr/>
      </w:pPr>
      <w:r>
        <w:rPr>
          <w:rFonts w:eastAsia="Times New Roman" w:cs="Times New Roman" w:ascii="Times New Roman" w:hAnsi="Times New Roman"/>
          <w:color w:val="111111"/>
          <w:sz w:val="28"/>
          <w:szCs w:val="28"/>
          <w:lang w:val="en-US"/>
        </w:rPr>
        <w:t>Al-Sarâ'ir</w:t>
      </w:r>
    </w:p>
    <w:p>
      <w:pPr>
        <w:pStyle w:val="BookText"/>
        <w:bidi w:val="0"/>
        <w:jc w:val="both"/>
        <w:rPr/>
      </w:pPr>
      <w:r>
        <w:rPr>
          <w:rFonts w:eastAsia="Times New Roman" w:cs="Times New Roman" w:ascii="Times New Roman" w:hAnsi="Times New Roman"/>
          <w:color w:val="111111"/>
          <w:sz w:val="28"/>
          <w:szCs w:val="28"/>
          <w:lang w:val="en-US"/>
        </w:rPr>
        <w:t>Amerika</w:t>
      </w:r>
    </w:p>
    <w:p>
      <w:pPr>
        <w:pStyle w:val="BookText"/>
        <w:bidi w:val="0"/>
        <w:jc w:val="both"/>
        <w:rPr/>
      </w:pPr>
      <w:r>
        <w:rPr>
          <w:rFonts w:eastAsia="Times New Roman" w:cs="Times New Roman" w:ascii="Times New Roman" w:hAnsi="Times New Roman"/>
          <w:color w:val="111111"/>
          <w:sz w:val="28"/>
          <w:szCs w:val="28"/>
          <w:lang w:val="en-US"/>
        </w:rPr>
        <w:t>Amerika Serikat</w:t>
      </w:r>
    </w:p>
    <w:p>
      <w:pPr>
        <w:pStyle w:val="BookText"/>
        <w:bidi w:val="0"/>
        <w:jc w:val="both"/>
        <w:rPr/>
      </w:pPr>
      <w:r>
        <w:rPr>
          <w:rFonts w:eastAsia="Times New Roman" w:cs="Times New Roman" w:ascii="Times New Roman" w:hAnsi="Times New Roman"/>
          <w:color w:val="111111"/>
          <w:sz w:val="28"/>
          <w:szCs w:val="28"/>
          <w:lang w:val="en-US"/>
        </w:rPr>
        <w:t>Anshari</w:t>
      </w:r>
    </w:p>
    <w:p>
      <w:pPr>
        <w:pStyle w:val="BookText"/>
        <w:bidi w:val="0"/>
        <w:jc w:val="both"/>
        <w:rPr/>
      </w:pPr>
      <w:r>
        <w:rPr>
          <w:rFonts w:eastAsia="Times New Roman" w:cs="Times New Roman" w:ascii="Times New Roman" w:hAnsi="Times New Roman"/>
          <w:color w:val="111111"/>
          <w:sz w:val="28"/>
          <w:szCs w:val="28"/>
          <w:lang w:val="en-US"/>
        </w:rPr>
        <w:t>Ardabili</w:t>
      </w:r>
    </w:p>
    <w:p>
      <w:pPr>
        <w:pStyle w:val="BookText"/>
        <w:bidi w:val="0"/>
        <w:jc w:val="both"/>
        <w:rPr/>
      </w:pPr>
      <w:r>
        <w:rPr>
          <w:rFonts w:eastAsia="Times New Roman" w:cs="Times New Roman" w:ascii="Times New Roman" w:hAnsi="Times New Roman"/>
          <w:color w:val="111111"/>
          <w:sz w:val="28"/>
          <w:szCs w:val="28"/>
          <w:lang w:val="en-US"/>
        </w:rPr>
        <w:t>ashhâb al-riddah</w:t>
      </w:r>
    </w:p>
    <w:p>
      <w:pPr>
        <w:pStyle w:val="BookText"/>
        <w:bidi w:val="0"/>
        <w:jc w:val="both"/>
        <w:rPr/>
      </w:pPr>
      <w:r>
        <w:rPr>
          <w:rFonts w:eastAsia="Times New Roman" w:cs="Times New Roman" w:ascii="Times New Roman" w:hAnsi="Times New Roman"/>
          <w:color w:val="111111"/>
          <w:sz w:val="28"/>
          <w:szCs w:val="28"/>
          <w:lang w:val="en-US"/>
        </w:rPr>
        <w:t>Dar</w:t>
      </w:r>
    </w:p>
    <w:p>
      <w:pPr>
        <w:pStyle w:val="BookText"/>
        <w:bidi w:val="0"/>
        <w:jc w:val="both"/>
        <w:rPr/>
      </w:pPr>
      <w:r>
        <w:rPr>
          <w:rFonts w:eastAsia="Times New Roman" w:cs="Times New Roman" w:ascii="Times New Roman" w:hAnsi="Times New Roman"/>
          <w:color w:val="111111"/>
          <w:sz w:val="28"/>
          <w:szCs w:val="28"/>
          <w:lang w:val="en-US"/>
        </w:rPr>
        <w:t>David Koresh</w:t>
      </w:r>
    </w:p>
    <w:p>
      <w:pPr>
        <w:pStyle w:val="BookText"/>
        <w:bidi w:val="0"/>
        <w:jc w:val="both"/>
        <w:rPr/>
      </w:pPr>
      <w:r>
        <w:rPr>
          <w:rFonts w:eastAsia="Times New Roman" w:cs="Times New Roman" w:ascii="Times New Roman" w:hAnsi="Times New Roman"/>
          <w:color w:val="111111"/>
          <w:sz w:val="28"/>
          <w:szCs w:val="28"/>
          <w:lang w:val="en-US"/>
        </w:rPr>
        <w:t>dharûrî</w:t>
      </w:r>
    </w:p>
    <w:p>
      <w:pPr>
        <w:pStyle w:val="BookText"/>
        <w:bidi w:val="0"/>
        <w:jc w:val="both"/>
        <w:rPr/>
      </w:pPr>
      <w:r>
        <w:rPr>
          <w:rFonts w:eastAsia="Times New Roman" w:cs="Times New Roman" w:ascii="Times New Roman" w:hAnsi="Times New Roman"/>
          <w:color w:val="111111"/>
          <w:sz w:val="28"/>
          <w:szCs w:val="28"/>
          <w:lang w:val="en-US"/>
        </w:rPr>
        <w:t>dharûriyyât al-dîn</w:t>
      </w:r>
    </w:p>
    <w:p>
      <w:pPr>
        <w:pStyle w:val="BookText"/>
        <w:bidi w:val="0"/>
        <w:jc w:val="both"/>
        <w:rPr/>
      </w:pPr>
      <w:r>
        <w:rPr>
          <w:rFonts w:eastAsia="Times New Roman" w:cs="Times New Roman" w:ascii="Times New Roman" w:hAnsi="Times New Roman"/>
          <w:color w:val="111111"/>
          <w:sz w:val="28"/>
          <w:szCs w:val="28"/>
          <w:lang w:val="en-US"/>
        </w:rPr>
        <w:t>dzimmah</w:t>
      </w:r>
    </w:p>
    <w:p>
      <w:pPr>
        <w:pStyle w:val="BookText"/>
        <w:bidi w:val="0"/>
        <w:jc w:val="both"/>
        <w:rPr/>
      </w:pPr>
      <w:r>
        <w:rPr>
          <w:rFonts w:eastAsia="Times New Roman" w:cs="Times New Roman" w:ascii="Times New Roman" w:hAnsi="Times New Roman"/>
          <w:color w:val="111111"/>
          <w:sz w:val="28"/>
          <w:szCs w:val="28"/>
          <w:lang w:val="en-US"/>
        </w:rPr>
        <w:t>ashl</w:t>
      </w:r>
    </w:p>
    <w:p>
      <w:pPr>
        <w:pStyle w:val="BookText"/>
        <w:bidi w:val="0"/>
        <w:jc w:val="both"/>
        <w:rPr/>
      </w:pPr>
      <w:r>
        <w:rPr>
          <w:rFonts w:eastAsia="Times New Roman" w:cs="Times New Roman" w:ascii="Times New Roman" w:hAnsi="Times New Roman"/>
          <w:color w:val="111111"/>
          <w:sz w:val="28"/>
          <w:szCs w:val="28"/>
          <w:lang w:val="en-US"/>
        </w:rPr>
        <w:t>adam wa malakah</w:t>
      </w:r>
    </w:p>
    <w:p>
      <w:pPr>
        <w:pStyle w:val="BookText"/>
        <w:bidi w:val="0"/>
        <w:jc w:val="both"/>
        <w:rPr/>
      </w:pPr>
      <w:r>
        <w:rPr>
          <w:rFonts w:eastAsia="Times New Roman" w:cs="Times New Roman" w:ascii="Times New Roman" w:hAnsi="Times New Roman"/>
          <w:color w:val="111111"/>
          <w:sz w:val="28"/>
          <w:szCs w:val="28"/>
          <w:lang w:val="en-US"/>
        </w:rPr>
        <w:t>inâd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ugalai</w:t>
      </w:r>
    </w:p>
    <w:p>
      <w:pPr>
        <w:pStyle w:val="BookText"/>
        <w:bidi w:val="0"/>
        <w:jc w:val="both"/>
        <w:rPr/>
      </w:pPr>
      <w:r>
        <w:rPr>
          <w:rFonts w:eastAsia="Times New Roman" w:cs="Times New Roman" w:ascii="Times New Roman" w:hAnsi="Times New Roman"/>
          <w:color w:val="111111"/>
          <w:sz w:val="28"/>
          <w:szCs w:val="28"/>
          <w:lang w:val="en-US"/>
        </w:rPr>
        <w:t>"urf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urf mutasyarri`ah</w:t>
      </w:r>
    </w:p>
    <w:p>
      <w:pPr>
        <w:pStyle w:val="BookText"/>
        <w:bidi w:val="0"/>
        <w:jc w:val="both"/>
        <w:rPr/>
      </w:pPr>
      <w:r>
        <w:rPr>
          <w:rFonts w:eastAsia="Times New Roman" w:cs="Times New Roman" w:ascii="Times New Roman" w:hAnsi="Times New Roman"/>
          <w:color w:val="111111"/>
          <w:sz w:val="28"/>
          <w:szCs w:val="28"/>
          <w:lang w:val="en-US"/>
        </w:rPr>
        <w:t>Abdul Rahman Qashir</w:t>
      </w:r>
    </w:p>
    <w:p>
      <w:pPr>
        <w:pStyle w:val="BookText"/>
        <w:bidi w:val="0"/>
        <w:jc w:val="both"/>
        <w:rPr/>
      </w:pPr>
      <w:r>
        <w:rPr>
          <w:rFonts w:eastAsia="Times New Roman" w:cs="Times New Roman" w:ascii="Times New Roman" w:hAnsi="Times New Roman"/>
          <w:color w:val="111111"/>
          <w:sz w:val="28"/>
          <w:szCs w:val="28"/>
          <w:lang w:val="en-US"/>
        </w:rPr>
        <w:t>Abdullah bin Abbas</w:t>
      </w:r>
    </w:p>
    <w:p>
      <w:pPr>
        <w:pStyle w:val="BookText"/>
        <w:bidi w:val="0"/>
        <w:jc w:val="both"/>
        <w:rPr/>
      </w:pPr>
      <w:r>
        <w:rPr>
          <w:rFonts w:eastAsia="Times New Roman" w:cs="Times New Roman" w:ascii="Times New Roman" w:hAnsi="Times New Roman"/>
          <w:color w:val="111111"/>
          <w:sz w:val="28"/>
          <w:szCs w:val="28"/>
          <w:lang w:val="en-US"/>
        </w:rPr>
        <w:t>Abdurrahman bin Hajjaj</w:t>
      </w:r>
    </w:p>
    <w:p>
      <w:pPr>
        <w:pStyle w:val="BookText"/>
        <w:bidi w:val="0"/>
        <w:jc w:val="both"/>
        <w:rPr/>
      </w:pPr>
      <w:r>
        <w:rPr>
          <w:rFonts w:eastAsia="Times New Roman" w:cs="Times New Roman" w:ascii="Times New Roman" w:hAnsi="Times New Roman"/>
          <w:color w:val="111111"/>
          <w:sz w:val="28"/>
          <w:szCs w:val="28"/>
          <w:lang w:val="en-US"/>
        </w:rPr>
        <w:t>Abu Bakar</w:t>
      </w:r>
    </w:p>
    <w:p>
      <w:pPr>
        <w:pStyle w:val="BookText"/>
        <w:bidi w:val="0"/>
        <w:jc w:val="both"/>
        <w:rPr/>
      </w:pPr>
      <w:r>
        <w:rPr>
          <w:rFonts w:eastAsia="Times New Roman" w:cs="Times New Roman" w:ascii="Times New Roman" w:hAnsi="Times New Roman"/>
          <w:color w:val="111111"/>
          <w:sz w:val="28"/>
          <w:szCs w:val="28"/>
          <w:lang w:val="en-US"/>
        </w:rPr>
        <w:t>Abu Bashir</w:t>
      </w:r>
    </w:p>
    <w:p>
      <w:pPr>
        <w:pStyle w:val="BookText"/>
        <w:bidi w:val="0"/>
        <w:jc w:val="both"/>
        <w:rPr/>
      </w:pPr>
      <w:r>
        <w:rPr>
          <w:rFonts w:eastAsia="Times New Roman" w:cs="Times New Roman" w:ascii="Times New Roman" w:hAnsi="Times New Roman"/>
          <w:color w:val="111111"/>
          <w:sz w:val="28"/>
          <w:szCs w:val="28"/>
          <w:lang w:val="en-US"/>
        </w:rPr>
        <w:t>Abu Hamzah Dailami</w:t>
      </w:r>
    </w:p>
    <w:p>
      <w:pPr>
        <w:pStyle w:val="BookText"/>
        <w:bidi w:val="0"/>
        <w:jc w:val="both"/>
        <w:rPr/>
      </w:pPr>
      <w:r>
        <w:rPr>
          <w:rFonts w:eastAsia="Times New Roman" w:cs="Times New Roman" w:ascii="Times New Roman" w:hAnsi="Times New Roman"/>
          <w:color w:val="111111"/>
          <w:sz w:val="28"/>
          <w:szCs w:val="28"/>
          <w:lang w:val="en-US"/>
        </w:rPr>
        <w:t>Abu Shalah Halabi</w:t>
      </w:r>
    </w:p>
    <w:p>
      <w:pPr>
        <w:pStyle w:val="BookText"/>
        <w:bidi w:val="0"/>
        <w:jc w:val="both"/>
        <w:rPr/>
      </w:pPr>
      <w:r>
        <w:rPr>
          <w:rFonts w:eastAsia="Times New Roman" w:cs="Times New Roman" w:ascii="Times New Roman" w:hAnsi="Times New Roman"/>
          <w:color w:val="111111"/>
          <w:sz w:val="28"/>
          <w:szCs w:val="28"/>
          <w:lang w:val="en-US"/>
        </w:rPr>
        <w:t>Abu Shaleh Halabi</w:t>
      </w:r>
    </w:p>
    <w:p>
      <w:pPr>
        <w:pStyle w:val="BookText"/>
        <w:bidi w:val="0"/>
        <w:jc w:val="both"/>
        <w:rPr/>
      </w:pPr>
      <w:r>
        <w:rPr>
          <w:rFonts w:eastAsia="Times New Roman" w:cs="Times New Roman" w:ascii="Times New Roman" w:hAnsi="Times New Roman"/>
          <w:color w:val="111111"/>
          <w:sz w:val="28"/>
          <w:szCs w:val="28"/>
          <w:lang w:val="en-US"/>
        </w:rPr>
        <w:t>ahkâm ijma'iyyah</w:t>
      </w:r>
    </w:p>
    <w:p>
      <w:pPr>
        <w:pStyle w:val="BookText"/>
        <w:bidi w:val="0"/>
        <w:jc w:val="both"/>
        <w:rPr/>
      </w:pPr>
      <w:r>
        <w:rPr>
          <w:rFonts w:eastAsia="Times New Roman" w:cs="Times New Roman" w:ascii="Times New Roman" w:hAnsi="Times New Roman"/>
          <w:color w:val="111111"/>
          <w:sz w:val="28"/>
          <w:szCs w:val="28"/>
          <w:lang w:val="en-US"/>
        </w:rPr>
        <w:t>ahkâm qath‘iyyah</w:t>
      </w:r>
    </w:p>
    <w:p>
      <w:pPr>
        <w:pStyle w:val="BookText"/>
        <w:bidi w:val="0"/>
        <w:jc w:val="both"/>
        <w:rPr/>
      </w:pPr>
      <w:r>
        <w:rPr>
          <w:rFonts w:eastAsia="Times New Roman" w:cs="Times New Roman" w:ascii="Times New Roman" w:hAnsi="Times New Roman"/>
          <w:color w:val="111111"/>
          <w:sz w:val="28"/>
          <w:szCs w:val="28"/>
          <w:lang w:val="en-US"/>
        </w:rPr>
        <w:t>Ahl Al-Hall wa Al-Agd</w:t>
      </w:r>
    </w:p>
    <w:p>
      <w:pPr>
        <w:pStyle w:val="BookText"/>
        <w:bidi w:val="0"/>
        <w:jc w:val="both"/>
        <w:rPr/>
      </w:pPr>
      <w:r>
        <w:rPr>
          <w:rFonts w:eastAsia="Times New Roman" w:cs="Times New Roman" w:ascii="Times New Roman" w:hAnsi="Times New Roman"/>
          <w:color w:val="111111"/>
          <w:sz w:val="28"/>
          <w:szCs w:val="28"/>
          <w:lang w:val="en-US"/>
        </w:rPr>
        <w:t>Ahlul Bait</w:t>
      </w:r>
    </w:p>
    <w:p>
      <w:pPr>
        <w:pStyle w:val="BookText"/>
        <w:bidi w:val="0"/>
        <w:jc w:val="both"/>
        <w:rPr/>
      </w:pPr>
      <w:r>
        <w:rPr>
          <w:rFonts w:eastAsia="Times New Roman" w:cs="Times New Roman" w:ascii="Times New Roman" w:hAnsi="Times New Roman"/>
          <w:color w:val="111111"/>
          <w:sz w:val="28"/>
          <w:szCs w:val="28"/>
          <w:lang w:val="en-US"/>
        </w:rPr>
        <w:t>ajaran niscaya</w:t>
      </w:r>
    </w:p>
    <w:p>
      <w:pPr>
        <w:pStyle w:val="BookText"/>
        <w:bidi w:val="0"/>
        <w:jc w:val="both"/>
        <w:rPr/>
      </w:pPr>
      <w:r>
        <w:rPr>
          <w:rFonts w:eastAsia="Times New Roman" w:cs="Times New Roman" w:ascii="Times New Roman" w:hAnsi="Times New Roman"/>
          <w:color w:val="111111"/>
          <w:sz w:val="28"/>
          <w:szCs w:val="28"/>
          <w:lang w:val="en-US"/>
        </w:rPr>
        <w:t>ajaran niscaya agama</w:t>
      </w:r>
    </w:p>
    <w:p>
      <w:pPr>
        <w:pStyle w:val="BookText"/>
        <w:bidi w:val="0"/>
        <w:jc w:val="both"/>
        <w:rPr/>
      </w:pPr>
      <w:r>
        <w:rPr>
          <w:rFonts w:eastAsia="Times New Roman" w:cs="Times New Roman" w:ascii="Times New Roman" w:hAnsi="Times New Roman"/>
          <w:color w:val="111111"/>
          <w:sz w:val="28"/>
          <w:szCs w:val="28"/>
          <w:lang w:val="en-US"/>
        </w:rPr>
        <w:t>Al-Asy'atsiyyât</w:t>
      </w:r>
    </w:p>
    <w:p>
      <w:pPr>
        <w:pStyle w:val="BookText"/>
        <w:bidi w:val="0"/>
        <w:jc w:val="both"/>
        <w:rPr/>
      </w:pPr>
      <w:r>
        <w:rPr>
          <w:rFonts w:eastAsia="Times New Roman" w:cs="Times New Roman" w:ascii="Times New Roman" w:hAnsi="Times New Roman"/>
          <w:color w:val="111111"/>
          <w:sz w:val="28"/>
          <w:szCs w:val="28"/>
          <w:lang w:val="en-US"/>
        </w:rPr>
        <w:t>al-darûriyât al-khams</w:t>
      </w:r>
    </w:p>
    <w:p>
      <w:pPr>
        <w:pStyle w:val="BookText"/>
        <w:bidi w:val="0"/>
        <w:jc w:val="both"/>
        <w:rPr/>
      </w:pPr>
      <w:r>
        <w:rPr>
          <w:rFonts w:eastAsia="Times New Roman" w:cs="Times New Roman" w:ascii="Times New Roman" w:hAnsi="Times New Roman"/>
          <w:color w:val="111111"/>
          <w:sz w:val="28"/>
          <w:szCs w:val="28"/>
          <w:lang w:val="en-US"/>
        </w:rPr>
        <w:t>al-hukm al-awwali</w:t>
      </w:r>
    </w:p>
    <w:p>
      <w:pPr>
        <w:pStyle w:val="BookText"/>
        <w:bidi w:val="0"/>
        <w:jc w:val="both"/>
        <w:rPr/>
      </w:pPr>
      <w:r>
        <w:rPr>
          <w:rFonts w:eastAsia="Times New Roman" w:cs="Times New Roman" w:ascii="Times New Roman" w:hAnsi="Times New Roman"/>
          <w:color w:val="111111"/>
          <w:sz w:val="28"/>
          <w:szCs w:val="28"/>
          <w:lang w:val="en-US"/>
        </w:rPr>
        <w:t>al-hukm al-bukûmatî</w:t>
      </w:r>
    </w:p>
    <w:p>
      <w:pPr>
        <w:pStyle w:val="BookText"/>
        <w:bidi w:val="0"/>
        <w:jc w:val="both"/>
        <w:rPr/>
      </w:pPr>
      <w:r>
        <w:rPr>
          <w:rFonts w:eastAsia="Times New Roman" w:cs="Times New Roman" w:ascii="Times New Roman" w:hAnsi="Times New Roman"/>
          <w:color w:val="111111"/>
          <w:sz w:val="28"/>
          <w:szCs w:val="28"/>
          <w:lang w:val="en-US"/>
        </w:rPr>
        <w:t>Ali bin Abi Thalib</w:t>
      </w:r>
    </w:p>
    <w:p>
      <w:pPr>
        <w:pStyle w:val="BookText"/>
        <w:bidi w:val="0"/>
        <w:jc w:val="both"/>
        <w:rPr/>
      </w:pPr>
      <w:r>
        <w:rPr>
          <w:rFonts w:eastAsia="Times New Roman" w:cs="Times New Roman" w:ascii="Times New Roman" w:hAnsi="Times New Roman"/>
          <w:color w:val="111111"/>
          <w:sz w:val="28"/>
          <w:szCs w:val="28"/>
          <w:lang w:val="en-US"/>
        </w:rPr>
        <w:t>ashl al-dîn</w:t>
      </w:r>
    </w:p>
    <w:p>
      <w:pPr>
        <w:pStyle w:val="BookText"/>
        <w:bidi w:val="0"/>
        <w:jc w:val="both"/>
        <w:rPr/>
      </w:pPr>
      <w:r>
        <w:rPr>
          <w:rFonts w:eastAsia="Times New Roman" w:cs="Times New Roman" w:ascii="Times New Roman" w:hAnsi="Times New Roman"/>
          <w:color w:val="111111"/>
          <w:sz w:val="28"/>
          <w:szCs w:val="28"/>
          <w:lang w:val="en-US"/>
        </w:rPr>
        <w:t>Attila</w:t>
      </w:r>
    </w:p>
    <w:p>
      <w:pPr>
        <w:pStyle w:val="BookText"/>
        <w:bidi w:val="0"/>
        <w:jc w:val="both"/>
        <w:rPr/>
      </w:pPr>
      <w:r>
        <w:rPr>
          <w:rFonts w:eastAsia="Times New Roman" w:cs="Times New Roman" w:ascii="Times New Roman" w:hAnsi="Times New Roman"/>
          <w:color w:val="111111"/>
          <w:sz w:val="28"/>
          <w:szCs w:val="28"/>
          <w:lang w:val="en-US"/>
        </w:rPr>
        <w:t>Ayat-ayat Setan</w:t>
      </w:r>
    </w:p>
    <w:p>
      <w:pPr>
        <w:pStyle w:val="BookText"/>
        <w:bidi w:val="0"/>
        <w:jc w:val="both"/>
        <w:rPr/>
      </w:pPr>
      <w:r>
        <w:rPr>
          <w:rFonts w:eastAsia="Times New Roman" w:cs="Times New Roman" w:ascii="Times New Roman" w:hAnsi="Times New Roman"/>
          <w:color w:val="111111"/>
          <w:sz w:val="28"/>
          <w:szCs w:val="28"/>
          <w:lang w:val="en-US"/>
        </w:rPr>
        <w:t>Fadhil Hindi</w:t>
      </w:r>
    </w:p>
    <w:p>
      <w:pPr>
        <w:pStyle w:val="BookText"/>
        <w:bidi w:val="0"/>
        <w:jc w:val="both"/>
        <w:rPr/>
      </w:pPr>
      <w:r>
        <w:rPr>
          <w:rFonts w:eastAsia="Times New Roman" w:cs="Times New Roman" w:ascii="Times New Roman" w:hAnsi="Times New Roman"/>
          <w:color w:val="111111"/>
          <w:sz w:val="28"/>
          <w:szCs w:val="28"/>
          <w:lang w:val="en-US"/>
        </w:rPr>
        <w:t>freedom of expression</w:t>
      </w:r>
    </w:p>
    <w:p>
      <w:pPr>
        <w:pStyle w:val="BookText"/>
        <w:bidi w:val="0"/>
        <w:jc w:val="both"/>
        <w:rPr/>
      </w:pPr>
      <w:r>
        <w:rPr>
          <w:rFonts w:eastAsia="Times New Roman" w:cs="Times New Roman" w:ascii="Times New Roman" w:hAnsi="Times New Roman"/>
          <w:color w:val="111111"/>
          <w:sz w:val="28"/>
          <w:szCs w:val="28"/>
          <w:lang w:val="en-US"/>
        </w:rPr>
        <w:t>fukaha Syiah</w:t>
      </w:r>
    </w:p>
    <w:p>
      <w:pPr>
        <w:pStyle w:val="BookText"/>
        <w:bidi w:val="0"/>
        <w:jc w:val="both"/>
        <w:rPr/>
      </w:pPr>
      <w:r>
        <w:rPr>
          <w:rFonts w:eastAsia="Times New Roman" w:cs="Times New Roman" w:ascii="Times New Roman" w:hAnsi="Times New Roman"/>
          <w:color w:val="111111"/>
          <w:sz w:val="28"/>
          <w:szCs w:val="28"/>
          <w:lang w:val="en-US"/>
        </w:rPr>
        <w:t>ghair dharûrî</w:t>
      </w:r>
    </w:p>
    <w:p>
      <w:pPr>
        <w:pStyle w:val="BookText"/>
        <w:bidi w:val="0"/>
        <w:jc w:val="both"/>
        <w:rPr/>
      </w:pPr>
      <w:r>
        <w:rPr>
          <w:rFonts w:eastAsia="Times New Roman" w:cs="Times New Roman" w:ascii="Times New Roman" w:hAnsi="Times New Roman"/>
          <w:color w:val="111111"/>
          <w:sz w:val="28"/>
          <w:szCs w:val="28"/>
          <w:lang w:val="en-US"/>
        </w:rPr>
        <w:t>Bab Al-Waswasah</w:t>
      </w:r>
    </w:p>
    <w:p>
      <w:pPr>
        <w:pStyle w:val="BookText"/>
        <w:bidi w:val="0"/>
        <w:jc w:val="both"/>
        <w:rPr/>
      </w:pPr>
      <w:r>
        <w:rPr>
          <w:rFonts w:eastAsia="Times New Roman" w:cs="Times New Roman" w:ascii="Times New Roman" w:hAnsi="Times New Roman"/>
          <w:color w:val="111111"/>
          <w:sz w:val="28"/>
          <w:szCs w:val="28"/>
          <w:lang w:val="en-US"/>
        </w:rPr>
        <w:t>wa Hadits Al-Nafs</w:t>
      </w:r>
    </w:p>
    <w:p>
      <w:pPr>
        <w:pStyle w:val="BookText"/>
        <w:bidi w:val="0"/>
        <w:jc w:val="both"/>
        <w:rPr/>
      </w:pPr>
      <w:r>
        <w:rPr>
          <w:rFonts w:eastAsia="Times New Roman" w:cs="Times New Roman" w:ascii="Times New Roman" w:hAnsi="Times New Roman"/>
          <w:color w:val="111111"/>
          <w:sz w:val="28"/>
          <w:szCs w:val="28"/>
          <w:lang w:val="en-US"/>
        </w:rPr>
        <w:t>baghy</w:t>
      </w:r>
    </w:p>
    <w:p>
      <w:pPr>
        <w:pStyle w:val="BookText"/>
        <w:bidi w:val="0"/>
        <w:jc w:val="both"/>
        <w:rPr/>
      </w:pPr>
      <w:r>
        <w:rPr>
          <w:rFonts w:eastAsia="Times New Roman" w:cs="Times New Roman" w:ascii="Times New Roman" w:hAnsi="Times New Roman"/>
          <w:color w:val="111111"/>
          <w:sz w:val="28"/>
          <w:szCs w:val="28"/>
          <w:lang w:val="en-US"/>
        </w:rPr>
        <w:t>Black Stone</w:t>
      </w:r>
    </w:p>
    <w:p>
      <w:pPr>
        <w:pStyle w:val="BookText"/>
        <w:bidi w:val="0"/>
        <w:jc w:val="both"/>
        <w:rPr/>
      </w:pPr>
      <w:r>
        <w:rPr>
          <w:rFonts w:eastAsia="Times New Roman" w:cs="Times New Roman" w:ascii="Times New Roman" w:hAnsi="Times New Roman"/>
          <w:color w:val="111111"/>
          <w:sz w:val="28"/>
          <w:szCs w:val="28"/>
          <w:lang w:val="en-US"/>
        </w:rPr>
        <w:t>blasphemy</w:t>
      </w:r>
    </w:p>
    <w:p>
      <w:pPr>
        <w:pStyle w:val="BookText"/>
        <w:bidi w:val="0"/>
        <w:jc w:val="both"/>
        <w:rPr/>
      </w:pPr>
      <w:r>
        <w:rPr>
          <w:rFonts w:eastAsia="Times New Roman" w:cs="Times New Roman" w:ascii="Times New Roman" w:hAnsi="Times New Roman"/>
          <w:color w:val="111111"/>
          <w:sz w:val="28"/>
          <w:szCs w:val="28"/>
          <w:lang w:val="en-US"/>
        </w:rPr>
        <w:t>Blasphemy</w:t>
      </w:r>
    </w:p>
    <w:p>
      <w:pPr>
        <w:pStyle w:val="BookText"/>
        <w:bidi w:val="0"/>
        <w:jc w:val="both"/>
        <w:rPr/>
      </w:pPr>
      <w:r>
        <w:rPr>
          <w:rFonts w:eastAsia="Times New Roman" w:cs="Times New Roman" w:ascii="Times New Roman" w:hAnsi="Times New Roman"/>
          <w:color w:val="111111"/>
          <w:sz w:val="28"/>
          <w:szCs w:val="28"/>
          <w:lang w:val="en-US"/>
        </w:rPr>
        <w:t>Branch Davidians</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had</w:t>
      </w:r>
    </w:p>
    <w:p>
      <w:pPr>
        <w:pStyle w:val="BookText"/>
        <w:bidi w:val="0"/>
        <w:jc w:val="both"/>
        <w:rPr/>
      </w:pPr>
      <w:r>
        <w:rPr>
          <w:rFonts w:eastAsia="Times New Roman" w:cs="Times New Roman" w:ascii="Times New Roman" w:hAnsi="Times New Roman"/>
          <w:color w:val="111111"/>
          <w:sz w:val="28"/>
          <w:szCs w:val="28"/>
          <w:lang w:val="en-US"/>
        </w:rPr>
        <w:t>hadîts al-nafs</w:t>
      </w:r>
    </w:p>
    <w:p>
      <w:pPr>
        <w:pStyle w:val="BookText"/>
        <w:bidi w:val="0"/>
        <w:jc w:val="both"/>
        <w:rPr/>
      </w:pPr>
      <w:r>
        <w:rPr>
          <w:rFonts w:eastAsia="Times New Roman" w:cs="Times New Roman" w:ascii="Times New Roman" w:hAnsi="Times New Roman"/>
          <w:color w:val="111111"/>
          <w:sz w:val="28"/>
          <w:szCs w:val="28"/>
          <w:lang w:val="en-US"/>
        </w:rPr>
        <w:t>Hamadani</w:t>
      </w:r>
    </w:p>
    <w:p>
      <w:pPr>
        <w:pStyle w:val="BookText"/>
        <w:bidi w:val="0"/>
        <w:jc w:val="both"/>
        <w:rPr/>
      </w:pPr>
      <w:r>
        <w:rPr>
          <w:rFonts w:eastAsia="Times New Roman" w:cs="Times New Roman" w:ascii="Times New Roman" w:hAnsi="Times New Roman"/>
          <w:color w:val="111111"/>
          <w:sz w:val="28"/>
          <w:szCs w:val="28"/>
          <w:lang w:val="en-US"/>
        </w:rPr>
        <w:t>Hanafiyah</w:t>
      </w:r>
    </w:p>
    <w:p>
      <w:pPr>
        <w:pStyle w:val="BookText"/>
        <w:bidi w:val="0"/>
        <w:jc w:val="both"/>
        <w:rPr/>
      </w:pPr>
      <w:r>
        <w:rPr>
          <w:rFonts w:eastAsia="Times New Roman" w:cs="Times New Roman" w:ascii="Times New Roman" w:hAnsi="Times New Roman"/>
          <w:color w:val="111111"/>
          <w:sz w:val="28"/>
          <w:szCs w:val="28"/>
          <w:lang w:val="en-US"/>
        </w:rPr>
        <w:t>Indeks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Hukum Murtad, Hak Allah atau Manusia </w:t>
      </w:r>
    </w:p>
    <w:p>
      <w:pPr>
        <w:pStyle w:val="BookText"/>
        <w:bidi w:val="0"/>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Hitler</w:t>
      </w:r>
    </w:p>
    <w:p>
      <w:pPr>
        <w:pStyle w:val="BookText"/>
        <w:bidi w:val="0"/>
        <w:jc w:val="both"/>
        <w:rPr/>
      </w:pPr>
      <w:r>
        <w:rPr>
          <w:rFonts w:eastAsia="Times New Roman" w:cs="Times New Roman" w:ascii="Times New Roman" w:hAnsi="Times New Roman"/>
          <w:color w:val="111111"/>
          <w:sz w:val="28"/>
          <w:szCs w:val="28"/>
          <w:lang w:val="en-US"/>
        </w:rPr>
        <w:t>Hukum Eksekutif</w:t>
      </w:r>
    </w:p>
    <w:p>
      <w:pPr>
        <w:pStyle w:val="BookText"/>
        <w:bidi w:val="0"/>
        <w:jc w:val="both"/>
        <w:rPr/>
      </w:pPr>
      <w:r>
        <w:rPr>
          <w:rFonts w:eastAsia="Times New Roman" w:cs="Times New Roman" w:ascii="Times New Roman" w:hAnsi="Times New Roman"/>
          <w:color w:val="111111"/>
          <w:sz w:val="28"/>
          <w:szCs w:val="28"/>
          <w:lang w:val="en-US"/>
        </w:rPr>
        <w:t>hukum Gereja</w:t>
      </w:r>
    </w:p>
    <w:p>
      <w:pPr>
        <w:pStyle w:val="BookText"/>
        <w:bidi w:val="0"/>
        <w:jc w:val="both"/>
        <w:rPr/>
      </w:pPr>
      <w:r>
        <w:rPr>
          <w:rFonts w:eastAsia="Times New Roman" w:cs="Times New Roman" w:ascii="Times New Roman" w:hAnsi="Times New Roman"/>
          <w:color w:val="111111"/>
          <w:sz w:val="28"/>
          <w:szCs w:val="28"/>
          <w:lang w:val="en-US"/>
        </w:rPr>
        <w:t>Hukum Primer</w:t>
      </w:r>
    </w:p>
    <w:p>
      <w:pPr>
        <w:pStyle w:val="BookText"/>
        <w:bidi w:val="0"/>
        <w:jc w:val="both"/>
        <w:rPr/>
      </w:pPr>
      <w:r>
        <w:rPr>
          <w:rFonts w:eastAsia="Times New Roman" w:cs="Times New Roman" w:ascii="Times New Roman" w:hAnsi="Times New Roman"/>
          <w:color w:val="111111"/>
          <w:sz w:val="28"/>
          <w:szCs w:val="28"/>
          <w:lang w:val="en-US"/>
        </w:rPr>
        <w:t>Ibnu Abi 'Umair</w:t>
      </w:r>
    </w:p>
    <w:p>
      <w:pPr>
        <w:pStyle w:val="BookText"/>
        <w:bidi w:val="0"/>
        <w:jc w:val="both"/>
        <w:rPr/>
      </w:pPr>
      <w:r>
        <w:rPr>
          <w:rFonts w:eastAsia="Times New Roman" w:cs="Times New Roman" w:ascii="Times New Roman" w:hAnsi="Times New Roman"/>
          <w:color w:val="111111"/>
          <w:sz w:val="28"/>
          <w:szCs w:val="28"/>
          <w:lang w:val="en-US"/>
        </w:rPr>
        <w:t>Ibnu Hamzah Thusi</w:t>
      </w:r>
    </w:p>
    <w:p>
      <w:pPr>
        <w:pStyle w:val="BookText"/>
        <w:bidi w:val="0"/>
        <w:jc w:val="both"/>
        <w:rPr/>
      </w:pPr>
      <w:r>
        <w:rPr>
          <w:rFonts w:eastAsia="Times New Roman" w:cs="Times New Roman" w:ascii="Times New Roman" w:hAnsi="Times New Roman"/>
          <w:color w:val="111111"/>
          <w:sz w:val="28"/>
          <w:szCs w:val="28"/>
          <w:lang w:val="en-US"/>
        </w:rPr>
        <w:t>Ibnu Idris</w:t>
      </w:r>
    </w:p>
    <w:p>
      <w:pPr>
        <w:pStyle w:val="BookText"/>
        <w:bidi w:val="0"/>
        <w:jc w:val="both"/>
        <w:rPr/>
      </w:pPr>
      <w:r>
        <w:rPr>
          <w:rFonts w:eastAsia="Times New Roman" w:cs="Times New Roman" w:ascii="Times New Roman" w:hAnsi="Times New Roman"/>
          <w:color w:val="111111"/>
          <w:sz w:val="28"/>
          <w:szCs w:val="28"/>
          <w:lang w:val="en-US"/>
        </w:rPr>
        <w:t>Ibnu Zuhrah</w:t>
      </w:r>
    </w:p>
    <w:p>
      <w:pPr>
        <w:pStyle w:val="BookText"/>
        <w:bidi w:val="0"/>
        <w:jc w:val="both"/>
        <w:rPr/>
      </w:pPr>
      <w:r>
        <w:rPr>
          <w:rFonts w:eastAsia="Times New Roman" w:cs="Times New Roman" w:ascii="Times New Roman" w:hAnsi="Times New Roman"/>
          <w:color w:val="111111"/>
          <w:sz w:val="28"/>
          <w:szCs w:val="28"/>
          <w:lang w:val="en-US"/>
        </w:rPr>
        <w:t>ibtida'</w:t>
      </w:r>
    </w:p>
    <w:p>
      <w:pPr>
        <w:pStyle w:val="BookText"/>
        <w:bidi w:val="0"/>
        <w:jc w:val="both"/>
        <w:rPr/>
      </w:pPr>
      <w:r>
        <w:rPr>
          <w:rFonts w:eastAsia="Times New Roman" w:cs="Times New Roman" w:ascii="Times New Roman" w:hAnsi="Times New Roman"/>
          <w:color w:val="111111"/>
          <w:sz w:val="28"/>
          <w:szCs w:val="28"/>
          <w:lang w:val="en-US"/>
        </w:rPr>
        <w:t>iftirãº</w:t>
      </w:r>
    </w:p>
    <w:p>
      <w:pPr>
        <w:pStyle w:val="BookText"/>
        <w:bidi w:val="0"/>
        <w:jc w:val="both"/>
        <w:rPr/>
      </w:pPr>
      <w:r>
        <w:rPr>
          <w:rFonts w:eastAsia="Times New Roman" w:cs="Times New Roman" w:ascii="Times New Roman" w:hAnsi="Times New Roman"/>
          <w:color w:val="111111"/>
          <w:sz w:val="28"/>
          <w:szCs w:val="28"/>
          <w:lang w:val="en-US"/>
        </w:rPr>
        <w:t>ihậnah aw istih zå'</w:t>
      </w:r>
    </w:p>
    <w:p>
      <w:pPr>
        <w:pStyle w:val="BookText"/>
        <w:bidi w:val="0"/>
        <w:jc w:val="both"/>
        <w:rPr/>
      </w:pPr>
      <w:r>
        <w:rPr>
          <w:rFonts w:eastAsia="Times New Roman" w:cs="Times New Roman" w:ascii="Times New Roman" w:hAnsi="Times New Roman"/>
          <w:color w:val="111111"/>
          <w:sz w:val="28"/>
          <w:szCs w:val="28"/>
          <w:lang w:val="en-US"/>
        </w:rPr>
        <w:t>ihtiyâth</w:t>
      </w:r>
    </w:p>
    <w:p>
      <w:pPr>
        <w:pStyle w:val="BookText"/>
        <w:bidi w:val="0"/>
        <w:jc w:val="both"/>
        <w:rPr/>
      </w:pPr>
      <w:r>
        <w:rPr>
          <w:rFonts w:eastAsia="Times New Roman" w:cs="Times New Roman" w:ascii="Times New Roman" w:hAnsi="Times New Roman"/>
          <w:color w:val="111111"/>
          <w:sz w:val="28"/>
          <w:szCs w:val="28"/>
          <w:lang w:val="en-US"/>
        </w:rPr>
        <w:t>ijma'</w:t>
      </w:r>
    </w:p>
    <w:p>
      <w:pPr>
        <w:pStyle w:val="BookText"/>
        <w:bidi w:val="0"/>
        <w:jc w:val="both"/>
        <w:rPr/>
      </w:pPr>
      <w:r>
        <w:rPr>
          <w:rFonts w:eastAsia="Times New Roman" w:cs="Times New Roman" w:ascii="Times New Roman" w:hAnsi="Times New Roman"/>
          <w:color w:val="111111"/>
          <w:sz w:val="28"/>
          <w:szCs w:val="28"/>
          <w:lang w:val="en-US"/>
        </w:rPr>
        <w:t>ijmâ” manqûl</w:t>
      </w:r>
    </w:p>
    <w:p>
      <w:pPr>
        <w:pStyle w:val="BookText"/>
        <w:bidi w:val="0"/>
        <w:jc w:val="both"/>
        <w:rPr/>
      </w:pPr>
      <w:r>
        <w:rPr>
          <w:rFonts w:eastAsia="Times New Roman" w:cs="Times New Roman" w:ascii="Times New Roman" w:hAnsi="Times New Roman"/>
          <w:color w:val="111111"/>
          <w:sz w:val="28"/>
          <w:szCs w:val="28"/>
          <w:lang w:val="en-US"/>
        </w:rPr>
        <w:t>ijmâli</w:t>
      </w:r>
    </w:p>
    <w:p>
      <w:pPr>
        <w:pStyle w:val="BookText"/>
        <w:bidi w:val="0"/>
        <w:jc w:val="both"/>
        <w:rPr/>
      </w:pPr>
      <w:r>
        <w:rPr>
          <w:rFonts w:eastAsia="Times New Roman" w:cs="Times New Roman" w:ascii="Times New Roman" w:hAnsi="Times New Roman"/>
          <w:color w:val="111111"/>
          <w:sz w:val="28"/>
          <w:szCs w:val="28"/>
          <w:lang w:val="en-US"/>
        </w:rPr>
        <w:t>iltizam</w:t>
      </w:r>
    </w:p>
    <w:p>
      <w:pPr>
        <w:pStyle w:val="BookText"/>
        <w:bidi w:val="0"/>
        <w:jc w:val="both"/>
        <w:rPr/>
      </w:pPr>
      <w:r>
        <w:rPr>
          <w:rFonts w:eastAsia="Times New Roman" w:cs="Times New Roman" w:ascii="Times New Roman" w:hAnsi="Times New Roman"/>
          <w:color w:val="111111"/>
          <w:sz w:val="28"/>
          <w:szCs w:val="28"/>
          <w:lang w:val="en-US"/>
        </w:rPr>
        <w:t>Imam Khomeini</w:t>
      </w:r>
    </w:p>
    <w:p>
      <w:pPr>
        <w:pStyle w:val="BookText"/>
        <w:bidi w:val="0"/>
        <w:jc w:val="both"/>
        <w:rPr/>
      </w:pPr>
      <w:r>
        <w:rPr>
          <w:rFonts w:eastAsia="Times New Roman" w:cs="Times New Roman" w:ascii="Times New Roman" w:hAnsi="Times New Roman"/>
          <w:color w:val="111111"/>
          <w:sz w:val="28"/>
          <w:szCs w:val="28"/>
          <w:lang w:val="en-US"/>
        </w:rPr>
        <w:t>Inggris</w:t>
      </w:r>
    </w:p>
    <w:p>
      <w:pPr>
        <w:pStyle w:val="BookText"/>
        <w:bidi w:val="0"/>
        <w:jc w:val="both"/>
        <w:rPr/>
      </w:pPr>
      <w:r>
        <w:rPr>
          <w:rFonts w:eastAsia="Times New Roman" w:cs="Times New Roman" w:ascii="Times New Roman" w:hAnsi="Times New Roman"/>
          <w:color w:val="111111"/>
          <w:sz w:val="28"/>
          <w:szCs w:val="28"/>
          <w:lang w:val="en-US"/>
        </w:rPr>
        <w:t>irtidad</w:t>
      </w:r>
    </w:p>
    <w:p>
      <w:pPr>
        <w:pStyle w:val="BookText"/>
        <w:bidi w:val="0"/>
        <w:jc w:val="both"/>
        <w:rPr/>
      </w:pPr>
      <w:r>
        <w:rPr>
          <w:rFonts w:eastAsia="Times New Roman" w:cs="Times New Roman" w:ascii="Times New Roman" w:hAnsi="Times New Roman"/>
          <w:color w:val="111111"/>
          <w:sz w:val="28"/>
          <w:szCs w:val="28"/>
          <w:lang w:val="en-US"/>
        </w:rPr>
        <w:t>Irtidad</w:t>
      </w:r>
    </w:p>
    <w:p>
      <w:pPr>
        <w:pStyle w:val="BookText"/>
        <w:bidi w:val="0"/>
        <w:jc w:val="both"/>
        <w:rPr/>
      </w:pPr>
      <w:r>
        <w:rPr>
          <w:rFonts w:eastAsia="Times New Roman" w:cs="Times New Roman" w:ascii="Times New Roman" w:hAnsi="Times New Roman"/>
          <w:color w:val="111111"/>
          <w:sz w:val="28"/>
          <w:szCs w:val="28"/>
          <w:lang w:val="en-US"/>
        </w:rPr>
        <w:t>Ka'bah</w:t>
      </w:r>
    </w:p>
    <w:p>
      <w:pPr>
        <w:pStyle w:val="BookText"/>
        <w:bidi w:val="0"/>
        <w:jc w:val="both"/>
        <w:rPr/>
      </w:pPr>
      <w:r>
        <w:rPr>
          <w:rFonts w:eastAsia="Times New Roman" w:cs="Times New Roman" w:ascii="Times New Roman" w:hAnsi="Times New Roman"/>
          <w:color w:val="111111"/>
          <w:sz w:val="28"/>
          <w:szCs w:val="28"/>
          <w:lang w:val="en-US"/>
        </w:rPr>
        <w:t>kafir dzimmi</w:t>
      </w:r>
    </w:p>
    <w:p>
      <w:pPr>
        <w:pStyle w:val="BookText"/>
        <w:bidi w:val="0"/>
        <w:jc w:val="both"/>
        <w:rPr/>
      </w:pPr>
      <w:r>
        <w:rPr>
          <w:rFonts w:eastAsia="Times New Roman" w:cs="Times New Roman" w:ascii="Times New Roman" w:hAnsi="Times New Roman"/>
          <w:color w:val="111111"/>
          <w:sz w:val="28"/>
          <w:szCs w:val="28"/>
          <w:lang w:val="en-US"/>
        </w:rPr>
        <w:t>Kaidah Jubb</w:t>
      </w:r>
    </w:p>
    <w:p>
      <w:pPr>
        <w:pStyle w:val="BookText"/>
        <w:bidi w:val="0"/>
        <w:jc w:val="both"/>
        <w:rPr/>
      </w:pPr>
      <w:r>
        <w:rPr>
          <w:rFonts w:eastAsia="Times New Roman" w:cs="Times New Roman" w:ascii="Times New Roman" w:hAnsi="Times New Roman"/>
          <w:color w:val="111111"/>
          <w:sz w:val="28"/>
          <w:szCs w:val="28"/>
          <w:lang w:val="en-US"/>
        </w:rPr>
        <w:t>Kasyif Githa</w:t>
      </w:r>
    </w:p>
    <w:p>
      <w:pPr>
        <w:pStyle w:val="BookText"/>
        <w:bidi w:val="0"/>
        <w:jc w:val="both"/>
        <w:rPr/>
      </w:pPr>
      <w:r>
        <w:rPr>
          <w:rFonts w:eastAsia="Times New Roman" w:cs="Times New Roman" w:ascii="Times New Roman" w:hAnsi="Times New Roman"/>
          <w:color w:val="111111"/>
          <w:sz w:val="28"/>
          <w:szCs w:val="28"/>
          <w:lang w:val="en-US"/>
        </w:rPr>
        <w:t>Kasyif Litsam</w:t>
      </w:r>
    </w:p>
    <w:p>
      <w:pPr>
        <w:pStyle w:val="BookText"/>
        <w:bidi w:val="0"/>
        <w:jc w:val="both"/>
        <w:rPr/>
      </w:pPr>
      <w:r>
        <w:rPr>
          <w:rFonts w:eastAsia="Times New Roman" w:cs="Times New Roman" w:ascii="Times New Roman" w:hAnsi="Times New Roman"/>
          <w:color w:val="111111"/>
          <w:sz w:val="28"/>
          <w:szCs w:val="28"/>
          <w:lang w:val="en-US"/>
        </w:rPr>
        <w:t>Kegaiban Imam</w:t>
      </w:r>
    </w:p>
    <w:p>
      <w:pPr>
        <w:pStyle w:val="BookText"/>
        <w:bidi w:val="0"/>
        <w:jc w:val="both"/>
        <w:rPr/>
      </w:pPr>
      <w:r>
        <w:rPr>
          <w:rFonts w:eastAsia="Times New Roman" w:cs="Times New Roman" w:ascii="Times New Roman" w:hAnsi="Times New Roman"/>
          <w:color w:val="111111"/>
          <w:sz w:val="28"/>
          <w:szCs w:val="28"/>
          <w:lang w:val="en-US"/>
        </w:rPr>
        <w:t>kemurtadan</w:t>
      </w:r>
    </w:p>
    <w:p>
      <w:pPr>
        <w:pStyle w:val="BookText"/>
        <w:bidi w:val="0"/>
        <w:jc w:val="both"/>
        <w:rPr/>
      </w:pPr>
      <w:r>
        <w:rPr>
          <w:rFonts w:eastAsia="Times New Roman" w:cs="Times New Roman" w:ascii="Times New Roman" w:hAnsi="Times New Roman"/>
          <w:color w:val="111111"/>
          <w:sz w:val="28"/>
          <w:szCs w:val="28"/>
          <w:lang w:val="en-US"/>
        </w:rPr>
        <w:t>Kemurtadan</w:t>
      </w:r>
    </w:p>
    <w:p>
      <w:pPr>
        <w:pStyle w:val="BookText"/>
        <w:bidi w:val="0"/>
        <w:jc w:val="both"/>
        <w:rPr/>
      </w:pPr>
      <w:r>
        <w:rPr>
          <w:rFonts w:eastAsia="Times New Roman" w:cs="Times New Roman" w:ascii="Times New Roman" w:hAnsi="Times New Roman"/>
          <w:color w:val="111111"/>
          <w:sz w:val="28"/>
          <w:szCs w:val="28"/>
          <w:lang w:val="en-US"/>
        </w:rPr>
        <w:t>khabar tsiqah</w:t>
      </w:r>
    </w:p>
    <w:p>
      <w:pPr>
        <w:pStyle w:val="BookText"/>
        <w:bidi w:val="0"/>
        <w:jc w:val="both"/>
        <w:rPr/>
      </w:pPr>
      <w:r>
        <w:rPr>
          <w:rFonts w:eastAsia="Times New Roman" w:cs="Times New Roman" w:ascii="Times New Roman" w:hAnsi="Times New Roman"/>
          <w:color w:val="111111"/>
          <w:sz w:val="28"/>
          <w:szCs w:val="28"/>
          <w:lang w:val="en-US"/>
        </w:rPr>
        <w:t>khabar wâhid</w:t>
      </w:r>
    </w:p>
    <w:p>
      <w:pPr>
        <w:pStyle w:val="BookText"/>
        <w:bidi w:val="0"/>
        <w:jc w:val="both"/>
        <w:rPr/>
      </w:pPr>
      <w:r>
        <w:rPr>
          <w:rFonts w:eastAsia="Times New Roman" w:cs="Times New Roman" w:ascii="Times New Roman" w:hAnsi="Times New Roman"/>
          <w:color w:val="111111"/>
          <w:sz w:val="28"/>
          <w:szCs w:val="28"/>
          <w:lang w:val="en-US"/>
        </w:rPr>
        <w:t>Khawarij</w:t>
      </w:r>
    </w:p>
    <w:p>
      <w:pPr>
        <w:pStyle w:val="BookText"/>
        <w:bidi w:val="0"/>
        <w:jc w:val="both"/>
        <w:rPr/>
      </w:pPr>
      <w:r>
        <w:rPr>
          <w:rFonts w:eastAsia="Times New Roman" w:cs="Times New Roman" w:ascii="Times New Roman" w:hAnsi="Times New Roman"/>
          <w:color w:val="111111"/>
          <w:sz w:val="28"/>
          <w:szCs w:val="28"/>
          <w:lang w:val="en-US"/>
        </w:rPr>
        <w:t>Khui</w:t>
      </w:r>
    </w:p>
    <w:p>
      <w:pPr>
        <w:pStyle w:val="BookText"/>
        <w:bidi w:val="0"/>
        <w:jc w:val="both"/>
        <w:rPr/>
      </w:pPr>
      <w:r>
        <w:rPr>
          <w:rFonts w:eastAsia="Times New Roman" w:cs="Times New Roman" w:ascii="Times New Roman" w:hAnsi="Times New Roman"/>
          <w:color w:val="111111"/>
          <w:sz w:val="28"/>
          <w:szCs w:val="28"/>
          <w:lang w:val="en-US"/>
        </w:rPr>
        <w:t>Khunsari</w:t>
      </w:r>
    </w:p>
    <w:p>
      <w:pPr>
        <w:pStyle w:val="BookText"/>
        <w:bidi w:val="0"/>
        <w:jc w:val="both"/>
        <w:rPr/>
      </w:pPr>
      <w:r>
        <w:rPr>
          <w:rFonts w:eastAsia="Times New Roman" w:cs="Times New Roman" w:ascii="Times New Roman" w:hAnsi="Times New Roman"/>
          <w:color w:val="111111"/>
          <w:sz w:val="28"/>
          <w:szCs w:val="28"/>
          <w:lang w:val="en-US"/>
        </w:rPr>
        <w:t>konsensus nukilan</w:t>
      </w:r>
    </w:p>
    <w:p>
      <w:pPr>
        <w:pStyle w:val="BookText"/>
        <w:bidi w:val="0"/>
        <w:jc w:val="both"/>
        <w:rPr/>
      </w:pPr>
      <w:r>
        <w:rPr>
          <w:rFonts w:eastAsia="Times New Roman" w:cs="Times New Roman" w:ascii="Times New Roman" w:hAnsi="Times New Roman"/>
          <w:color w:val="111111"/>
          <w:sz w:val="28"/>
          <w:szCs w:val="28"/>
          <w:lang w:val="en-US"/>
        </w:rPr>
        <w:t>konsensus simpulan</w:t>
      </w:r>
    </w:p>
    <w:p>
      <w:pPr>
        <w:pStyle w:val="BookText"/>
        <w:bidi w:val="0"/>
        <w:jc w:val="both"/>
        <w:rPr/>
      </w:pPr>
      <w:r>
        <w:rPr>
          <w:rFonts w:eastAsia="Times New Roman" w:cs="Times New Roman" w:ascii="Times New Roman" w:hAnsi="Times New Roman"/>
          <w:color w:val="111111"/>
          <w:sz w:val="28"/>
          <w:szCs w:val="28"/>
          <w:lang w:val="en-US"/>
        </w:rPr>
        <w:t>Konvensi Eropa</w:t>
      </w:r>
    </w:p>
    <w:p>
      <w:pPr>
        <w:pStyle w:val="BookText"/>
        <w:bidi w:val="0"/>
        <w:jc w:val="both"/>
        <w:rPr/>
      </w:pPr>
      <w:r>
        <w:rPr>
          <w:rFonts w:eastAsia="Times New Roman" w:cs="Times New Roman" w:ascii="Times New Roman" w:hAnsi="Times New Roman"/>
          <w:color w:val="111111"/>
          <w:sz w:val="28"/>
          <w:szCs w:val="28"/>
          <w:lang w:val="en-US"/>
        </w:rPr>
        <w:t>Kristen</w:t>
      </w:r>
    </w:p>
    <w:p>
      <w:pPr>
        <w:pStyle w:val="BookText"/>
        <w:bidi w:val="0"/>
        <w:jc w:val="both"/>
        <w:rPr/>
      </w:pPr>
      <w:r>
        <w:rPr>
          <w:rFonts w:eastAsia="Times New Roman" w:cs="Times New Roman" w:ascii="Times New Roman" w:hAnsi="Times New Roman"/>
          <w:color w:val="111111"/>
          <w:sz w:val="28"/>
          <w:szCs w:val="28"/>
          <w:lang w:val="en-US"/>
        </w:rPr>
        <w:t>kufr</w:t>
      </w:r>
    </w:p>
    <w:p>
      <w:pPr>
        <w:pStyle w:val="BookText"/>
        <w:bidi w:val="0"/>
        <w:jc w:val="both"/>
        <w:rPr/>
      </w:pPr>
      <w:r>
        <w:rPr>
          <w:rFonts w:eastAsia="Times New Roman" w:cs="Times New Roman" w:ascii="Times New Roman" w:hAnsi="Times New Roman"/>
          <w:color w:val="111111"/>
          <w:sz w:val="28"/>
          <w:szCs w:val="28"/>
          <w:lang w:val="en-US"/>
        </w:rPr>
        <w:t>muhârib</w:t>
      </w:r>
    </w:p>
    <w:p>
      <w:pPr>
        <w:pStyle w:val="BookText"/>
        <w:bidi w:val="0"/>
        <w:jc w:val="both"/>
        <w:rPr/>
      </w:pPr>
      <w:r>
        <w:rPr>
          <w:rFonts w:eastAsia="Times New Roman" w:cs="Times New Roman" w:ascii="Times New Roman" w:hAnsi="Times New Roman"/>
          <w:color w:val="111111"/>
          <w:sz w:val="28"/>
          <w:szCs w:val="28"/>
          <w:lang w:val="en-US"/>
        </w:rPr>
        <w:t>muhashshal</w:t>
      </w:r>
    </w:p>
    <w:p>
      <w:pPr>
        <w:pStyle w:val="BookText"/>
        <w:bidi w:val="0"/>
        <w:jc w:val="both"/>
        <w:rPr/>
      </w:pPr>
      <w:r>
        <w:rPr>
          <w:rFonts w:eastAsia="Times New Roman" w:cs="Times New Roman" w:ascii="Times New Roman" w:hAnsi="Times New Roman"/>
          <w:color w:val="111111"/>
          <w:sz w:val="28"/>
          <w:szCs w:val="28"/>
          <w:lang w:val="en-US"/>
        </w:rPr>
        <w:t>Muhsin Hakim</w:t>
      </w:r>
    </w:p>
    <w:p>
      <w:pPr>
        <w:pStyle w:val="BookText"/>
        <w:bidi w:val="0"/>
        <w:jc w:val="both"/>
        <w:rPr/>
      </w:pPr>
      <w:r>
        <w:rPr>
          <w:rFonts w:eastAsia="Times New Roman" w:cs="Times New Roman" w:ascii="Times New Roman" w:hAnsi="Times New Roman"/>
          <w:color w:val="111111"/>
          <w:sz w:val="28"/>
          <w:szCs w:val="28"/>
          <w:lang w:val="en-US"/>
        </w:rPr>
        <w:t>mukhashshish</w:t>
      </w:r>
    </w:p>
    <w:p>
      <w:pPr>
        <w:pStyle w:val="BookText"/>
        <w:bidi w:val="0"/>
        <w:jc w:val="both"/>
        <w:rPr/>
      </w:pPr>
      <w:r>
        <w:rPr>
          <w:rFonts w:eastAsia="Times New Roman" w:cs="Times New Roman" w:ascii="Times New Roman" w:hAnsi="Times New Roman"/>
          <w:color w:val="111111"/>
          <w:sz w:val="28"/>
          <w:szCs w:val="28"/>
          <w:lang w:val="en-US"/>
        </w:rPr>
        <w:t>Mulla Sabzawari</w:t>
      </w:r>
    </w:p>
    <w:p>
      <w:pPr>
        <w:pStyle w:val="BookText"/>
        <w:bidi w:val="0"/>
        <w:jc w:val="both"/>
        <w:rPr/>
      </w:pPr>
      <w:r>
        <w:rPr>
          <w:rFonts w:eastAsia="Times New Roman" w:cs="Times New Roman" w:ascii="Times New Roman" w:hAnsi="Times New Roman"/>
          <w:color w:val="111111"/>
          <w:sz w:val="28"/>
          <w:szCs w:val="28"/>
          <w:lang w:val="en-US"/>
        </w:rPr>
        <w:t>Mulla Saleh Mazandarani</w:t>
      </w:r>
    </w:p>
    <w:p>
      <w:pPr>
        <w:pStyle w:val="BookText"/>
        <w:bidi w:val="0"/>
        <w:jc w:val="both"/>
        <w:rPr/>
      </w:pPr>
      <w:r>
        <w:rPr>
          <w:rFonts w:eastAsia="Times New Roman" w:cs="Times New Roman" w:ascii="Times New Roman" w:hAnsi="Times New Roman"/>
          <w:color w:val="111111"/>
          <w:sz w:val="28"/>
          <w:szCs w:val="28"/>
          <w:lang w:val="en-US"/>
        </w:rPr>
        <w:t>Muqaddas Ardabili</w:t>
      </w:r>
    </w:p>
    <w:p>
      <w:pPr>
        <w:pStyle w:val="BookText"/>
        <w:bidi w:val="0"/>
        <w:jc w:val="both"/>
        <w:rPr/>
      </w:pPr>
      <w:r>
        <w:rPr>
          <w:rFonts w:eastAsia="Times New Roman" w:cs="Times New Roman" w:ascii="Times New Roman" w:hAnsi="Times New Roman"/>
          <w:color w:val="111111"/>
          <w:sz w:val="28"/>
          <w:szCs w:val="28"/>
          <w:lang w:val="en-US"/>
        </w:rPr>
        <w:t>muqayyad</w:t>
      </w:r>
    </w:p>
    <w:p>
      <w:pPr>
        <w:pStyle w:val="BookText"/>
        <w:bidi w:val="0"/>
        <w:jc w:val="both"/>
        <w:rPr/>
      </w:pPr>
      <w:r>
        <w:rPr>
          <w:rFonts w:eastAsia="Times New Roman" w:cs="Times New Roman" w:ascii="Times New Roman" w:hAnsi="Times New Roman"/>
          <w:color w:val="111111"/>
          <w:sz w:val="28"/>
          <w:szCs w:val="28"/>
          <w:lang w:val="en-US"/>
        </w:rPr>
        <w:t>murtad</w:t>
      </w:r>
    </w:p>
    <w:p>
      <w:pPr>
        <w:pStyle w:val="BookText"/>
        <w:bidi w:val="0"/>
        <w:jc w:val="both"/>
        <w:rPr/>
      </w:pPr>
      <w:r>
        <w:rPr>
          <w:rFonts w:eastAsia="Times New Roman" w:cs="Times New Roman" w:ascii="Times New Roman" w:hAnsi="Times New Roman"/>
          <w:color w:val="111111"/>
          <w:sz w:val="28"/>
          <w:szCs w:val="28"/>
          <w:lang w:val="en-US"/>
        </w:rPr>
        <w:t>Murtad</w:t>
      </w:r>
    </w:p>
    <w:p>
      <w:pPr>
        <w:pStyle w:val="BookText"/>
        <w:bidi w:val="0"/>
        <w:jc w:val="both"/>
        <w:rPr/>
      </w:pPr>
      <w:r>
        <w:rPr>
          <w:rFonts w:eastAsia="Times New Roman" w:cs="Times New Roman" w:ascii="Times New Roman" w:hAnsi="Times New Roman"/>
          <w:color w:val="111111"/>
          <w:sz w:val="28"/>
          <w:szCs w:val="28"/>
          <w:lang w:val="en-US"/>
        </w:rPr>
        <w:t>murtad fithri</w:t>
      </w:r>
    </w:p>
    <w:p>
      <w:pPr>
        <w:pStyle w:val="BookText"/>
        <w:bidi w:val="0"/>
        <w:jc w:val="both"/>
        <w:rPr/>
      </w:pPr>
      <w:r>
        <w:rPr>
          <w:rFonts w:eastAsia="Times New Roman" w:cs="Times New Roman" w:ascii="Times New Roman" w:hAnsi="Times New Roman"/>
          <w:color w:val="111111"/>
          <w:sz w:val="28"/>
          <w:szCs w:val="28"/>
          <w:lang w:val="en-US"/>
        </w:rPr>
        <w:t>murtadd fithri</w:t>
      </w:r>
    </w:p>
    <w:p>
      <w:pPr>
        <w:pStyle w:val="BookText"/>
        <w:bidi w:val="0"/>
        <w:jc w:val="both"/>
        <w:rPr/>
      </w:pPr>
      <w:r>
        <w:rPr>
          <w:rFonts w:eastAsia="Times New Roman" w:cs="Times New Roman" w:ascii="Times New Roman" w:hAnsi="Times New Roman"/>
          <w:color w:val="111111"/>
          <w:sz w:val="28"/>
          <w:szCs w:val="28"/>
          <w:lang w:val="en-US"/>
        </w:rPr>
        <w:t>murtadd milli</w:t>
      </w:r>
    </w:p>
    <w:p>
      <w:pPr>
        <w:pStyle w:val="BookText"/>
        <w:bidi w:val="0"/>
        <w:jc w:val="both"/>
        <w:rPr/>
      </w:pPr>
      <w:r>
        <w:rPr>
          <w:rFonts w:eastAsia="Times New Roman" w:cs="Times New Roman" w:ascii="Times New Roman" w:hAnsi="Times New Roman"/>
          <w:color w:val="111111"/>
          <w:sz w:val="28"/>
          <w:szCs w:val="28"/>
          <w:lang w:val="en-US"/>
        </w:rPr>
        <w:t>Murtadha</w:t>
      </w:r>
    </w:p>
    <w:p>
      <w:pPr>
        <w:pStyle w:val="BookText"/>
        <w:bidi w:val="0"/>
        <w:jc w:val="both"/>
        <w:rPr/>
      </w:pPr>
      <w:r>
        <w:rPr>
          <w:rFonts w:eastAsia="Times New Roman" w:cs="Times New Roman" w:ascii="Times New Roman" w:hAnsi="Times New Roman"/>
          <w:color w:val="111111"/>
          <w:sz w:val="28"/>
          <w:szCs w:val="28"/>
          <w:lang w:val="en-US"/>
        </w:rPr>
        <w:t>Musailamah Kadzdzab</w:t>
      </w:r>
    </w:p>
    <w:p>
      <w:pPr>
        <w:pStyle w:val="BookText"/>
        <w:bidi w:val="0"/>
        <w:jc w:val="both"/>
        <w:rPr/>
      </w:pPr>
      <w:r>
        <w:rPr>
          <w:rFonts w:eastAsia="Times New Roman" w:cs="Times New Roman" w:ascii="Times New Roman" w:hAnsi="Times New Roman"/>
          <w:color w:val="111111"/>
          <w:sz w:val="28"/>
          <w:szCs w:val="28"/>
          <w:lang w:val="en-US"/>
        </w:rPr>
        <w:t>Muslim</w:t>
      </w:r>
    </w:p>
    <w:p>
      <w:pPr>
        <w:pStyle w:val="BookText"/>
        <w:bidi w:val="0"/>
        <w:jc w:val="both"/>
        <w:rPr/>
      </w:pPr>
      <w:r>
        <w:rPr>
          <w:rFonts w:eastAsia="Times New Roman" w:cs="Times New Roman" w:ascii="Times New Roman" w:hAnsi="Times New Roman"/>
          <w:color w:val="111111"/>
          <w:sz w:val="28"/>
          <w:szCs w:val="28"/>
          <w:lang w:val="en-US"/>
        </w:rPr>
        <w:t>mustadh'af</w:t>
      </w:r>
    </w:p>
    <w:p>
      <w:pPr>
        <w:pStyle w:val="BookText"/>
        <w:bidi w:val="0"/>
        <w:jc w:val="both"/>
        <w:rPr/>
      </w:pPr>
      <w:r>
        <w:rPr>
          <w:rFonts w:eastAsia="Times New Roman" w:cs="Times New Roman" w:ascii="Times New Roman" w:hAnsi="Times New Roman"/>
          <w:color w:val="111111"/>
          <w:sz w:val="28"/>
          <w:szCs w:val="28"/>
          <w:lang w:val="en-US"/>
        </w:rPr>
        <w:t>mustadh‘af fikri</w:t>
      </w:r>
    </w:p>
    <w:p>
      <w:pPr>
        <w:pStyle w:val="BookText"/>
        <w:bidi w:val="0"/>
        <w:jc w:val="both"/>
        <w:rPr/>
      </w:pPr>
      <w:r>
        <w:rPr>
          <w:rFonts w:eastAsia="Times New Roman" w:cs="Times New Roman" w:ascii="Times New Roman" w:hAnsi="Times New Roman"/>
          <w:color w:val="111111"/>
          <w:sz w:val="28"/>
          <w:szCs w:val="28"/>
          <w:lang w:val="en-US"/>
        </w:rPr>
        <w:t>mustadh'afin</w:t>
      </w:r>
    </w:p>
    <w:p>
      <w:pPr>
        <w:pStyle w:val="BookText"/>
        <w:bidi w:val="0"/>
        <w:jc w:val="both"/>
        <w:rPr/>
      </w:pPr>
      <w:r>
        <w:rPr>
          <w:rFonts w:eastAsia="Times New Roman" w:cs="Times New Roman" w:ascii="Times New Roman" w:hAnsi="Times New Roman"/>
          <w:color w:val="111111"/>
          <w:sz w:val="28"/>
          <w:szCs w:val="28"/>
          <w:lang w:val="en-US"/>
        </w:rPr>
        <w:t>muta'akhkhir</w:t>
      </w:r>
    </w:p>
    <w:p>
      <w:pPr>
        <w:pStyle w:val="BookText"/>
        <w:bidi w:val="0"/>
        <w:jc w:val="both"/>
        <w:rPr/>
      </w:pPr>
      <w:r>
        <w:rPr>
          <w:rFonts w:eastAsia="Times New Roman" w:cs="Times New Roman" w:ascii="Times New Roman" w:hAnsi="Times New Roman"/>
          <w:color w:val="111111"/>
          <w:sz w:val="28"/>
          <w:szCs w:val="28"/>
          <w:lang w:val="en-US"/>
        </w:rPr>
        <w:t>mutawatir</w:t>
      </w:r>
    </w:p>
    <w:p>
      <w:pPr>
        <w:pStyle w:val="BookText"/>
        <w:bidi w:val="0"/>
        <w:jc w:val="both"/>
        <w:rPr/>
      </w:pPr>
      <w:r>
        <w:rPr>
          <w:rFonts w:eastAsia="Times New Roman" w:cs="Times New Roman" w:ascii="Times New Roman" w:hAnsi="Times New Roman"/>
          <w:color w:val="111111"/>
          <w:sz w:val="28"/>
          <w:szCs w:val="28"/>
          <w:lang w:val="en-US"/>
        </w:rPr>
        <w:t>muthlaq</w:t>
      </w:r>
    </w:p>
    <w:p>
      <w:pPr>
        <w:pStyle w:val="BookText"/>
        <w:bidi w:val="0"/>
        <w:jc w:val="both"/>
        <w:rPr/>
      </w:pPr>
      <w:r>
        <w:rPr>
          <w:rFonts w:eastAsia="Times New Roman" w:cs="Times New Roman" w:ascii="Times New Roman" w:hAnsi="Times New Roman"/>
          <w:color w:val="111111"/>
          <w:sz w:val="28"/>
          <w:szCs w:val="28"/>
          <w:lang w:val="en-US"/>
        </w:rPr>
        <w:t>Isa</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Isa Al-Masih</w:t>
      </w:r>
    </w:p>
    <w:p>
      <w:pPr>
        <w:pStyle w:val="BookText"/>
        <w:bidi w:val="0"/>
        <w:jc w:val="both"/>
        <w:rPr/>
      </w:pPr>
      <w:r>
        <w:rPr>
          <w:rFonts w:eastAsia="Times New Roman" w:cs="Times New Roman" w:ascii="Times New Roman" w:hAnsi="Times New Roman"/>
          <w:color w:val="111111"/>
          <w:sz w:val="28"/>
          <w:szCs w:val="28"/>
          <w:lang w:val="en-US"/>
        </w:rPr>
        <w:t>istbâtan</w:t>
      </w:r>
    </w:p>
    <w:p>
      <w:pPr>
        <w:pStyle w:val="BookText"/>
        <w:bidi w:val="0"/>
        <w:jc w:val="both"/>
        <w:rPr/>
      </w:pPr>
      <w:r>
        <w:rPr>
          <w:rFonts w:eastAsia="Times New Roman" w:cs="Times New Roman" w:ascii="Times New Roman" w:hAnsi="Times New Roman"/>
          <w:color w:val="111111"/>
          <w:sz w:val="28"/>
          <w:szCs w:val="28"/>
          <w:lang w:val="en-US"/>
        </w:rPr>
        <w:t>istilzâm</w:t>
      </w:r>
    </w:p>
    <w:p>
      <w:pPr>
        <w:pStyle w:val="BookText"/>
        <w:bidi w:val="0"/>
        <w:jc w:val="both"/>
        <w:rPr/>
      </w:pPr>
      <w:r>
        <w:rPr>
          <w:rFonts w:eastAsia="Times New Roman" w:cs="Times New Roman" w:ascii="Times New Roman" w:hAnsi="Times New Roman"/>
          <w:color w:val="111111"/>
          <w:sz w:val="28"/>
          <w:szCs w:val="28"/>
          <w:lang w:val="en-US"/>
        </w:rPr>
        <w:t>ithlâq</w:t>
      </w:r>
    </w:p>
    <w:p>
      <w:pPr>
        <w:pStyle w:val="BookText"/>
        <w:bidi w:val="0"/>
        <w:jc w:val="both"/>
        <w:rPr/>
      </w:pPr>
      <w:r>
        <w:rPr>
          <w:rFonts w:eastAsia="Times New Roman" w:cs="Times New Roman" w:ascii="Times New Roman" w:hAnsi="Times New Roman"/>
          <w:color w:val="111111"/>
          <w:sz w:val="28"/>
          <w:szCs w:val="28"/>
          <w:lang w:val="en-US"/>
        </w:rPr>
        <w:t>itb mi mân urf</w:t>
      </w:r>
    </w:p>
    <w:p>
      <w:pPr>
        <w:pStyle w:val="BookText"/>
        <w:bidi w:val="0"/>
        <w:jc w:val="both"/>
        <w:rPr/>
      </w:pPr>
      <w:r>
        <w:rPr>
          <w:rFonts w:eastAsia="Times New Roman" w:cs="Times New Roman" w:ascii="Times New Roman" w:hAnsi="Times New Roman"/>
          <w:color w:val="111111"/>
          <w:sz w:val="28"/>
          <w:szCs w:val="28"/>
          <w:lang w:val="en-US"/>
        </w:rPr>
        <w:t>itsbâtan</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Mahdi</w:t>
      </w:r>
    </w:p>
    <w:p>
      <w:pPr>
        <w:pStyle w:val="BookText"/>
        <w:bidi w:val="0"/>
        <w:jc w:val="both"/>
        <w:rPr/>
      </w:pPr>
      <w:r>
        <w:rPr>
          <w:rFonts w:eastAsia="Times New Roman" w:cs="Times New Roman" w:ascii="Times New Roman" w:hAnsi="Times New Roman"/>
          <w:color w:val="111111"/>
          <w:sz w:val="28"/>
          <w:szCs w:val="28"/>
          <w:lang w:val="en-US"/>
        </w:rPr>
        <w:t>Malikiyah</w:t>
      </w:r>
    </w:p>
    <w:p>
      <w:pPr>
        <w:pStyle w:val="BookText"/>
        <w:bidi w:val="0"/>
        <w:jc w:val="both"/>
        <w:rPr/>
      </w:pPr>
      <w:r>
        <w:rPr>
          <w:rFonts w:eastAsia="Times New Roman" w:cs="Times New Roman" w:ascii="Times New Roman" w:hAnsi="Times New Roman"/>
          <w:color w:val="111111"/>
          <w:sz w:val="28"/>
          <w:szCs w:val="28"/>
          <w:lang w:val="en-US"/>
        </w:rPr>
        <w:t>maqam al-itsbât</w:t>
      </w:r>
    </w:p>
    <w:p>
      <w:pPr>
        <w:pStyle w:val="BookText"/>
        <w:bidi w:val="0"/>
        <w:jc w:val="both"/>
        <w:rPr/>
      </w:pPr>
      <w:r>
        <w:rPr>
          <w:rFonts w:eastAsia="Times New Roman" w:cs="Times New Roman" w:ascii="Times New Roman" w:hAnsi="Times New Roman"/>
          <w:color w:val="111111"/>
          <w:sz w:val="28"/>
          <w:szCs w:val="28"/>
          <w:lang w:val="en-US"/>
        </w:rPr>
        <w:t>maqâm al-jam</w:t>
      </w:r>
    </w:p>
    <w:p>
      <w:pPr>
        <w:pStyle w:val="BookText"/>
        <w:bidi w:val="0"/>
        <w:jc w:val="both"/>
        <w:rPr/>
      </w:pPr>
      <w:r>
        <w:rPr>
          <w:rFonts w:eastAsia="Times New Roman" w:cs="Times New Roman" w:ascii="Times New Roman" w:hAnsi="Times New Roman"/>
          <w:color w:val="111111"/>
          <w:sz w:val="28"/>
          <w:szCs w:val="28"/>
          <w:lang w:val="en-US"/>
        </w:rPr>
        <w:t>Masjidil Haram</w:t>
      </w:r>
    </w:p>
    <w:p>
      <w:pPr>
        <w:pStyle w:val="BookText"/>
        <w:bidi w:val="0"/>
        <w:jc w:val="both"/>
        <w:rPr/>
      </w:pPr>
      <w:r>
        <w:rPr>
          <w:rFonts w:eastAsia="Times New Roman" w:cs="Times New Roman" w:ascii="Times New Roman" w:hAnsi="Times New Roman"/>
          <w:color w:val="111111"/>
          <w:sz w:val="28"/>
          <w:szCs w:val="28"/>
          <w:lang w:val="en-US"/>
        </w:rPr>
        <w:t>masyhûr</w:t>
      </w:r>
    </w:p>
    <w:p>
      <w:pPr>
        <w:pStyle w:val="BookText"/>
        <w:bidi w:val="0"/>
        <w:jc w:val="both"/>
        <w:rPr/>
      </w:pPr>
      <w:r>
        <w:rPr>
          <w:rFonts w:eastAsia="Times New Roman" w:cs="Times New Roman" w:ascii="Times New Roman" w:hAnsi="Times New Roman"/>
          <w:color w:val="111111"/>
          <w:sz w:val="28"/>
          <w:szCs w:val="28"/>
          <w:lang w:val="en-US"/>
        </w:rPr>
        <w:t>Mazandarani</w:t>
      </w:r>
    </w:p>
    <w:p>
      <w:pPr>
        <w:pStyle w:val="BookText"/>
        <w:bidi w:val="0"/>
        <w:jc w:val="both"/>
        <w:rPr/>
      </w:pPr>
      <w:r>
        <w:rPr>
          <w:rFonts w:eastAsia="Times New Roman" w:cs="Times New Roman" w:ascii="Times New Roman" w:hAnsi="Times New Roman"/>
          <w:color w:val="111111"/>
          <w:sz w:val="28"/>
          <w:szCs w:val="28"/>
          <w:lang w:val="en-US"/>
        </w:rPr>
        <w:t>mazhab Hanbaliyah</w:t>
      </w:r>
    </w:p>
    <w:p>
      <w:pPr>
        <w:pStyle w:val="BookText"/>
        <w:bidi w:val="0"/>
        <w:jc w:val="both"/>
        <w:rPr/>
      </w:pPr>
      <w:r>
        <w:rPr>
          <w:rFonts w:eastAsia="Times New Roman" w:cs="Times New Roman" w:ascii="Times New Roman" w:hAnsi="Times New Roman"/>
          <w:color w:val="111111"/>
          <w:sz w:val="28"/>
          <w:szCs w:val="28"/>
          <w:lang w:val="en-US"/>
        </w:rPr>
        <w:t>Mazhab Malikiyah</w:t>
      </w:r>
    </w:p>
    <w:p>
      <w:pPr>
        <w:pStyle w:val="BookText"/>
        <w:bidi w:val="0"/>
        <w:jc w:val="both"/>
        <w:rPr/>
      </w:pPr>
      <w:r>
        <w:rPr>
          <w:rFonts w:eastAsia="Times New Roman" w:cs="Times New Roman" w:ascii="Times New Roman" w:hAnsi="Times New Roman"/>
          <w:color w:val="111111"/>
          <w:sz w:val="28"/>
          <w:szCs w:val="28"/>
          <w:lang w:val="en-US"/>
        </w:rPr>
        <w:t>mazhab Syafi'iyah</w:t>
      </w:r>
    </w:p>
    <w:p>
      <w:pPr>
        <w:pStyle w:val="BookText"/>
        <w:bidi w:val="0"/>
        <w:jc w:val="both"/>
        <w:rPr/>
      </w:pPr>
      <w:r>
        <w:rPr>
          <w:rFonts w:eastAsia="Times New Roman" w:cs="Times New Roman" w:ascii="Times New Roman" w:hAnsi="Times New Roman"/>
          <w:color w:val="111111"/>
          <w:sz w:val="28"/>
          <w:szCs w:val="28"/>
          <w:lang w:val="en-US"/>
        </w:rPr>
        <w:t>mazhab Zaidiyah</w:t>
      </w:r>
    </w:p>
    <w:p>
      <w:pPr>
        <w:pStyle w:val="BookText"/>
        <w:bidi w:val="0"/>
        <w:jc w:val="both"/>
        <w:rPr/>
      </w:pPr>
      <w:r>
        <w:rPr>
          <w:rFonts w:eastAsia="Times New Roman" w:cs="Times New Roman" w:ascii="Times New Roman" w:hAnsi="Times New Roman"/>
          <w:color w:val="111111"/>
          <w:sz w:val="28"/>
          <w:szCs w:val="28"/>
          <w:lang w:val="en-US"/>
        </w:rPr>
        <w:t>Mufid</w:t>
      </w:r>
    </w:p>
    <w:p>
      <w:pPr>
        <w:pStyle w:val="BookText"/>
        <w:bidi w:val="0"/>
        <w:jc w:val="both"/>
        <w:rPr/>
      </w:pPr>
      <w:r>
        <w:rPr>
          <w:rFonts w:eastAsia="Times New Roman" w:cs="Times New Roman" w:ascii="Times New Roman" w:hAnsi="Times New Roman"/>
          <w:color w:val="111111"/>
          <w:sz w:val="28"/>
          <w:szCs w:val="28"/>
          <w:lang w:val="en-US"/>
        </w:rPr>
        <w:t>Muhammad bin Muslim</w:t>
      </w:r>
    </w:p>
    <w:p>
      <w:pPr>
        <w:pStyle w:val="BookText"/>
        <w:bidi w:val="0"/>
        <w:jc w:val="both"/>
        <w:rPr/>
      </w:pPr>
      <w:r>
        <w:rPr>
          <w:rFonts w:eastAsia="Times New Roman" w:cs="Times New Roman" w:ascii="Times New Roman" w:hAnsi="Times New Roman"/>
          <w:color w:val="111111"/>
          <w:sz w:val="28"/>
          <w:szCs w:val="28"/>
          <w:lang w:val="en-US"/>
        </w:rPr>
        <w:t>Muhaqiq Hilli</w:t>
      </w:r>
    </w:p>
    <w:p>
      <w:pPr>
        <w:pStyle w:val="BookText"/>
        <w:bidi w:val="0"/>
        <w:jc w:val="both"/>
        <w:rPr/>
      </w:pPr>
      <w:r>
        <w:rPr>
          <w:rFonts w:eastAsia="Times New Roman" w:cs="Times New Roman" w:ascii="Times New Roman" w:hAnsi="Times New Roman"/>
          <w:color w:val="111111"/>
          <w:sz w:val="28"/>
          <w:szCs w:val="28"/>
          <w:lang w:val="en-US"/>
        </w:rPr>
        <w:t>Muhaqiq Najafi</w:t>
      </w:r>
    </w:p>
    <w:p>
      <w:pPr>
        <w:pStyle w:val="BookText"/>
        <w:bidi w:val="0"/>
        <w:jc w:val="both"/>
        <w:rPr/>
      </w:pPr>
      <w:r>
        <w:rPr>
          <w:rFonts w:eastAsia="Times New Roman" w:cs="Times New Roman" w:ascii="Times New Roman" w:hAnsi="Times New Roman"/>
          <w:color w:val="111111"/>
          <w:sz w:val="28"/>
          <w:szCs w:val="28"/>
          <w:lang w:val="en-US"/>
        </w:rPr>
        <w:t>Nabi Isa</w:t>
      </w:r>
    </w:p>
    <w:p>
      <w:pPr>
        <w:pStyle w:val="BookText"/>
        <w:bidi w:val="0"/>
        <w:jc w:val="both"/>
        <w:rPr/>
      </w:pPr>
      <w:r>
        <w:rPr>
          <w:rFonts w:eastAsia="Times New Roman" w:cs="Times New Roman" w:ascii="Times New Roman" w:hAnsi="Times New Roman"/>
          <w:color w:val="111111"/>
          <w:sz w:val="28"/>
          <w:szCs w:val="28"/>
          <w:lang w:val="en-US"/>
        </w:rPr>
        <w:t>Nabi Muhammad Saw</w:t>
      </w:r>
    </w:p>
    <w:p>
      <w:pPr>
        <w:pStyle w:val="BookText"/>
        <w:bidi w:val="0"/>
        <w:jc w:val="both"/>
        <w:rPr/>
      </w:pPr>
      <w:r>
        <w:rPr>
          <w:rFonts w:eastAsia="Times New Roman" w:cs="Times New Roman" w:ascii="Times New Roman" w:hAnsi="Times New Roman"/>
          <w:color w:val="111111"/>
          <w:sz w:val="28"/>
          <w:szCs w:val="28"/>
          <w:lang w:val="en-US"/>
        </w:rPr>
        <w:t>Nabi Musa</w:t>
      </w:r>
    </w:p>
    <w:p>
      <w:pPr>
        <w:pStyle w:val="BookText"/>
        <w:bidi w:val="0"/>
        <w:jc w:val="both"/>
        <w:rPr/>
      </w:pPr>
      <w:r>
        <w:rPr>
          <w:rFonts w:eastAsia="Times New Roman" w:cs="Times New Roman" w:ascii="Times New Roman" w:hAnsi="Times New Roman"/>
          <w:color w:val="111111"/>
          <w:sz w:val="28"/>
          <w:szCs w:val="28"/>
          <w:lang w:val="en-US"/>
        </w:rPr>
        <w:t>Nabi Saw</w:t>
      </w:r>
    </w:p>
    <w:p>
      <w:pPr>
        <w:pStyle w:val="BookText"/>
        <w:bidi w:val="0"/>
        <w:jc w:val="both"/>
        <w:rPr/>
      </w:pPr>
      <w:r>
        <w:rPr>
          <w:rFonts w:eastAsia="Times New Roman" w:cs="Times New Roman" w:ascii="Times New Roman" w:hAnsi="Times New Roman"/>
          <w:color w:val="111111"/>
          <w:sz w:val="28"/>
          <w:szCs w:val="28"/>
          <w:lang w:val="en-US"/>
        </w:rPr>
        <w:t>nafsânî</w:t>
      </w:r>
    </w:p>
    <w:p>
      <w:pPr>
        <w:pStyle w:val="BookText"/>
        <w:bidi w:val="0"/>
        <w:jc w:val="both"/>
        <w:rPr/>
      </w:pPr>
      <w:r>
        <w:rPr>
          <w:rFonts w:eastAsia="Times New Roman" w:cs="Times New Roman" w:ascii="Times New Roman" w:hAnsi="Times New Roman"/>
          <w:color w:val="111111"/>
          <w:sz w:val="28"/>
          <w:szCs w:val="28"/>
          <w:lang w:val="en-US"/>
        </w:rPr>
        <w:t>Nashibi</w:t>
      </w:r>
    </w:p>
    <w:p>
      <w:pPr>
        <w:pStyle w:val="BookText"/>
        <w:bidi w:val="0"/>
        <w:jc w:val="both"/>
        <w:rPr/>
      </w:pPr>
      <w:r>
        <w:rPr>
          <w:rFonts w:eastAsia="Times New Roman" w:cs="Times New Roman" w:ascii="Times New Roman" w:hAnsi="Times New Roman"/>
          <w:color w:val="111111"/>
          <w:sz w:val="28"/>
          <w:szCs w:val="28"/>
          <w:lang w:val="en-US"/>
        </w:rPr>
        <w:t>nau'an</w:t>
      </w:r>
    </w:p>
    <w:p>
      <w:pPr>
        <w:pStyle w:val="BookText"/>
        <w:bidi w:val="0"/>
        <w:jc w:val="both"/>
        <w:rPr/>
      </w:pPr>
      <w:r>
        <w:rPr>
          <w:rFonts w:eastAsia="Times New Roman" w:cs="Times New Roman" w:ascii="Times New Roman" w:hAnsi="Times New Roman"/>
          <w:color w:val="111111"/>
          <w:sz w:val="28"/>
          <w:szCs w:val="28"/>
          <w:lang w:val="en-US"/>
        </w:rPr>
        <w:t>nazhari</w:t>
      </w:r>
    </w:p>
    <w:p>
      <w:pPr>
        <w:pStyle w:val="BookText"/>
        <w:bidi w:val="0"/>
        <w:jc w:val="both"/>
        <w:rPr/>
      </w:pPr>
      <w:r>
        <w:rPr>
          <w:rFonts w:eastAsia="Times New Roman" w:cs="Times New Roman" w:ascii="Times New Roman" w:hAnsi="Times New Roman"/>
          <w:color w:val="111111"/>
          <w:sz w:val="28"/>
          <w:szCs w:val="28"/>
          <w:lang w:val="en-US"/>
        </w:rPr>
        <w:t>nazharî</w:t>
      </w:r>
    </w:p>
    <w:p>
      <w:pPr>
        <w:pStyle w:val="BookText"/>
        <w:bidi w:val="0"/>
        <w:jc w:val="both"/>
        <w:rPr/>
      </w:pPr>
      <w:r>
        <w:rPr>
          <w:rFonts w:eastAsia="Times New Roman" w:cs="Times New Roman" w:ascii="Times New Roman" w:hAnsi="Times New Roman"/>
          <w:color w:val="111111"/>
          <w:sz w:val="28"/>
          <w:szCs w:val="28"/>
          <w:lang w:val="en-US"/>
        </w:rPr>
        <w:t>New York</w:t>
      </w:r>
    </w:p>
    <w:p>
      <w:pPr>
        <w:pStyle w:val="BookText"/>
        <w:bidi w:val="0"/>
        <w:jc w:val="both"/>
        <w:rPr/>
      </w:pPr>
      <w:r>
        <w:rPr>
          <w:rFonts w:eastAsia="Times New Roman" w:cs="Times New Roman" w:ascii="Times New Roman" w:hAnsi="Times New Roman"/>
          <w:color w:val="111111"/>
          <w:sz w:val="28"/>
          <w:szCs w:val="28"/>
          <w:lang w:val="en-US"/>
        </w:rPr>
        <w:t>non-Muslim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Ja'far Shadiq</w:t>
      </w:r>
    </w:p>
    <w:p>
      <w:pPr>
        <w:pStyle w:val="BookText"/>
        <w:bidi w:val="0"/>
        <w:jc w:val="both"/>
        <w:rPr/>
      </w:pPr>
      <w:r>
        <w:rPr>
          <w:rFonts w:eastAsia="Times New Roman" w:cs="Times New Roman" w:ascii="Times New Roman" w:hAnsi="Times New Roman"/>
          <w:color w:val="111111"/>
          <w:sz w:val="28"/>
          <w:szCs w:val="28"/>
          <w:lang w:val="en-US"/>
        </w:rPr>
        <w:t>Jenghis Khan</w:t>
      </w:r>
    </w:p>
    <w:p>
      <w:pPr>
        <w:pStyle w:val="BookText"/>
        <w:bidi w:val="0"/>
        <w:jc w:val="both"/>
        <w:rPr/>
      </w:pPr>
      <w:r>
        <w:rPr>
          <w:rFonts w:eastAsia="Times New Roman" w:cs="Times New Roman" w:ascii="Times New Roman" w:hAnsi="Times New Roman"/>
          <w:color w:val="111111"/>
          <w:sz w:val="28"/>
          <w:szCs w:val="28"/>
          <w:lang w:val="en-US"/>
        </w:rPr>
        <w:t>jubb</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juhûd </w:t>
      </w:r>
    </w:p>
    <w:p>
      <w:pPr>
        <w:pStyle w:val="BookText"/>
        <w:bidi w:val="0"/>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Waco</w:t>
      </w:r>
    </w:p>
    <w:p>
      <w:pPr>
        <w:pStyle w:val="BookText"/>
        <w:bidi w:val="0"/>
        <w:jc w:val="both"/>
        <w:rPr/>
      </w:pPr>
      <w:r>
        <w:rPr>
          <w:rFonts w:eastAsia="Times New Roman" w:cs="Times New Roman" w:ascii="Times New Roman" w:hAnsi="Times New Roman"/>
          <w:color w:val="111111"/>
          <w:sz w:val="28"/>
          <w:szCs w:val="28"/>
          <w:lang w:val="en-US"/>
        </w:rPr>
        <w:t>Qadhi Ibnu Barraj</w:t>
      </w:r>
    </w:p>
    <w:p>
      <w:pPr>
        <w:pStyle w:val="BookText"/>
        <w:bidi w:val="0"/>
        <w:jc w:val="both"/>
        <w:rPr/>
      </w:pPr>
      <w:r>
        <w:rPr>
          <w:rFonts w:eastAsia="Times New Roman" w:cs="Times New Roman" w:ascii="Times New Roman" w:hAnsi="Times New Roman"/>
          <w:color w:val="111111"/>
          <w:sz w:val="28"/>
          <w:szCs w:val="28"/>
          <w:lang w:val="en-US"/>
        </w:rPr>
        <w:t>qadr mutayaqqan</w:t>
      </w:r>
    </w:p>
    <w:p>
      <w:pPr>
        <w:pStyle w:val="BookText"/>
        <w:bidi w:val="0"/>
        <w:jc w:val="both"/>
        <w:rPr/>
      </w:pPr>
      <w:r>
        <w:rPr>
          <w:rFonts w:eastAsia="Times New Roman" w:cs="Times New Roman" w:ascii="Times New Roman" w:hAnsi="Times New Roman"/>
          <w:color w:val="111111"/>
          <w:sz w:val="28"/>
          <w:szCs w:val="28"/>
          <w:lang w:val="en-US"/>
        </w:rPr>
        <w:t>qadzf</w:t>
      </w:r>
    </w:p>
    <w:p>
      <w:pPr>
        <w:pStyle w:val="BookText"/>
        <w:bidi w:val="0"/>
        <w:jc w:val="both"/>
        <w:rPr/>
      </w:pPr>
      <w:r>
        <w:rPr>
          <w:rFonts w:eastAsia="Times New Roman" w:cs="Times New Roman" w:ascii="Times New Roman" w:hAnsi="Times New Roman"/>
          <w:color w:val="111111"/>
          <w:sz w:val="28"/>
          <w:szCs w:val="28"/>
          <w:lang w:val="en-US"/>
        </w:rPr>
        <w:t>qâshir</w:t>
      </w:r>
    </w:p>
    <w:p>
      <w:pPr>
        <w:pStyle w:val="BookText"/>
        <w:bidi w:val="0"/>
        <w:jc w:val="both"/>
        <w:rPr/>
      </w:pPr>
      <w:r>
        <w:rPr>
          <w:rFonts w:eastAsia="Times New Roman" w:cs="Times New Roman" w:ascii="Times New Roman" w:hAnsi="Times New Roman"/>
          <w:color w:val="111111"/>
          <w:sz w:val="28"/>
          <w:szCs w:val="28"/>
          <w:lang w:val="en-US"/>
        </w:rPr>
        <w:t>qathî</w:t>
      </w:r>
    </w:p>
    <w:p>
      <w:pPr>
        <w:pStyle w:val="BookText"/>
        <w:bidi w:val="0"/>
        <w:jc w:val="both"/>
        <w:rPr/>
      </w:pPr>
      <w:r>
        <w:rPr>
          <w:rFonts w:eastAsia="Times New Roman" w:cs="Times New Roman" w:ascii="Times New Roman" w:hAnsi="Times New Roman"/>
          <w:color w:val="111111"/>
          <w:sz w:val="28"/>
          <w:szCs w:val="28"/>
          <w:lang w:val="en-US"/>
        </w:rPr>
        <w:t>Yahudi</w:t>
      </w:r>
    </w:p>
    <w:p>
      <w:pPr>
        <w:pStyle w:val="BookText"/>
        <w:bidi w:val="0"/>
        <w:jc w:val="both"/>
        <w:rPr/>
      </w:pPr>
      <w:r>
        <w:rPr>
          <w:rFonts w:eastAsia="Times New Roman" w:cs="Times New Roman" w:ascii="Times New Roman" w:hAnsi="Times New Roman"/>
          <w:color w:val="111111"/>
          <w:sz w:val="28"/>
          <w:szCs w:val="28"/>
          <w:lang w:val="en-US"/>
        </w:rPr>
        <w:t>Yaman Akdinez</w:t>
      </w:r>
    </w:p>
    <w:p>
      <w:pPr>
        <w:pStyle w:val="BookText"/>
        <w:bidi w:val="0"/>
        <w:jc w:val="both"/>
        <w:rPr/>
      </w:pPr>
      <w:r>
        <w:rPr>
          <w:rFonts w:eastAsia="Times New Roman" w:cs="Times New Roman" w:ascii="Times New Roman" w:hAnsi="Times New Roman"/>
          <w:color w:val="111111"/>
          <w:sz w:val="28"/>
          <w:szCs w:val="28"/>
          <w:lang w:val="en-US"/>
        </w:rPr>
        <w:t>Quakers Protestant</w:t>
      </w:r>
    </w:p>
    <w:p>
      <w:pPr>
        <w:pStyle w:val="BookText"/>
        <w:bidi w:val="0"/>
        <w:jc w:val="both"/>
        <w:rPr/>
      </w:pPr>
      <w:r>
        <w:rPr>
          <w:rFonts w:eastAsia="Times New Roman" w:cs="Times New Roman" w:ascii="Times New Roman" w:hAnsi="Times New Roman"/>
          <w:color w:val="111111"/>
          <w:sz w:val="28"/>
          <w:szCs w:val="28"/>
          <w:lang w:val="en-US"/>
        </w:rPr>
        <w:t>yaqînî</w:t>
      </w:r>
    </w:p>
    <w:p>
      <w:pPr>
        <w:pStyle w:val="BookText"/>
        <w:bidi w:val="0"/>
        <w:jc w:val="both"/>
        <w:rPr/>
      </w:pPr>
      <w:r>
        <w:rPr>
          <w:rFonts w:eastAsia="Times New Roman" w:cs="Times New Roman" w:ascii="Times New Roman" w:hAnsi="Times New Roman"/>
          <w:color w:val="111111"/>
          <w:sz w:val="28"/>
          <w:szCs w:val="28"/>
          <w:lang w:val="en-US"/>
        </w:rPr>
        <w:t>qushûr</w:t>
      </w:r>
    </w:p>
    <w:p>
      <w:pPr>
        <w:pStyle w:val="BookText"/>
        <w:bidi w:val="0"/>
        <w:jc w:val="both"/>
        <w:rPr/>
      </w:pPr>
      <w:r>
        <w:rPr>
          <w:rFonts w:eastAsia="Times New Roman" w:cs="Times New Roman" w:ascii="Times New Roman" w:hAnsi="Times New Roman"/>
          <w:color w:val="111111"/>
          <w:sz w:val="28"/>
          <w:szCs w:val="28"/>
          <w:lang w:val="en-US"/>
        </w:rPr>
        <w:t>zhann</w:t>
      </w:r>
    </w:p>
    <w:p>
      <w:pPr>
        <w:pStyle w:val="BookText"/>
        <w:bidi w:val="0"/>
        <w:jc w:val="both"/>
        <w:rPr/>
      </w:pPr>
      <w:r>
        <w:rPr>
          <w:rFonts w:eastAsia="Times New Roman" w:cs="Times New Roman" w:ascii="Times New Roman" w:hAnsi="Times New Roman"/>
          <w:color w:val="111111"/>
          <w:sz w:val="28"/>
          <w:szCs w:val="28"/>
          <w:lang w:val="en-US"/>
        </w:rPr>
        <w:t>zindig</w:t>
      </w:r>
    </w:p>
    <w:p>
      <w:pPr>
        <w:pStyle w:val="BookText"/>
        <w:bidi w:val="0"/>
        <w:jc w:val="both"/>
        <w:rPr/>
      </w:pPr>
      <w:r>
        <w:rPr>
          <w:rFonts w:eastAsia="Times New Roman" w:cs="Times New Roman" w:ascii="Times New Roman" w:hAnsi="Times New Roman"/>
          <w:color w:val="111111"/>
          <w:sz w:val="28"/>
          <w:szCs w:val="28"/>
          <w:lang w:val="en-US"/>
        </w:rPr>
        <w:t>Zurarah</w:t>
      </w:r>
    </w:p>
    <w:p>
      <w:pPr>
        <w:pStyle w:val="BookText"/>
        <w:bidi w:val="0"/>
        <w:jc w:val="both"/>
        <w:rPr/>
      </w:pPr>
      <w:r>
        <w:rPr>
          <w:rFonts w:eastAsia="Times New Roman" w:cs="Times New Roman" w:ascii="Times New Roman" w:hAnsi="Times New Roman"/>
          <w:color w:val="111111"/>
          <w:sz w:val="28"/>
          <w:szCs w:val="28"/>
          <w:lang w:val="en-US"/>
        </w:rPr>
        <w:t>Raghib Ishfahani</w:t>
      </w:r>
    </w:p>
    <w:p>
      <w:pPr>
        <w:pStyle w:val="BookText"/>
        <w:bidi w:val="0"/>
        <w:jc w:val="both"/>
        <w:rPr/>
      </w:pPr>
      <w:r>
        <w:rPr>
          <w:rFonts w:eastAsia="Times New Roman" w:cs="Times New Roman" w:ascii="Times New Roman" w:hAnsi="Times New Roman"/>
          <w:color w:val="111111"/>
          <w:sz w:val="28"/>
          <w:szCs w:val="28"/>
          <w:lang w:val="en-US"/>
        </w:rPr>
        <w:t>Rasulullah Saw</w:t>
      </w:r>
    </w:p>
    <w:p>
      <w:pPr>
        <w:pStyle w:val="BookText"/>
        <w:bidi w:val="0"/>
        <w:jc w:val="both"/>
        <w:rPr/>
      </w:pPr>
      <w:r>
        <w:rPr>
          <w:rFonts w:eastAsia="Times New Roman" w:cs="Times New Roman" w:ascii="Times New Roman" w:hAnsi="Times New Roman"/>
          <w:color w:val="111111"/>
          <w:sz w:val="28"/>
          <w:szCs w:val="28"/>
          <w:lang w:val="en-US"/>
        </w:rPr>
        <w:t>riddah</w:t>
      </w:r>
    </w:p>
    <w:p>
      <w:pPr>
        <w:pStyle w:val="BookText"/>
        <w:bidi w:val="0"/>
        <w:jc w:val="both"/>
        <w:rPr/>
      </w:pPr>
      <w:r>
        <w:rPr>
          <w:rFonts w:eastAsia="Times New Roman" w:cs="Times New Roman" w:ascii="Times New Roman" w:hAnsi="Times New Roman"/>
          <w:color w:val="111111"/>
          <w:sz w:val="28"/>
          <w:szCs w:val="28"/>
          <w:lang w:val="en-US"/>
        </w:rPr>
        <w:t>Ridha Hamadani</w:t>
      </w:r>
    </w:p>
    <w:p>
      <w:pPr>
        <w:pStyle w:val="BookText"/>
        <w:bidi w:val="0"/>
        <w:jc w:val="both"/>
        <w:rPr/>
      </w:pPr>
      <w:r>
        <w:rPr>
          <w:rFonts w:eastAsia="Times New Roman" w:cs="Times New Roman" w:ascii="Times New Roman" w:hAnsi="Times New Roman"/>
          <w:color w:val="111111"/>
          <w:sz w:val="28"/>
          <w:szCs w:val="28"/>
          <w:lang w:val="en-US"/>
        </w:rPr>
        <w:t>tazir</w:t>
      </w:r>
    </w:p>
    <w:p>
      <w:pPr>
        <w:pStyle w:val="BookText"/>
        <w:bidi w:val="0"/>
        <w:jc w:val="both"/>
        <w:rPr/>
      </w:pPr>
      <w:r>
        <w:rPr>
          <w:rFonts w:eastAsia="Times New Roman" w:cs="Times New Roman" w:ascii="Times New Roman" w:hAnsi="Times New Roman"/>
          <w:color w:val="111111"/>
          <w:sz w:val="28"/>
          <w:szCs w:val="28"/>
          <w:lang w:val="en-US"/>
        </w:rPr>
        <w:t>Ta'zirat</w:t>
      </w:r>
    </w:p>
    <w:p>
      <w:pPr>
        <w:pStyle w:val="BookText"/>
        <w:bidi w:val="0"/>
        <w:jc w:val="both"/>
        <w:rPr/>
      </w:pPr>
      <w:r>
        <w:rPr>
          <w:rFonts w:eastAsia="Times New Roman" w:cs="Times New Roman" w:ascii="Times New Roman" w:hAnsi="Times New Roman"/>
          <w:color w:val="111111"/>
          <w:sz w:val="28"/>
          <w:szCs w:val="28"/>
          <w:lang w:val="en-US"/>
        </w:rPr>
        <w:t>tadhådd</w:t>
      </w:r>
    </w:p>
    <w:p>
      <w:pPr>
        <w:pStyle w:val="BookText"/>
        <w:bidi w:val="0"/>
        <w:jc w:val="both"/>
        <w:rPr/>
      </w:pPr>
      <w:r>
        <w:rPr>
          <w:rFonts w:eastAsia="Times New Roman" w:cs="Times New Roman" w:ascii="Times New Roman" w:hAnsi="Times New Roman"/>
          <w:color w:val="111111"/>
          <w:sz w:val="28"/>
          <w:szCs w:val="28"/>
          <w:lang w:val="en-US"/>
        </w:rPr>
        <w:t>tafshili</w:t>
      </w:r>
    </w:p>
    <w:p>
      <w:pPr>
        <w:pStyle w:val="BookText"/>
        <w:bidi w:val="0"/>
        <w:jc w:val="both"/>
        <w:rPr/>
      </w:pPr>
      <w:r>
        <w:rPr>
          <w:rFonts w:eastAsia="Times New Roman" w:cs="Times New Roman" w:ascii="Times New Roman" w:hAnsi="Times New Roman"/>
          <w:color w:val="111111"/>
          <w:sz w:val="28"/>
          <w:szCs w:val="28"/>
          <w:lang w:val="en-US"/>
        </w:rPr>
        <w:t>tahlil ‘urfi</w:t>
      </w:r>
    </w:p>
    <w:p>
      <w:pPr>
        <w:pStyle w:val="BookText"/>
        <w:bidi w:val="0"/>
        <w:jc w:val="both"/>
        <w:rPr/>
      </w:pPr>
      <w:r>
        <w:rPr>
          <w:rFonts w:eastAsia="Times New Roman" w:cs="Times New Roman" w:ascii="Times New Roman" w:hAnsi="Times New Roman"/>
          <w:color w:val="111111"/>
          <w:sz w:val="28"/>
          <w:szCs w:val="28"/>
          <w:lang w:val="en-US"/>
        </w:rPr>
        <w:t>tajarri</w:t>
      </w:r>
    </w:p>
    <w:p>
      <w:pPr>
        <w:pStyle w:val="BookText"/>
        <w:bidi w:val="0"/>
        <w:jc w:val="both"/>
        <w:rPr/>
      </w:pPr>
      <w:r>
        <w:rPr>
          <w:rFonts w:eastAsia="Times New Roman" w:cs="Times New Roman" w:ascii="Times New Roman" w:hAnsi="Times New Roman"/>
          <w:color w:val="111111"/>
          <w:sz w:val="28"/>
          <w:szCs w:val="28"/>
          <w:lang w:val="en-US"/>
        </w:rPr>
        <w:t>takhfif</w:t>
      </w:r>
    </w:p>
    <w:p>
      <w:pPr>
        <w:pStyle w:val="BookText"/>
        <w:bidi w:val="0"/>
        <w:jc w:val="both"/>
        <w:rPr/>
      </w:pPr>
      <w:r>
        <w:rPr>
          <w:rFonts w:eastAsia="Times New Roman" w:cs="Times New Roman" w:ascii="Times New Roman" w:hAnsi="Times New Roman"/>
          <w:color w:val="111111"/>
          <w:sz w:val="28"/>
          <w:szCs w:val="28"/>
          <w:lang w:val="en-US"/>
        </w:rPr>
        <w:t>takhshish</w:t>
      </w:r>
    </w:p>
    <w:p>
      <w:pPr>
        <w:pStyle w:val="BookText"/>
        <w:bidi w:val="0"/>
        <w:jc w:val="both"/>
        <w:rPr/>
      </w:pPr>
      <w:r>
        <w:rPr>
          <w:rFonts w:eastAsia="Times New Roman" w:cs="Times New Roman" w:ascii="Times New Roman" w:hAnsi="Times New Roman"/>
          <w:color w:val="111111"/>
          <w:sz w:val="28"/>
          <w:szCs w:val="28"/>
          <w:lang w:val="en-US"/>
        </w:rPr>
        <w:t>Taklif</w:t>
      </w:r>
    </w:p>
    <w:p>
      <w:pPr>
        <w:pStyle w:val="BookText"/>
        <w:bidi w:val="0"/>
        <w:jc w:val="both"/>
        <w:rPr/>
      </w:pPr>
      <w:r>
        <w:rPr>
          <w:rFonts w:eastAsia="Times New Roman" w:cs="Times New Roman" w:ascii="Times New Roman" w:hAnsi="Times New Roman"/>
          <w:color w:val="111111"/>
          <w:sz w:val="28"/>
          <w:szCs w:val="28"/>
          <w:lang w:val="en-US"/>
        </w:rPr>
        <w:t>takwini</w:t>
      </w:r>
    </w:p>
    <w:p>
      <w:pPr>
        <w:pStyle w:val="BookText"/>
        <w:bidi w:val="0"/>
        <w:jc w:val="both"/>
        <w:rPr/>
      </w:pPr>
      <w:r>
        <w:rPr>
          <w:rFonts w:eastAsia="Times New Roman" w:cs="Times New Roman" w:ascii="Times New Roman" w:hAnsi="Times New Roman"/>
          <w:color w:val="111111"/>
          <w:sz w:val="28"/>
          <w:szCs w:val="28"/>
          <w:lang w:val="en-US"/>
        </w:rPr>
        <w:t>taqiyah</w:t>
      </w:r>
    </w:p>
    <w:p>
      <w:pPr>
        <w:pStyle w:val="BookText"/>
        <w:bidi w:val="0"/>
        <w:jc w:val="both"/>
        <w:rPr/>
      </w:pPr>
      <w:r>
        <w:rPr>
          <w:rFonts w:eastAsia="Times New Roman" w:cs="Times New Roman" w:ascii="Times New Roman" w:hAnsi="Times New Roman"/>
          <w:color w:val="111111"/>
          <w:sz w:val="28"/>
          <w:szCs w:val="28"/>
          <w:lang w:val="en-US"/>
        </w:rPr>
        <w:t>taqiyyah</w:t>
      </w:r>
    </w:p>
    <w:p>
      <w:pPr>
        <w:pStyle w:val="BookText"/>
        <w:bidi w:val="0"/>
        <w:jc w:val="both"/>
        <w:rPr/>
      </w:pPr>
      <w:r>
        <w:rPr>
          <w:rFonts w:eastAsia="Times New Roman" w:cs="Times New Roman" w:ascii="Times New Roman" w:hAnsi="Times New Roman"/>
          <w:color w:val="111111"/>
          <w:sz w:val="28"/>
          <w:szCs w:val="28"/>
          <w:lang w:val="en-US"/>
        </w:rPr>
        <w:t>taqshîr</w:t>
      </w:r>
    </w:p>
    <w:p>
      <w:pPr>
        <w:pStyle w:val="BookText"/>
        <w:bidi w:val="0"/>
        <w:jc w:val="both"/>
        <w:rPr/>
      </w:pPr>
      <w:r>
        <w:rPr>
          <w:rFonts w:eastAsia="Times New Roman" w:cs="Times New Roman" w:ascii="Times New Roman" w:hAnsi="Times New Roman"/>
          <w:color w:val="111111"/>
          <w:sz w:val="28"/>
          <w:szCs w:val="28"/>
          <w:lang w:val="en-US"/>
        </w:rPr>
        <w:t>tarjih</w:t>
      </w:r>
    </w:p>
    <w:p>
      <w:pPr>
        <w:pStyle w:val="BookText"/>
        <w:bidi w:val="0"/>
        <w:jc w:val="both"/>
        <w:rPr/>
      </w:pPr>
      <w:r>
        <w:rPr>
          <w:rFonts w:eastAsia="Times New Roman" w:cs="Times New Roman" w:ascii="Times New Roman" w:hAnsi="Times New Roman"/>
          <w:color w:val="111111"/>
          <w:sz w:val="28"/>
          <w:szCs w:val="28"/>
          <w:lang w:val="en-US"/>
        </w:rPr>
        <w:t>tasyri'i</w:t>
      </w:r>
    </w:p>
    <w:p>
      <w:pPr>
        <w:pStyle w:val="BookText"/>
        <w:bidi w:val="0"/>
        <w:jc w:val="both"/>
        <w:rPr/>
      </w:pPr>
      <w:r>
        <w:rPr>
          <w:rFonts w:eastAsia="Times New Roman" w:cs="Times New Roman" w:ascii="Times New Roman" w:hAnsi="Times New Roman"/>
          <w:color w:val="111111"/>
          <w:sz w:val="28"/>
          <w:szCs w:val="28"/>
          <w:lang w:val="en-US"/>
        </w:rPr>
        <w:t>tauriyah</w:t>
      </w:r>
    </w:p>
    <w:p>
      <w:pPr>
        <w:pStyle w:val="BookText"/>
        <w:bidi w:val="0"/>
        <w:jc w:val="both"/>
        <w:rPr/>
      </w:pPr>
      <w:r>
        <w:rPr>
          <w:rFonts w:eastAsia="Times New Roman" w:cs="Times New Roman" w:ascii="Times New Roman" w:hAnsi="Times New Roman"/>
          <w:color w:val="111111"/>
          <w:sz w:val="28"/>
          <w:szCs w:val="28"/>
          <w:lang w:val="en-US"/>
        </w:rPr>
        <w:t>teori Implikasi</w:t>
      </w:r>
    </w:p>
    <w:p>
      <w:pPr>
        <w:pStyle w:val="BookText"/>
        <w:bidi w:val="0"/>
        <w:jc w:val="both"/>
        <w:rPr/>
      </w:pPr>
      <w:r>
        <w:rPr>
          <w:rFonts w:eastAsia="Times New Roman" w:cs="Times New Roman" w:ascii="Times New Roman" w:hAnsi="Times New Roman"/>
          <w:color w:val="111111"/>
          <w:sz w:val="28"/>
          <w:szCs w:val="28"/>
          <w:lang w:val="en-US"/>
        </w:rPr>
        <w:t>teori Variabel</w:t>
      </w:r>
    </w:p>
    <w:p>
      <w:pPr>
        <w:pStyle w:val="BookText"/>
        <w:bidi w:val="0"/>
        <w:jc w:val="both"/>
        <w:rPr/>
      </w:pPr>
      <w:r>
        <w:rPr>
          <w:rFonts w:eastAsia="Times New Roman" w:cs="Times New Roman" w:ascii="Times New Roman" w:hAnsi="Times New Roman"/>
          <w:color w:val="111111"/>
          <w:sz w:val="28"/>
          <w:szCs w:val="28"/>
          <w:lang w:val="en-US"/>
        </w:rPr>
        <w:t>Independen</w:t>
      </w:r>
    </w:p>
    <w:p>
      <w:pPr>
        <w:pStyle w:val="BookText"/>
        <w:bidi w:val="0"/>
        <w:jc w:val="both"/>
        <w:rPr/>
      </w:pPr>
      <w:r>
        <w:rPr>
          <w:rFonts w:eastAsia="Times New Roman" w:cs="Times New Roman" w:ascii="Times New Roman" w:hAnsi="Times New Roman"/>
          <w:color w:val="111111"/>
          <w:sz w:val="28"/>
          <w:szCs w:val="28"/>
          <w:lang w:val="en-US"/>
        </w:rPr>
        <w:t>Texas</w:t>
      </w:r>
    </w:p>
    <w:p>
      <w:pPr>
        <w:pStyle w:val="BookText"/>
        <w:bidi w:val="0"/>
        <w:jc w:val="both"/>
        <w:rPr/>
      </w:pPr>
      <w:r>
        <w:rPr>
          <w:rFonts w:eastAsia="Times New Roman" w:cs="Times New Roman" w:ascii="Times New Roman" w:hAnsi="Times New Roman"/>
          <w:color w:val="111111"/>
          <w:sz w:val="28"/>
          <w:szCs w:val="28"/>
          <w:lang w:val="en-US"/>
        </w:rPr>
        <w:t>Thulaihah</w:t>
      </w:r>
    </w:p>
    <w:p>
      <w:pPr>
        <w:pStyle w:val="BookText"/>
        <w:bidi w:val="0"/>
        <w:jc w:val="both"/>
        <w:rPr/>
      </w:pPr>
      <w:r>
        <w:rPr>
          <w:rFonts w:eastAsia="Times New Roman" w:cs="Times New Roman" w:ascii="Times New Roman" w:hAnsi="Times New Roman"/>
          <w:color w:val="111111"/>
          <w:sz w:val="28"/>
          <w:szCs w:val="28"/>
          <w:lang w:val="en-US"/>
        </w:rPr>
        <w:t>Thusi</w:t>
      </w:r>
    </w:p>
    <w:p>
      <w:pPr>
        <w:pStyle w:val="BookText"/>
        <w:bidi w:val="0"/>
        <w:jc w:val="both"/>
        <w:rPr/>
      </w:pPr>
      <w:r>
        <w:rPr>
          <w:rFonts w:eastAsia="Times New Roman" w:cs="Times New Roman" w:ascii="Times New Roman" w:hAnsi="Times New Roman"/>
          <w:color w:val="111111"/>
          <w:sz w:val="28"/>
          <w:szCs w:val="28"/>
          <w:lang w:val="en-US"/>
        </w:rPr>
        <w:t>tsubûtan</w:t>
      </w:r>
    </w:p>
    <w:p>
      <w:pPr>
        <w:pStyle w:val="BookText"/>
        <w:bidi w:val="0"/>
        <w:jc w:val="both"/>
        <w:rPr/>
      </w:pPr>
      <w:r>
        <w:rPr>
          <w:rFonts w:eastAsia="Times New Roman" w:cs="Times New Roman" w:ascii="Times New Roman" w:hAnsi="Times New Roman"/>
          <w:color w:val="111111"/>
          <w:sz w:val="28"/>
          <w:szCs w:val="28"/>
          <w:lang w:val="en-US"/>
        </w:rPr>
        <w:t>riot</w:t>
      </w:r>
    </w:p>
    <w:p>
      <w:pPr>
        <w:pStyle w:val="BookText"/>
        <w:bidi w:val="0"/>
        <w:jc w:val="both"/>
        <w:rPr/>
      </w:pPr>
      <w:r>
        <w:rPr>
          <w:rFonts w:eastAsia="Times New Roman" w:cs="Times New Roman" w:ascii="Times New Roman" w:hAnsi="Times New Roman"/>
          <w:color w:val="111111"/>
          <w:sz w:val="28"/>
          <w:szCs w:val="28"/>
          <w:lang w:val="en-US"/>
        </w:rPr>
        <w:t>Robert Thomas</w:t>
      </w:r>
    </w:p>
    <w:p>
      <w:pPr>
        <w:pStyle w:val="BookText"/>
        <w:bidi w:val="0"/>
        <w:jc w:val="both"/>
        <w:rPr/>
      </w:pPr>
      <w:r>
        <w:rPr>
          <w:rFonts w:eastAsia="Times New Roman" w:cs="Times New Roman" w:ascii="Times New Roman" w:hAnsi="Times New Roman"/>
          <w:color w:val="111111"/>
          <w:sz w:val="28"/>
          <w:szCs w:val="28"/>
          <w:lang w:val="en-US"/>
        </w:rPr>
        <w:t>ruggles</w:t>
      </w:r>
    </w:p>
    <w:p>
      <w:pPr>
        <w:pStyle w:val="BookText"/>
        <w:bidi w:val="0"/>
        <w:jc w:val="both"/>
        <w:rPr/>
      </w:pPr>
      <w:r>
        <w:rPr>
          <w:rFonts w:eastAsia="Times New Roman" w:cs="Times New Roman" w:ascii="Times New Roman" w:hAnsi="Times New Roman"/>
          <w:color w:val="111111"/>
          <w:sz w:val="28"/>
          <w:szCs w:val="28"/>
          <w:lang w:val="en-US"/>
        </w:rPr>
        <w:t>Rusdhie</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sabab mustaqil</w:t>
      </w:r>
    </w:p>
    <w:p>
      <w:pPr>
        <w:pStyle w:val="BookText"/>
        <w:bidi w:val="0"/>
        <w:jc w:val="both"/>
        <w:rPr/>
      </w:pPr>
      <w:r>
        <w:rPr>
          <w:rFonts w:eastAsia="Times New Roman" w:cs="Times New Roman" w:ascii="Times New Roman" w:hAnsi="Times New Roman"/>
          <w:color w:val="111111"/>
          <w:sz w:val="28"/>
          <w:szCs w:val="28"/>
          <w:lang w:val="en-US"/>
        </w:rPr>
        <w:t>Sahib Jawahir</w:t>
      </w:r>
    </w:p>
    <w:p>
      <w:pPr>
        <w:pStyle w:val="BookText"/>
        <w:bidi w:val="0"/>
        <w:jc w:val="both"/>
        <w:rPr/>
      </w:pPr>
      <w:r>
        <w:rPr>
          <w:rFonts w:eastAsia="Times New Roman" w:cs="Times New Roman" w:ascii="Times New Roman" w:hAnsi="Times New Roman"/>
          <w:color w:val="111111"/>
          <w:sz w:val="28"/>
          <w:szCs w:val="28"/>
          <w:lang w:val="en-US"/>
        </w:rPr>
        <w:t>Salar</w:t>
      </w:r>
    </w:p>
    <w:p>
      <w:pPr>
        <w:pStyle w:val="BookText"/>
        <w:bidi w:val="0"/>
        <w:jc w:val="both"/>
        <w:rPr/>
      </w:pPr>
      <w:r>
        <w:rPr>
          <w:rFonts w:eastAsia="Times New Roman" w:cs="Times New Roman" w:ascii="Times New Roman" w:hAnsi="Times New Roman"/>
          <w:color w:val="111111"/>
          <w:sz w:val="28"/>
          <w:szCs w:val="28"/>
          <w:lang w:val="en-US"/>
        </w:rPr>
        <w:t>Salman Rushdie</w:t>
      </w:r>
    </w:p>
    <w:p>
      <w:pPr>
        <w:pStyle w:val="BookText"/>
        <w:bidi w:val="0"/>
        <w:jc w:val="both"/>
        <w:rPr/>
      </w:pPr>
      <w:r>
        <w:rPr>
          <w:rFonts w:eastAsia="Times New Roman" w:cs="Times New Roman" w:ascii="Times New Roman" w:hAnsi="Times New Roman"/>
          <w:color w:val="111111"/>
          <w:sz w:val="28"/>
          <w:szCs w:val="28"/>
          <w:lang w:val="en-US"/>
        </w:rPr>
        <w:t>sanad</w:t>
      </w:r>
    </w:p>
    <w:p>
      <w:pPr>
        <w:pStyle w:val="BookText"/>
        <w:bidi w:val="0"/>
        <w:jc w:val="both"/>
        <w:rPr/>
      </w:pPr>
      <w:r>
        <w:rPr>
          <w:rFonts w:eastAsia="Times New Roman" w:cs="Times New Roman" w:ascii="Times New Roman" w:hAnsi="Times New Roman"/>
          <w:color w:val="111111"/>
          <w:sz w:val="28"/>
          <w:szCs w:val="28"/>
          <w:lang w:val="en-US"/>
        </w:rPr>
        <w:t>Shadiq</w:t>
      </w:r>
    </w:p>
    <w:p>
      <w:pPr>
        <w:pStyle w:val="BookText"/>
        <w:bidi w:val="0"/>
        <w:jc w:val="both"/>
        <w:rPr/>
      </w:pPr>
      <w:r>
        <w:rPr>
          <w:rFonts w:eastAsia="Times New Roman" w:cs="Times New Roman" w:ascii="Times New Roman" w:hAnsi="Times New Roman"/>
          <w:color w:val="111111"/>
          <w:sz w:val="28"/>
          <w:szCs w:val="28"/>
          <w:lang w:val="en-US"/>
        </w:rPr>
        <w:t>shûrî</w:t>
      </w:r>
    </w:p>
    <w:p>
      <w:pPr>
        <w:pStyle w:val="BookText"/>
        <w:bidi w:val="0"/>
        <w:jc w:val="both"/>
        <w:rPr/>
      </w:pPr>
      <w:r>
        <w:rPr>
          <w:rFonts w:eastAsia="Times New Roman" w:cs="Times New Roman" w:ascii="Times New Roman" w:hAnsi="Times New Roman"/>
          <w:color w:val="111111"/>
          <w:sz w:val="28"/>
          <w:szCs w:val="28"/>
          <w:lang w:val="en-US"/>
        </w:rPr>
        <w:t>simbol keagamaan</w:t>
      </w:r>
    </w:p>
    <w:p>
      <w:pPr>
        <w:pStyle w:val="BookText"/>
        <w:bidi w:val="0"/>
        <w:jc w:val="both"/>
        <w:rPr/>
      </w:pPr>
      <w:r>
        <w:rPr>
          <w:rFonts w:eastAsia="Times New Roman" w:cs="Times New Roman" w:ascii="Times New Roman" w:hAnsi="Times New Roman"/>
          <w:color w:val="111111"/>
          <w:sz w:val="28"/>
          <w:szCs w:val="28"/>
          <w:lang w:val="en-US"/>
        </w:rPr>
        <w:t>Siti Fathimah Zahra</w:t>
      </w:r>
    </w:p>
    <w:p>
      <w:pPr>
        <w:pStyle w:val="BookText"/>
        <w:bidi w:val="0"/>
        <w:jc w:val="both"/>
        <w:rPr/>
      </w:pPr>
      <w:r>
        <w:rPr>
          <w:rFonts w:eastAsia="Times New Roman" w:cs="Times New Roman" w:ascii="Times New Roman" w:hAnsi="Times New Roman"/>
          <w:color w:val="111111"/>
          <w:sz w:val="28"/>
          <w:szCs w:val="28"/>
          <w:lang w:val="en-US"/>
        </w:rPr>
        <w:t>Siti Maryam</w:t>
      </w:r>
    </w:p>
    <w:p>
      <w:pPr>
        <w:pStyle w:val="BookText"/>
        <w:bidi w:val="0"/>
        <w:jc w:val="both"/>
        <w:rPr/>
      </w:pPr>
      <w:r>
        <w:rPr>
          <w:rFonts w:eastAsia="Times New Roman" w:cs="Times New Roman" w:ascii="Times New Roman" w:hAnsi="Times New Roman"/>
          <w:color w:val="111111"/>
          <w:sz w:val="28"/>
          <w:szCs w:val="28"/>
          <w:lang w:val="en-US"/>
        </w:rPr>
        <w:t>Syahid Tsani</w:t>
      </w:r>
    </w:p>
    <w:p>
      <w:pPr>
        <w:pStyle w:val="BookText"/>
        <w:bidi w:val="0"/>
        <w:jc w:val="both"/>
        <w:rPr/>
      </w:pPr>
      <w:r>
        <w:rPr>
          <w:rFonts w:eastAsia="Times New Roman" w:cs="Times New Roman" w:ascii="Times New Roman" w:hAnsi="Times New Roman"/>
          <w:color w:val="111111"/>
          <w:sz w:val="28"/>
          <w:szCs w:val="28"/>
          <w:lang w:val="en-US"/>
        </w:rPr>
        <w:t>Syaikh Thusi</w:t>
      </w:r>
    </w:p>
    <w:p>
      <w:pPr>
        <w:pStyle w:val="BookText"/>
        <w:bidi w:val="0"/>
        <w:jc w:val="both"/>
        <w:rPr/>
      </w:pPr>
      <w:r>
        <w:rPr>
          <w:rFonts w:eastAsia="Times New Roman" w:cs="Times New Roman" w:ascii="Times New Roman" w:hAnsi="Times New Roman"/>
          <w:color w:val="111111"/>
          <w:sz w:val="28"/>
          <w:szCs w:val="28"/>
          <w:lang w:val="en-US"/>
        </w:rPr>
        <w:t>Syarâ'i' Al-Islâm</w:t>
      </w:r>
    </w:p>
    <w:p>
      <w:pPr>
        <w:pStyle w:val="BookText"/>
        <w:bidi w:val="0"/>
        <w:jc w:val="both"/>
        <w:rPr/>
      </w:pPr>
      <w:r>
        <w:rPr>
          <w:rFonts w:eastAsia="Times New Roman" w:cs="Times New Roman" w:ascii="Times New Roman" w:hAnsi="Times New Roman"/>
          <w:color w:val="111111"/>
          <w:sz w:val="28"/>
          <w:szCs w:val="28"/>
          <w:lang w:val="en-US"/>
        </w:rPr>
        <w:t>Syiah</w:t>
      </w:r>
    </w:p>
    <w:p>
      <w:pPr>
        <w:pStyle w:val="BookText"/>
        <w:bidi w:val="0"/>
        <w:jc w:val="both"/>
        <w:rPr/>
      </w:pP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Umar bin Khatthab</w:t>
      </w:r>
    </w:p>
    <w:p>
      <w:pPr>
        <w:pStyle w:val="BookText"/>
        <w:bidi w:val="0"/>
        <w:jc w:val="both"/>
        <w:rPr/>
      </w:pPr>
      <w:r>
        <w:rPr>
          <w:rFonts w:eastAsia="Times New Roman" w:cs="Times New Roman" w:ascii="Times New Roman" w:hAnsi="Times New Roman"/>
          <w:color w:val="111111"/>
          <w:sz w:val="28"/>
          <w:szCs w:val="28"/>
          <w:lang w:val="en-US"/>
        </w:rPr>
        <w:t>ushủl 'amaliyyah</w:t>
      </w:r>
    </w:p>
    <w:p>
      <w:pPr>
        <w:pStyle w:val="BookText"/>
        <w:bidi w:val="0"/>
        <w:jc w:val="both"/>
        <w:rPr/>
      </w:pPr>
      <w:r>
        <w:rPr>
          <w:rFonts w:eastAsia="Times New Roman" w:cs="Times New Roman" w:ascii="Times New Roman" w:hAnsi="Times New Roman"/>
          <w:color w:val="111111"/>
          <w:sz w:val="28"/>
          <w:szCs w:val="28"/>
          <w:lang w:val="en-US"/>
        </w:rPr>
        <w:t>Ushûl Al-Kâfî</w:t>
      </w:r>
    </w:p>
    <w:p>
      <w:pPr>
        <w:pStyle w:val="BookText"/>
        <w:bidi w:val="0"/>
        <w:jc w:val="both"/>
        <w:rPr/>
      </w:pPr>
      <w:r>
        <w:rPr>
          <w:rFonts w:eastAsia="Times New Roman" w:cs="Times New Roman" w:ascii="Times New Roman" w:hAnsi="Times New Roman"/>
          <w:color w:val="111111"/>
          <w:sz w:val="28"/>
          <w:szCs w:val="28"/>
          <w:lang w:val="en-US"/>
        </w:rPr>
        <w:t>ushuluddin</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syubhah</w:t>
      </w:r>
    </w:p>
    <w:p>
      <w:pPr>
        <w:pStyle w:val="BookText"/>
        <w:bidi w:val="0"/>
        <w:jc w:val="both"/>
        <w:rPr/>
      </w:pPr>
      <w:r>
        <w:rPr>
          <w:rFonts w:eastAsia="Times New Roman" w:cs="Times New Roman" w:ascii="Times New Roman" w:hAnsi="Times New Roman"/>
          <w:color w:val="111111"/>
          <w:sz w:val="28"/>
          <w:szCs w:val="28"/>
          <w:lang w:val="en-US"/>
        </w:rPr>
        <w:t>variabel independen</w:t>
      </w:r>
    </w:p>
    <w:p>
      <w:pPr>
        <w:pStyle w:val="BookText"/>
        <w:bidi w:val="0"/>
        <w:jc w:val="both"/>
        <w:rPr/>
      </w:pPr>
      <w:r>
        <w:rPr>
          <w:rFonts w:eastAsia="Times New Roman" w:cs="Times New Roman" w:ascii="Times New Roman" w:hAnsi="Times New Roman"/>
          <w:color w:val="111111"/>
          <w:sz w:val="28"/>
          <w:szCs w:val="28"/>
          <w:lang w:val="en-US"/>
        </w:rPr>
        <w:t>kemurtadan</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variabel kemurtadan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Jauhari: Al-Shihậh, jld. 2, hlm. 473; Ibn Manzdur: Lisân Al-'Arab, jld. 3, hlm. 174.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Raghib Ishfahani: Al-Mufradât fi Gharib Al-Qur'ân, hlm. 192–193.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(Muhaqiq): Syarâi' Al-Islâm fi Maså'il Al-Halâl wa Al-Harâm, jld. 4, hlm. 961. Ia mencatat,  “Murtad adalah menjadi kafir setelah berislam.” Ibn Qudamah Muqaddasi: Al-Mughní, jld. 10, hlm.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Thusi: Al-Mabsûth fi Fiqh Al-Imâmiyyah, jld. 7, hlm. 282.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Al-Kafi fi Al-Fiqh, hlm. 311. Ia menulis, “Riddah yaitu mengekspresikan slogan kafir setelah  beriman yang disertai dengan pengingkaran terhadap kenabian Nabi Saw atau dengan sesuatu yang  sudah jelas dalam agamanya, seperti shalat, zakat, zina, atau meminum minuman keras.”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(Allamah): Fawa'id Al-Ahkâm fi Ma'rifat Al-Halâl wa Al-Harâm, jld. 3, hlm. 573.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Kasyif Githa: Kasyf Al-Ghithâ’an Mubhamât Syariat Al-Gharra,jld. 2, hlm. 417-418.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Khomeini (Imam): Kitab Al-Thahârah, jld. 3, hlm. 314-315; Gulpaigani: Natå ij Al-Afkâr, hlm. 149.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Ishfahani (Fadil Hindi): Kasyf Al-Litsâm wa Al-Ibhâm ‘an Kitâb Qawa'id Al-Ahkâm, jld. 3, hlm. 435.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Musawi Baghdadi (Alamul Huda): Al-Intishâr, hlm. 480; Fadhil Abu (Fadhil): Kasyf Al-Rumûz fi  Syarh Al-Mukhtashar Al-Nafi', jld. 2, hlm. 567.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Ardabili (Muqaddas): Majma' Al-Fâ'idah wa Al-Burhân fi Syarh Irsyad Al-Adzhân, jld. 13, hlm. 174.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beberapa kasus, pelaku kriminal berhak dijatuhi hukuman dan kasus serius lainnya, seperti  menghina nabi, dijatuhi hukuman mati setelah terbukti syarat-syarat yang cukup, sebagaimana akan  dijelaskan</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170; Bujnurdi: Al-Qawa'id Al-Fiqhiyyah, jld. 5, hlm. 255.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249 and 257.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Jab’i Amili (Syahid Tsani): Masâlik Al-Afhâm fi Syarh Syará'i' Al-Islâm, jld. 1, hlm. 158, “Jika Nabi  dihina, pelakunya dihukum mati. Demikian juga dalam kasus menghina nabi yang lain.”</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Jab'i Amili (Syahid Tsani): Al-Rawdhat Al-Bahiyyah fi Syarh Al-Lum'ah Al-Dimasy-qiyyah, jld. 9, hlm.194, “Terdapat dalil yang kuat dalam menggabungkan para nabi ke dalam hukum tersebut, karena  pengagungan dan kesempurnaan mereka telah dipastikan dalam agama Islam secara pasti-jelas.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 Maryam membawa anak itu kepada kaumnya dengan menggendongnya. Kaumnya berkata, 'Hai  Maryam! Sesungguhnya kamu telah melakukan sesuatu yang amat munkar.”(QS. Maryam [19]: 27.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Dan telah kami jadikan (Isa) putera Maryam beserta ibunya suatu bukti yang nyata bagi (kekuasaan  kami)" (QS. Al-Mukminun [23]: 50).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Dan Allah membuat istri Fir'aun perumpamaan bagi orang-orang yang beriman ... Dan Maryam putri  Imran yang memelihara kehormatannya” (QS. Al-Tahrim [66]: 11–12).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Dan Kami telah memberikan kepadanya kitab Injil sedang di dalamnya (ada) petunjuk dan cahaya”(QS.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Zahrah: Ghaniyyat Al-Nuzířila Ilmay Al-Ushủl wa Al-Furú, hlm. 623, “Dan akan dihukum mati  orang yang mencela Nabi Saw dan nabi-nabi yang lain atau salah satu dari para imam maksum as.Dan tidak diperkenankan orang yang mendengarnya lalu bersegera menewaskannya tanpa izin pihak  berwenang (syariat]. Ini semua karena dalil konsensus mazhab.</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Sahib Jawahir adalah nama populer di kalangan fukaha. Artinya, penulis Jawâhir, yakni buku Jawâhir  Al-Kalam fi Syarh Syarâ'i' Al-Islâm. Nama aslinya adalah Muhammad Hasan Najafi (peni).</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Jawâhir Al-Kalâm fi Syarh Syarâ'i' Al-Islâm, jld. 41, hlm. 436 437.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Syaikh Hurr Amili: Tafshíl Wasá'il Al-Syiah ila Tahshil Masail al-Syari'ah, jld. 18 (20 jilid), hlm. 460;  Nuri: Mustadrak Al-Wasâ'il wa Mustanbat Al-Masâ'il, jld. 18, hlm. 172, “Shahîh Al-Ridha dengan  sanadnya dari ayah-datuk beliau, 'Rasulullah Saw bersabda, “Siapa yang menghina seorang nabi,  maka dia dihukum mati."</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Pasal 513 Q.M.I, “Setiap orang yang menghina simbol sakral Islam atau salah seorang dari para  nabi mulia as atau para imam suci as atau Siti Fathimah as, jika masuk dalam kategori penghinaan  terhadap Nabi, maka akan dijatuhi hukuman mati. Jika tidak masuk demikian, maka dihukum  penjara selama satu sampai lima tahun."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Qurtubi: Al-Kafi, jld. 4, hlm. 585, “Barangsiapa yang mencaci Allah Swt, atau Nabi Saw, salah satu  dari nabi Allah as, maka dia layak dihukum mati."</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Shaidi Adawi Maliki: Hâsyiyat Al-'Adawî, jld. 2, hlm. 413.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Qudamah Muqaddasi: Al-Syarh Al-Kabir, jld. 10, hlm. 75; Al-Mughni, jld. 9, hlm. 33, “Setiap  orang yang mencaci Allah Swt pasti jadi kafir, entah dia itu bergurau atau serius. Demikian pula orang  yang memperolok Allah Swt, atau ayat-ayat-Nya, atau para rasul-Nya, atau kitab-kitab-Nya. Allah Swt berfirman, “Dan apabila kamu bertanya kepada mereka, akan mereka katakan, "Sesungguhnya kami  hanya bersenda gurau.' Katakanlah, "Apakah dengan Allah, ayat-ayat-Nya dan para rasul-Nya kalian  berolok-olok? Janganlah mencari alasan! Sungguh kalian telah menjadi kafir setelah kalian beriman.”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Khatib Syarbini: Mughnî Al-Muhtâj, jld. 4, hlm. 258.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Kasyani: Badâ'i' Al-Shanxi, jld. 7, hlm. 113; Ibnu Hazm Andalusi: Al-Muhalla, jld. 11, hlm. 155 dan  415.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Yahya bin Husain Hadi: Al-Ahkâm fi Al-Halâl wa Al-Harâm, jld. 2, hlm. 282.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Haitsami: Majma' Al-Zawâ'id wa Manba Al-Fawâ'id, jld. 6, hlm. 260, “Dari Ali bin Abi Thalib;  ia berkata, “Rasulullah Saw bersabda, “Barangsiapa mencaci para nabi pasti dihukum mati, dan  barangsiapa mencaci para sahabatku pasti dihukum cambuk.” Riwayat ini juga dicatat dalam  Musnad Zaid bin Ali, hlm. 468 and 495 dengan sedikit perbedaan redaksi.</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Tarjumeh-e Tafsir-e Taurat (Ahd-e ‘Atiq), Sefr Tsaniyeh, Bab 13, hlm.186.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Smith and Brian Hogan: Criminal Law, Butterworths, 8th Ed., London 1966, p 723, “Matter is  blasphemous if it denies the thurth of the Christian religion or of the Bible or the Book of Common  prayer of the existence of God.”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“The earlier caces required no more than this for, as Stephen says, they all proceed upon plain  principle that the public importance of the christian religion is so great that no one is allowed to deny  its truth."</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Apostasy.</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Peter Carey: Media Law, Sweet and Maxwell, London, 1996, p.78.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Smith and Hogan, op. cit., p.p. 7320733, “Yet, while the law was stated in these broad termas, there is  no recorded instance of a conciction for blasphemy where an element of contumely and ribaldry was  absent."</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A.V. Dicey: Law of the Constitution, Macmillan, 9th Ed., London, 1950, p. 245, “Most persons, again,  are astonished to find that the denial of the truth of Christianity or of the authority of the Scriptures,  by ‘writing, printing, teaching, or advised speaking ... in England, is by statute Al-Qur'an criminal  offence entailing very severe penalties."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733–734.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Ronald, Dworkin: Freedom's Law (The Moral Reading of the American Constitution), p. 364, “In my  view (although British courts have rejected the suggestion), the blasphemy law also violates Article  9 and 14, which taken together prohibit religious discrimination, because that law discriminates in  favor of chirstianity. Some Muslims said it was unjust that Salman Rusdhie's book, the satanic verses,  could not be prosecuted as blasphemous of their religion.”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Peter Carey, Media Law, op.cit., p. 79, "Other commentators have suggested that the law should be  extended to cover all religions and not just the Anglican faith.”</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www.CRF-USA.org/terror/rusdhie.</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www.CRF-USA.org/terror/rusdhie: Terorism, Blasphemy! Salman Rusdhie and Freedom of Expression:</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“In 1811, New York's highest appeals court unanimously rejected Ruggles arguments. The  court said that New York did not need a blasphemy statue. Ruggles words violate the common law  inherited from England, which made blasphemy against Christianity the law of the land. Based on  this interpretation of the laws, the New York court stated that reviling Jesus was a crime since it 'tends  to corrupt the morals of the people, and to destroy good order.”</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Karaki (Muhaqiq Tsani): Raså'il Al-Karaki, jld. 2, hlm. 259, "Adapun kata riddah (kita berlindung  kepada Allah darinya) termasuk dalam maknanya adalah istihậnah 'menyepelekan' agama, istihzå'  'mengolok-olok' aturan agama, dan lain semacamnya.”  Hilli (Allamah): Qawa'id li Al-Ahkam fi Ma'rifat Al-Halal wa Al-Harâm, jld. 3, hlm. 573, “Kemur-  tadan itu terjadi, baik dengan tindakan, seperti bersujud pada berhala, menyembah matahari, men-  campakkan kitab suci ke kotoran, dan tindakan apa saja yang menunjukkan pelecehan secara jelas  atau dengan ucapan."</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(Allamah): Muntaha Al-Mathlab, jld. 2, hlm. 991, “Masalah: barangsiapa mencaci Imam,  menurut kami, wajib dibunuh. Begitu pula pencaci Nabi Saw, karena dengan demikian dia menjadi  kafir dan murtad, dan karena itu pula dia wajib dibunuh."</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Kasyif Githa: Kasyf Al-Ghithâ' 'an Mubhamât Syari'at Al-Gharra, jld. 2, hlm. 438, “Dan sama  hukumnya dengan orang murtad adalah penista [nabi], peleceh martabat [nabi], nasibi ‘musuh  pendengki' Ahlul Bait menurut satu dari dua keadaan, dan pengingkar ajaran niscaya agama."</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Ardabili (Muqaddas): Majma' Al-Fâ'idah wa Al-Burhân fi Syarh Irsyad Al-Adzhân, jld. 13, hlm.</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Jawâhir Al-Kalâm fi Syarh Syarâ'i' Al-Islâm, jld. 41, hlm. 434, “Dan diriwayatkan, tatkala  kota Makkah ditaklukkan, beliau memerintahkan kaum Muslimin agar tidak membunuh warga  di Makkah selama tidak memerangi mereka kecuali beberapa orang yang selalu mengganggu  beliau, termasuk dua anak perempuan yang biasa menyanyi untuk menghinakan beliau. Nabi  berseru, “Bunuhlah mereka, sekalipun kalian menjumpai mereka bergelantungan di tirai Ka'bah.'  Masih banyak keterangan tegas yang dikuatkan dengan apa yang telah dikatakan bahwa itu adalah  memamerkan kekafiran, menyepelekan agama dan fondasinya, kendati ada catatan kritis bahwa hal  itu meniscayakan berlakunya hukum orang murtad padanya, bukan membunuhnya bagaimanapun  itu keadaannya."</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Musawi Gulpaigani: Natâ’ij Al-Afkâr, hlm. 179.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Buhrani: Al-Hadâ'iq Al-Nadhirah fi Ahkâm Al-'Itrah Al-Thahirah, jld. 11, hlm. 14.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Jawâhir Al-Kalâm fi Syarh Syarâi' Al-Islâm, jld. 41, hlm. 602.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Ardabili (Muqaddas): Majma' Al-Fâ'idah wa Al-Burhân fi Syarh Irsyad Al-Adzhân, jld. 3, hlm. 199.</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13, hlm. 203.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Khunsari (Muhaqiq): Masyâriq Al-Syumús, jld. 2, hlm. 420.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(Allamah): Tadzkirat Al-Fuqaha, jld. 9, hlm. 434.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(Allamah): Muntaha Al-Mathlab, jld. 2, hlm. 991; Ardabili (Muqaddas): Majma'Al-Fâ'idah wa  Al-Burhân fi Syarh Irsyad Al-Adzhân, jld. 7, hlm. 526.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 awal bab, sekaitan dengan etimologi kemurtadan, telah dikutip dari Raghib Ishfahani bahwa  murtad bisa digunakan pada kekafiran juga selainnya.</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Hamzah Thusi: Al-Wasilah ila Nail Al-Fadhilah, hlm. 418.</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Barraj: Al-Mahadzdzab, jld. 2, hlm. 536; Thusi: Al-Nihâyah fi Mujarad Al-Fiqh wa Al-Fatâwâ,  hlm. 712-713.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Musawi Gulpaigani: Al-Durr Al-Mandhûd fi Ahkâm Al-Hudûd, jld. 2, hlm. 273.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Khomeini (Imam): Kitab Al-Thahârah, jld. 3, hlm. 329-330.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Khu’i: Kitâb Al-Thahârah, jld. 2, hlm. 86, “Telah kami nyatakan bahwa mengingkari ajaran  niscaya agama hanya akan meniscayakan kekafiran dan hukum najis bilamana berkonsekuensi pada  pengingkaran terhadap Nabi. Misalnya, jika pelakunya tahu bahwa apa yang sedang diingkarinya  termasuk dari ajaran yang telah terbukti pasti-jelas dalam agama. Namun, ini semua tidak berlaku  pada penganut mazhab lain, karena bagi mereka, kekhalifahan tidak terbukti pasti-jelas sebagai hak  Ahlul Bait."</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Kadivar: Ozodi-e Aqideh va Madzhab dar Eslom va Asnod-eHuquq-e Basyar, hlm. 259.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Thusi: Al-Khilaf, jld. 5, hlm. 353–354, “Argumen kami adalah konsensus ulama mazhab dan riwayat-  riwayat mereka.” Sabzawari: Jami Al-Khilaf wa Al-Wifàq, hlm. 499, “Setelah konsensus dalam Imamiyah,  kami juga memiliki riwayat, “Barangsiapa yang menukar agamanya, bunuhlah dia dan ...."</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Ishfahani (Fadil Hindi): Kasyf Al-Litsâm wa Al-Ibhâm 'an Kitâb Qawa'id Al-Ahkâm, jld. 2, hlm.435, “Tentang orang murtad itu sendiri: jika dia murtad dari fitrah Islam, maka wajib dibunuh,  dan kalaupun bertaubat, tidak diterima taubatnya. Maksud dari orang murtad ini ialah orang yang  tidak pernah mengalami hukum sebagai kafir karena keislaman salah satu atau kedua orang tuanya  sejak dia dilahirkan, dan dia menyandang predikat Muslim ketika menginjak usia baligh. Argumen  hukum di atas adalah konsensus, sebagaimana dalam Al-Khilaf, dan sekian riwayat, seperti riwayat  sahih Husain bin Said; dia berkata, “Aku membacakan surat tulisan tangan seorang lelaki kepada  Imam Ridha as, bahwa ada seseorang lahir dalam keadaan Muslim, kemudian menjadi kafir dan  musyrik lalu keluar dari Islam. Apakah ia diminta bertaubat atau langsung dihukum mati tanpa  diminta bertaubat? Imam Ridha membalas suratnya, “Dia dihukum mati.' Demikian pula riwayat  sahih Ali bin Jaʼfar; bahwa dia pernah bertanya kepada saudaranya (Imam Musa Kadzim) tentang  seorang Muslim yang lalu murtad. Beliau menjawab, 'Dia tidak lagi diterima taubatnya.'Ali bertanya  lagi, 'Bagaimana dengan orang Nasrani yang telah masuk Islam kemudian murtad dari Islam?' Beliau  menjawab, 'Dia diterima taubatnya jika kembali masuk Islam. Jika tidak, maka dihukum mati.'  Demikian juga riwayat sahih Buraid 'Ajbi."</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Jawâhir Al-Kalâm fi Syarh Syarâ'i' Al-Islâm, jld. 41, hlm. 605, “Orang murtad dari fitrah tidak  diterima lagi kemuslimannya, sekalipun dia telah bertaubat dan kembali masuk Islam. Hukuman  mati pasti jatuh atasnya; istrinya tercerai darinya dan ber-iddah seperti iddah istri yang ditinggal  mati suami. Hartanya dibagikan kepada ahli warisnya ... bahkan ada konsensus dengan dua jenisnya  lantaran teks-teks hukum yang termaktub. Di samping itu, terdapat riwayat sahih dari putra Jaʼfar: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Sayid Murtadha (Alamul Huda): Al-Intishâr, hlm. 483.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482, “Tidak dirangukan lagi, terdapat kemurtadan dalam tindak mencela, menjelekkan,  dan mencemooh Nabi, dan orang murtad dihukum mati.”</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Nawawi: Al-Majmû' fi Syarh Al-Mahadzdzab. jld. 19, hlm. 224, “Dan konsensus telah terbentuk  bahwa orang murtad harus dihukum mati.” Abdurrahman bin Qudamah Maqdisi: Al-Mughnî, jld.</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Syaikh Anshari: Fara'id Al-Ushủl, jld. 2, hlm. 820; Akhund Khurasani: Kifayah Al-Ushủl, hlm. 235.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Kadivar: Ozodi-e-Aqideh va Madzhab dar Eslom va Asnod-e Huquq-e Basyar. hlm. 260.</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Falsafah kemurtadan akan dibahas panjang lebar dalam Bab IV.</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Thabathaba'i: Al-Mizân fi Tafsîr Al-Qur'ân, jld. 2, hlm. 342.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4, hlm. 117.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4, hlm. 130–131.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Kadivar: Ozodi-e `Aqideh va Madzhab dar Eslom va Asnod-e Huquq-e Basyar, hlm. 257.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 217; Al 'Imran [3]: 85–90.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 antara fukaha yang menerima pendapat ini ialah Najafi: Jawâhir Al-Kalâm fi Syarh Syarâ'i' Al-  Islâm, jld. 17, hlm. 25; jld. 33, hlm. 254; Jab'i Amili (Syahid Tsani): Masâlik Al-Afhâm fi Syarh Syarâ'i'  Al-Islâm, jld. 7, hlm. 291; Syaikh Anshari: Farâ'id Al-Ushûl, jld. 2, hlm. 820; Ishfahani: Al-Fushûl Al-Gharawiyyah, hlm. 214; Khu'i: Muhadharât fi Al-Ushủl, jld. 5, hlm. 309; Ibnu Qudamah Maqdisi:</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Khunsari: Jâmi’Al-Madârik fi Syarh Al-Mukhtashar Al-Nafi, jld. 5, hlm. 411, “Pelaksanaan hukuman  had pada masa ketidakhadiran dan periode kegaiban, menurut pendapat populer (ma rúf) tidak  dibolehkan”.</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Muhaqiq Hilli: Syarayi' Al-Islâm fi Masâ 'il Al-Halál wa Al-Haram, jld. 1, hlm. 344, “Tidak boleh  bagi siapa pun melaksanakan hukuman kecuali Imam dengan kehadirannya atau orang yang beliau  tentukan untuk melaksanakannya." Yang dimaksud dengan orang yang ditentukan' ini adalah  penentuan khusus, bukan umum. Silahkan rujuk: Jawâhir Al-Kalam fi Syarh Syarâ'i' Al-Islâm, jld. 1,  hlm. 386.</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Idris Hilli: Al-Sarâ'ir al-Hâwî li Tahrir Al-Fatâwâ, jld. 2, hlm. 25, “Konsensus telah terbentuk dari  kalangan fukaha kami dan dari segenap kaum Muslimin, bahwa tidak boleh melaksanakan hukuman  had, tidak pula bagi yang diarahkan hukum, kecuali para Imam dan para penguasa yang bertindak  demikian atas izin mereka. Adapun selain mereka tidak boleh mencoba melakukannya dalam kondisi  apa pun. Konsensus ini tidak bisa dimentahkan dengan khabar wahid, akan tetapi dengan konsensus  serupa, atau Al-Qur'an, atau hadis mutawatir yang sudah dipastikan kesahihannya."</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Kadivar: Ozodi-e Aqideh va Madzhab dar Eslom va Asnod-e Huqûq-e Basyar, hlm. 259.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Jawâhir Al-Kalâm fi Syarh Syarâ'r Al-Islâm, jld. 21, hlm. 393–394, “Bagaimanapun, dikatakan-  yaitu oleh Iskafi, Dua Syaikh (Mufid dan Thusi), Daylami, Fadhil, Dua Syahid (Awwal dan Tsani),  Miqdad, Ibnu Fahad, Karaki, Sabzawari, Kasyani, dan fukaha lain, sejauh yang disampaikan dari sebagian merekabahwa dibolehkan para fakih mujtahid yang adil-bertakwa dan mengerti baik  hukum-hukum syariat dari dalil-dalilnya yang terperinci untuk melaksanakan hukuman pada Masa  Kegaiban Imam, sebagaimana mereka juga memiliki hak memerintah di tengah masyarakat dengan  kondisi aman dari ancaman penguasa yang ada. Dan masyarakat juga wajib mendukung mereka,  demikian pula Imam wajib membantu mereka. Bahkan ini pendapat masyhur, atau justru saya tidak  mendapatkan dalam hal ini satu perselisihan pun kecuali apa yang diceritakan dari lahiriah pendapat  Ibnu Zuhrah dan Idris: kami belum meneliti kebenarannya, akan tetapi yang ternyata benar adalah  malah sebaliknya (statement dua fakih ini].”</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21, hlm. 394.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Khu’i: Mabânî Takmilat Al-Minhâj, jld. 1, hlm. 224, “Jelas bahwa hakim [fakih) yang memenuhi  seluruh syarat (al-jâmi'li al-syarâ'ith) diizinkan untuk melaksanakan hukuman. Hal ini popular dan  diketahui oleh kalangan fukaha kami, bahkan tidak dinukil darinya perbedaan pendapat. Kecuali  dari apa yang dinyatakan Ibnu Zuhrah dan Idris yang mengkhususkannya pada Imam, tetapi belum  terbukti. Demikian pula terlihat ketiadaan pendapat Muhaqiq di kitab Syarayi' dan kitab lainnya).</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Syaikh Mufid: Al-Muqni'ah, hlm. 810, "Adapun pelaksanaan hukuman maka diserahkan kepada  penguasa Islam yang ditetapkan dari sisi Allah, yaitu para Imam petunjuk dari keluarga Nabi  Muhammad Saw, dan orang-orang yang ditunjuk mereka dari kalangan penguasa. Mereka telah  mempercayakan pertimbangan seputarnya kepada fuhaka pengikut mereka sebisa mungkin."</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Dailami (Salar): Al-Marâsim Al-Alawiyyah fi Al-Ahkâm Al-Nabawiyyah, hlm. 263–264, "Adapun  pembunuhan dan pelukaan dalam pengingkaran, maka [perkaranya) kembali kepada penguasa atau  orang yang diperintahkan penguasa. Jika itu tidak bisa dilakukan karena suatu kendala, mereka (para  Imam) telah menyerahkan kepada fukaha urusan melaksanakan hukuman dan hukum-hukum di  tengah masyarakat setelah mereka tidak melampaui sebuah kewajiban ataupun sebuah batasan.</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Hilli: Muntaha Al-Mathlab, jld. 2, hlm. 994-995, “Dan Syaikh telah meriwayatkan dari  Ja'far bin Ghiyats; dia berkata, “Aku bertanya kepada Abu Abdillah as., 'Siapakah yang melaksanakan  hukuman had: penguasa ataukah hakim?' Beliau menjawab, 'Pelaksanaan hukuman had kepada  orang yang diserahi kewenangan menghukumi (man ilaihi al-hukm).” Jika ini telah terbukti  dilakukan, maka fukaha boleh melaksanakan hukuman had. Sedangkan pada Masa Kegaiban, tentu  juga dibolehkan sebagaimana dipastikan Dua Syaikh (Mufid dan Thusi) sebagai implementasi riwayat  ini. Adapun saya tidak punya pandangan tentang riwayat dan kesimpulan ini .... Masalah: Syaikh  ra, mengatakan bahwa dibolehkan para fakih mujtahid yang mengerti hukum syariat dengan baik  untuk melaksanakan hukuman had pada Masa Kegaiban Imam, sebagaimana mereka juga memiliki  hak memerintah di tengah masyrakat dengan kondisi aman dari ancaman penguasa yang ada. Dan masyarakat juga wajib mendukung mereka. Ini mengingat riwayat Syaikh dari Hafash bin Ghiyats;  dari Abu Abdillah as; dia berkata, "Siapakah yang melaksanakan hukuman had: penguasa ataukah  hakim?' Beliau menjawab, 'Pelaksanaan hukuman had kepada orang yang diserahi kewenangan  menghukumi (man ilaihi al-hukm).' Dan telah terbukti bahwa fukaha memiliki kewenangan itu  di tengah masyarakat. Maka, begitu pula mereka berwenang melaksanakan hukuman had, karena  menonaktifkan pelaksanaan hukuman pada Masa Kegaiban Imam—selama mereka masih mampu  melakukannya akan mengakibatkan kerusakan. Oleh karena itu, kewenangan itu adalah boleh,  dan menurutku, ini pendapat yang kuat."</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Hilli: Irsyad Al-Adzhân, jld. 1, hlm. 352; Mukhtalaf Al-Syiah, jld. 2, hlm. 239 andjld. 4, hlm.</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Jawâhir Al-Kalâm fi Syarh Syarâ'i' Al-Islâm, jld. 21, hlm. 393, “Setelah itu, aneh sekali bila  tidak ada pandangan dari penulis (Muhaqiq Hilli) dan sebagian kitab Fadhil, terutama setelah  kejelasan dalilnya, yaitu perkataan Imam Shadiq dalam riwayat maqbûl Umar bin Hanzdalah, “Ru-  juklah kepada orang di antara kalian yang meriwayatkan hadis kami, waspada ketat dalam hukum  halal dan haram kami, dan mengerti hukum-hukum kami, maka percayailah dia sebagai pemutus  perkara. Jika dia memutuskan perkara dengan hukum kami, lalu seseorang tidak menerima hukum  darinya, maka orang ini telah meremehkan hukum Allah ...” Dan riwayat maqbûl Abu Khadi-  jah....</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393-397.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397.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398.</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Amili (Syahid Awal): Al-Lum'ah, hlm. 75; Ibnu Fahad: Al-Muhadzdzab Al-Bâri' fi Syarh Al-  Mukhtashar Al-Nafi, jld. 2, hlm. 328; Muhaqiq Karaki: Raså'il Al-Karaki, jld. 1, hlm. 153 and 160;  Musawi Gulpaigani: Al-Durr Al-Mandhûd, jld. 1, hlm. 476.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Muhaqiq Karaki Rasâ'il Al-Karaki, jld. 1, hlm. 160–161, “Sesungguhnya seorang fakih yang  terpercaya ditunjuk oleh Imam, oleh karena itu hukum-hukumnya legal, dan dia akan melaksanakan  hukuman, menuntaskan perkara masyarakat. Dan pelaksanaan hukum-hukum ini adalah wewenang  Imam atau orang yang ditunjuk olehnya, secara pasti tanpa ada perselisihan pendapat. Seandainya  fakih tersebut tidak ditunjuk oleh Imam untuk segenap kewenangan syar'i, maka hukum-hukum  tersebut secara pasti tidak sah."  Najafi: Jawâhir Al-Kalâm fi Syarh Syarâ'i' Al-Islâm, jld. 11, hlm. 175, “Bahkan dia mengatakan  dalam masalah terkait, 'Telah kami klaim konsensus atas apa yang telah kami ajukan, hanya saja  itu dengan syarat kehadiran Imam atas sifat-sifat yang mendahului kelompok. Mungkin juga  maksudnya dengan 'Imam' ialah orang yang ditunjuk sebagai imam sekalipun dengan penunjukan  umum." Pada hlm. 176, ia menuliskan, “Adapun Abu Fatah telah memaksudkan dari ‘imam' dalam  statement-nya adalah orang yang ditunjuk [Imam) sekalipun secara umum."</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Syaikh Thusi:Al-Nihâyah, hlm. 302–303, “Dan orang yang aktif sebagai pihak berwenang dari  penguasa zalim dalam melaksanakan hukuman atau mensahkan hukum, hendaknya dia meyakini  bahwa dia aktif demikian dari penguasa hak (imam), dan hendaknya melaksanakannya sesuai  dengan tuntutan syariat iman. Dan agar sedapat mungkin dia melaksanakan hukuman terhadap  kaum penentang, karena itu adalah jihad terbesar. Dan siapapun yang tidak mengenal baik perkara  dan hukum dalam melaksanakan hukuman dan selainnya tidak boleh mencoba aktif untuk itu,  bagaimanapun keadaannya. Karena, dengan demikian, dia telah berbuat dosa, namun jika dia  terpaksa untuk demikian, maka tidak ada beban apa pun terhadap dirinya, dan dia agar berusaha  keras menghindarkan diri dari yang batil.”  Ibnu Barraj: Al-Muhadzdzab, jld. 1, hlm. 342, “Jika penguasa zalim mengangkat seseorang dari  kaum Muslimin dan menyerahkan urusan pelaksanaan hukuman kepadanya, maka dia boleh  melaksanakannya setelah dia meyakini bahwa pengangkatan itu dari imam yang adil dalam masalah  tersebut, dan dia aktif demikian atas izinnya, bukan atas izin penguasa zalim itu. Dan orang-orang  mukmin wajib membantu dan mendukungnya untuk tugasnya.” Tampak bahwa dalam catatan  Ibnu Barraj ini tidak terdapat syarat kefakihan. Rujuk juga Syahid Awal: Al-Durûs Al-Syar'iyyah,  jld. 3, hlm. 174. Syahid Tsani: Masâlik Al-Afhâm, jld. 3, hlm. 107, “Yang tampak dari keterangan  para fukaha dan ketegasan sebagian mereka adalah bahwa orang pelaksana itu bukanlah seorang fakih yang syar'i. Dia dibolehkan melaksanakan hukuman had hanya karena taqiyah di hadapan  penguasa zalim, sebagaimana taqiyah juga dibolehkan dalam perkara selain hukuman had, seperti  fatwa dan ibadah. Dan mereka mewajibkannya agar berniat sebagai mandat dari imam yang sah;  bukan dari penguasa yang zalim. Semirip hukum ini jika urusan sampai batas pemaksaan, atau dia  sendiri seorang fakih. Jika tidak demikian, ketidak bolehan semua itu adalah pendapat yang lebih  tepat."</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Idris: Al-Sarà ir al-Hâwî li Tahrir Al-Fatâwâ, jld. 2, hlm. 24.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Tentu saja, tentang benar salahnya penafian Ibnu Idris terhadap masalah ini, masih diperlukan  penelitian khusus.</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25, "Adapun menjadi hakim masyarakat dan penuntas perkara antara pihak bertikai  juga tidak dibolehkan kecuali bagi orang yang mendapatkan izin dari penguasa hak dalam hal  tersebut. Dan para Imam telah menyerahkannya kepada fukaha pengikut mereka yang terpercaya,  terdidik dan peneliti sumber-sumber syariat, yang bertakwa dan komit.”</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2, hlm. 26–27, “Dan siapapun yang tidak mengenal baik perkara dan hukum dalam  melaksanakan hukuman dan selainnya tidak boleh mencoba aktif untuk itu, bagaimanapun  keadaannya. Karena, dengan demikian, dia telah berbuat dosa dan terkena siksa. Namun, jika  dia terpaksa untuk demikian, dan terpaksa dalam keadaan taqiyah, maka tidak ada beban apa  pun terhadap dirinya, dan dia agar berusaha keras menghindarkan diri dari yang batil sebisa  mungkin."</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Zuhrah: Gunyat Al-Nuzû' ila Ilmay Al-Ushủl wa Al-Furû, hlm. 425, “Seorang tuan boleh  melaksanakan hukuman terhadap budaknya, tanpa memerlukan izin dari Imam. Akan tetapi,  selain tuan tidak boleh melakukan hal itu kecuali seizin Imam. Semua ini atas dasar dalil konsensus  mazhab, dan di dalamnya terdapat kekuatan dalil.”</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Jawâhir Al-Kalâm fi Syarh Syarâ'i' Al-Islâm, jld. 21, hlm. 385, “Ya, demikianlah dalam  hukum bolehnya bagi wakil Imam pada Masa Kegaiban ...."</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386.</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385–385.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394, “Setelah itu, aneh sekali bila tidak ada komentar dari penulis (Muhaqiq Hilli).”</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Muhaqiq Hilli:Syarâyi' Al-Islâm fi Masâ il Al-Halal wa Al-Haram, jld. 1, hlm. 260, “Para fakih  mujtahid yang mengerti boleh melaksanakan hukuman pada Masa Kegaiban Imam, sebagaimana  mereka juga memiliki hak memutuskan perkara di tengah masyarakat dengan kondisi aman dari  ancaman penguasa yang ada. Dan masyarakat juga wajib mendukung mereka. Dan tidak boleh  mencoba melaksanakan hukuman, atau menuntaskan perkara di antara masyarakat kecuali orang  yang mengerti hukum dan menguasai sumber-sumbernya, dan tahu cara implementasinya atas  modus-modus yang sesuai syariat."</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Thusi: Al-Nihâyah, hlm. 425.</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Thusi: Tahdzib Al-Ahkâm, jld. 10, hlm. 141; Kulaini, Ushủl Al-Kafi, jld. 7, hlm. 258. Ali bin Ibrahim  dari Muhammad bin Isa; dari Abdurahman Abzari Kinasi; dari Harits bin Mughirah; dia berkata,  "A ra'ayta law anna rajulan atâ al-nabiy shalla-Allahu 'alayhi wa âlihi fa qâla, 'Wa-Allahi, ma adri  a nabiy anta am lâ. Kâna yuqbal minhu?'Qâla, 'Lâ, wa lâkin kâna yaqtuluhu. Annahu law qubila  dzâlika minhu, mâ aslama munafiq abadan.” Ibid.,jld. 2, hlm. 400. “Dan dalam wasiat Mufadhdhal;  dia berkata, 'Aku mendengar Imam Abu Abdillah as berkata, 'Man Syakka aw zhanna fa aqâma ‘alà  ahadihimâ, ahbata Allâhu 'amalahu. Inna hujjat Allâhi hiya al-hujjat al-wâdhihah.”</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Jawâhir Al-Kalâm fi Syarh Syarâ'r' Al-Islâm, jld. 41,hlm. 600.</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(Allamah): Tahrir Al-Ahkâm Al-Syar'iyah 'alà Madzhab Al-Imâmiyyah, jld. 1, hlm. 83; Kasyif  Githa: Kasyf Al-Ghitha an Mubhamåt Syari'at Al-Gharra', jld. 2, hlm. 417-418.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Mazandarani: Syarh Ushủl Al-Kafi, dengan komentar Mirza Abul Hasan Sya'rani, jld. 1, hlm.</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Kulaini:Ushûl Al-Kafi, jld. 2, hlm. 27. Ali bin Ibrahim dari Abbas bin Makruf; dari Abdurahman bin  Abu Najran; dari Hammad bin Utsman; dari Abdurahim Qashir, dia berkata, “Aku menulis surat  bersama Abdul Malik bin A’yan, ... Walâyakhrujuilà al-kufrillà al-juhûdwa al-istihlâl, an yaqúla li  al-halalhadzâharâm, wa li al-harâmbâdzâhalál, wadana bi dzâlika, fa 'indabâyakûnukhârijan 'an al-  Islâmwa al-îmândâkhilanfi al-kufr....”.</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Hamadani: Mishbâh Al-Faqih, jld. 1, hlm. 563. Namun, ia menambahkan, "Akan tetapi, yang  tampak adalah berlakunya [kekafiran) pada orang itu menurut tradisi (urfi Pembuat syariat dan kalangan komit syariat (mutasyarri'ah), sebagaimana itulah yang tampak dari  teks-teks (riwayat] dan fatwa-fatwa.”</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Kulaini:Ushûl Al-Kafi, jld. 2, hlm. 404.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referensi tadi, terdapat dua riwayat yang serupa dengan riwayat ini dari Zurarah.</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Shadr: Syarh Al-'Urwah Al-Wutsgå, jld. 3 hlm. 297, “Sesungguhnya asumsi bahwa kekafiran itu  berbanding oposisif dengan Islam dengan dua bentuk tersebut tidak sesuai dengan intuisi kesadaran  umum dan tradisi kalangan komit syariat."</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298, “Apa pun itu, selama relasi oposisif antara Islam dan kekafiran belum terbukti  sebagai bentuk dari dua lawan, maka bentuk oposisif mereka adalah ada-tiada secara potensial. Ini bukan dalam rangka mengaplikasikan istilah filsafat pada duduk persoalan. Oleh karena itu pula,  tidak perlu dinyatakan bahwa dalam persoalan ini, cukup adanya potensi tipikal. Akan tetapi, yang  menjadi kriteria adalah kesadaran umum yang memutuskan agar fokus pada potensi personal dalam  persoalan."  Imam Khomeini: Kitâb Al-Thahârah, jld. 3, hlm. 314, “Dalam rangka merumuskan konsep  kekafiran. Tampaknya, ia beroposisi dengan Islam dalam bentuk oposisi ada-tiada secara potensial.</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Shadr: Syarh Al-'Urwah Al-Wutsqa, jld. 3, hlm. 298</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Kulaini: Ushul Al-Kafi, jld. 2, hlm. 424 425.</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Mazandarani: Syarh Ushủl Al-Kafi, jld. 10, hlm. 154, “Husain bin Muhammad dari Ma'la bin  Muhammad; dari Wasysya’; dari Muhammad bin Hamran; dia berkata, "Sa’altu Aba Abdillah alaihi  al-salâm 'an al-waswasah wa in katsurat. Fa qâla, 'Là Syaia fihå, tagúlu, 'Lâ ilâha illa-Allah.”</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10, hlm. 154.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Farahidi: Al-Ain, jld. 7, hlm. 235; Jauhari: Al-Shihåh, jld. 3, hlm. 988; Ibnu Mandzur. Lisân Al-Arab,  jld. 6, hlm. 254.</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Mazandarani: Syarh Ushûl Al-Kâfi, jld. 10, hlm. 154.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10, hlm. 155.</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"Sekelompok dari sahabat kami meriwayatkan dari Ahmad bin Muhammad bin Khalid; dari  Ismail bin Muhammad; dari Muhammad bin Abu Bakar bin Janah; dari Zakaria bin Muhammad;  dari Abul Yasa' Dawud Abzari; dari Hamran; dari Abu Ja'far (Imam Baqir) as; ia berkata, 'Inna rajulan  atâ rasúla-Allâh (Saw) fa qala, 'Yâ Rasûla-Allah, innanî nâfaqtu.' Fa qâla, Wa-Allâhi, mâ nâfaqta. Wa  law nafaqta, mâ ataitani. Tu limunî må alladzi räbaka? Adzunnu al-'aduww al-hadhir ataka, fa qala  laka, 'Man khalagaka?' fa qulta, Allah khalagani.' Fa qala laka, Man khalaqa Allah?" Qåla, lyy wa-  Alladzi ba atsaka bi al-haqq, lakâna kadza.' Fa qâla, 'Inna al-syaitan atâkum min gibal al-a'mål, fa lam  yaqwa 'alaikum, fa atâkum min hâdzâ al-wajh likay yastazillakum, fa idzâ kâna kadzâlika, fa liyadzkur  ahadukum Allâhu wahdahu."</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Atsir: Al-Nihâyah fi Gharib Al-Qur'ân, jld. 1, hlm. 118.</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Karena dalam riwayat disebutkan bahwa jika keraguan dalam agama tidak menyebabkan kekafiran,  maka seorang munafik pun tidak harus (setidaknya) secara lahiriah menyatakan Islam. Dengan kata  lain, jika Islam mengakui tindakan menyatakan keraguan terhadap agama sebagai tindakan yang  benar maka kaum munafik akan berpropaganda dengan menyatakan keraguan mereka terhadap  agama. Ruj., Kulaini: Al-Kafi, jld. 7, hlm. 258,"... law kâna dzâlika minhu, må aslama munafiq  abadan."</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Kulaini: Al-Kafi, jld. 2, hlm. 386; Hurr Amili: Waså'il Al-Syiah ila Tahshil Masâ'il Al-Syari'ah, jld.28, hlm. 346, “Muhammad meriwayatkan dari Ibnu Mahbub; dari Abdullah bin Sinan; dari Abu  Abdillah as; ia berkata, "Man syakka fi Allâh wa fi Rasûlih fa huwa kâfir.”</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"(Ingatlah), ketika orang-orang munafik dan orang-orang yang ada penyakit di dalam hatinya berkata,  Mereka itu (orang-orang mukmin) ditipu oleh agamanya.' (Allah berfirman), 'Barangsiapa yang bertawak-  kal kepada Allah, Maka sesungguhnya Allah Maha Perkasa lagi Maha Bijaksana. " (QS. Al-Anfal [8]: 49).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399, “Beberapa dari sahabat kami meriwayatkan dari Sahl bin Ziyad, dari 'Ali bin Asbath,  dari Abi Ishaq Khurasani; berkata, “Amirul Mukminin telah berkata dalam pidatonya, 'Lâ tartâbû fa  tasyukků, wa lê tasyukkú fa takfurů.””</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2, hlm. 399, “Beberapa dari sahabat kami meriwayatkan dari Ahmad bin Muhammad bin  Khalid, dari Khalaf bin Hammad, dari Ayub Khazar, dari Muhammad bin Muslim; berkata, "Pada  saat itu, saya sedang duduk di sebelah kiri Imam, dan Zurarah di sebelah kanannya. Lalu datanglah  Abu Bashir dan berkata, “Ya Aba Abdillah! Apa pendapat tuan tentang orang yang meragukan  Tuhan?" Imam menjawab, “Dia kafir, wahai ayah Muhammad!” Kembali dia bertanya, “Bagaimana  jika dia meragukan Nabi?” Imam menjawab, “Dia kafir.” Setelah itu Imam berkata kepada Zurarah,  “Innamâ yakfur idza jahada.”</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 Ridha Hamadani: Mishbah Al-Faqih, jld. 1, hlm. 563, “Kesimpulan yang bisa ditarik dari  pengondisian hukum kafir dengan keingkaran yang tertera dalam sebagian hadis, seperti hadis yang  diriwayatkan oleh Muhammad bin Muslim, "Abu Bashir bertanya kepada Abu Abdillah (Imam Ja'far  Shadiq) as., “Apa yang engkau katakan tentang orang yang meragukan Allah Swt ..., juga riwayat  yang lain, “Law anna al-nâs idza jahilû waqafu wa lam yajhadû lam yakfurû.” Menurut mereka,  kemungkinan besar, hadis-hadis yang mensyaratkan sikap ingkar ditujukan kepada orang yang  dikenal kemuslimannya. Selain menyatakan dua kalimat syahadat, secara lahiriah dia komit pada  hukum dan tuntunan agama. Dalam kondisi ini, jika dia mengalami keraguan dan kerancuan  intelektual (syubhah) karena ketidaktahuannya, namun tidak beranjak sampai ke fase pengingkaran,  maka pengalaman itu tidak menyebabkan dirinya keluar dari kategori Muslim. Kendati barangkali  pengingkaran itu terbukti lewat sikap tidak komit pada konsekuensi praktis Islam, seperti  meninggalkan shalat, mengabaikan puasa, dan sebagainya."</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Ibid.,hlm. 564-563.</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Bahrul Ulum: Bulghat Al-Faqih, jld. 4, hlm. 212–213.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Khomeini (Imam): Kitab Al-Thahârah, jld. 3, hlm. 314-315.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Khu'i: Kitâb Al-Thahârah, jld. 2, hlm. 68-69.</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Gulpaigani: Natâ'ij Al-Afkâr, hlm. 146–147.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Gulpaigani: Taqrîrât Al-Hudû wa Al-Tazîrât, jld. 2, hlm. 137–138.</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Jawâhir Al-Kalâm fi Syarh Syarâ'i' Al-Islâm, jld. 6, hlm. 46.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48–49.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49–50.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48.</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Kasyif Ghitha: Kasyf Al-Ghithả"an Mubhamât Syari'at Al-Ghara, jld. 2, hlm. 393, “Kemurtadan Fitri  dan Kemurtadan Milli tidak akan memindahkan seseorang di dunia dari sisi nyawa, kehormatan,  dan harta—dari hukum-hukum Islam selama dia tidak mengingkari satu dari sekian ajaran niscaya  agama, yakni pengingkaran yang berimplikasi pengingkaran kenabian Sayidul Mursalin (Nabi  Muhammad Saw)."</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Fadhil Hindi: Kasyf Al-Litsâm wa Al-Ibhâm 'an Kitâb Qawa'id Al-Ahkâm, jld. 2, hlm. 435, “Bahkan,  prinsipnya adalah apa yang menunjukkan pengingkaran terhadap sesuatu yang dia yakini terbukti  atau [menunjukkan) kepercayaan terhadap sesuatu yang dia yakini tertolak. Karena itu sama dengan  pendustaan terhadap Nabi Muhammad Saw, walaupun hal itu terjadi karena persepsi pribadinya  sendiri, baik persepsi itu berupa sikap keras kepala, atau keyakinan, atau pelecehan. Dan tidak terjadi  kemurtadan dengan mengingkari ajaran niscaya agama atau mempercayai sesuatu yang niscaya tidak  ada di dalamnya jika memang pelakunya tidak mengetahui yang sebenarnya."</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Jawâhir Al-Kalâm fi Syarh Syarâri' Al-Islâm, jld. 41, hlm. 601.</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Ardabili (Muqaddas): Majma' Al-Fâ'idah wa Al-Burhân fi Syarh Irsyad Al-Adzhân, jld. 3, hlm. 199,“Karena tampaknya, bukti kekafirannya adalah pengingkaran terhadap syariat dan kejujuran Nabi  Muhammad Saw, misalnya, dalam hal itu, padahal kebenaran hal itu sudah terbukti bagi dia secara  pasti.</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Murtadha Anshari: Kitâb Al-Thahârah, jld. 2, hlm. 355.</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Hakim: Mustamsak Al-'Urwah, jld. 1, hlm. 378–379. Hakim menambahkan, “Ada juga ungkapan  yang serupa dengan juhûd, yaitu inkâr, tentunya atas dasar bahwa maksud dari inkâr di sini adalah  juhůd; sebagaimana itulah yang dinyatakan dalam Al-Jawâhir (Jawâhir Al-Kalâm fi Syarh Syarâ'i' Al-  Islâm).</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Khomeini (Imam): Kitab Al-Thahârah, jld. 3, hlm. 327.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334-335, “Yang tampak justru pernyataan ghalib para ulama kita di pelbagai bab, khususnya  di bab hudud, menyoroti hukum tekstual (al-hukm al-dzâhiri), sebagiannya dimungkinkan untuk  makna kedua atau dipaksakan atasnya. Oleh karena itu, perolehan suara masyhur atau konsensus  atas klaim tersebut tidaklah mungkin ... Memang benar, pernyataan tegas sebagian ulama dan  lahiriah ungkapan sebagian yang lain menunjukkan terjadinya kemurtadan secara mutlak dengan  pengingkaran terhadap ajaran niscaya agama atau terhadap sesuatu yang diyakininya termasuk dari  agama, dan sesungguhnya pengingkaran itu adalah variabel independen dalam hal ini, sebagaimana  juga pernyataan tegas sebagian dan ungkapan lahiriah sebagian yang lain menunjukkan bahwa  pengingkaran itu bukan variabel independen, melainkan dia menyebabkan kemurtadan karena  pada akhirnya dia kembali pada pengingkaran terhadap dua pokok agama, dan dari ulama-ulama  kita yang terdahulu tidak ada pernyataan atau ungkapan yang bisa dijadikan sebagai bukti untuk  menunjukkan maksud mereka tentang salah satu dari dua hal tersebut, maka sudah barang tentu  suara masyhur mereka juga tidak mungkin diperoleh dalam persoalan ini.”</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335.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Khu'i: Kitab Al-Thahârah, jld. 2, hlm. 86, “Telah kami nyatakan bahwa mengingkari ajaran niscaya  agama hanya akan meniscayakan kekafiran dan hukum najis bilamana berkonsekuensi pada  pengingkaran terhadap Nabi. Misalnya, jika pelakunya tahu bahwa apa yang sedang diingkarinya  termasuk dari ajaran yang telah terbukti pasti-jelas dalam agama. Namun, ini semua tidak berlaku  pada penganut mazhab lain karena bagi mereka, kekhalifahan tidak terbukti pasti-jelas milik Ahlul  Bait. Benar bahwa kekhalifahan merupakan bagian dari ajaran niscaya mazhab, ajaran niscaya  agama."</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Musawi Gulpaigani: Natå’ij Al-Afkâr, hlm. 164; Mazandarani: Syarh Ushûl Al-Kafi, jld. 10, hlm.</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Musawi Gulpaigani: Natà’ij Al-Afkâr, hlm. 164–165.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Anshari: Kitab Al-Thahârah, jld. 2, hlm. 355, “Bagaimanapun juga, tidak diperdebatkan lagi bahwa  ketidakberagamaan terhadap syariat secara total atau sebagian adalah mengeluarkan seseorang dari  agama dan Islam, lalu ketidakberagamaan ini terkadang kembali pada ketidakpatuhan seseorang  terhadap Allah. Yakni, dia tahu bahwa Nabi Muhammad Saw yang menyampaikan ajaran itu,  dan dia tahu bahwa beliau jujur serta benar dalam penyampaian itu. Akan tetapi, tetap saja dia  tidak beragama dengannya dan membangkang sehingga andaikan Allah Swt mewajibkan hal itu  kepadanya tanpa perantara nabi, maka dia akan tetap enggan untuk melaksanakannya sebagaimana  Iblis yang berbuat kafir, laknat Allah atasnya, kadang-kadang juga ketidakberagamaan itu kembali  pada pengingkaran seseorang terhadap kejujuran Nabi Muhammad Saw, contohnya orang yang  mengingkari hal tertentu dari agama pada saat dia tahu bahwa Nabi Muhammad Saw yang  menyampaikannya. Tidak ada perdebatan lagi tentang kekafiran dua kelompok ini."</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Hamadani: Mishbâh Al-Faqih, hlm. 566.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Khomeini (Imam): Kitab Al-Thahârah, jld. 3, hlm. 338.</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Sabzawari: Syarh Al-Asma Al-Husnâ, jld. 1, hlm. 79 and 81.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“Padahal, jika Anda ingin tahu batas-batas kafir, maka kami katakan sesuai apa yang telah  disebutkan oleh Shadrul Muta’allihin bahwa kekafiran adalah pendustaan terhadap Rasulullah Saw  terkait dengan apa yang beliau sampaikan secara pasti. Sementara itu, keimanan adalah pembenaran  terhadap beliau terkait dengan semua yang beliau sampaikan ... Oleh karena itu, kita katakan  bahwa hakikat pembenaran adalah pengakuan tentang keberadaan apa saja yang diberitakan oleh  Rasulullah Saw, dan keberadaan ada lima tingkatan: substansial, perseptual, imajinal, intelektual,  dan rancu. Akibat hal ini dilalaikan, setiap aliran menuduh penentangnya dengan pendustaan,  terhadap Rasulullah Saw, maka barangsiapa yang mengakui keberadaan apa yang diberitakan oleh  Rasulullah Saw dengan salah satu dari lima dimensi atau tingkatan itu, berarti dia bukan orang  yang mendustakan secara mutlak. Sebaiknya, mari kami terangkan kategori-kategori ini; adapun  keberadaan esensial adalah ... atas dasar itu, siapapun yang mempercayai teks syariat dengan salah  satu dari pancadimensi, dan menafsirkan hukum syariat berdasarkan salah satu tingkatan yang telah  kami sebutkan, tetap berada dalam kategori Muslim ... dan tidak harus terjadi kekafiran orang-  orang yang melakukan penakwilan selama mereka komitmen terhadap undang-undang penakwilan,  bagaimana mungkin bisa dikatakan mereka adalah kafir ketika tidak ada satu kelompok pun dari  penduduk Islam kecuali mereka terpaksa harus melakukan penakwilan.”</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Kaidah Dar' adalah "tudra' al-hudud bi al-syubuhât”, yakni hukuman had tertolak karena adanya  kerancuan (penj).</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Anshari: Kitâb Al-Thahârah, jld. 2, hlm. 356, “Pendapat yang lebih kuat adalah perincian antara  orang yang lemah (gashir) dan orang yang teledor (muqashshir) dalam hal hukum-hukum praktis  yang pasti, bukan dalam hal akidah, hal itu karena berpegang teguh pada status tidak kafir bagi orang  yang mengingkari hukum praktis yang pasti, mengingat bahwa tidak ada dalil yang menunjukkan  pengingkaran tersebut merupakan sebab atas kekafiran, tentunya dengan preasumsi bahwa seseorang  tidak dituntut untuk beragama dengan (baca: meyakini) hukum itu dan juga tidak dituntut untuk  bertindak atas dasar keyakinan itu karena memang itulah yang semestinya, dan tidak mungkin  kiranya tidak haram bagi seseorang untuk minum bir, tetapi pada saat yang sama dia dikafirkan  karena tidak beragama dengan (baca: meyakini) hukum haram tersebut, sementara riwayat-riwayat  tentang penghalalan tugas-tugas wajib tadi adalah khusus untuk orang yang tidak punya kekurangan  (muqashshir). Sebagaimana telah lalu dalil tentang penepisan had dari orang yang tidak mengetahui  bahwa hal-hal tertentu ini adalah haram, dan Anda saksikan sendiri [kesalahan) klaim bahwa tidak  ada implikasi antara tiada hukuman had dengan status tidak kafir, bahkan secara literal bukti-bukti  penepisan had tersebut menunjukkan bahwa dia tidak dihukumi murtad, dan tidak menunjukkan  bahwa dia murtad tapi tidak hukum mati.”</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356–357.</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357.</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Hamadani: Mishbah Al-Faqih, hlm. 564.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(Allamah): Qawa'id Al-Ahkâm Fî Ma'rifat Al-Halâl Wa Al-Harâm, jld. 3, hlm. 575, “Dan  seandainya dia berkata, “selesaikan kesamaranku," maka masih mungkin diberi kesempatan sampai  kesamarannya terselesaikan dan-kemudian dipaksa untuk bertobat dalam tersebut, lalu disingkap  untuk dia.” Ardabili (Muqaddas);Majma' Al-Fa'idah wa Al-Burhân fi Syarh Irsyad Al-Adzhân, jld.</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(Fakhrul Muhaqqiqin): ſdhâh Al-Fawa'id Fi Syarh Isykâlât Al-Qawâ‘id, jld. 4, hlm. 550; Nawawi:</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Hamadani: Mishbâh Al-Faqih, hlm. 565.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“Atas dasar itu, kami simpulkan bahwa pengingkaran ajaran dasar agama hanya akan  menyebabkan kekafiran apabila pengingkaran itu bertentangan dengan kepercayaan global  atau terhadap kenabian Muhammad secara global, adapun jika tidak bertentangan maka tidak  menyebabkan kekafiran."</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Khomeini (Imam): Kitâb Al-Thahârah, jld. 3, hlm. 328, “Hal ini berbeda dengan sebagiannya, baik  yang pasti maupun yang tidak, karena di sini terdapat kerancuan dan kemiringan. Oleh karena itu,  apabila seseorang meyakini pokok-pokok agama dan komitmen terhadap apa saja yang disampaikan  oleh Nabi Muhammad Saw secara global—yang hal itu merupakan konsekuensi dari keyakinan  terhadap kenabian beliau—akan tetapi, dia terjerumus dalam kerancuan, contohnya tentang  kewajiban shalat atau haji, sehingga dia mengira bahwa dua ritual itu hanya wajib pada masa awal  Islam dan tidak wajib pada masa-masa berikutnya, orang seperti ini di dalam tradisi kalangan komit  syariat (urfmutasyarri'ah) tidak tergolong murtad."</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Anshari: Kitâb Al-Thahârah, jld. 2, hlm. 357, “Kalaupun kita menerima pendapat yang kedua,  yaitu bahwa pengingkaran ajaran dasar agama, baik secara lisan maupun tindakan, adalah  variabel independen kemurtadan, maka apakah kondisi kerancuan dikecualikan darinya? Ada dua  kemungkinan, mengingat apa yang telah lalu mengenai kemutlakan kata-kata mereka (ulama)  tentang status kafir bagi orang yang mengingkari ajaran dasar agama, kekhususannya kelompok  Khawarij serta Nawasib, begitu pula dengan mengingat nas-nas yang telah lalu dan bahwasanya  orang yang lemah (gåshir) tidak dituntut untuk beragama dengan (baca: mempercayai) apa yang  tidak diketahuinya, karena menurut dia keberagamaan adalah selain itu ... karena pada kenyataannya,  apa pun yang menjadi kepercayaan orang lemah adalah agamanya itu sendiri."</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Hamadani: Mishbâh Al-Faqih, hlm. 564, “Kecuali jika kita katakan dia dalam kapasitasnya seperti  kekafiran terhadap Allah dan Rasul-Nya adalah variabel independen kemurtadan, sebagaimana itulah  pernyataan tegas dari sebagian dan lahiriah ungkapan dari sebagian yang lain, bahkan mungkin  hal itu disimpulkan secara literal dari masyhur yang menetapkannya sebagai bagian yang terpisah  dari dua bagian yang pertama. Namun, dalam hal ini ada yang harus direnungkan kembali karena  apa yang telah dinyatakan secara tegas oleh lebih dari satu ulama bahkan terkadang disebut sebagai  pendapat masyhur di antara mereka menunjukkan pengecualian terhadap kondisi kerancuan, dan  ini sama sekali tidak sesuai dengan variabel independen yang mereka katakan. Oleh karena itu, yang  penting dalam hal ini adalah penentuan di mana saja pertentangan terjadi, lalu si pengingkar kita  hukumi kafir, walaupun kita tidak berpendapat variabel independen pengingkaran dia atas hukum kafir tersebut."</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(Allamah): Tahrîr Al-Ahkâm Al-Syar'iyyah ala Madzhab Al-Imâmiyyah, jld. 2, hlm. 236, “Siapa  saja yang meyakini kehalalan sesuatu yang secara ijmak, atau kesepakatan ulama Islam, adalah haram,  sementara tidak ada kerancuan yang menyelubunginya, maka dia adalah murtad, adapun orang yang  tidak tahu hukum, maka tidak dihukumi sebagai murtad sampai dia mengetahui hukum tersebut  dan kerancuannya sirna.”; Fadhil Hindi, Kasyf Al-Litsâm wa Al-Ibhâm ‘an Kitâb Qawa'id Al-Ahkâm,  jilid 2, hlm. 435.</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Karaki (Muhaqiq Tsani): Jami Al-Maqashid fi Syarh Al-Qawa'id, jld. 3, hlm. 376, “Karena pemberontak  (bughâh) menurut kami adalah orang-orang yang kafir dan murtad. Adapun jika seorang mengkritik,  “Bagaimana dengan Amirul Mukminin Ali as. yang menerima taubat sekelompok Khawarij yang  ingin bertaubat, padahal menurut kita taubat orang yang murtad tidak diterima?” Kami jawab,  “Mungkin kemurtadan yang muncul akibat kerancuan intelektual menjadikan taubat orang murtad  layak untuk diterima daripada ditolak.”</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Kulaini: Ushủl Al-Kafi, jld. 2, hlm. 244.</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Khomeini (Imam): Kitâb Al-Thahârah, jld. 3, hlm. 329-330, “Mungkin apa yang kami sebutkan  di atas adalah rahasia di balik riwayat tentang kemurtadan semua orang pascawafat Rasulullah Saw  kecuali empat orang atau lebih-kurang dari itu, dan secara lahiriah, riwayat itu tidak bermaksud  menyatakan kemurtadan semua orang, baik yang hadir di negeri wahyu maupun yang tidak hadir di  sana. Ada kemungkinan yang dimaksud dengan kemurtadan mereka tersebut adalah pengingkaran  mereka terhadap ikatanwilayah, sekalipun secara lahiriah dan atas dasar taqiyah, bukan kemurtadan  dari agama Islam. Makna ini lebih tepat daripada yang lain.”</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Thuraihi: Majma' Al-Bahrain, jld. 2, hlm. 166-167.</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Qutaibah Dinawari: Al-Imamah wa Al-Siyâsah, jld. 1, hlm. 34–35.</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Atsir: Al-Nihâyah fi Gharib Al-Hadits wa Al-Atsar, jld. 4, hlm. 187, “Kelompok kedua dari  golongan murtad tidaklah murtad dari keimanan, melainkan mereka mengingkari kewajiban zakat  dengan anggapan bahwa maksud firman Allah Swt, "Ambillah zakat dari sebagian harta mereka” (QS.</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(Allamah): Tadzkirat Al-Fuqahå, jld. 9, hlm. 434, “Murtad adalah keluar dari agama secara  kafir. Oleh karena itu, orang yang tidak sudi membayar zakat bukan murtad, tetapi wajib diperangi  sampai dia membayarnya, apabila dia membayarnya maka itulah yang diinginkan. Akan tetapi,  apabila tetap tidak sudi membayarnya maka dia dihukum mati. Adapun jika dia menolak untuk  membayar zakat sambil menyatakan penolakan itu sebagai perbuatan yang halal maka dia murtad.</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"Ambillah zakat dari sebagian harta mereka, dengan zakat itu kamu membersihkan dan mensucikan  mereka dan mendoalah untuk mereka. Sesungguhnya doa kamu itu (menjadi) ketenteraman jiwa bagi  mereka. dan Allah Maha mendengar lagi Maha Mengetahui" (QS. Al-Taubah [9]: 103).</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Abil Hadid: Syarh Nahj Al-Balaghah, jld. 13, hlm. 186.</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Syaikh Mufid: Al-Amâlí, hlm. 289, “Rasulullah Saw bersabda, "Hai Ali! Kapan saja engkau  menyaksikan masyarakat menyimpang dari jalan hidayah menuju jalan kesesatan, berjuanglah  melawan mereka ... Engkau kelak akan berhadapan dengan orang-orang yang berusaha menakwil  Al-Quran. Mereka terjangkiti kerancuan-kerancuan, menghalalkan minuman keras dan, hadiah dari  penghasilan haram, dan riba dalam perniagaan.” Lalu, aku tanyakan kepada beliau, “Apakah orang-  orang yang berbuat demikian itu murtad atau tergolong pelaku fitnah?” Beliau menjawab, “Mereka  itu pelaku fitnah, mereka kebingungan di dalamnya sampai keadilan menyentuh mereka.” Lalu, aku  tanyakan kepada beliau, “Wahai Rasulullah, apakah keadilan ada pada pihak kita atau pada pihak  selain kita?” Beliau menjawab, “Keadilan itu ada pada pihak kita, dari pihak kitalah Allah membuka  dan dari pihak kita Allah menutup, dengan kitalah Allah merukunkan hati-hati setelah kesyirikan  dan dengan kita Allah mendekatkan hati-hati setelah kemunafikan.” Maka aku katakan, “Segala puja  dan puji kehadirat Allah atas anugerah yang Dia berikan kepada kita.” Hadis ini juga ada dalam Nahi  Balaghah, tetapi dengan redaksi yang agak berbeda. Lih. Nahj Al-Balaghah, terj. Persia: Faidh Islam,  hlm. 491.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 Amili: Tafshil Waså'il Al-Syi'ah ila Tahshil Masâ'il Al-Syari'ah, jld. 11, hlm. 63, “Muhammad bin  Husain Radhi di dalam kitab Nahi Al-Balâghah meriwayatkan dari Amirul Mukminin Ali as yang  berkata, “Janganlah kalian membunuh orang Khawarij setelahku karena tidaklah sama orang yang  mencari kebenaran tetapi salah jalan dengan orang yang mencari kebatilan dan menemukannya,  yakni Muawiyah beserta sahabatnya."</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Baihaqi: Al-Sunan Al-Kubrâ, jld. 3, hlm. 188.</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(Allamah): Tadzkirat Al-Fuqaha, jld. 9, hlm. 406 407, “Status pemberontak (baghî) ditetapkan  atas tiga syarat ... syarat yang ketiga adalah hendaknya mereka memberontak atas dasar takwil yang  menurut mereka boleh, dan dalam hal itu mereka terjangkit kerancuan yang mendorong mereka  untuk berontak melawan Imam.”</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410-411.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Karaki (Muhaqiq Tsani): Jami' Al-Maqashid fi Syarh Al-Qawa'id, jld. 3, hlm. 376, “Karena menurut  kami, pemberontak adalah orang-orang yang murtad dan kafir.”</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Jawâhir Al-Kalâm fi Syarh Syarâ'i' Al-Islâm, jld. 13, hlm. 131, “Apabila orang yang murtad  fithri mengklaim kerancuan yang mungkin diarahkan pada dirinya, karena dia, misalnya, baru  masuk Islam, atau karena negerinya jauh dari negeri Islam, atau karena alasan-alasan lain yang  berpotensi untuk mengaburkan kepastian sesuatu tertentu dalam Islam atas dirinya, maka hukuman  had dianulir darinya, meskipun seandainya kita berpendapat bahwa kekafiran dia disebabkan oleh  hal itu sendiri dan bukan oleh konsekuensinya, sebagaimana hukuman had had yang lain juga  dihindarkan dari seseorang dalam kondisi-kondisi kerancuan seperti itu. Perinciannya Anda bisa  simak insya-Allâh di bab itu dan di dalam keterangan kitab Al-Madârik dan Al-Dzakhîrah yang  mengikuti keterangan kitab Al-Dzikrâ dan Al-Masålik. Di sana disebutkan bahwa hukuman had  juga gugur ketika seorang mengaku dirinya lupa pada saat, misalnya, menghalalkan sesuatu yang  haram, atau lalai, dan atau dia mengaku menakwil shalat dengan sunnah, hukuman itu gugur  karena ada kerancuan yang mencegah eksekusi hukuman had."</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(Muhaqiq): Syarâ 'i' Al-Islâm fi Masa'il Al-Halal wa Al-Haram, jld. 2, hlm. 429,"Istifa' Al-hudud  berarti iqâmat al-hudûd, yakni eksekusi hukuman had. Oleh karena itu, hakim syar’i tidak wajib  dia sendiri yang memotong tangan si pencuri, atau dia sendiri yang mencambuk pezina, atau membunuh orang yang murtad, melainkan boleh saja bagi dia untuk mewakilkan (menyerahkan) ek-  sekusi hukuman itu kepada seseorang secara mutlak; secara mutlak artinya baik had yang tergolong  hak Allah, seperti hukuman had atas pezina dan orang yang murtad, maupun had yang tergolong  hak manusia, seperti hukuman had atas penuduh zina atau hukuman had atas pencuri.” Nawawi: Al-  Majmů fi Syarh Al-Muhadzdzab, jld. 19, hlm. 234; Ibnu Qudamah Maqdisi: Al-Mughni, jld. 9, hlm.</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Thusi: Tahdzib Al-Ahkâm, jld. 7, hlm. 25, “Karena eksekusi hukuman mati atas orang yang murtad  adalah dikembalikan kepada Imam (baca: tugas Imam), dan bukan kepada tiap-tiap orang."</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(Allamah): Tahrir Al-Ahkâm Al-Syar'iyah Ala Madzhab Al-Imâmiyah, jld. 2, hlm. 236.</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243, “Dan apabila petugas telah mengeksekusi murtad, lalu terbukti bahwa orang yang  murtad itu sudah berbalik dari kemurtadannya, maka qisas atas petugas eksekusi itu dalam kasus ini  tidak bisa diterima begitu saja karena di sini tidak ada maksud untuk membunuh orang Muslim.</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Amili (Syahid Tsani): Masálik Al-Ifhâm fi Syarh Syarâ'i' Al-Islâm, jld. 9, hlm. 342, “Begitu pula tidak  ada hukuman atas kemurtadan orang yang keliru, orang yang lalai, orang yang lupa, dan orang yang  kehendaknya tidak terkontrol lagi akibat marah, pernyataan-pernyataan seperti itu diterima." Najafi:</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Thusi: Tahdzib Al-Ahkâm, jld. 9, hlm. 365.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Khunshari: Jâmi' Al-Madârik fi Syarh Al-Mukhtashar Al-Nafi", jld. 7, hlm. 115, “Hadis sahih yang   diriwayatkan oleh Abdurrahman bin Abi Abdillah berkenaan dengan orang yang mencaci-maki  orang lain tanpa tuduhan zina terhadapnya, apakah dia dihukum cambuk? Beliau menjawab, “Orang  itu dihukum takzir”, dan riwayat Isma'il bin Fadhl yang mengatakan, “Saya bertanya kepada Abu  Abdillah (Imam Ja'far Shadiq) as. tentang fitnah terhadap Ahli Zimmah dan Ahli Kitab, apakah  orang Muslim akan dihukum cambuk atas perbuatannya memfitnah mereka?” Beliau menjawab,  "Tidak, melainkan dia dihukum takzir."</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Tamimi Maghribi (Qadhi): Daa'im Al-Islâm wa Dzikr Al-Halal wa Al-Harâm, jld. 1, hlm. 347–348;  Shaduq: Man là Yahdhuruh Al-Faqih, jld. 4, hlm. 5.</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Shaduq: 'Ilal Al-Syarâ'r, jld. 2, hlm. 577.</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Nuri: Mustadrak Al-Wasâ'il wa Mustanbath Al-Maså'il, jld. 21, hlm. 306, “Nasr bin Muzahim di  dalam kitab Siffin meriwayatkan dari Umar bin Sa'd, dari Abdurrahman, dari Haris bin Hashirah,  dari Abdullah bin Syuraik; dia berkata, "Hujr bin Adi dan Amr bin Hamiq terang-terangan  menolak penduduk Syam dan mengutuk mereka di tempat terbuka, maka Ali as. mengirim pesan  kepada mereka, "Hentikanlah perbuatan kalian yang laporannya telah sampai kepadaku.” Maka,  mereka berdua mendatangi beliau seraya menanyakan, “Wahai Amirul Mukminin, bukankah  kita pada posisi yang benar?” Beliau menjawab, “Iya.” Lalu mereka bertanya kembali, “Bukankah  mereka pada posisi yang salah.” Beliau menjawab lagi,"Iya.” Mereka menanyakan kembali, “Lalu  kenapa engkau melarang kami mencaci-maki mereka?” Beliau menjawab, “Aku tidak suka kalian  jadi pelaknat dan pencaci-maki.”</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Mufid (Syaikh): Al-I'tiqâdât, hlm. 107.</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Smith and Hogan: op. cit., p. 732, “It is a common law misdemiour to publish blasphemous matter  whether orally or in writing.”</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Peter Carey: op. cit. p. 78.</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 Syaikh Mufid: Al-Muqni'ah, hlm. 743; Ibnu Qudamah: Al-Syarh Al-Kabîr, jld. 10, hlm. 635;  Mardawi: Al-Inshaf Fi Ma'rifah Al-Rajih Min Al-Khilaf, jld. 4, hlm. 257.</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Jawâhir Al-Kalâm, jld. 41, hlm. 439, “Tidak ada perbedaan antara pencaci-maki yang Muslim  dan pencaci-maki yang kafir, karena nasnya umum ... iya memang, terkadang hukuman mati  terhadap pencaci-maki yang kafir dianulir apabila dia masuk Islam karena keislaman menghapus  catatan masa lalu.” Kaidah Jubb adalah “Al-Islâm yajubbu mâ qablah. ”Yakni, keislaman memupus apa  yang sebelumnya. (Lih. Bujnurdi: Al-Qawa'id Al-Fiqhiyyah, hlm. 49).</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Dardir: Al-Syarh Al-Kabîr, jld. 4, hlm. 312.; Qirawani: Risalat Al-Qirawânî, jld. 1, hlm. 127,  “Barangsiapa yang mencaci-maki Rasulullah Saw, maka dia dihukum mati dan taubatnya tidak  diterima, barangsiapa dari Ahli Zimmah yang mencaci-maki Allah atau rasul-Nya dengan sesuatu  yang bukan karenanya dia kafir, maka dia dihukum mati, kecuali apabila dia masuk Islam.”</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Qurthubi: Al-Kafi, jld. 1, hlm. 585, “Dikatakan bahwa siapa saja yang mencaci-maki Nabi Saw,  maka dihukum mati, baik dia Muslim maupun kafir dzimmi tetap saja dia dihukum mati, dua  pendapat itu dari Malik.”</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Hazm Andalusi: Al-Muhalla, jld. 11, hlm. 415.</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Nawawi: Al-Majmů fi Syarh Al-Muhadzdzab, jld. 19, hlm. 428.</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Khathib Syarbini: Mughni Al-Muhtâj, jld. 4, hlm. 258; Sayyid Murtadha (Alamul Huda): Al-  Intishår, hlm. 235.</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Khomeini (Imam): Tahrîr Al-Wasilah, jld. 2, hlm. 452, masalah ke-4.; Thusi: Al-Mabsûth fi Fiqh Al-  Imâmiyyah, jld. 2, hlm. 44, “Apabila dia menyebut Allah Swt dan nabi-Nya dengan caci-maki, maka  dia wajib dibunuh dan tergolong sebagai pelanggar ikatan. Adapun apabila dia menyebut mereka  (Allah dan nabi-Nya) tanpa caci-maki tetapi menyebut agama dan kitab-Nya secara tidak senonoh,  maka apabila dalam surat ikatan tercatat agar mereka tidak melakukan perbuatan itu, berarti mereka  telah melanggar ikatan tersebut. Adapun jika catatan itu tidak tercantum di sana, berarti mereka  tidak melanggar ikatan, tetapi mereka dihukum takzir atas perbuatan mereka tersebut (menyebut  agama dan kitab Allah secara tidak senonoh)."</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Marghinani: Bidâyah Al-Mubtadi, jld. 1, hlm. 121; Al-Hidayah Syarh Al-Bidâyah, jld. 2, hlm. 163;  Kasyani: Badâ'i' Al-Shanå'i, jld. 7, hlm. 113.</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(Allamah): Mukhtalaf Al-Syiah fi Ahkâm Al-Syariah, jld. 4, hlm. 445–446, “Persoalan: Apabila  kafir dzimmi berpindah dari satu agama ke agama selain Islam, seperti orang Yahudi berpindah ke  agama Nasrani atau sebaliknya, Ibnu Junaid mengatakan, “Dia boleh berbuat demikian." Adapun  Syaikh (Thusi) mempunyai dua pendapat, di kitab Al-Khilaf dia mengatakan, “Hukumnya boleh.”  Di dalam kitab Al-Mabsùth dia mengatakan, “Secara lahiriah, madzhab kami menuntut bahwasanya  boleh-boleh saja dia memeluk agama itu, karena di sisi kami, kekafiran ibarat satu agama. Adapun  jika dikatakan bahwa dia tidak berhak memeluk agama itu; karena firman Allah Swt, “Barangsiapa  yang menghendaki agama selain Islam maka tidak akan diterima darinya”, dan sabda Nabi Saw, “Siapa  saja yang bertukar agama, maka bunuhlah dia". yang bersifat umum mencakup semua selain yang  dikecualikan oleh dalil lain, maka ini adalah pendapat yang kuat.”; Najafi: Jawâhir Al-Kalâm fi Syarh  Syarâ'i' Al-Islâm, jld. 21, hlm. 313.</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41, hlm. 438.</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Kulaini (Syaikh): Ushủl Al-Kafi, jld. 2, hlm. 259, “Ali bin Ibrahim meriwayatkan dari bapaknya, dari  Ibnu Abi Umair, dari Hisyam bin Salim, dari Abu Abdillah (Imam Ja'far Shadiq) as.; dia bertanya  tentang orang yang mencaci-maki Rasulullah Saw. Beliau (Imam Shadiq as) menjawab, “Hendaknya  pencaci-maki itu dibunuh oleh orang yang terdekat dan yang terdekat sebelum diangkat persoalannya  kepada Imam.”</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Mufid (Syaikh): Al-Muqni'ah, hlm. 743.</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(Allamah): Mukhtalaf Al-Syiah fi Ahkâm Al-Syariah, jld. 9, hlm. 451, “Benar apa yang dikatakan  oleh Syaikh Mufid, karena itu hukuman had, dan yang bertanggung jawab untuk mengeksekusi  hukuman had adalah imam, dan buktinya adalah riwayat Abu Asim Sajistani."</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 Amili: Waså'il Al-Syiah ilâ Tahshil Masâ'il Al-Syariah, jld. 19, hlm. 204-205, bab hukm dhimân  al-nâshib wa diyatuh, (bab ke-33), hadis pertama, “Muhammad bin Ya'qub meriwayatkan dari Ali bin  Ibrahim, dia meriwayatkannya secara marfü dari sebagian sahabat Abu Abdillah (Imam Ja'far Shadiq  as), menurut dugaan saya sahabat itu adalah Abu Asim Sajistani, dia mengatakan, " ... Lalu dia  masuk ke tempat Abu Abdillah as seraya berkata, “Sungguh saya telah membunuh tujuh orang yang  saya dengar sendiri mencaci-maki Amirul Mukminin Ali as, kemudian saya tanyakan hal itu kepada  Abdullah bin Hasan dan dia katakan bahwa kamu akan dihukum (siksa) atas darah-darah mereka,  baik di dunia maupun di akhirat." Sampai kemudian perawi mengatakan, “Lalu Abu Abdillah as  berkata, “... Adapun jika kamu membunuh mereka dengan seizin imam, maka tidak ada hukuman  (siksa) apa pun untukmu, baik di dunia maupun di akhirat.”</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Fadhil Hindi: Kasyf Al-Litsâm wa Al-Ibhâm 'an Kitâb Qawa'id Al-Ahkâm, jld. 2, hlm. 435 436.</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Khomeini (Imam): Tahrir Al-Wasîlah, hlm. 445, masalah ke-2; Jab'i Amili (Syahid Tsani): Masálik  Al-Ifhâm fi Syarh Syarâ'i' Al-Islâm, jld. 9, hlm. 342.; Najafi: Jawâhir Al-Kalâm fi Syarh Syarâ'i' Al-  Islâm, jld. 41, hlm. 439.</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 Amili: Waså'il Al-Syi'ah ilâ Tahshil Maså'il Al-Syariah, jld. 18, bab 28 dari sekian bab yang  berkenaan mukadimah hukuman had, hadis pertama, “... eksekusi hukuman had adalah di tangan  orang yang berkuasa (pemerintah Islam)."</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Khomeini (Imam): Tahrir Al-Wasilah, jld. 1, hlm. 413, masalah ke-11.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Jab'i Amili (Syahid Tsani): Masâlik Al-Ifhâm fi Syarh Syarâ 'i' Al-Islâm, jld. 2, hlm. 416 417.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Pasal 630, yaitu undang-undang tentang hukuman Islam (taʼzir) yang telah disahkan pada 1375 HS  juga menerima teori ini.</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Jawâhir Al-Kalâm, jld. 41, hlm. 434, “... yang didukung dengan gagasan bahwa hal itu  merupakan propaganda kafir dan penistaan agama serta tonggaknya, walaupun di sini terdapat  catatan bahwa hal itu menuntut eksekusi hukuman murtad atas dia, dan bukan hukuman mati  dalam kondisi apa pun.”</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Al-Kâfi fi Al-Fiqh, hlm. 311, “Kemurtadan adalah mengungkapkan slogan kafir pascaiman sehingga dengan itu seseorang menjadi ingkar terhadap kenabian Nabi Muhammad Saw atau  terhadap salah satu dari maklumat agamanya, seperti shalat, zina, dan minum arak. Adapun orang  yang terbukti kafir padanya karena pembuktian, seperti pemaksaan Tuhan (jabr), penyerupaan  Tuhan (tasybih), atau pengingkaran terhadap imamah dan lain sebagainya, adalah tidak termasuk  kemurtadan, walaupun termasuk kekafiran."</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Hasyimi: Huqûq-e Asosi-e Jumbúri-e Eslomi-e Iron, jld. 2, hlm. 493.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Istilah “etika sosial” adalah sinonim “akhlak mulia”. Lih. Langgarudi: Terminologi-e Huqûq, hlm.</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20.</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Sayuri Hilli: Nadhd Al-Qawa'id Al-Fiqhiyah, hlm. 26, “Yaitu apa yang merupakan jalan untuk  membela lima prinsip; nyawa, agama, akal, keturunan, dan harta, syariat tidak datang kecuali  untuk membelanya, dan lima prinsip itu populer disebut Al-Dharâriyât Al-Khams ... adapun cara  melindungi agama adalah dengan jihad dan hukuman mati untuk orang yang murtad ...."  Amili (Syahid Awal): Al-Qawa'id wa Al-Fawa'id, jld 1, hlm. 38, “Yaitu jalan untuk membela lima  prinsip; nyawa, agama, akal, keturunan, dan harta, syariat tidak datang kecuali untuk melindunginya,  dan lima prinsip itu populer disebut Al-Dharâriyât Al-Khams. Maka, cara melindungi nyawa  adalah dengan hukum qisas, diyah, dan pertahanan; agama dilindungi dengan jihad dan penetapan  hukuman mati untuk orang yang murtad; akal dilindungi dengan pengharaman konsumsi minuman  yang memabukkan dan penetapan hukuman had untuk pelakunya; nasab dilindungi dengan  pengharaman zina, perlakuan seksual sejenis, persetubuhan dengan binatang, fitnah zina, dan  penetapan hukuman had untuk masing-masing pelakunya, harta dilindungi dengan pengharaman  penjarahan, pencurian, pengkhianatan, perampokan, dan penetapan hukuman had serta takzir  untuk masing-masing pelakunya."  Ghazali: Al-Mustashfâ, hlm. 174.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"Segolongan (lain) dari Ahli Kitab berkata (kepada sesamanya), “Perlihatkanlah (seolah-olah) kamu  beriman kepada apa yang diturunkan kepada orang-orang beriman (sahabat-sahabat Rasul) pada  permulaan siang dan ingkarilah ia pada akhirnya, supaya mereka (orang-orang mukmin) kembali  (menjadi kafir)” (QS. Al Imran [3]: 72).</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Meskipun berkenaan dengan dalih turunnya (sya'n al-nuzûl) ayat ini ada berbagai kejadian yang  diriwayatkan, tetapi titik kesamaan antara semua riwayat itu adalah keinginan seseorang untuk  memaksa orang lain agar memeluk agama Islam, dan ayat ini turun dalam rangka mencegah  pemaksaan itu. Mengenai dalil turunnya ayat ini, lih. Thusi: Al-Tibyan fi Tafsîr Al-Qur'ân, jld. 2,  hlm. 311; Wahidi Naisaburi: Asbâb Nuzůl Al-Ayật, hlm. 52–53.</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Selain kasus perlawanan terhadap jilbab di Perancis, fakta serupa juga terjadi di Jerman, tepatnya di  Baden-Württemberg. Di sana, seorang wanita Muslimah dilarang beraktivitas menjadi guru hanya  karena dia tidak mau melepas jilbabnya saat mengajar. (Harian Jomhûrie Islômî, 22, Tir, 1382 HS,  hlm. 6).</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Pasal 19 Perjanjian Internasional Hak-hak Sipil dan Politik (International Covenant on Civil and  Political Right) yang disahkan pada 1966 oleh Majelis Umum (The General Assembly) PBB: 1. Tidak  seorang pun yang berhak diganggu dan diancam karena kepercayaannya. 2. Setiap orang bebas  bersuara dan berpendapat ... 3. Penerapan hak-hak yang tersebut pada pokok kedua dari pasal ini  menuntut hak-hak dan tanggung jawab tersendiri maka boleh jadi ikut keterbatasan-keterbatasan  yang tercantum di dalam undang-undang, dan untuk semua itu diperlukan: a. Penghargaan terhadap  hak-hak dan kehormatan orang lain;b. Perlindungan atas keamanan nasional, ketertiban umum,  keselamatan, atau etika sosial.</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“The Special Reporter notes that public morals differ widely and depend in large measure on  the national context tha includes matters of politics and culture.”</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 Amili: Wasâ'il Al-Syi'ah ila Tahshil Maså'il Al-Syariah, (30 jld.), jld. 8, hlm. 333, “Riwayat  Muhammad bin Yahya, dari Ahmad bin Muhammad bin Isa, dari Ali bin Hadid, dari Jamil bin  Darraj, dari Zurarah, dari salah satu dari dua Imam (Imam Muhammad Baqir as. atau Imam Ja'far  Shadiq as.) yang berkata, “Rasulullah Saw bersabda, “Andai bukan karena aku khawatir orang akan  berkata, “Muhammad meminta bantuan dari kaum tertentu, tetapi setelah meraih kemenangan atas  musuh dia bunuh kaum itu,” niscaya banyak leher orang yang akan aku tebas.”</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Asqalani: Fath Al-Bârî, jld. 12, hlm. 249, “Berkenaan dengan caci-maki, falsafah diwajibkannya  hukuman mati untuk pelakunya adalah merujuk kepada hak agama, oleh dari itu Islam  menghantamnya, dan secara lahiriah Rasulullah Saw mengurungkan hukuman mati atas sejumlah  orang Yahudi karena maslahat tertentu seperti pemikatan hati mereka, atau karena mereka tidak  mengumumkannya secara terang-terangan, atau karena dua alasan tersebut sekaligus, dan yang  terakhir ini lebih besar kemungkinannya, wallahu a'lam."</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Thusi: Tahdzib Al-Ahkâm, jld. 10, hlm. 143: “Lâ yamtani“ an yakûn hua ra'à qatlahâ shalâhan.”</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 H. Hasyimi: Majma'-e Tasykhis-e Mashlahat (Tahlil-e Maboni-e Feghi va Huquqi), hlm. 65–78.</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Soroush: 'Oyo Ertedod Kayfar-e Had Dorad?”, dalam jurnal Hukumat-eEslomi, no.19,  hlm. 32 dan 37.</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Abdulkarim Soroush: Ozodi-e Bayon: Haqq-e Ezdhor-e Nazdar Va Ozodi-e Aqideh", pidato di Amerika  pada 21/8/1381 HS., dalam Oftob, vol. 25, Urdibehesyt 1382 HS, hlm. 79.</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Transkrip pidatonya dimuat dalam jurnal Hukumat-e Eslomi, vol. 24.</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Ibid.,dalam Oftob, vol. 24, Farvardin 1382 HS, hlm. 66.</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Adam Nossiter:Branch Davidians make little headway in push for new trial against U.S., News  Observer.com, February 10, 2003, “The case was brought on behalf of the estates of 14 children who  died in the fire, a 15-year-old girl who was badly burned and three parents whose children died in the  blaze."</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“New Orleans Lawyers for Branch Davidians and their families pushing a wrongful death case  against the government appeared to make little headway Monday with their argument that a judge  who previously dismissed their case was biased."</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“The survivors' wrongful death case was dismissed in September 2000 when U.S. District Judge  Walter Smith backed the federal contention that agents had not used excessive force in their tear-gas  assault. Smith found that the Davidians themselves set the new trial in front of a different judge."</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Joe Stange:Davidian Prosecutor Gets Probation, Associated Press, June 7, 2001: “A former federal  prosecutor was sentenced to two years' probation Thursday for withholding information that the  government used explosive tear gas canisters during the deadly siege at Waco."</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Terry Ganey:Former U.S. attorney is accused of obstructing Waco investigation, St. Louis Post-Dispatch,  November 9, 2000, “A former prosecutor who played a major role in the government's siege of the  Branch Davidians was indicted by a federal grand jury in St. Louis on Wednesday on charges that he  obstructed the investigation of special Waco counsel John Danforth. William W. Johnston, a former  U.S. attorney in Waco, Texas, was accused in a five-count indictment of concealing information  about the government's use of pyrotechnic tear gas rounds during the siege."</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www.fountain.btinternet.co.uk\koresh: What happened at Waco?, "It is quite clear from the evidence  provided that the FBI totally failed to understand what Koresh was doing and what Sadly the FBI did  not understand what had happened.”</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“Outline of Branch Davidian Teachings: "Branch Davidians believe they are God's chosen  people for the Last Days prior to the end of the world. Because of this they believe that God will  always send a prophet to guide them.”</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Cliffrd L. Linedecker, Massacer AT WACO (The shocking true story of cult leader DAVID KORESH and  the Branch Davidians), p. 8.</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Smith:Criminal Law, p. 762, “Where 12 or more persons who are present together use or  threaten unlawful violence for a common purpose and the conduct of them (taken together) is such  as would cause a person of reasonable firmness present at the scene to fear for his personal safety,  each of the persons using unlawful violence for the common purpose is guilty or riot ... If 12 or  more persons with a common purpose threaten unlawful violence but only one actually uses it, there  is a riot but only one principal rioter. Since they have a common purpose, the rest may be guilty as  secondary parties, but this is not necessarily so."</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763.</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Pornografi adalah aksi penyebaran film, gambar, atau  kesucian publik.</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www.leeds.ac.uk/law/cyberlaw.</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Akdeniz, Pornography on the Internet, 1996.</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Alpheas Thomas and Wiliam Beany:American Constitutional Law, prentice-Hall, inc., 3rd ed., New  Jersy, 1964, p. 574.</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André Tunc:Huquq-e Iyolot-e Muttahideh-e Omriko, hlm. 88.</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Peter Carey:op. cit,hlm. 79.</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Smith and Hogan:op. cit,hlm. 734.</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Ronald Dworkin:op. cit,hlm. 364.</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V. Dicey:op. cit, p. 245.</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Smith and Hogan: op. cit, p. 732, “The gist of the offence was said to be supposed tendency to shake  fabric of society generally.”</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WWW.CRF-USA.org/terror/rusdhie, Terrorism, Blasphemy! Salman Rushdie and Freedom of  Expression: “Base on this interpretation of the law, the New York court stated that reviling Jesus was a  crime since it tends to corrupt the morals of the people, and to destroy good order.”</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David, Rene: Nezdomho-ye Buzurg-e Huqûqi-e Muosher, hlm. 453–454.</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Commission on Human Rights, Fifty-first Session, op. cit.</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“Typical examples of restrictions in this domain relate to Pornography and Blasphemy."</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WWW.CRF-USA.org/terror/rusdhie, Terrorism, Blasphemy! Salman Rushdie and Freedom of  Expression: “The idea of punishing someone for blasphemy disturbs most Americans today. It runs  counter to freedom of religion and freedom of expression, both guaranteed in the First Amendment  to the U.S. Constitution. Most Americans believe people should have the right to believe or disbelieve  in any religion and should have the right to express their beliefs or disbeliefs.”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1.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44749</Words>
  <Characters>288052</Characters>
  <CharactersWithSpaces>334812</CharactersWithSpaces>
  <Paragraphs>1719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2026-08-19T22:42:50Z</dcterms:created>
  <dc:creator>ghaemiyeh.com</dc:creator>
  <dc:description/>
  <dc:language>en-US</dc:language>
  <cp:lastModifiedBy/>
  <dcterms:modified xsi:type="dcterms:W3CDTF">2026-08-20T02:12:55Z</dcterms:modified>
  <cp:revision>1</cp:revision>
  <dc:subject/>
  <dc:title>Hukum murtad hak Allah atau manusia</dc:title>
</cp:coreProperties>
</file>

<file path=docProps/custom.xml><?xml version="1.0" encoding="utf-8"?>
<Properties xmlns="http://schemas.openxmlformats.org/officeDocument/2006/custom-properties" xmlns:vt="http://schemas.openxmlformats.org/officeDocument/2006/docPropsVTypes"/>
</file>