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الحقوق الزوجیه احکام النشوز و الشقاق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332_58195312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7334_581953129">
            <w:r>
              <w:rPr>
                <w:webHidden/>
                <w:rStyle w:val="IndexLink"/>
                <w:rtl w:val="true"/>
              </w:rPr>
              <w:t>الإهداء</w:t>
            </w:r>
            <w:r>
              <w:rPr>
                <w:rStyle w:val="IndexLink"/>
                <w:rtl w:val="true"/>
              </w:rPr>
              <w:tab/>
            </w:r>
            <w:r>
              <w:rPr>
                <w:rStyle w:val="IndexLink"/>
              </w:rPr>
              <w:t>5</w:t>
            </w:r>
          </w:hyperlink>
        </w:p>
        <w:p>
          <w:pPr>
            <w:pStyle w:val="Contents2"/>
            <w:tabs>
              <w:tab w:val="clear" w:pos="8743"/>
              <w:tab w:val="right" w:pos="9026" w:leader="dot"/>
            </w:tabs>
            <w:rPr/>
          </w:pPr>
          <w:hyperlink w:anchor="__RefHeading___Toc37336_581953129">
            <w:r>
              <w:rPr>
                <w:webHidden/>
                <w:rStyle w:val="IndexLink"/>
                <w:rtl w:val="true"/>
              </w:rPr>
              <w:t>کلمة الناشر</w:t>
            </w:r>
            <w:r>
              <w:rPr>
                <w:rStyle w:val="IndexLink"/>
                <w:rtl w:val="true"/>
              </w:rPr>
              <w:tab/>
            </w:r>
            <w:r>
              <w:rPr>
                <w:rStyle w:val="IndexLink"/>
              </w:rPr>
              <w:t>7</w:t>
            </w:r>
          </w:hyperlink>
        </w:p>
        <w:p>
          <w:pPr>
            <w:pStyle w:val="Contents2"/>
            <w:tabs>
              <w:tab w:val="clear" w:pos="8743"/>
              <w:tab w:val="right" w:pos="9026" w:leader="dot"/>
            </w:tabs>
            <w:rPr/>
          </w:pPr>
          <w:hyperlink w:anchor="__RefHeading___Toc37338_581953129">
            <w:r>
              <w:rPr>
                <w:webHidden/>
                <w:rStyle w:val="IndexLink"/>
                <w:rtl w:val="true"/>
              </w:rPr>
              <w:t>الفهرس</w:t>
            </w:r>
            <w:r>
              <w:rPr>
                <w:rStyle w:val="IndexLink"/>
                <w:rtl w:val="true"/>
              </w:rPr>
              <w:tab/>
            </w:r>
            <w:r>
              <w:rPr>
                <w:rStyle w:val="IndexLink"/>
              </w:rPr>
              <w:t>9</w:t>
            </w:r>
          </w:hyperlink>
        </w:p>
        <w:p>
          <w:pPr>
            <w:pStyle w:val="Contents2"/>
            <w:tabs>
              <w:tab w:val="clear" w:pos="8743"/>
              <w:tab w:val="right" w:pos="9026" w:leader="dot"/>
            </w:tabs>
            <w:rPr/>
          </w:pPr>
          <w:hyperlink w:anchor="__RefHeading___Toc37340_581953129">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37342_581953129">
            <w:r>
              <w:rPr>
                <w:webHidden/>
                <w:rStyle w:val="IndexLink"/>
                <w:rtl w:val="true"/>
              </w:rPr>
              <w:t>الفصل الأول</w:t>
            </w:r>
            <w:r>
              <w:rPr>
                <w:rStyle w:val="IndexLink"/>
                <w:rtl w:val="true"/>
              </w:rPr>
              <w:t xml:space="preserve">: </w:t>
            </w:r>
            <w:r>
              <w:rPr>
                <w:rStyle w:val="IndexLink"/>
                <w:rtl w:val="true"/>
              </w:rPr>
              <w:t>بحوث تمهیدیّة</w:t>
            </w:r>
            <w:r>
              <w:rPr>
                <w:rStyle w:val="IndexLink"/>
                <w:rtl w:val="true"/>
              </w:rPr>
              <w:tab/>
            </w:r>
            <w:r>
              <w:rPr>
                <w:rStyle w:val="IndexLink"/>
              </w:rPr>
              <w:t>16</w:t>
            </w:r>
          </w:hyperlink>
        </w:p>
        <w:p>
          <w:pPr>
            <w:pStyle w:val="Contents3"/>
            <w:tabs>
              <w:tab w:val="clear" w:pos="8459"/>
              <w:tab w:val="right" w:pos="9026" w:leader="dot"/>
            </w:tabs>
            <w:rPr/>
          </w:pPr>
          <w:hyperlink w:anchor="__RefHeading___Toc37344_581953129">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37346_581953129">
            <w:r>
              <w:rPr>
                <w:webHidden/>
                <w:rStyle w:val="IndexLink"/>
                <w:rtl w:val="true"/>
              </w:rPr>
              <w:t>بحوث تمهیدیّة</w:t>
            </w:r>
            <w:r>
              <w:rPr>
                <w:rStyle w:val="IndexLink"/>
                <w:rtl w:val="true"/>
              </w:rPr>
              <w:tab/>
            </w:r>
            <w:r>
              <w:rPr>
                <w:rStyle w:val="IndexLink"/>
              </w:rPr>
              <w:t>17</w:t>
            </w:r>
          </w:hyperlink>
        </w:p>
        <w:p>
          <w:pPr>
            <w:pStyle w:val="Contents4"/>
            <w:tabs>
              <w:tab w:val="clear" w:pos="8176"/>
              <w:tab w:val="right" w:pos="9026" w:leader="dot"/>
            </w:tabs>
            <w:rPr/>
          </w:pPr>
          <w:hyperlink w:anchor="__RefHeading___Toc37348_581953129">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37350_581953129">
            <w:r>
              <w:rPr>
                <w:webHidden/>
                <w:rStyle w:val="IndexLink"/>
                <w:rtl w:val="true"/>
              </w:rPr>
              <w:t>النکّاح</w:t>
            </w:r>
            <w:r>
              <w:rPr>
                <w:rStyle w:val="IndexLink"/>
                <w:rtl w:val="true"/>
              </w:rPr>
              <w:tab/>
            </w:r>
            <w:r>
              <w:rPr>
                <w:rStyle w:val="IndexLink"/>
              </w:rPr>
              <w:t>18</w:t>
            </w:r>
          </w:hyperlink>
        </w:p>
        <w:p>
          <w:pPr>
            <w:pStyle w:val="Contents5"/>
            <w:tabs>
              <w:tab w:val="clear" w:pos="7892"/>
              <w:tab w:val="right" w:pos="9026" w:leader="dot"/>
            </w:tabs>
            <w:rPr/>
          </w:pPr>
          <w:hyperlink w:anchor="__RefHeading___Toc37352_581953129">
            <w:r>
              <w:rPr>
                <w:webHidden/>
                <w:rStyle w:val="IndexLink"/>
              </w:rPr>
              <w:t>1</w:t>
            </w:r>
            <w:r>
              <w:rPr>
                <w:rStyle w:val="IndexLink"/>
                <w:rtl w:val="true"/>
              </w:rPr>
              <w:t xml:space="preserve">. </w:t>
            </w:r>
            <w:r>
              <w:rPr>
                <w:rStyle w:val="IndexLink"/>
                <w:rtl w:val="true"/>
              </w:rPr>
              <w:t>لغة</w:t>
            </w:r>
            <w:r>
              <w:rPr>
                <w:rStyle w:val="IndexLink"/>
                <w:rtl w:val="true"/>
              </w:rPr>
              <w:tab/>
            </w:r>
            <w:r>
              <w:rPr>
                <w:rStyle w:val="IndexLink"/>
              </w:rPr>
              <w:t>18</w:t>
            </w:r>
          </w:hyperlink>
        </w:p>
        <w:p>
          <w:pPr>
            <w:pStyle w:val="Contents5"/>
            <w:tabs>
              <w:tab w:val="clear" w:pos="7892"/>
              <w:tab w:val="right" w:pos="9026" w:leader="dot"/>
            </w:tabs>
            <w:rPr/>
          </w:pPr>
          <w:hyperlink w:anchor="__RefHeading___Toc37354_581953129">
            <w:r>
              <w:rPr>
                <w:webHidden/>
                <w:rStyle w:val="IndexLink"/>
              </w:rPr>
              <w:t>2</w:t>
            </w:r>
            <w:r>
              <w:rPr>
                <w:rStyle w:val="IndexLink"/>
                <w:rtl w:val="true"/>
              </w:rPr>
              <w:t xml:space="preserve">. </w:t>
            </w:r>
            <w:r>
              <w:rPr>
                <w:rStyle w:val="IndexLink"/>
                <w:rtl w:val="true"/>
              </w:rPr>
              <w:t>اصطلاحاً</w:t>
            </w:r>
            <w:r>
              <w:rPr>
                <w:rStyle w:val="IndexLink"/>
                <w:rtl w:val="true"/>
              </w:rPr>
              <w:tab/>
            </w:r>
            <w:r>
              <w:rPr>
                <w:rStyle w:val="IndexLink"/>
              </w:rPr>
              <w:t>19</w:t>
            </w:r>
          </w:hyperlink>
        </w:p>
        <w:p>
          <w:pPr>
            <w:pStyle w:val="Contents4"/>
            <w:tabs>
              <w:tab w:val="clear" w:pos="8176"/>
              <w:tab w:val="right" w:pos="9026" w:leader="dot"/>
            </w:tabs>
            <w:rPr/>
          </w:pPr>
          <w:hyperlink w:anchor="__RefHeading___Toc37356_581953129">
            <w:r>
              <w:rPr>
                <w:webHidden/>
                <w:rStyle w:val="IndexLink"/>
                <w:rtl w:val="true"/>
              </w:rPr>
              <w:t>النّشوز</w:t>
            </w:r>
            <w:r>
              <w:rPr>
                <w:rStyle w:val="IndexLink"/>
                <w:rtl w:val="true"/>
              </w:rPr>
              <w:tab/>
            </w:r>
            <w:r>
              <w:rPr>
                <w:rStyle w:val="IndexLink"/>
              </w:rPr>
              <w:t>21</w:t>
            </w:r>
          </w:hyperlink>
        </w:p>
        <w:p>
          <w:pPr>
            <w:pStyle w:val="Contents5"/>
            <w:tabs>
              <w:tab w:val="clear" w:pos="7892"/>
              <w:tab w:val="right" w:pos="9026" w:leader="dot"/>
            </w:tabs>
            <w:rPr/>
          </w:pPr>
          <w:hyperlink w:anchor="__RefHeading___Toc37358_581953129">
            <w:r>
              <w:rPr>
                <w:webHidden/>
                <w:rStyle w:val="IndexLink"/>
                <w:rtl w:val="true"/>
              </w:rPr>
              <w:t>اشارة</w:t>
            </w:r>
            <w:r>
              <w:rPr>
                <w:rStyle w:val="IndexLink"/>
                <w:rtl w:val="true"/>
              </w:rPr>
              <w:tab/>
            </w:r>
            <w:r>
              <w:rPr>
                <w:rStyle w:val="IndexLink"/>
              </w:rPr>
              <w:t>21</w:t>
            </w:r>
          </w:hyperlink>
        </w:p>
        <w:p>
          <w:pPr>
            <w:pStyle w:val="Contents5"/>
            <w:tabs>
              <w:tab w:val="clear" w:pos="7892"/>
              <w:tab w:val="right" w:pos="9026" w:leader="dot"/>
            </w:tabs>
            <w:rPr/>
          </w:pPr>
          <w:hyperlink w:anchor="__RefHeading___Toc37360_581953129">
            <w:r>
              <w:rPr>
                <w:webHidden/>
                <w:rStyle w:val="IndexLink"/>
              </w:rPr>
              <w:t>1</w:t>
            </w:r>
            <w:r>
              <w:rPr>
                <w:rStyle w:val="IndexLink"/>
                <w:rtl w:val="true"/>
              </w:rPr>
              <w:t xml:space="preserve">. </w:t>
            </w:r>
            <w:r>
              <w:rPr>
                <w:rStyle w:val="IndexLink"/>
                <w:rtl w:val="true"/>
              </w:rPr>
              <w:t>لغة</w:t>
            </w:r>
            <w:r>
              <w:rPr>
                <w:rStyle w:val="IndexLink"/>
                <w:rtl w:val="true"/>
              </w:rPr>
              <w:tab/>
            </w:r>
            <w:r>
              <w:rPr>
                <w:rStyle w:val="IndexLink"/>
              </w:rPr>
              <w:t>21</w:t>
            </w:r>
          </w:hyperlink>
        </w:p>
        <w:p>
          <w:pPr>
            <w:pStyle w:val="Contents5"/>
            <w:tabs>
              <w:tab w:val="clear" w:pos="7892"/>
              <w:tab w:val="right" w:pos="9026" w:leader="dot"/>
            </w:tabs>
            <w:rPr/>
          </w:pPr>
          <w:hyperlink w:anchor="__RefHeading___Toc37362_581953129">
            <w:r>
              <w:rPr>
                <w:webHidden/>
                <w:rStyle w:val="IndexLink"/>
              </w:rPr>
              <w:t>2</w:t>
            </w:r>
            <w:r>
              <w:rPr>
                <w:rStyle w:val="IndexLink"/>
                <w:rtl w:val="true"/>
              </w:rPr>
              <w:t xml:space="preserve">. </w:t>
            </w:r>
            <w:r>
              <w:rPr>
                <w:rStyle w:val="IndexLink"/>
                <w:rtl w:val="true"/>
              </w:rPr>
              <w:t>اصطلاحاً</w:t>
            </w:r>
            <w:r>
              <w:rPr>
                <w:rStyle w:val="IndexLink"/>
                <w:rtl w:val="true"/>
              </w:rPr>
              <w:tab/>
            </w:r>
            <w:r>
              <w:rPr>
                <w:rStyle w:val="IndexLink"/>
              </w:rPr>
              <w:t>24</w:t>
            </w:r>
          </w:hyperlink>
        </w:p>
        <w:p>
          <w:pPr>
            <w:pStyle w:val="Contents4"/>
            <w:tabs>
              <w:tab w:val="clear" w:pos="8176"/>
              <w:tab w:val="right" w:pos="9026" w:leader="dot"/>
            </w:tabs>
            <w:rPr/>
          </w:pPr>
          <w:hyperlink w:anchor="__RefHeading___Toc37364_581953129">
            <w:r>
              <w:rPr>
                <w:webHidden/>
                <w:rStyle w:val="IndexLink"/>
                <w:rtl w:val="true"/>
              </w:rPr>
              <w:t>الشّقاق</w:t>
            </w:r>
            <w:r>
              <w:rPr>
                <w:rStyle w:val="IndexLink"/>
                <w:rtl w:val="true"/>
              </w:rPr>
              <w:tab/>
            </w:r>
            <w:r>
              <w:rPr>
                <w:rStyle w:val="IndexLink"/>
              </w:rPr>
              <w:t>26</w:t>
            </w:r>
          </w:hyperlink>
        </w:p>
        <w:p>
          <w:pPr>
            <w:pStyle w:val="Contents5"/>
            <w:tabs>
              <w:tab w:val="clear" w:pos="7892"/>
              <w:tab w:val="right" w:pos="9026" w:leader="dot"/>
            </w:tabs>
            <w:rPr/>
          </w:pPr>
          <w:hyperlink w:anchor="__RefHeading___Toc37366_581953129">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37368_581953129">
            <w:r>
              <w:rPr>
                <w:webHidden/>
                <w:rStyle w:val="IndexLink"/>
              </w:rPr>
              <w:t>1</w:t>
            </w:r>
            <w:r>
              <w:rPr>
                <w:rStyle w:val="IndexLink"/>
                <w:rtl w:val="true"/>
              </w:rPr>
              <w:t xml:space="preserve">. </w:t>
            </w:r>
            <w:r>
              <w:rPr>
                <w:rStyle w:val="IndexLink"/>
                <w:rtl w:val="true"/>
              </w:rPr>
              <w:t>لغة</w:t>
            </w:r>
            <w:r>
              <w:rPr>
                <w:rStyle w:val="IndexLink"/>
                <w:rtl w:val="true"/>
              </w:rPr>
              <w:tab/>
            </w:r>
            <w:r>
              <w:rPr>
                <w:rStyle w:val="IndexLink"/>
              </w:rPr>
              <w:t>26</w:t>
            </w:r>
          </w:hyperlink>
        </w:p>
        <w:p>
          <w:pPr>
            <w:pStyle w:val="Contents5"/>
            <w:tabs>
              <w:tab w:val="clear" w:pos="7892"/>
              <w:tab w:val="right" w:pos="9026" w:leader="dot"/>
            </w:tabs>
            <w:rPr/>
          </w:pPr>
          <w:hyperlink w:anchor="__RefHeading___Toc37370_581953129">
            <w:r>
              <w:rPr>
                <w:webHidden/>
                <w:rStyle w:val="IndexLink"/>
              </w:rPr>
              <w:t>2</w:t>
            </w:r>
            <w:r>
              <w:rPr>
                <w:rStyle w:val="IndexLink"/>
                <w:rtl w:val="true"/>
              </w:rPr>
              <w:t xml:space="preserve">. </w:t>
            </w:r>
            <w:r>
              <w:rPr>
                <w:rStyle w:val="IndexLink"/>
                <w:rtl w:val="true"/>
              </w:rPr>
              <w:t>اصطلاحاً</w:t>
            </w:r>
            <w:r>
              <w:rPr>
                <w:rStyle w:val="IndexLink"/>
                <w:rtl w:val="true"/>
              </w:rPr>
              <w:tab/>
            </w:r>
            <w:r>
              <w:rPr>
                <w:rStyle w:val="IndexLink"/>
              </w:rPr>
              <w:t>28</w:t>
            </w:r>
          </w:hyperlink>
        </w:p>
        <w:p>
          <w:pPr>
            <w:pStyle w:val="Contents4"/>
            <w:tabs>
              <w:tab w:val="clear" w:pos="8176"/>
              <w:tab w:val="right" w:pos="9026" w:leader="dot"/>
            </w:tabs>
            <w:rPr/>
          </w:pPr>
          <w:hyperlink w:anchor="__RefHeading___Toc37372_581953129">
            <w:r>
              <w:rPr>
                <w:webHidden/>
                <w:rStyle w:val="IndexLink"/>
                <w:rtl w:val="true"/>
              </w:rPr>
              <w:t>الحقّ</w:t>
            </w:r>
            <w:r>
              <w:rPr>
                <w:rStyle w:val="IndexLink"/>
                <w:rtl w:val="true"/>
              </w:rPr>
              <w:tab/>
            </w:r>
            <w:r>
              <w:rPr>
                <w:rStyle w:val="IndexLink"/>
              </w:rPr>
              <w:t>29</w:t>
            </w:r>
          </w:hyperlink>
        </w:p>
        <w:p>
          <w:pPr>
            <w:pStyle w:val="Contents5"/>
            <w:tabs>
              <w:tab w:val="clear" w:pos="7892"/>
              <w:tab w:val="right" w:pos="9026" w:leader="dot"/>
            </w:tabs>
            <w:rPr/>
          </w:pPr>
          <w:hyperlink w:anchor="__RefHeading___Toc37374_581953129">
            <w:r>
              <w:rPr>
                <w:webHidden/>
                <w:rStyle w:val="IndexLink"/>
                <w:rtl w:val="true"/>
              </w:rPr>
              <w:t>اشارة</w:t>
            </w:r>
            <w:r>
              <w:rPr>
                <w:rStyle w:val="IndexLink"/>
                <w:rtl w:val="true"/>
              </w:rPr>
              <w:tab/>
            </w:r>
            <w:r>
              <w:rPr>
                <w:rStyle w:val="IndexLink"/>
              </w:rPr>
              <w:t>29</w:t>
            </w:r>
          </w:hyperlink>
        </w:p>
        <w:p>
          <w:pPr>
            <w:pStyle w:val="Contents5"/>
            <w:tabs>
              <w:tab w:val="clear" w:pos="7892"/>
              <w:tab w:val="right" w:pos="9026" w:leader="dot"/>
            </w:tabs>
            <w:rPr/>
          </w:pPr>
          <w:hyperlink w:anchor="__RefHeading___Toc37376_581953129">
            <w:r>
              <w:rPr>
                <w:webHidden/>
                <w:rStyle w:val="IndexLink"/>
              </w:rPr>
              <w:t>1</w:t>
            </w:r>
            <w:r>
              <w:rPr>
                <w:rStyle w:val="IndexLink"/>
                <w:rtl w:val="true"/>
              </w:rPr>
              <w:t xml:space="preserve">. </w:t>
            </w:r>
            <w:r>
              <w:rPr>
                <w:rStyle w:val="IndexLink"/>
                <w:rtl w:val="true"/>
              </w:rPr>
              <w:t>لغة</w:t>
            </w:r>
            <w:r>
              <w:rPr>
                <w:rStyle w:val="IndexLink"/>
                <w:rtl w:val="true"/>
              </w:rPr>
              <w:tab/>
            </w:r>
            <w:r>
              <w:rPr>
                <w:rStyle w:val="IndexLink"/>
              </w:rPr>
              <w:t>30</w:t>
            </w:r>
          </w:hyperlink>
        </w:p>
        <w:p>
          <w:pPr>
            <w:pStyle w:val="Contents5"/>
            <w:tabs>
              <w:tab w:val="clear" w:pos="7892"/>
              <w:tab w:val="right" w:pos="9026" w:leader="dot"/>
            </w:tabs>
            <w:rPr/>
          </w:pPr>
          <w:hyperlink w:anchor="__RefHeading___Toc37378_581953129">
            <w:r>
              <w:rPr>
                <w:webHidden/>
                <w:rStyle w:val="IndexLink"/>
              </w:rPr>
              <w:t>2</w:t>
            </w:r>
            <w:r>
              <w:rPr>
                <w:rStyle w:val="IndexLink"/>
                <w:rtl w:val="true"/>
              </w:rPr>
              <w:t xml:space="preserve">. </w:t>
            </w:r>
            <w:r>
              <w:rPr>
                <w:rStyle w:val="IndexLink"/>
                <w:rtl w:val="true"/>
              </w:rPr>
              <w:t>اصطلاحاً</w:t>
            </w:r>
            <w:r>
              <w:rPr>
                <w:rStyle w:val="IndexLink"/>
                <w:rtl w:val="true"/>
              </w:rPr>
              <w:tab/>
            </w:r>
            <w:r>
              <w:rPr>
                <w:rStyle w:val="IndexLink"/>
              </w:rPr>
              <w:t>33</w:t>
            </w:r>
          </w:hyperlink>
        </w:p>
        <w:p>
          <w:pPr>
            <w:pStyle w:val="Contents6"/>
            <w:tabs>
              <w:tab w:val="clear" w:pos="7609"/>
              <w:tab w:val="right" w:pos="9026" w:leader="dot"/>
            </w:tabs>
            <w:rPr/>
          </w:pPr>
          <w:hyperlink w:anchor="__RefHeading___Toc37380_581953129">
            <w:r>
              <w:rPr>
                <w:webHidden/>
                <w:rStyle w:val="IndexLink"/>
                <w:rtl w:val="true"/>
              </w:rPr>
              <w:t>اشارة</w:t>
            </w:r>
            <w:r>
              <w:rPr>
                <w:rStyle w:val="IndexLink"/>
                <w:rtl w:val="true"/>
              </w:rPr>
              <w:tab/>
            </w:r>
            <w:r>
              <w:rPr>
                <w:rStyle w:val="IndexLink"/>
              </w:rPr>
              <w:t>33</w:t>
            </w:r>
          </w:hyperlink>
        </w:p>
        <w:p>
          <w:pPr>
            <w:pStyle w:val="Contents6"/>
            <w:tabs>
              <w:tab w:val="clear" w:pos="7609"/>
              <w:tab w:val="right" w:pos="9026" w:leader="dot"/>
            </w:tabs>
            <w:rPr/>
          </w:pPr>
          <w:hyperlink w:anchor="__RefHeading___Toc37382_581953129">
            <w:r>
              <w:rPr>
                <w:webHidden/>
                <w:rStyle w:val="IndexLink"/>
                <w:rtl w:val="true"/>
              </w:rPr>
              <w:t>أ</w:t>
            </w:r>
            <w:r>
              <w:rPr>
                <w:rStyle w:val="IndexLink"/>
                <w:rtl w:val="true"/>
              </w:rPr>
              <w:t xml:space="preserve">) </w:t>
            </w:r>
            <w:r>
              <w:rPr>
                <w:rStyle w:val="IndexLink"/>
                <w:rtl w:val="true"/>
              </w:rPr>
              <w:t>عند الفقهاء</w:t>
            </w:r>
            <w:r>
              <w:rPr>
                <w:rStyle w:val="IndexLink"/>
                <w:rtl w:val="true"/>
              </w:rPr>
              <w:tab/>
            </w:r>
            <w:r>
              <w:rPr>
                <w:rStyle w:val="IndexLink"/>
              </w:rPr>
              <w:t>33</w:t>
            </w:r>
          </w:hyperlink>
        </w:p>
        <w:p>
          <w:pPr>
            <w:pStyle w:val="Contents6"/>
            <w:tabs>
              <w:tab w:val="clear" w:pos="7609"/>
              <w:tab w:val="right" w:pos="9026" w:leader="dot"/>
            </w:tabs>
            <w:rPr/>
          </w:pPr>
          <w:hyperlink w:anchor="__RefHeading___Toc37384_581953129">
            <w:r>
              <w:rPr>
                <w:webHidden/>
                <w:rStyle w:val="IndexLink"/>
                <w:rtl w:val="true"/>
              </w:rPr>
              <w:t>ب</w:t>
            </w:r>
            <w:r>
              <w:rPr>
                <w:rStyle w:val="IndexLink"/>
                <w:rtl w:val="true"/>
              </w:rPr>
              <w:t xml:space="preserve">) </w:t>
            </w:r>
            <w:r>
              <w:rPr>
                <w:rStyle w:val="IndexLink"/>
                <w:rtl w:val="true"/>
              </w:rPr>
              <w:t>عند الحقوقیین</w:t>
            </w:r>
            <w:r>
              <w:rPr>
                <w:rStyle w:val="IndexLink"/>
                <w:rtl w:val="true"/>
              </w:rPr>
              <w:tab/>
            </w:r>
            <w:r>
              <w:rPr>
                <w:rStyle w:val="IndexLink"/>
              </w:rPr>
              <w:t>34</w:t>
            </w:r>
          </w:hyperlink>
        </w:p>
        <w:p>
          <w:pPr>
            <w:pStyle w:val="Contents4"/>
            <w:tabs>
              <w:tab w:val="clear" w:pos="8176"/>
              <w:tab w:val="right" w:pos="9026" w:leader="dot"/>
            </w:tabs>
            <w:rPr/>
          </w:pPr>
          <w:hyperlink w:anchor="__RefHeading___Toc37386_581953129">
            <w:r>
              <w:rPr>
                <w:webHidden/>
                <w:rStyle w:val="IndexLink"/>
                <w:rtl w:val="true"/>
              </w:rPr>
              <w:t>الحکم</w:t>
            </w:r>
            <w:r>
              <w:rPr>
                <w:rStyle w:val="IndexLink"/>
                <w:rtl w:val="true"/>
              </w:rPr>
              <w:tab/>
            </w:r>
            <w:r>
              <w:rPr>
                <w:rStyle w:val="IndexLink"/>
              </w:rPr>
              <w:t>35</w:t>
            </w:r>
          </w:hyperlink>
        </w:p>
        <w:p>
          <w:pPr>
            <w:pStyle w:val="Contents5"/>
            <w:tabs>
              <w:tab w:val="clear" w:pos="7892"/>
              <w:tab w:val="right" w:pos="9026" w:leader="dot"/>
            </w:tabs>
            <w:rPr/>
          </w:pPr>
          <w:hyperlink w:anchor="__RefHeading___Toc37388_581953129">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37390_581953129">
            <w:r>
              <w:rPr>
                <w:webHidden/>
                <w:rStyle w:val="IndexLink"/>
              </w:rPr>
              <w:t>1</w:t>
            </w:r>
            <w:r>
              <w:rPr>
                <w:rStyle w:val="IndexLink"/>
                <w:rtl w:val="true"/>
              </w:rPr>
              <w:t xml:space="preserve">. </w:t>
            </w:r>
            <w:r>
              <w:rPr>
                <w:rStyle w:val="IndexLink"/>
                <w:rtl w:val="true"/>
              </w:rPr>
              <w:t>لغة</w:t>
            </w:r>
            <w:r>
              <w:rPr>
                <w:rStyle w:val="IndexLink"/>
                <w:rtl w:val="true"/>
              </w:rPr>
              <w:tab/>
            </w:r>
            <w:r>
              <w:rPr>
                <w:rStyle w:val="IndexLink"/>
              </w:rPr>
              <w:t>35</w:t>
            </w:r>
          </w:hyperlink>
        </w:p>
        <w:p>
          <w:pPr>
            <w:pStyle w:val="Contents5"/>
            <w:tabs>
              <w:tab w:val="clear" w:pos="7892"/>
              <w:tab w:val="right" w:pos="9026" w:leader="dot"/>
            </w:tabs>
            <w:rPr/>
          </w:pPr>
          <w:hyperlink w:anchor="__RefHeading___Toc37392_581953129">
            <w:r>
              <w:rPr>
                <w:webHidden/>
                <w:rStyle w:val="IndexLink"/>
              </w:rPr>
              <w:t>2</w:t>
            </w:r>
            <w:r>
              <w:rPr>
                <w:rStyle w:val="IndexLink"/>
                <w:rtl w:val="true"/>
              </w:rPr>
              <w:t xml:space="preserve">. </w:t>
            </w:r>
            <w:r>
              <w:rPr>
                <w:rStyle w:val="IndexLink"/>
                <w:rtl w:val="true"/>
              </w:rPr>
              <w:t>اصطلاحاً</w:t>
            </w:r>
            <w:r>
              <w:rPr>
                <w:rStyle w:val="IndexLink"/>
                <w:rtl w:val="true"/>
              </w:rPr>
              <w:tab/>
            </w:r>
            <w:r>
              <w:rPr>
                <w:rStyle w:val="IndexLink"/>
              </w:rPr>
              <w:t>36</w:t>
            </w:r>
          </w:hyperlink>
        </w:p>
        <w:p>
          <w:pPr>
            <w:pStyle w:val="Contents4"/>
            <w:tabs>
              <w:tab w:val="clear" w:pos="8176"/>
              <w:tab w:val="right" w:pos="9026" w:leader="dot"/>
            </w:tabs>
            <w:rPr/>
          </w:pPr>
          <w:hyperlink w:anchor="__RefHeading___Toc37394_581953129">
            <w:r>
              <w:rPr>
                <w:webHidden/>
                <w:rStyle w:val="IndexLink"/>
                <w:rtl w:val="true"/>
              </w:rPr>
              <w:t>الفرق بین الحقّ والحکم</w:t>
            </w:r>
            <w:r>
              <w:rPr>
                <w:rStyle w:val="IndexLink"/>
                <w:rtl w:val="true"/>
              </w:rPr>
              <w:tab/>
            </w:r>
            <w:r>
              <w:rPr>
                <w:rStyle w:val="IndexLink"/>
              </w:rPr>
              <w:t>37</w:t>
            </w:r>
          </w:hyperlink>
        </w:p>
        <w:p>
          <w:pPr>
            <w:pStyle w:val="Contents4"/>
            <w:tabs>
              <w:tab w:val="clear" w:pos="8176"/>
              <w:tab w:val="right" w:pos="9026" w:leader="dot"/>
            </w:tabs>
            <w:rPr/>
          </w:pPr>
          <w:hyperlink w:anchor="__RefHeading___Toc37396_581953129">
            <w:r>
              <w:rPr>
                <w:webHidden/>
                <w:rStyle w:val="IndexLink"/>
                <w:rtl w:val="true"/>
              </w:rPr>
              <w:t>دراسة تأریخیّة للحقوق الزّوجیّة فی الدّیانات الإلهیّة السّابقة</w:t>
            </w:r>
            <w:r>
              <w:rPr>
                <w:rStyle w:val="IndexLink"/>
                <w:rtl w:val="true"/>
              </w:rPr>
              <w:tab/>
            </w:r>
            <w:r>
              <w:rPr>
                <w:rStyle w:val="IndexLink"/>
              </w:rPr>
              <w:t>38</w:t>
            </w:r>
          </w:hyperlink>
        </w:p>
        <w:p>
          <w:pPr>
            <w:pStyle w:val="Contents4"/>
            <w:tabs>
              <w:tab w:val="clear" w:pos="8176"/>
              <w:tab w:val="right" w:pos="9026" w:leader="dot"/>
            </w:tabs>
            <w:rPr/>
          </w:pPr>
          <w:hyperlink w:anchor="__RefHeading___Toc37398_581953129">
            <w:r>
              <w:rPr>
                <w:webHidden/>
                <w:rStyle w:val="IndexLink"/>
                <w:rtl w:val="true"/>
              </w:rPr>
              <w:t>دراسة تأریخیّة للحقوق الزّوجیّة فی المجتمعات البشریّة</w:t>
            </w:r>
            <w:r>
              <w:rPr>
                <w:rStyle w:val="IndexLink"/>
                <w:rtl w:val="true"/>
              </w:rPr>
              <w:tab/>
            </w:r>
            <w:r>
              <w:rPr>
                <w:rStyle w:val="IndexLink"/>
              </w:rPr>
              <w:t>41</w:t>
            </w:r>
          </w:hyperlink>
        </w:p>
        <w:p>
          <w:pPr>
            <w:pStyle w:val="Contents2"/>
            <w:tabs>
              <w:tab w:val="clear" w:pos="8743"/>
              <w:tab w:val="right" w:pos="9026" w:leader="dot"/>
            </w:tabs>
            <w:rPr/>
          </w:pPr>
          <w:hyperlink w:anchor="__RefHeading___Toc37400_581953129">
            <w:r>
              <w:rPr>
                <w:webHidden/>
                <w:rStyle w:val="IndexLink"/>
                <w:rtl w:val="true"/>
              </w:rPr>
              <w:t>الفصل الثانی</w:t>
            </w:r>
            <w:r>
              <w:rPr>
                <w:rStyle w:val="IndexLink"/>
                <w:rtl w:val="true"/>
              </w:rPr>
              <w:t xml:space="preserve">: </w:t>
            </w:r>
            <w:r>
              <w:rPr>
                <w:rStyle w:val="IndexLink"/>
                <w:rtl w:val="true"/>
              </w:rPr>
              <w:t>نشوز الزّوجة</w:t>
            </w:r>
            <w:r>
              <w:rPr>
                <w:rStyle w:val="IndexLink"/>
                <w:rtl w:val="true"/>
              </w:rPr>
              <w:tab/>
            </w:r>
            <w:r>
              <w:rPr>
                <w:rStyle w:val="IndexLink"/>
              </w:rPr>
              <w:t>45</w:t>
            </w:r>
          </w:hyperlink>
        </w:p>
        <w:p>
          <w:pPr>
            <w:pStyle w:val="Contents3"/>
            <w:tabs>
              <w:tab w:val="clear" w:pos="8459"/>
              <w:tab w:val="right" w:pos="9026" w:leader="dot"/>
            </w:tabs>
            <w:rPr/>
          </w:pPr>
          <w:hyperlink w:anchor="__RefHeading___Toc37402_581953129">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37404_581953129">
            <w:r>
              <w:rPr>
                <w:webHidden/>
                <w:rStyle w:val="IndexLink"/>
                <w:rtl w:val="true"/>
              </w:rPr>
              <w:t>التمهید</w:t>
            </w:r>
            <w:r>
              <w:rPr>
                <w:rStyle w:val="IndexLink"/>
                <w:rtl w:val="true"/>
              </w:rPr>
              <w:tab/>
            </w:r>
            <w:r>
              <w:rPr>
                <w:rStyle w:val="IndexLink"/>
              </w:rPr>
              <w:t>46</w:t>
            </w:r>
          </w:hyperlink>
        </w:p>
        <w:p>
          <w:pPr>
            <w:pStyle w:val="Contents3"/>
            <w:tabs>
              <w:tab w:val="clear" w:pos="8459"/>
              <w:tab w:val="right" w:pos="9026" w:leader="dot"/>
            </w:tabs>
            <w:rPr/>
          </w:pPr>
          <w:hyperlink w:anchor="__RefHeading___Toc37406_581953129">
            <w:r>
              <w:rPr>
                <w:webHidden/>
                <w:rStyle w:val="IndexLink"/>
                <w:rtl w:val="true"/>
              </w:rPr>
              <w:t>المبحث الأوّل</w:t>
            </w:r>
            <w:r>
              <w:rPr>
                <w:rStyle w:val="IndexLink"/>
                <w:rtl w:val="true"/>
              </w:rPr>
              <w:t>:</w:t>
            </w:r>
            <w:r>
              <w:rPr>
                <w:rStyle w:val="IndexLink"/>
                <w:rtl w:val="true"/>
              </w:rPr>
              <w:t>حقوق الزّوج علی زوجته</w:t>
            </w:r>
            <w:r>
              <w:rPr>
                <w:rStyle w:val="IndexLink"/>
                <w:rtl w:val="true"/>
              </w:rPr>
              <w:tab/>
            </w:r>
            <w:r>
              <w:rPr>
                <w:rStyle w:val="IndexLink"/>
              </w:rPr>
              <w:t>47</w:t>
            </w:r>
          </w:hyperlink>
        </w:p>
        <w:p>
          <w:pPr>
            <w:pStyle w:val="Contents4"/>
            <w:tabs>
              <w:tab w:val="clear" w:pos="8176"/>
              <w:tab w:val="right" w:pos="9026" w:leader="dot"/>
            </w:tabs>
            <w:rPr/>
          </w:pPr>
          <w:hyperlink w:anchor="__RefHeading___Toc37408_581953129">
            <w:r>
              <w:rPr>
                <w:webHidden/>
                <w:rStyle w:val="IndexLink"/>
                <w:rtl w:val="true"/>
              </w:rPr>
              <w:t>حقوق الزّوج علی زوجته</w:t>
            </w:r>
            <w:r>
              <w:rPr>
                <w:rStyle w:val="IndexLink"/>
                <w:rtl w:val="true"/>
              </w:rPr>
              <w:tab/>
            </w:r>
            <w:r>
              <w:rPr>
                <w:rStyle w:val="IndexLink"/>
              </w:rPr>
              <w:t>47</w:t>
            </w:r>
          </w:hyperlink>
        </w:p>
        <w:p>
          <w:pPr>
            <w:pStyle w:val="Contents4"/>
            <w:tabs>
              <w:tab w:val="clear" w:pos="8176"/>
              <w:tab w:val="right" w:pos="9026" w:leader="dot"/>
            </w:tabs>
            <w:rPr/>
          </w:pPr>
          <w:hyperlink w:anchor="__RefHeading___Toc37410_581953129">
            <w:r>
              <w:rPr>
                <w:webHidden/>
                <w:rStyle w:val="IndexLink"/>
                <w:rtl w:val="true"/>
              </w:rPr>
              <w:t>حقّ الطّاعة</w:t>
            </w:r>
            <w:r>
              <w:rPr>
                <w:rStyle w:val="IndexLink"/>
                <w:rtl w:val="true"/>
              </w:rPr>
              <w:tab/>
            </w:r>
            <w:r>
              <w:rPr>
                <w:rStyle w:val="IndexLink"/>
              </w:rPr>
              <w:t>47</w:t>
            </w:r>
          </w:hyperlink>
        </w:p>
        <w:p>
          <w:pPr>
            <w:pStyle w:val="Contents3"/>
            <w:tabs>
              <w:tab w:val="clear" w:pos="8459"/>
              <w:tab w:val="right" w:pos="9026" w:leader="dot"/>
            </w:tabs>
            <w:rPr/>
          </w:pPr>
          <w:hyperlink w:anchor="__RefHeading___Toc37412_581953129">
            <w:r>
              <w:rPr>
                <w:webHidden/>
                <w:rStyle w:val="IndexLink"/>
                <w:rtl w:val="true"/>
              </w:rPr>
              <w:t>المبحث الثّانی</w:t>
            </w:r>
            <w:r>
              <w:rPr>
                <w:rStyle w:val="IndexLink"/>
                <w:rtl w:val="true"/>
              </w:rPr>
              <w:t>:</w:t>
            </w:r>
            <w:r>
              <w:rPr>
                <w:rStyle w:val="IndexLink"/>
                <w:rtl w:val="true"/>
              </w:rPr>
              <w:t>کیف یتحقّق نشوز الزّوجة</w:t>
            </w:r>
            <w:r>
              <w:rPr>
                <w:rStyle w:val="IndexLink"/>
                <w:rtl w:val="true"/>
              </w:rPr>
              <w:tab/>
            </w:r>
            <w:r>
              <w:rPr>
                <w:rStyle w:val="IndexLink"/>
              </w:rPr>
              <w:t>56</w:t>
            </w:r>
          </w:hyperlink>
        </w:p>
        <w:p>
          <w:pPr>
            <w:pStyle w:val="Contents3"/>
            <w:tabs>
              <w:tab w:val="clear" w:pos="8459"/>
              <w:tab w:val="right" w:pos="9026" w:leader="dot"/>
            </w:tabs>
            <w:rPr/>
          </w:pPr>
          <w:hyperlink w:anchor="__RefHeading___Toc37414_581953129">
            <w:r>
              <w:rPr>
                <w:webHidden/>
                <w:rStyle w:val="IndexLink"/>
                <w:rtl w:val="true"/>
              </w:rPr>
              <w:t>المبحث الثّالث</w:t>
            </w:r>
            <w:r>
              <w:rPr>
                <w:rStyle w:val="IndexLink"/>
                <w:rtl w:val="true"/>
              </w:rPr>
              <w:t>:</w:t>
            </w:r>
            <w:r>
              <w:rPr>
                <w:rStyle w:val="IndexLink"/>
                <w:rtl w:val="true"/>
              </w:rPr>
              <w:t>آثار نشوز الزّوجة علی العائلة</w:t>
            </w:r>
            <w:r>
              <w:rPr>
                <w:rStyle w:val="IndexLink"/>
                <w:rtl w:val="true"/>
              </w:rPr>
              <w:tab/>
            </w:r>
            <w:r>
              <w:rPr>
                <w:rStyle w:val="IndexLink"/>
              </w:rPr>
              <w:t>63</w:t>
            </w:r>
          </w:hyperlink>
        </w:p>
        <w:p>
          <w:pPr>
            <w:pStyle w:val="Contents3"/>
            <w:tabs>
              <w:tab w:val="clear" w:pos="8459"/>
              <w:tab w:val="right" w:pos="9026" w:leader="dot"/>
            </w:tabs>
            <w:rPr/>
          </w:pPr>
          <w:hyperlink w:anchor="__RefHeading___Toc37416_581953129">
            <w:r>
              <w:rPr>
                <w:webHidden/>
                <w:rStyle w:val="IndexLink"/>
                <w:rtl w:val="true"/>
              </w:rPr>
              <w:t>المبحث الرّابع</w:t>
            </w:r>
            <w:r>
              <w:rPr>
                <w:rStyle w:val="IndexLink"/>
                <w:rtl w:val="true"/>
              </w:rPr>
              <w:t>:</w:t>
            </w:r>
            <w:r>
              <w:rPr>
                <w:rStyle w:val="IndexLink"/>
                <w:rtl w:val="true"/>
              </w:rPr>
              <w:t>أحکام نشوز الزّوجة</w:t>
            </w:r>
            <w:r>
              <w:rPr>
                <w:rStyle w:val="IndexLink"/>
                <w:rtl w:val="true"/>
              </w:rPr>
              <w:tab/>
            </w:r>
            <w:r>
              <w:rPr>
                <w:rStyle w:val="IndexLink"/>
              </w:rPr>
              <w:t>69</w:t>
            </w:r>
          </w:hyperlink>
        </w:p>
        <w:p>
          <w:pPr>
            <w:pStyle w:val="Contents4"/>
            <w:tabs>
              <w:tab w:val="clear" w:pos="8176"/>
              <w:tab w:val="right" w:pos="9026" w:leader="dot"/>
            </w:tabs>
            <w:rPr/>
          </w:pPr>
          <w:hyperlink w:anchor="__RefHeading___Toc37418_581953129">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37420_581953129">
            <w:r>
              <w:rPr>
                <w:webHidden/>
                <w:rStyle w:val="IndexLink"/>
              </w:rPr>
              <w:t>1</w:t>
            </w:r>
            <w:r>
              <w:rPr>
                <w:rStyle w:val="IndexLink"/>
                <w:rtl w:val="true"/>
              </w:rPr>
              <w:t xml:space="preserve">. </w:t>
            </w:r>
            <w:r>
              <w:rPr>
                <w:rStyle w:val="IndexLink"/>
                <w:rtl w:val="true"/>
              </w:rPr>
              <w:t>الوعظ</w:t>
            </w:r>
            <w:r>
              <w:rPr>
                <w:rStyle w:val="IndexLink"/>
                <w:rtl w:val="true"/>
              </w:rPr>
              <w:tab/>
            </w:r>
            <w:r>
              <w:rPr>
                <w:rStyle w:val="IndexLink"/>
              </w:rPr>
              <w:t>70</w:t>
            </w:r>
          </w:hyperlink>
        </w:p>
        <w:p>
          <w:pPr>
            <w:pStyle w:val="Contents4"/>
            <w:tabs>
              <w:tab w:val="clear" w:pos="8176"/>
              <w:tab w:val="right" w:pos="9026" w:leader="dot"/>
            </w:tabs>
            <w:rPr/>
          </w:pPr>
          <w:hyperlink w:anchor="__RefHeading___Toc37422_581953129">
            <w:r>
              <w:rPr>
                <w:webHidden/>
                <w:rStyle w:val="IndexLink"/>
              </w:rPr>
              <w:t>2</w:t>
            </w:r>
            <w:r>
              <w:rPr>
                <w:rStyle w:val="IndexLink"/>
                <w:rtl w:val="true"/>
              </w:rPr>
              <w:t xml:space="preserve">. </w:t>
            </w:r>
            <w:r>
              <w:rPr>
                <w:rStyle w:val="IndexLink"/>
                <w:rtl w:val="true"/>
              </w:rPr>
              <w:t>الهجر</w:t>
            </w:r>
            <w:r>
              <w:rPr>
                <w:rStyle w:val="IndexLink"/>
                <w:rtl w:val="true"/>
              </w:rPr>
              <w:tab/>
            </w:r>
            <w:r>
              <w:rPr>
                <w:rStyle w:val="IndexLink"/>
              </w:rPr>
              <w:t>72</w:t>
            </w:r>
          </w:hyperlink>
        </w:p>
        <w:p>
          <w:pPr>
            <w:pStyle w:val="Contents4"/>
            <w:tabs>
              <w:tab w:val="clear" w:pos="8176"/>
              <w:tab w:val="right" w:pos="9026" w:leader="dot"/>
            </w:tabs>
            <w:rPr/>
          </w:pPr>
          <w:hyperlink w:anchor="__RefHeading___Toc37424_581953129">
            <w:r>
              <w:rPr>
                <w:webHidden/>
                <w:rStyle w:val="IndexLink"/>
              </w:rPr>
              <w:t>3</w:t>
            </w:r>
            <w:r>
              <w:rPr>
                <w:rStyle w:val="IndexLink"/>
                <w:rtl w:val="true"/>
              </w:rPr>
              <w:t xml:space="preserve">. </w:t>
            </w:r>
            <w:r>
              <w:rPr>
                <w:rStyle w:val="IndexLink"/>
                <w:rtl w:val="true"/>
              </w:rPr>
              <w:t>الضرب</w:t>
            </w:r>
            <w:r>
              <w:rPr>
                <w:rStyle w:val="IndexLink"/>
                <w:rtl w:val="true"/>
              </w:rPr>
              <w:tab/>
            </w:r>
            <w:r>
              <w:rPr>
                <w:rStyle w:val="IndexLink"/>
              </w:rPr>
              <w:t>75</w:t>
            </w:r>
          </w:hyperlink>
        </w:p>
        <w:p>
          <w:pPr>
            <w:pStyle w:val="Contents2"/>
            <w:tabs>
              <w:tab w:val="clear" w:pos="8743"/>
              <w:tab w:val="right" w:pos="9026" w:leader="dot"/>
            </w:tabs>
            <w:rPr/>
          </w:pPr>
          <w:hyperlink w:anchor="__RefHeading___Toc37426_581953129">
            <w:r>
              <w:rPr>
                <w:webHidden/>
                <w:rStyle w:val="IndexLink"/>
                <w:rtl w:val="true"/>
              </w:rPr>
              <w:t>الفصل الثالث</w:t>
            </w:r>
            <w:r>
              <w:rPr>
                <w:rStyle w:val="IndexLink"/>
                <w:rtl w:val="true"/>
              </w:rPr>
              <w:t xml:space="preserve">: </w:t>
            </w:r>
            <w:r>
              <w:rPr>
                <w:rStyle w:val="IndexLink"/>
                <w:rtl w:val="true"/>
              </w:rPr>
              <w:t>نشوز الزّوج</w:t>
            </w:r>
            <w:r>
              <w:rPr>
                <w:rStyle w:val="IndexLink"/>
                <w:rtl w:val="true"/>
              </w:rPr>
              <w:tab/>
            </w:r>
            <w:r>
              <w:rPr>
                <w:rStyle w:val="IndexLink"/>
              </w:rPr>
              <w:t>82</w:t>
            </w:r>
          </w:hyperlink>
        </w:p>
        <w:p>
          <w:pPr>
            <w:pStyle w:val="Contents3"/>
            <w:tabs>
              <w:tab w:val="clear" w:pos="8459"/>
              <w:tab w:val="right" w:pos="9026" w:leader="dot"/>
            </w:tabs>
            <w:rPr/>
          </w:pPr>
          <w:hyperlink w:anchor="__RefHeading___Toc37428_581953129">
            <w:r>
              <w:rPr>
                <w:webHidden/>
                <w:rStyle w:val="IndexLink"/>
                <w:rtl w:val="true"/>
              </w:rPr>
              <w:t>اشارة</w:t>
            </w:r>
            <w:r>
              <w:rPr>
                <w:rStyle w:val="IndexLink"/>
                <w:rtl w:val="true"/>
              </w:rPr>
              <w:tab/>
            </w:r>
            <w:r>
              <w:rPr>
                <w:rStyle w:val="IndexLink"/>
              </w:rPr>
              <w:t>82</w:t>
            </w:r>
          </w:hyperlink>
        </w:p>
        <w:p>
          <w:pPr>
            <w:pStyle w:val="Contents3"/>
            <w:tabs>
              <w:tab w:val="clear" w:pos="8459"/>
              <w:tab w:val="right" w:pos="9026" w:leader="dot"/>
            </w:tabs>
            <w:rPr/>
          </w:pPr>
          <w:hyperlink w:anchor="__RefHeading___Toc37430_581953129">
            <w:r>
              <w:rPr>
                <w:webHidden/>
                <w:rStyle w:val="IndexLink"/>
                <w:rtl w:val="true"/>
              </w:rPr>
              <w:t>التمهید</w:t>
            </w:r>
            <w:r>
              <w:rPr>
                <w:rStyle w:val="IndexLink"/>
                <w:rtl w:val="true"/>
              </w:rPr>
              <w:tab/>
            </w:r>
            <w:r>
              <w:rPr>
                <w:rStyle w:val="IndexLink"/>
              </w:rPr>
              <w:t>83</w:t>
            </w:r>
          </w:hyperlink>
        </w:p>
        <w:p>
          <w:pPr>
            <w:pStyle w:val="Contents3"/>
            <w:tabs>
              <w:tab w:val="clear" w:pos="8459"/>
              <w:tab w:val="right" w:pos="9026" w:leader="dot"/>
            </w:tabs>
            <w:rPr/>
          </w:pPr>
          <w:hyperlink w:anchor="__RefHeading___Toc37432_581953129">
            <w:r>
              <w:rPr>
                <w:webHidden/>
                <w:rStyle w:val="IndexLink"/>
                <w:rtl w:val="true"/>
              </w:rPr>
              <w:t>المبحث الأوّل</w:t>
            </w:r>
            <w:r>
              <w:rPr>
                <w:rStyle w:val="IndexLink"/>
                <w:rtl w:val="true"/>
              </w:rPr>
              <w:tab/>
            </w:r>
            <w:r>
              <w:rPr>
                <w:rStyle w:val="IndexLink"/>
              </w:rPr>
              <w:t>84</w:t>
            </w:r>
          </w:hyperlink>
        </w:p>
        <w:p>
          <w:pPr>
            <w:pStyle w:val="Contents4"/>
            <w:tabs>
              <w:tab w:val="clear" w:pos="8176"/>
              <w:tab w:val="right" w:pos="9026" w:leader="dot"/>
            </w:tabs>
            <w:rPr/>
          </w:pPr>
          <w:hyperlink w:anchor="__RefHeading___Toc37434_581953129">
            <w:r>
              <w:rPr>
                <w:webHidden/>
                <w:rStyle w:val="IndexLink"/>
                <w:rtl w:val="true"/>
              </w:rPr>
              <w:t>حقوق الزّوجة علی الزّوج</w:t>
            </w:r>
            <w:r>
              <w:rPr>
                <w:rStyle w:val="IndexLink"/>
                <w:rtl w:val="true"/>
              </w:rPr>
              <w:tab/>
            </w:r>
            <w:r>
              <w:rPr>
                <w:rStyle w:val="IndexLink"/>
              </w:rPr>
              <w:t>84</w:t>
            </w:r>
          </w:hyperlink>
        </w:p>
        <w:p>
          <w:pPr>
            <w:pStyle w:val="Contents4"/>
            <w:tabs>
              <w:tab w:val="clear" w:pos="8176"/>
              <w:tab w:val="right" w:pos="9026" w:leader="dot"/>
            </w:tabs>
            <w:rPr/>
          </w:pPr>
          <w:hyperlink w:anchor="__RefHeading___Toc37436_581953129">
            <w:r>
              <w:rPr>
                <w:webHidden/>
                <w:rStyle w:val="IndexLink"/>
                <w:rtl w:val="true"/>
              </w:rPr>
              <w:t>الجانب المادّی من حقوق الزّوجة</w:t>
            </w:r>
            <w:r>
              <w:rPr>
                <w:rStyle w:val="IndexLink"/>
                <w:rtl w:val="true"/>
              </w:rPr>
              <w:tab/>
            </w:r>
            <w:r>
              <w:rPr>
                <w:rStyle w:val="IndexLink"/>
              </w:rPr>
              <w:t>85</w:t>
            </w:r>
          </w:hyperlink>
        </w:p>
        <w:p>
          <w:pPr>
            <w:pStyle w:val="Contents5"/>
            <w:tabs>
              <w:tab w:val="clear" w:pos="7892"/>
              <w:tab w:val="right" w:pos="9026" w:leader="dot"/>
            </w:tabs>
            <w:rPr/>
          </w:pPr>
          <w:hyperlink w:anchor="__RefHeading___Toc37438_581953129">
            <w:r>
              <w:rPr>
                <w:webHidden/>
                <w:rStyle w:val="IndexLink"/>
              </w:rPr>
              <w:t>1</w:t>
            </w:r>
            <w:r>
              <w:rPr>
                <w:rStyle w:val="IndexLink"/>
                <w:rtl w:val="true"/>
              </w:rPr>
              <w:t xml:space="preserve">. </w:t>
            </w:r>
            <w:r>
              <w:rPr>
                <w:rStyle w:val="IndexLink"/>
                <w:rtl w:val="true"/>
              </w:rPr>
              <w:t>حقّ النّفقة</w:t>
            </w:r>
            <w:r>
              <w:rPr>
                <w:rStyle w:val="IndexLink"/>
                <w:rtl w:val="true"/>
              </w:rPr>
              <w:tab/>
            </w:r>
            <w:r>
              <w:rPr>
                <w:rStyle w:val="IndexLink"/>
              </w:rPr>
              <w:t>85</w:t>
            </w:r>
          </w:hyperlink>
        </w:p>
        <w:p>
          <w:pPr>
            <w:pStyle w:val="Contents5"/>
            <w:tabs>
              <w:tab w:val="clear" w:pos="7892"/>
              <w:tab w:val="right" w:pos="9026" w:leader="dot"/>
            </w:tabs>
            <w:rPr/>
          </w:pPr>
          <w:hyperlink w:anchor="__RefHeading___Toc37440_581953129">
            <w:r>
              <w:rPr>
                <w:webHidden/>
                <w:rStyle w:val="IndexLink"/>
              </w:rPr>
              <w:t>2</w:t>
            </w:r>
            <w:r>
              <w:rPr>
                <w:rStyle w:val="IndexLink"/>
                <w:rtl w:val="true"/>
              </w:rPr>
              <w:t xml:space="preserve">. </w:t>
            </w:r>
            <w:r>
              <w:rPr>
                <w:rStyle w:val="IndexLink"/>
                <w:rtl w:val="true"/>
              </w:rPr>
              <w:t>حقّ المهر</w:t>
            </w:r>
            <w:r>
              <w:rPr>
                <w:rStyle w:val="IndexLink"/>
                <w:rtl w:val="true"/>
              </w:rPr>
              <w:tab/>
            </w:r>
            <w:r>
              <w:rPr>
                <w:rStyle w:val="IndexLink"/>
              </w:rPr>
              <w:t>90</w:t>
            </w:r>
          </w:hyperlink>
        </w:p>
        <w:p>
          <w:pPr>
            <w:pStyle w:val="Contents4"/>
            <w:tabs>
              <w:tab w:val="clear" w:pos="8176"/>
              <w:tab w:val="right" w:pos="9026" w:leader="dot"/>
            </w:tabs>
            <w:rPr/>
          </w:pPr>
          <w:hyperlink w:anchor="__RefHeading___Toc37442_581953129">
            <w:r>
              <w:rPr>
                <w:webHidden/>
                <w:rStyle w:val="IndexLink"/>
                <w:rtl w:val="true"/>
              </w:rPr>
              <w:t>الجانب المعنویّ والمشترک من حقوق الزّوجیّة</w:t>
            </w:r>
            <w:r>
              <w:rPr>
                <w:rStyle w:val="IndexLink"/>
                <w:rtl w:val="true"/>
              </w:rPr>
              <w:tab/>
            </w:r>
            <w:r>
              <w:rPr>
                <w:rStyle w:val="IndexLink"/>
              </w:rPr>
              <w:t>95</w:t>
            </w:r>
          </w:hyperlink>
        </w:p>
        <w:p>
          <w:pPr>
            <w:pStyle w:val="Contents5"/>
            <w:tabs>
              <w:tab w:val="clear" w:pos="7892"/>
              <w:tab w:val="right" w:pos="9026" w:leader="dot"/>
            </w:tabs>
            <w:rPr/>
          </w:pPr>
          <w:hyperlink w:anchor="__RefHeading___Toc37444_581953129">
            <w:r>
              <w:rPr>
                <w:webHidden/>
                <w:rStyle w:val="IndexLink"/>
                <w:rtl w:val="true"/>
              </w:rPr>
              <w:t>حُسن المعاشرة</w:t>
            </w:r>
            <w:r>
              <w:rPr>
                <w:rStyle w:val="IndexLink"/>
                <w:rtl w:val="true"/>
              </w:rPr>
              <w:tab/>
            </w:r>
            <w:r>
              <w:rPr>
                <w:rStyle w:val="IndexLink"/>
              </w:rPr>
              <w:t>95</w:t>
            </w:r>
          </w:hyperlink>
        </w:p>
        <w:p>
          <w:pPr>
            <w:pStyle w:val="Contents3"/>
            <w:tabs>
              <w:tab w:val="clear" w:pos="8459"/>
              <w:tab w:val="right" w:pos="9026" w:leader="dot"/>
            </w:tabs>
            <w:rPr/>
          </w:pPr>
          <w:hyperlink w:anchor="__RefHeading___Toc37446_581953129">
            <w:r>
              <w:rPr>
                <w:webHidden/>
                <w:rStyle w:val="IndexLink"/>
                <w:rtl w:val="true"/>
              </w:rPr>
              <w:t>المبحث الثّانی</w:t>
            </w:r>
            <w:r>
              <w:rPr>
                <w:rStyle w:val="IndexLink"/>
                <w:rtl w:val="true"/>
              </w:rPr>
              <w:t>:</w:t>
            </w:r>
            <w:r>
              <w:rPr>
                <w:rStyle w:val="IndexLink"/>
                <w:rtl w:val="true"/>
              </w:rPr>
              <w:t>کیف یتحقق نشوز الزّوج</w:t>
            </w:r>
            <w:r>
              <w:rPr>
                <w:rStyle w:val="IndexLink"/>
                <w:rtl w:val="true"/>
              </w:rPr>
              <w:tab/>
            </w:r>
            <w:r>
              <w:rPr>
                <w:rStyle w:val="IndexLink"/>
              </w:rPr>
              <w:t>100</w:t>
            </w:r>
          </w:hyperlink>
        </w:p>
        <w:p>
          <w:pPr>
            <w:pStyle w:val="Contents3"/>
            <w:tabs>
              <w:tab w:val="clear" w:pos="8459"/>
              <w:tab w:val="right" w:pos="9026" w:leader="dot"/>
            </w:tabs>
            <w:rPr/>
          </w:pPr>
          <w:hyperlink w:anchor="__RefHeading___Toc37448_581953129">
            <w:r>
              <w:rPr>
                <w:webHidden/>
                <w:rStyle w:val="IndexLink"/>
                <w:rtl w:val="true"/>
              </w:rPr>
              <w:t>المبحث الثّالث</w:t>
            </w:r>
            <w:r>
              <w:rPr>
                <w:rStyle w:val="IndexLink"/>
                <w:rtl w:val="true"/>
              </w:rPr>
              <w:t>:</w:t>
            </w:r>
            <w:r>
              <w:rPr>
                <w:rStyle w:val="IndexLink"/>
                <w:rtl w:val="true"/>
              </w:rPr>
              <w:t>آثار نشوز الزّوج علی العائلة</w:t>
            </w:r>
            <w:r>
              <w:rPr>
                <w:rStyle w:val="IndexLink"/>
                <w:rtl w:val="true"/>
              </w:rPr>
              <w:tab/>
            </w:r>
            <w:r>
              <w:rPr>
                <w:rStyle w:val="IndexLink"/>
              </w:rPr>
              <w:t>107</w:t>
            </w:r>
          </w:hyperlink>
        </w:p>
        <w:p>
          <w:pPr>
            <w:pStyle w:val="Contents4"/>
            <w:tabs>
              <w:tab w:val="clear" w:pos="8176"/>
              <w:tab w:val="right" w:pos="9026" w:leader="dot"/>
            </w:tabs>
            <w:rPr/>
          </w:pPr>
          <w:hyperlink w:anchor="__RefHeading___Toc37450_581953129">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37452_581953129">
            <w:r>
              <w:rPr>
                <w:webHidden/>
                <w:rStyle w:val="IndexLink"/>
              </w:rPr>
              <w:t>1</w:t>
            </w:r>
            <w:r>
              <w:rPr>
                <w:rStyle w:val="IndexLink"/>
                <w:rtl w:val="true"/>
              </w:rPr>
              <w:t xml:space="preserve">. </w:t>
            </w:r>
            <w:r>
              <w:rPr>
                <w:rStyle w:val="IndexLink"/>
                <w:rtl w:val="true"/>
              </w:rPr>
              <w:t>الأضرار المتوجّهة للمرأة</w:t>
            </w:r>
            <w:r>
              <w:rPr>
                <w:rStyle w:val="IndexLink"/>
                <w:rtl w:val="true"/>
              </w:rPr>
              <w:tab/>
            </w:r>
            <w:r>
              <w:rPr>
                <w:rStyle w:val="IndexLink"/>
              </w:rPr>
              <w:t>110</w:t>
            </w:r>
          </w:hyperlink>
        </w:p>
        <w:p>
          <w:pPr>
            <w:pStyle w:val="Contents4"/>
            <w:tabs>
              <w:tab w:val="clear" w:pos="8176"/>
              <w:tab w:val="right" w:pos="9026" w:leader="dot"/>
            </w:tabs>
            <w:rPr/>
          </w:pPr>
          <w:hyperlink w:anchor="__RefHeading___Toc37454_581953129">
            <w:r>
              <w:rPr>
                <w:webHidden/>
                <w:rStyle w:val="IndexLink"/>
              </w:rPr>
              <w:t>2</w:t>
            </w:r>
            <w:r>
              <w:rPr>
                <w:rStyle w:val="IndexLink"/>
                <w:rtl w:val="true"/>
              </w:rPr>
              <w:t xml:space="preserve">. </w:t>
            </w:r>
            <w:r>
              <w:rPr>
                <w:rStyle w:val="IndexLink"/>
                <w:rtl w:val="true"/>
              </w:rPr>
              <w:t>الأضرار المتوجّهة للأطفال</w:t>
            </w:r>
            <w:r>
              <w:rPr>
                <w:rStyle w:val="IndexLink"/>
                <w:rtl w:val="true"/>
              </w:rPr>
              <w:tab/>
            </w:r>
            <w:r>
              <w:rPr>
                <w:rStyle w:val="IndexLink"/>
              </w:rPr>
              <w:t>110</w:t>
            </w:r>
          </w:hyperlink>
        </w:p>
        <w:p>
          <w:pPr>
            <w:pStyle w:val="Contents4"/>
            <w:tabs>
              <w:tab w:val="clear" w:pos="8176"/>
              <w:tab w:val="right" w:pos="9026" w:leader="dot"/>
            </w:tabs>
            <w:rPr/>
          </w:pPr>
          <w:hyperlink w:anchor="__RefHeading___Toc37456_581953129">
            <w:r>
              <w:rPr>
                <w:webHidden/>
                <w:rStyle w:val="IndexLink"/>
              </w:rPr>
              <w:t>3</w:t>
            </w:r>
            <w:r>
              <w:rPr>
                <w:rStyle w:val="IndexLink"/>
                <w:rtl w:val="true"/>
              </w:rPr>
              <w:t xml:space="preserve">. </w:t>
            </w:r>
            <w:r>
              <w:rPr>
                <w:rStyle w:val="IndexLink"/>
                <w:rtl w:val="true"/>
              </w:rPr>
              <w:t>الأضرار المتوجّهة للمجتمع</w:t>
            </w:r>
            <w:r>
              <w:rPr>
                <w:rStyle w:val="IndexLink"/>
                <w:rtl w:val="true"/>
              </w:rPr>
              <w:tab/>
            </w:r>
            <w:r>
              <w:rPr>
                <w:rStyle w:val="IndexLink"/>
              </w:rPr>
              <w:t>112</w:t>
            </w:r>
          </w:hyperlink>
        </w:p>
        <w:p>
          <w:pPr>
            <w:pStyle w:val="Contents3"/>
            <w:tabs>
              <w:tab w:val="clear" w:pos="8459"/>
              <w:tab w:val="right" w:pos="9026" w:leader="dot"/>
            </w:tabs>
            <w:rPr/>
          </w:pPr>
          <w:hyperlink w:anchor="__RefHeading___Toc37458_581953129">
            <w:r>
              <w:rPr>
                <w:webHidden/>
                <w:rStyle w:val="IndexLink"/>
                <w:rtl w:val="true"/>
              </w:rPr>
              <w:t>المبحث الرّابع</w:t>
            </w:r>
            <w:r>
              <w:rPr>
                <w:rStyle w:val="IndexLink"/>
                <w:rtl w:val="true"/>
              </w:rPr>
              <w:t>:</w:t>
            </w:r>
            <w:r>
              <w:rPr>
                <w:rStyle w:val="IndexLink"/>
                <w:rtl w:val="true"/>
              </w:rPr>
              <w:t>أحکام نشوز الزّوج</w:t>
            </w:r>
            <w:r>
              <w:rPr>
                <w:rStyle w:val="IndexLink"/>
                <w:rtl w:val="true"/>
              </w:rPr>
              <w:tab/>
            </w:r>
            <w:r>
              <w:rPr>
                <w:rStyle w:val="IndexLink"/>
              </w:rPr>
              <w:t>113</w:t>
            </w:r>
          </w:hyperlink>
        </w:p>
        <w:p>
          <w:pPr>
            <w:pStyle w:val="Contents4"/>
            <w:tabs>
              <w:tab w:val="clear" w:pos="8176"/>
              <w:tab w:val="right" w:pos="9026" w:leader="dot"/>
            </w:tabs>
            <w:rPr/>
          </w:pPr>
          <w:hyperlink w:anchor="__RefHeading___Toc37460_581953129">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37462_581953129">
            <w:r>
              <w:rPr>
                <w:webHidden/>
                <w:rStyle w:val="IndexLink"/>
              </w:rPr>
              <w:t>1</w:t>
            </w:r>
            <w:r>
              <w:rPr>
                <w:rStyle w:val="IndexLink"/>
                <w:rtl w:val="true"/>
              </w:rPr>
              <w:t xml:space="preserve">. </w:t>
            </w:r>
            <w:r>
              <w:rPr>
                <w:rStyle w:val="IndexLink"/>
                <w:rtl w:val="true"/>
              </w:rPr>
              <w:t>فی حالة عدم الإنفاق وسوء المعاملة</w:t>
            </w:r>
            <w:r>
              <w:rPr>
                <w:rStyle w:val="IndexLink"/>
                <w:rtl w:val="true"/>
              </w:rPr>
              <w:tab/>
            </w:r>
            <w:r>
              <w:rPr>
                <w:rStyle w:val="IndexLink"/>
              </w:rPr>
              <w:t>114</w:t>
            </w:r>
          </w:hyperlink>
        </w:p>
        <w:p>
          <w:pPr>
            <w:pStyle w:val="Contents4"/>
            <w:tabs>
              <w:tab w:val="clear" w:pos="8176"/>
              <w:tab w:val="right" w:pos="9026" w:leader="dot"/>
            </w:tabs>
            <w:rPr/>
          </w:pPr>
          <w:hyperlink w:anchor="__RefHeading___Toc37464_581953129">
            <w:r>
              <w:rPr>
                <w:webHidden/>
                <w:rStyle w:val="IndexLink"/>
              </w:rPr>
              <w:t>2</w:t>
            </w:r>
            <w:r>
              <w:rPr>
                <w:rStyle w:val="IndexLink"/>
                <w:rtl w:val="true"/>
              </w:rPr>
              <w:t xml:space="preserve">. </w:t>
            </w:r>
            <w:r>
              <w:rPr>
                <w:rStyle w:val="IndexLink"/>
                <w:rtl w:val="true"/>
              </w:rPr>
              <w:t>فی حالة إکراه الزّوجة والضّجر منها</w:t>
            </w:r>
            <w:r>
              <w:rPr>
                <w:rStyle w:val="IndexLink"/>
                <w:rtl w:val="true"/>
              </w:rPr>
              <w:tab/>
            </w:r>
            <w:r>
              <w:rPr>
                <w:rStyle w:val="IndexLink"/>
              </w:rPr>
              <w:t>120</w:t>
            </w:r>
          </w:hyperlink>
        </w:p>
        <w:p>
          <w:pPr>
            <w:pStyle w:val="Contents2"/>
            <w:tabs>
              <w:tab w:val="clear" w:pos="8743"/>
              <w:tab w:val="right" w:pos="9026" w:leader="dot"/>
            </w:tabs>
            <w:rPr/>
          </w:pPr>
          <w:hyperlink w:anchor="__RefHeading___Toc37466_581953129">
            <w:r>
              <w:rPr>
                <w:webHidden/>
                <w:rStyle w:val="IndexLink"/>
                <w:rtl w:val="true"/>
              </w:rPr>
              <w:t>خلاصّة البحث</w:t>
            </w:r>
            <w:r>
              <w:rPr>
                <w:rStyle w:val="IndexLink"/>
                <w:rtl w:val="true"/>
              </w:rPr>
              <w:tab/>
            </w:r>
            <w:r>
              <w:rPr>
                <w:rStyle w:val="IndexLink"/>
              </w:rPr>
              <w:t>126</w:t>
            </w:r>
          </w:hyperlink>
        </w:p>
        <w:p>
          <w:pPr>
            <w:pStyle w:val="Contents2"/>
            <w:tabs>
              <w:tab w:val="clear" w:pos="8743"/>
              <w:tab w:val="right" w:pos="9026" w:leader="dot"/>
            </w:tabs>
            <w:rPr/>
          </w:pPr>
          <w:hyperlink w:anchor="__RefHeading___Toc37468_581953129">
            <w:r>
              <w:rPr>
                <w:webHidden/>
                <w:rStyle w:val="IndexLink"/>
                <w:rtl w:val="true"/>
              </w:rPr>
              <w:t>المصادر</w:t>
            </w:r>
            <w:r>
              <w:rPr>
                <w:rStyle w:val="IndexLink"/>
                <w:rtl w:val="true"/>
              </w:rPr>
              <w:tab/>
            </w:r>
            <w:r>
              <w:rPr>
                <w:rStyle w:val="IndexLink"/>
              </w:rPr>
              <w:t>128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94_44603"/>
      <w:bookmarkStart w:id="1" w:name="pg5194_44603"/>
      <w:bookmarkEnd w:id="1"/>
    </w:p>
    <w:p>
      <w:pPr>
        <w:pStyle w:val="Heading2"/>
        <w:numPr>
          <w:ilvl w:val="1"/>
          <w:numId w:val="1"/>
        </w:numPr>
        <w:rPr/>
      </w:pPr>
      <w:bookmarkStart w:id="2" w:name="pg5194_44603"/>
      <w:bookmarkStart w:id="3" w:name="__RefHeading___Toc37332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 سوسن</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الحقوق الزوجیه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النشوز و الشقاق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سوسن علی‌حسین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المصطفی صلی الله علیه و آله العالمی للترجمه والنشر،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609</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253/2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297/642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2682501</w:t>
      </w:r>
    </w:p>
    <w:p>
      <w:pPr>
        <w:pStyle w:val="BookText"/>
        <w:rPr/>
      </w:pPr>
      <w:r>
        <w:rPr>
          <w:rFonts w:ascii="Amiri" w:hAnsi="Amiri" w:eastAsia="Amiri" w:cs="Amiri"/>
          <w:color w:val="111111"/>
          <w:sz w:val="28"/>
          <w:sz w:val="28"/>
          <w:szCs w:val="28"/>
          <w:rtl w:val="true"/>
          <w:lang w:bidi="ar-SA"/>
        </w:rPr>
        <w:t xml:space="preserve">الحقوق الزّوجیّة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أحکام النّشوز والشّقاق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سوسن علی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المصطفی صلی الله علیه و آله العالمی للترجمة والنشر</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22000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IRNazanin" w:hAnsi="IRNazanin" w:eastAsia="IRNazanin"/>
          <w:color w:val="111111"/>
          <w:sz w:val="28"/>
          <w:sz w:val="28"/>
          <w:szCs w:val="28"/>
          <w:rtl w:val="true"/>
          <w:lang w:bidi="fa-IR"/>
        </w:rPr>
        <w:t>التوزیع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ساحة الشهداء، شارع الحجتیّة، معرض مرکز المصطفی صلی الله علیه و آله العالمی للترجمة والنشر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الفکس</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02517839305</w:t>
      </w:r>
    </w:p>
    <w:p>
      <w:pPr>
        <w:pStyle w:val="BookText"/>
        <w:rPr/>
      </w:pPr>
      <w:r>
        <w:rPr>
          <w:rFonts w:ascii="IRNazanin" w:hAnsi="IRNazanin" w:eastAsia="IRNazanin"/>
          <w:color w:val="111111"/>
          <w:sz w:val="28"/>
          <w:sz w:val="28"/>
          <w:szCs w:val="28"/>
          <w:rtl w:val="true"/>
          <w:lang w:bidi="fa-IR"/>
        </w:rPr>
        <w:t>قم، شارع محمّد الأمین، تقاطع سالاریّة، معرض مرکز المصطفی صلی الله علیه و آله العالمی للترجمة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02512133106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02512133146</w:t>
      </w:r>
    </w:p>
    <w:p>
      <w:pPr>
        <w:pStyle w:val="BookText"/>
        <w:rPr/>
      </w:pPr>
      <w:r>
        <w:rPr>
          <w:rFonts w:eastAsia="Times New Roman" w:cs="Times New Roman" w:ascii="Times New Roman" w:hAnsi="Times New Roman"/>
          <w:color w:val="111111"/>
          <w:sz w:val="28"/>
          <w:szCs w:val="28"/>
          <w:lang w:val="en-US" w:bidi="en-US"/>
        </w:rPr>
        <w:t>www.eshop.miup.ir www.miup.ir</w:t>
      </w:r>
    </w:p>
    <w:p>
      <w:pPr>
        <w:pStyle w:val="BookText"/>
        <w:rPr/>
      </w:pPr>
      <w:r>
        <w:rPr>
          <w:rFonts w:eastAsia="Times New Roman" w:cs="Times New Roman" w:ascii="Times New Roman" w:hAnsi="Times New Roman"/>
          <w:color w:val="111111"/>
          <w:sz w:val="28"/>
          <w:szCs w:val="28"/>
          <w:lang w:val="en-US" w:bidi="en-US"/>
        </w:rPr>
        <w:t>root@miup.ir E-mail: admin@miup.ir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334_581953129"/>
      <w:bookmarkStart w:id="6" w:name="_Toc2"/>
      <w:bookmarkEnd w:id="5"/>
      <w:r>
        <w:rPr>
          <w:rtl w:val="true"/>
        </w:rPr>
        <w:t>الإهداء</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أهدی هذا الجهد المتواضع إلی أقوم أسرة فی الوجود إلی ریحانة المصطفی وبعلها سیّد الأوصیاء والمنتجبین فاطمة الزّهراء وأمیر المؤمنین علیهما السلام داعیة من الله العلیّ العظیم أن یتقبلها بقبول حسن</w:t>
      </w:r>
      <w:r>
        <w:rPr>
          <w:rFonts w:eastAsia="IRNazanin" w:cs="IRNazanin"/>
          <w:color w:val="111111"/>
          <w:sz w:val="28"/>
          <w:szCs w:val="28"/>
          <w:rtl w:val="true"/>
          <w:lang w:bidi="fa-IR"/>
        </w:rPr>
        <w:t>.</w:t>
      </w:r>
      <w:bookmarkStart w:id="7" w:name="pg5194_44607"/>
    </w:p>
    <w:p>
      <w:pPr>
        <w:pStyle w:val="Heading2"/>
        <w:numPr>
          <w:ilvl w:val="1"/>
          <w:numId w:val="1"/>
        </w:numPr>
        <w:rPr/>
      </w:pPr>
      <w:bookmarkStart w:id="8" w:name="__RefHeading___Toc37336_581953129"/>
      <w:bookmarkStart w:id="9" w:name="_Toc3"/>
      <w:bookmarkEnd w:id="7"/>
      <w:bookmarkEnd w:id="8"/>
      <w:r>
        <w:rPr>
          <w:rtl w:val="true"/>
        </w:rPr>
        <w:t>کلمة الناشر</w:t>
      </w:r>
      <w:bookmarkEnd w:id="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أَنْزَلَ عَلی عَبْدِهِ الْکِتابَ وَ لَمْ یَجْعَلْ لَهُ 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والصلوة والسلام علی النبیّ الأمین محمّد صلی الله علیه و آله وآله الهداة المهدیین وعترته المنتجبین واللعن الدائم علی أعدائهم أعداء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شهدت علوم الدین مدی أربعة عشر قرناً علی طیلة تاریخها العلمی المشرف مستویً من التغیّر المستمرّ فی الحرکة إلی الأمام علی صعید الثقافة والحضارة الإسلامیة فأوجد تطوّراً منهجیّاً فی العلوم الرئیسة المختصّة بالشریعة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الاسلامی وعلم الکلام والفلسفة والأخلاق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وتبعاً لهذا الجانب ترک التطوّر انطباعا موازیاً بیّنا فی العلوم الأدواتیة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المنطق وعلم الرجال والحقوق</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ضوء انتصار الثورة الإسلامیة الإیرانیة المعظمّة وحدثها الداعی إلی رؤیة دینیة حدیثة فی نطاق الحکم بغضون القرن الداعی إلی الانفلات من ظلّ الدین والأیدیولوجیة الدینیة وما یعرض فی مسرح أحداثه من تطوّر فی مسار نظریّات العلاقات الدولیة أو تصاعد الأسئلة المعرفیّة المتعلّقة بمفهوم الوجود ومستلزماته الشاغلة لذهن الإنسان الحاضر وکذلک ما حصل من توسّع لدی علم الوجود الإنسانی فی ظلّ الأحداث والمتغیرات المعنیة بهذا الجانب؛ جعلت المفکّر الإسلامی فی أعلی</w:t>
      </w:r>
    </w:p>
    <w:p>
      <w:pPr>
        <w:pStyle w:val="BookText"/>
        <w:rPr/>
      </w:pPr>
      <w:r>
        <w:rPr>
          <w:rFonts w:ascii="IRNazanin" w:hAnsi="IRNazanin" w:eastAsia="IRNazanin"/>
          <w:color w:val="111111"/>
          <w:sz w:val="28"/>
          <w:sz w:val="28"/>
          <w:szCs w:val="28"/>
          <w:rtl w:val="true"/>
          <w:lang w:bidi="fa-IR"/>
        </w:rPr>
        <w:t>مستوی من المسؤولیة أکثر ممّا سلف خاصّة فی الدول الإسلامیة التی باتت فی محاولة ضروریة لمواجهة الشعارات الخوّاء فی عصر العولمة فی ضوء التدقیق والملاحظة والنقد البنّاء لاجتیاح أیّ فقرة یخشی أن تسبّب مشکلات فی مقتبل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المنطلق یتطلّب الصعید الحوزوی النیّر لضرورة الوقوف علی آخر المستجدّات الفکریة فی حقولها المتعدّدة والاستعانة بضروب من التحقیق العلمی الرصین بمعاییر عالمیة حیّة لتوظَّف فی نطاق الدین والشریعة للإجابة علی المتطلّبات العصریة والمنطلق الداعی إلی التکامل و التعالی فی ظلّ الدین والتزام نظامه فی العلم والحیاة من جهة أخری حیث یتطلّب الأمر من الحوزة العلمیة مسؤولیة وضع حدّ لردع الجانب العولمی وتبعاته المنحطّة علی الإنسان بلحاظه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کانت رؤیة التصدّی لهذا الأمر فی عنایة من مؤسسی الحوزة العلمیة هذه الشجرة الطیبة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أَصْلُها ثابِتٌ وَ فَرْعُها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سیّما الإمام الخمینی رحمه الله الراحل وقائده المبجّل الإمام السیّد علی الخامنئی دام ظله الوارف فی الوقت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سعت جامعة المصطفی صلی الله علیه و آله العالمیة فی ضوء ما تقدم لنیل النجاح فقامت بإرساء مرکز المصطفی صلی الله علیه و آله العالمی للترجمة والنشر حیث تکفّل بنشر نتاج هذا الجانب العلمی الهامّ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هذا الحقوق الزّوجیّة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النّشوز والشّقاق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بجهود فضیلة السیّدة سوسن علی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متوافقة مع نسق الرؤیة السائدة المتّبعة وهذه الأهداف السامیة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ندعو أصحاب الفضیلة والاختصاص بما لدیهم من آراء بنّاءة وخبرات علمیة ومنهجیة عصریة بالمساهمة معنا والمشارکة فی نشر علوم أهل‌البیت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وختاما لیس لنا إلّا تقدیم الشکر الجزیل لکافّة المساهمین الکرام بجهودهم الخاصّة بإعداد الکتاب للطباعة والنشر</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المصطفی صلی الله علیه و آله العالمی للترجمة والنشر</w:t>
      </w:r>
      <w:bookmarkStart w:id="10" w:name="pg5194_44609"/>
    </w:p>
    <w:p>
      <w:pPr>
        <w:pStyle w:val="Heading2"/>
        <w:numPr>
          <w:ilvl w:val="1"/>
          <w:numId w:val="1"/>
        </w:numPr>
        <w:rPr/>
      </w:pPr>
      <w:bookmarkStart w:id="11" w:name="__RefHeading___Toc37338_581953129"/>
      <w:bookmarkStart w:id="12" w:name="_Toc4"/>
      <w:bookmarkEnd w:id="10"/>
      <w:bookmarkEnd w:id="11"/>
      <w:r>
        <w:rPr>
          <w:rtl w:val="true"/>
        </w:rPr>
        <w:t>الفهرس</w:t>
      </w:r>
      <w:bookmarkEnd w:id="12"/>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تمهیدیّة</w:t>
      </w:r>
    </w:p>
    <w:p>
      <w:pPr>
        <w:pStyle w:val="BookText"/>
        <w:rPr/>
      </w:pPr>
      <w:r>
        <w:rPr>
          <w:rFonts w:ascii="IRNazanin" w:hAnsi="IRNazanin" w:eastAsia="IRNazanin"/>
          <w:color w:val="111111"/>
          <w:sz w:val="28"/>
          <w:sz w:val="28"/>
          <w:szCs w:val="28"/>
          <w:rtl w:val="true"/>
          <w:lang w:bidi="fa-IR"/>
        </w:rPr>
        <w:t xml:space="preserve">بحوث تمهیدیّة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النکّاح </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اصطلاحاً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النّشوز </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اصطلاحاً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الشّقاق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اصطلاحاً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اصطلاحاً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الفقهاء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الحقوقیین </w:t>
      </w:r>
      <w:r>
        <w:rPr>
          <w:rFonts w:eastAsia="IRNazanin" w:cs="IRNazanin"/>
          <w:color w:val="111111"/>
          <w:sz w:val="28"/>
          <w:szCs w:val="28"/>
          <w:lang w:bidi="fa-IR"/>
        </w:rPr>
        <w:t>34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الحکم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اصطلاحاً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الفرق بین الحقّ والحکم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دراسة تأریخیّة للحقوق الزّوجیّة فی الدّیانات الإلهیّة السّابقة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دراسة تأریخیّة للحقوق الزّوجیّة فی المجتمعات البشریّة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نشوز الزّوجة</w:t>
      </w:r>
    </w:p>
    <w:p>
      <w:pPr>
        <w:pStyle w:val="BookText"/>
        <w:rPr/>
      </w:pPr>
      <w:r>
        <w:rPr>
          <w:rFonts w:ascii="IRNazanin" w:hAnsi="IRNazanin" w:eastAsia="IRNazanin"/>
          <w:color w:val="111111"/>
          <w:sz w:val="28"/>
          <w:sz w:val="28"/>
          <w:szCs w:val="28"/>
          <w:rtl w:val="true"/>
          <w:lang w:bidi="fa-IR"/>
        </w:rPr>
        <w:t xml:space="preserve">التمهید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المبحث الأوّل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حقوق الزّوج علی زوجته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حقّ الطّاعة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المبحث الثّانی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کیف یتحقّق نشوز الزّوجة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المبحث الثّالث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آثار نشوز الزّوجة علی العائلة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المبحث الرّابع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أحکام نشوز الزّوجة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الوعظ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الهجر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الضرب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نشوز الزّوج</w:t>
      </w:r>
    </w:p>
    <w:p>
      <w:pPr>
        <w:pStyle w:val="BookText"/>
        <w:rPr/>
      </w:pPr>
      <w:r>
        <w:rPr>
          <w:rFonts w:ascii="IRNazanin" w:hAnsi="IRNazanin" w:eastAsia="IRNazanin"/>
          <w:color w:val="111111"/>
          <w:sz w:val="28"/>
          <w:sz w:val="28"/>
          <w:szCs w:val="28"/>
          <w:rtl w:val="true"/>
          <w:lang w:bidi="fa-IR"/>
        </w:rPr>
        <w:t xml:space="preserve">التمهید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المبحث الأوّل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حقوق الزّوجة علی الزّوج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الجانب المادّی من حقوق الزّوجة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 النّفقة </w:t>
      </w:r>
      <w:r>
        <w:rPr>
          <w:rFonts w:eastAsia="Amiri" w:cs="Amiri" w:ascii="Amiri" w:hAnsi="Amiri"/>
          <w:color w:val="111111"/>
          <w:sz w:val="28"/>
          <w:szCs w:val="28"/>
          <w:lang w:bidi="ar-SA"/>
        </w:rPr>
        <w:t>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 المهر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الجانب المعنویّ والمشترک من حقوق الزّوجیّة </w:t>
      </w:r>
      <w:r>
        <w:rPr>
          <w:rFonts w:eastAsia="IRNazanin" w:cs="IRNazanin"/>
          <w:color w:val="111111"/>
          <w:sz w:val="28"/>
          <w:szCs w:val="28"/>
          <w:lang w:bidi="fa-IR"/>
        </w:rPr>
        <w:t>102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المعاشرة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المبحث الثّانی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کیف یتحقق نشوز الزّوج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المبحث الثّالث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آثار نشوز الزّوج علی العائلة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الأضرار المتوجّهة للمرأة </w:t>
      </w:r>
      <w:r>
        <w:rPr>
          <w:rFonts w:eastAsia="Amiri" w:cs="Amiri" w:ascii="Amiri" w:hAnsi="Amiri"/>
          <w:color w:val="111111"/>
          <w:sz w:val="28"/>
          <w:szCs w:val="28"/>
          <w:lang w:bidi="ar-SA"/>
        </w:rPr>
        <w:t>118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الأضرار المتوجّهة للأطفال </w:t>
      </w:r>
      <w:r>
        <w:rPr>
          <w:rFonts w:eastAsia="Amiri" w:cs="Amiri" w:ascii="Amiri" w:hAnsi="Amiri"/>
          <w:color w:val="111111"/>
          <w:sz w:val="28"/>
          <w:szCs w:val="28"/>
          <w:lang w:bidi="ar-SA"/>
        </w:rPr>
        <w:t>118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الأضرار المتوجّهة للمجتمع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المبحث الرّابع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أحکام نشوز الزّوج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حالة عدم الإنفاق وسوء المعاملة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حالة إکراه الزّوجة والضّجر منها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خلاصّة البحث </w:t>
      </w:r>
      <w:r>
        <w:rPr>
          <w:rFonts w:eastAsia="Amiri" w:cs="Amiri" w:ascii="Amiri" w:hAnsi="Amiri"/>
          <w:color w:val="111111"/>
          <w:sz w:val="28"/>
          <w:szCs w:val="28"/>
          <w:lang w:bidi="ar-SA"/>
        </w:rPr>
        <w:t>135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lang w:bidi="fa-IR"/>
        </w:rPr>
        <w:t>137</w:t>
      </w:r>
      <w:bookmarkStart w:id="13" w:name="pg5194_44613"/>
    </w:p>
    <w:p>
      <w:pPr>
        <w:pStyle w:val="Heading2"/>
        <w:numPr>
          <w:ilvl w:val="1"/>
          <w:numId w:val="1"/>
        </w:numPr>
        <w:rPr/>
      </w:pPr>
      <w:bookmarkStart w:id="14" w:name="__RefHeading___Toc37340_581953129"/>
      <w:bookmarkStart w:id="15" w:name="_Toc5"/>
      <w:bookmarkEnd w:id="13"/>
      <w:bookmarkEnd w:id="14"/>
      <w:r>
        <w:rPr>
          <w:rtl w:val="true"/>
        </w:rPr>
        <w:t>المقدّمة</w:t>
      </w:r>
      <w:bookmarkEnd w:id="15"/>
    </w:p>
    <w:p>
      <w:pPr>
        <w:pStyle w:val="BookText"/>
        <w:rPr/>
      </w:pPr>
      <w:r>
        <w:rPr>
          <w:rFonts w:ascii="IRNazanin" w:hAnsi="IRNazanin" w:eastAsia="IRNazanin"/>
          <w:color w:val="111111"/>
          <w:sz w:val="28"/>
          <w:sz w:val="28"/>
          <w:szCs w:val="28"/>
          <w:rtl w:val="true"/>
          <w:lang w:bidi="fa-IR"/>
        </w:rPr>
        <w:t>الحمد لله ربّ العالمین والصّلاة والسّلام علی أشرف المرسلین سیّدنا ونبیّنا محمّد وعلی آل بیته ا 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الحیاة الزّوجیّة من أهم جوانب الحیاة الإنسانیّة الّتی یمرُّ بها الرّجل والمرأة، فهی تشغل الجزء الأکبر من حیاتهما، بل وأنّ أیّ مجتمع سواء کان شرقیاً أم غربیاً فهو یتکوّن من الأسرة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نظرت الأدیان السّماویّة وبعض المذاهب الاجتماعیّة إلی الأسرة باهتمام بالغ إلّا أنّها لم تحقّق السّعادة، کما لم تعطِ المرأة کامل حقوقها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الإسلام فبدأ ببناء الأسرة فی ضمائر الأفراد ووجدانهم، وغرس فی أعماق أرواحهم بذرة الحبّ ونسم نسمة الرّحمة، ونظر إلی البیت بوصفه سکناً وأمناً، وإلی العلاقة الزّوجیّة بوصف المودّة والرّحمة</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وأعطی للرجل القوامة والقیادة، وجعل الزّوجة ملاذاً للزوج یأوی</w:t>
      </w:r>
    </w:p>
    <w:p>
      <w:pPr>
        <w:pStyle w:val="BookText"/>
        <w:rPr/>
      </w:pPr>
      <w:r>
        <w:rPr>
          <w:rFonts w:ascii="IRNazanin" w:hAnsi="IRNazanin" w:eastAsia="IRNazanin"/>
          <w:color w:val="111111"/>
          <w:sz w:val="28"/>
          <w:sz w:val="28"/>
          <w:szCs w:val="28"/>
          <w:rtl w:val="true"/>
          <w:lang w:bidi="fa-IR"/>
        </w:rPr>
        <w:t>إلیها بعد جهاده الیومی، ویلقی فی نهایة مطافه بمتاعبه إلی هذا الملاذ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زوجته الّتی ینبغی أن تتلقاه فرحة، مرحة، طلقة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یجد منها أذناً صاغیة وقلباً حانیاً وحدیثاً رقیقاً یخفف عنه ویذهب ما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أحیاناً لا تخلو هذه الحیاة من أن تهب علی سمائها الصّافیة أعاصیر خفیفة تکدّر صفوها وتغیّر ما عهد من هدوئها وسعادتها بالرغم من أنّ الإسلام أقام العلاقة الزّوجیّة علی التوازن بإعطاء کلّ من الزّوجین حقوقاً، وأوجب علیهما واجبات، غیر أنّه یعلم أنّ الطّبائع فی النّاس مختلفة، ولیست متجانسة؛ لذا فإنّ اجتماع الزّوجین قد یحدث منه التّنافر بدل الإنسجام، ومن ذلک فقد تتصاعد الخلافات إلی درجة یصبح استمرار الحیاة بینهما مستحیلاً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لا أحد من الزّوجین یرغب فی وجود مشاکل فی حیاته الزّوجیّة، بل کلاهما یتمنیان السّعادة والإنسجام، لکن وراء هذه الخلافات عوامل منها أسباب ذاتیة تعود إلی ضعف ثقافة العلاقات الزّوجیّة وضعف الوعی الحیاتی، الّذی یشکّل عامل وقایة وحصانة من نشوب الخلافات الضّارة أو اشتدادها وتفاقمها</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وبأثر ذلک یعانی الأطفال مرارة اختلاف آبائهما، ممّا یزید من تفشی البؤس والتّفرق والتّباغض بین الأسر، فتتعدّد المشاکل وتکثر همومها، وهنا تأتی الشّریعة، هذا البحر الضّخم من الأفکار والأحکام والنّتاجات الّذی لم یدعُ مشکلة إلّا عالجها ولا واقعة إلّا وضع لها حکماً،</w:t>
      </w:r>
    </w:p>
    <w:p>
      <w:pPr>
        <w:pStyle w:val="BookText"/>
        <w:rPr/>
      </w:pPr>
      <w:r>
        <w:rPr>
          <w:rFonts w:ascii="IRNazanin" w:hAnsi="IRNazanin" w:eastAsia="IRNazanin"/>
          <w:color w:val="111111"/>
          <w:sz w:val="28"/>
          <w:sz w:val="28"/>
          <w:szCs w:val="28"/>
          <w:rtl w:val="true"/>
          <w:lang w:bidi="fa-IR"/>
        </w:rPr>
        <w:t>فشمل جمیع میادین الحیاة ودقائقها وکلّ الظّروف والملابسات وفی جمیع الأزمان والبیئات، فوضع الحلول اللازمة لحلّ هذه الخلافات العائلیة، وأوجب سلوکها، فإذا سلکت ولم توصل إلی نتیجة أصبح عند ذلک فصم عری الزّوجیّة أولی من بقائها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أتیت به فی هذا البحث الشّامل لثلاث فصول، حیث ذکرنا المباحث التّمهیدیة، والّذی یشمل علی المعنی اللغوی والإصطلاحی للکلمات الأکثر استخداماً فی البحث، کما ألقینا نظرة علی الحقوق الزّوجیّة فی الدّیانات الإلهیّة والمجتمعات البشریّة، ثمّ شرعنا بالفصل الثّانی الّذی فیه نوع من المقارنة مع الفصل الثّالث، وهما بیان لنشوز الزّوجة والزّوج، حیث أن فی کلّ من الفصلین أربعة مباحث، ذکرنا فیهما أهمّ الحقوق الواردة للزوجین وکیفیة تحقّق النّشوز وآثاره علی العائلة، وفی النّهایة الأحکام الواردة عند النّشوز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الجدیر بالذّکر أنّ هذا البحث فی واقعه کان بحث التخرج لمرحلة البکالوریوس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الشهیدة بنت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التابعة لجامعة المصطفی صلی الله علیه و آله العالمیّة، حیث وفقنا الباری عزّوجلّ علی إخراجه بالشّکل الحالی لیکون فی خدمة القارئ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قد أخطأت فی فکرة أو عبارة فارجو من الله العلیّ القدیر أن یعیدنی إلی الصّواب ویغفر لی ما أخطأت فیه</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ختاماً أقدم جزیل الشّکر والأمتنان لمن ساهم فی تدوین هذا</w:t>
      </w:r>
    </w:p>
    <w:p>
      <w:pPr>
        <w:pStyle w:val="BookText"/>
        <w:rPr/>
      </w:pPr>
      <w:r>
        <w:rPr>
          <w:rFonts w:ascii="IRNazanin" w:hAnsi="IRNazanin" w:eastAsia="IRNazanin"/>
          <w:color w:val="111111"/>
          <w:sz w:val="28"/>
          <w:sz w:val="28"/>
          <w:szCs w:val="28"/>
          <w:rtl w:val="true"/>
          <w:lang w:bidi="fa-IR"/>
        </w:rPr>
        <w:t xml:space="preserve">البحث، وبالأخص سماحة الدّکتور العلّامة السیّد نذیر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قام به من إشراف وتوجیه، کما أقدم فائق تقدیری إلی الأخوة الأعزاء کلّ من سماحة الأستاذ الشّیخ کاظم البهادلی، وسماحة الأستاذ الشّیخ صباح الربیعی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حفظهما الله ورعاهما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نهایة المطاف أسأل الله تبارک وتعالی فعل الخیرات وترک المنکرات وإصلاح ذات البین، وأن یجعل أعمالنا صالحة وأن یتقبل هذا الیسیر ویثیبنا علیه یوم نلقاه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لا یَنْفَعُ مالٌ وَ 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أَتَی اللّهَ بِقَلْبٍ سَلِیمٍ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سوسن علی حسین</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bookmarkStart w:id="16" w:name="pg5194_44617"/>
    </w:p>
    <w:p>
      <w:pPr>
        <w:pStyle w:val="Heading2"/>
        <w:numPr>
          <w:ilvl w:val="1"/>
          <w:numId w:val="1"/>
        </w:numPr>
        <w:rPr/>
      </w:pPr>
      <w:bookmarkStart w:id="17" w:name="__RefHeading___Toc37342_581953129"/>
      <w:bookmarkStart w:id="18" w:name="_Toc6"/>
      <w:bookmarkEnd w:id="16"/>
      <w:bookmarkEnd w:id="17"/>
      <w:r>
        <w:rPr>
          <w:rtl w:val="true"/>
        </w:rPr>
        <w:t>الفصل الأول</w:t>
      </w:r>
      <w:r>
        <w:rPr>
          <w:rtl w:val="true"/>
        </w:rPr>
        <w:t xml:space="preserve">: </w:t>
      </w:r>
      <w:r>
        <w:rPr>
          <w:rtl w:val="true"/>
        </w:rPr>
        <w:t>بحوث تمهیدیّة</w:t>
      </w:r>
      <w:bookmarkEnd w:id="18"/>
    </w:p>
    <w:p>
      <w:pPr>
        <w:pStyle w:val="Heading3"/>
        <w:numPr>
          <w:ilvl w:val="2"/>
          <w:numId w:val="1"/>
        </w:numPr>
        <w:rPr/>
      </w:pPr>
      <w:bookmarkStart w:id="19" w:name="__RefHeading___Toc37344_581953129"/>
      <w:bookmarkStart w:id="20" w:name="_Toc7"/>
      <w:bookmarkEnd w:id="19"/>
      <w:r>
        <w:rPr>
          <w:rtl w:val="true"/>
        </w:rPr>
        <w:t>اشارة</w:t>
      </w:r>
      <w:bookmarkEnd w:id="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المفردات؛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دراسة تأریخیّة لحقوق الزّوجیّة فی الدّیانات الإلهیّة السّابقة؛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دراسة تأریخیّة لحقوق الزّوجیّة فی المجتمعات البشریّة</w:t>
      </w:r>
      <w:r>
        <w:rPr>
          <w:rFonts w:eastAsia="IRNazanin" w:cs="IRNazanin"/>
          <w:color w:val="111111"/>
          <w:sz w:val="28"/>
          <w:szCs w:val="28"/>
          <w:rtl w:val="true"/>
          <w:lang w:bidi="fa-IR"/>
        </w:rPr>
        <w:t>.</w:t>
      </w:r>
      <w:bookmarkStart w:id="21" w:name="pg5194_44619"/>
    </w:p>
    <w:p>
      <w:pPr>
        <w:pStyle w:val="Heading3"/>
        <w:numPr>
          <w:ilvl w:val="2"/>
          <w:numId w:val="1"/>
        </w:numPr>
        <w:rPr/>
      </w:pPr>
      <w:bookmarkStart w:id="22" w:name="__RefHeading___Toc37346_581953129"/>
      <w:bookmarkStart w:id="23" w:name="_Toc8"/>
      <w:bookmarkEnd w:id="21"/>
      <w:bookmarkEnd w:id="22"/>
      <w:r>
        <w:rPr>
          <w:rtl w:val="true"/>
        </w:rPr>
        <w:t>بحوث تمهیدیّة</w:t>
      </w:r>
      <w:bookmarkEnd w:id="23"/>
    </w:p>
    <w:p>
      <w:pPr>
        <w:pStyle w:val="Heading4"/>
        <w:numPr>
          <w:ilvl w:val="3"/>
          <w:numId w:val="1"/>
        </w:numPr>
        <w:rPr/>
      </w:pPr>
      <w:bookmarkStart w:id="24" w:name="__RefHeading___Toc37348_581953129"/>
      <w:bookmarkStart w:id="25" w:name="_Toc9"/>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عند التّأمل فی مفهوم الزّواج والحیاة المشترکة یُلاحظ؛ أنّ الأرکان الأساسیّة فیه، هما الزّوج والزّوجة، حیث لا حائل بینهما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لِباسٌ لَکُمْ وَ أَنْتُمْ لِباسٌ لَهُنَّ</w:t>
      </w:r>
      <w:r>
        <w:rPr>
          <w:rFonts w:eastAsia="Amiri" w:cs="Amiri" w:ascii="Amiri" w:hAnsi="Amiri"/>
          <w:color w:val="111111"/>
          <w:sz w:val="28"/>
          <w:szCs w:val="28"/>
          <w:rtl w:val="true"/>
          <w:lang w:bidi="ar-SA"/>
        </w:rPr>
        <w:t>) .</w:t>
      </w:r>
      <w:r>
        <w:rPr>
          <w:rStyle w:val="FootnoteAnchor"/>
          <w:rtl w:val="true"/>
        </w:rPr>
        <w:footnoteReference w:id="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فی الواقع، لا یکفی وجود هذین العنصرین لبقاء الحیاة المشترکة ودوامها واستمرارها، بل لابدّ من ملاحظة جوانب اخری تحیط بالأجواء وترفع الموانع الّتی یمکن أن تقع فی مسیرة الحیاة الزّوجیّة؛ وذلک لن یتمّ إلّا بمعرفة کلّ من الطّرفین بالوظائف الّتی منحت له والقیام به، وإلّا سوف تتعرض الحیاة إلی أنواع المشاکل والخلافات الّتی لابدّ منها؛ ولذا سوف نتطرّق فی هذا الفصل إلی أهمّ المصطلحات المستخدمة فی البحث لأجل التعرّف علیها</w:t>
      </w:r>
      <w:r>
        <w:rPr>
          <w:rFonts w:eastAsia="IRNazanin" w:cs="IRNazanin"/>
          <w:color w:val="111111"/>
          <w:sz w:val="28"/>
          <w:szCs w:val="28"/>
          <w:rtl w:val="true"/>
          <w:lang w:bidi="fa-IR"/>
        </w:rPr>
        <w:t>.</w:t>
      </w:r>
      <w:bookmarkStart w:id="26" w:name="pg5194_44620"/>
    </w:p>
    <w:p>
      <w:pPr>
        <w:pStyle w:val="Heading4"/>
        <w:numPr>
          <w:ilvl w:val="3"/>
          <w:numId w:val="1"/>
        </w:numPr>
        <w:rPr/>
      </w:pPr>
      <w:bookmarkStart w:id="27" w:name="__RefHeading___Toc37350_581953129"/>
      <w:bookmarkStart w:id="28" w:name="_Toc10"/>
      <w:bookmarkEnd w:id="26"/>
      <w:bookmarkEnd w:id="27"/>
      <w:r>
        <w:rPr>
          <w:rtl w:val="true"/>
        </w:rPr>
        <w:t>النکّاح</w:t>
      </w:r>
      <w:bookmarkEnd w:id="28"/>
    </w:p>
    <w:p>
      <w:pPr>
        <w:pStyle w:val="Heading5"/>
        <w:numPr>
          <w:ilvl w:val="4"/>
          <w:numId w:val="1"/>
        </w:numPr>
        <w:rPr/>
      </w:pPr>
      <w:bookmarkStart w:id="29" w:name="__RefHeading___Toc37352_581953129"/>
      <w:bookmarkStart w:id="30" w:name="_Toc11"/>
      <w:bookmarkEnd w:id="29"/>
      <w:r>
        <w:rPr/>
        <w:t>1</w:t>
      </w:r>
      <w:r>
        <w:rPr>
          <w:rtl w:val="true"/>
        </w:rPr>
        <w:t xml:space="preserve">. </w:t>
      </w:r>
      <w:r>
        <w:rPr>
          <w:rtl w:val="true"/>
        </w:rPr>
        <w:t>لغة</w:t>
      </w:r>
      <w:bookmarkEnd w:id="30"/>
    </w:p>
    <w:p>
      <w:pPr>
        <w:pStyle w:val="BookText"/>
        <w:rPr/>
      </w:pPr>
      <w:r>
        <w:rPr>
          <w:rFonts w:ascii="IRNazanin" w:hAnsi="IRNazanin" w:eastAsia="IRNazanin"/>
          <w:color w:val="111111"/>
          <w:sz w:val="28"/>
          <w:sz w:val="28"/>
          <w:szCs w:val="28"/>
          <w:rtl w:val="true"/>
          <w:lang w:bidi="fa-IR"/>
        </w:rPr>
        <w:t>ممّا لا یخفی علینا أنّ هذا المصطلح استخدم فی الآیات والرّوایات فی مواضع عدیدة، وجاء أیضاً بمعان متعدّدة عند علماء اللغة، تتراوح أقوالهم بین الاتفاق والاختلاف حول ما کان المراد من النّکاح هو الوطئ أو العقد والنّزاع لا یخرج عن دائرتهما، وإلیک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فی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الوطئ، وقد یکون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نکحتها ونکحت هی، أی تزوّجت وهی ناکح فی بنی فلان، أی هی ذات زوج منهم، واستنکحها بمعنی نکحها وأنکحها، أی زوّجها</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والملاحظ هنا، إنّ المصنّف لا یفرق بین الوطئ والعقد، فی حین البعض یخالف هذا الرأی ویفرق بینهما، کما جاء فی مجمع البحرین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نکح، ینکح من باب ضرب، والنکاح، الوطئ، ویقال علی العقد، فقیل مشترک بینهما، وقیل حقیقة فی الوطئ مجاز فی العقد، وقیل وهو أولی؛ إذ المجاز خیر من الاشتراک عند الأکثر، وهو فی الشّرع عقد لفظی مملک للوطئ ابتداءً، وهو من المجاز تسمیة للسبب بأسم مسببه</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وأمّا فی المفردات فجاء بمعنی مخالف تماماً لهذا المعنی، حیث قال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أصل النّکاح للعقد، ثمّ استعیر للجماع ومحال أن یکون فی الأصل للجماع ثمّ استعیر للعقد؛ لأنّ أسماء الجماع کلّها کنایات</w:t>
      </w:r>
      <w:bookmarkStart w:id="31" w:name="pg5194_44621"/>
    </w:p>
    <w:p>
      <w:pPr>
        <w:pStyle w:val="BookText"/>
        <w:rPr/>
      </w:pPr>
      <w:bookmarkEnd w:id="31"/>
      <w:r>
        <w:rPr>
          <w:rFonts w:ascii="IRNazanin" w:hAnsi="IRNazanin" w:eastAsia="IRNazanin"/>
          <w:color w:val="111111"/>
          <w:sz w:val="28"/>
          <w:sz w:val="28"/>
          <w:szCs w:val="28"/>
          <w:rtl w:val="true"/>
          <w:lang w:bidi="fa-IR"/>
        </w:rPr>
        <w:t>لاستقباحهم ذکره کاستقباح تعاطیه، ومحال أن یستعیر من لا یقصد فحشاً، أسم ما یستفظعونه لما یستحسنونه</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فی حین جاء فی تاج العروس ما یؤید المعنی السّابق، وذکر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النّکاح هو الوطئ فی الأصل والتّزویج؛ لأنّه سبب للوطئ المباح، وقیل هو العقد له، لکن هل هذا حقیقة فی الکلّ أو مجاز فی الکلّ، أو حقیقة فی أحدهما مجاز فی الآخر، یشیر المصنّف إلی أقوال العلماء، ومن ثمّ یرجح الأشتراک، باعتبار أنّ المعنی للوطئ أو العقد لا تفهم الّا من خلال القرینة</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والحاصل، مهما کان الخلاف فهو لا یخرج عن کون المراد هو العقد أو الوطئ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ذکر فی المعنی اللغوی</w:t>
      </w:r>
      <w:r>
        <w:rPr>
          <w:rFonts w:eastAsia="IRNazanin" w:cs="IRNazanin"/>
          <w:color w:val="111111"/>
          <w:sz w:val="28"/>
          <w:szCs w:val="28"/>
          <w:rtl w:val="true"/>
          <w:lang w:bidi="fa-IR"/>
        </w:rPr>
        <w:t>.</w:t>
      </w:r>
    </w:p>
    <w:p>
      <w:pPr>
        <w:pStyle w:val="Heading5"/>
        <w:numPr>
          <w:ilvl w:val="4"/>
          <w:numId w:val="1"/>
        </w:numPr>
        <w:rPr/>
      </w:pPr>
      <w:bookmarkStart w:id="32" w:name="__RefHeading___Toc37354_581953129"/>
      <w:bookmarkStart w:id="33" w:name="_Toc12"/>
      <w:bookmarkEnd w:id="32"/>
      <w:r>
        <w:rPr/>
        <w:t>2</w:t>
      </w:r>
      <w:r>
        <w:rPr>
          <w:rtl w:val="true"/>
        </w:rPr>
        <w:t xml:space="preserve">. </w:t>
      </w:r>
      <w:r>
        <w:rPr>
          <w:rtl w:val="true"/>
        </w:rPr>
        <w:t>اصطلاحاً</w:t>
      </w:r>
      <w:bookmarkEnd w:id="33"/>
    </w:p>
    <w:p>
      <w:pPr>
        <w:pStyle w:val="BookText"/>
        <w:rPr/>
      </w:pPr>
      <w:r>
        <w:rPr>
          <w:rFonts w:ascii="IRNazanin" w:hAnsi="IRNazanin" w:eastAsia="IRNazanin"/>
          <w:color w:val="111111"/>
          <w:sz w:val="28"/>
          <w:sz w:val="28"/>
          <w:szCs w:val="28"/>
          <w:rtl w:val="true"/>
          <w:lang w:bidi="fa-IR"/>
        </w:rPr>
        <w:t>من خلال مراجعة کلمات الفقهاء، یتّضح لنا أنّ هناک قولان للمعنی الاصطلاحی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یشیر إلی أنّ المراد من النّکاح هو العقد، وهو رأی أغلب الفقهاء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وآخر یدلّ علی أنّ النّکاح هو اسم للمعنی الاعتباری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والملحوظ، هو الرأی الأوّل فی کتب الأعلام، وهو العقد لا المعنی الاعتباری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الّذی حدا بنا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النّزاع المترتب علی المعنی الاصطلاحی، أقلّ بکثیر من المعنی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سوف نشیر إلی بعض کلمات الفقهاء حتّی یتبیّن للقارئ، مقدار النّزاع الّذی وقع فی المعنی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جاء فی المعجم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النّکاح، هو عقد بین رجل وامرأة یفید حل استمتاع کلّ منهما بالآخر ولا یمنع من ذلک مانع شرعی</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وفی القاموس یؤید ما ذکر؛ من أنّ النّکاح هو العقد بین الزّوجین یحل به الوطئ، وعند الفقهاء عقد یفید حل استمتاع الرّجل من امرأة لم یمنع من نکاحها مانع شرعی قصداً</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وذهب فی کشف اللثام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استعمال لفظ النّکاح حقیقة فی العقد علی الأشهر، وما جاء من اختصاص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تَنْکِحَ زَوْجاً غَیْرَهُ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الوطئ، أیضاً بمعنی العقد؛ إذ لم یعهد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وطئت، إلّا أن یجعل بمعنی التقت أو ضُمت أو اختلطت، ویزداد قوة إذا کان فی اللغة بمعناه أیضاً، لأصالة عدم النّقل</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والشّهید الثّانی فی المسالک عبّر عن إرادة معنی الوطئ فی هذه الآیة، لاشتراط الوطئ فی المحلّل، وذکر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فیه نظر؛ لجواز إرادة العقد واستفادة الوطئ من السنّة</w:t>
      </w:r>
      <w:r>
        <w:rPr>
          <w:rFonts w:eastAsia="IRNazanin" w:cs="IRNazanin"/>
          <w:color w:val="111111"/>
          <w:sz w:val="28"/>
          <w:szCs w:val="28"/>
          <w:rtl w:val="true"/>
          <w:lang w:bidi="fa-IR"/>
        </w:rPr>
        <w:t>.</w:t>
      </w:r>
      <w:r>
        <w:rPr>
          <w:rStyle w:val="FootnoteAnchor"/>
          <w:rtl w:val="true"/>
        </w:rPr>
        <w:footnoteReference w:id="10"/>
      </w:r>
      <w:bookmarkStart w:id="34" w:name="pg5194_44623"/>
    </w:p>
    <w:p>
      <w:pPr>
        <w:pStyle w:val="BookText"/>
        <w:rPr/>
      </w:pPr>
      <w:bookmarkEnd w:id="34"/>
      <w:r>
        <w:rPr>
          <w:rFonts w:ascii="IRNazanin" w:hAnsi="IRNazanin" w:eastAsia="IRNazanin"/>
          <w:color w:val="111111"/>
          <w:sz w:val="28"/>
          <w:sz w:val="28"/>
          <w:szCs w:val="28"/>
          <w:rtl w:val="true"/>
          <w:lang w:bidi="fa-IR"/>
        </w:rPr>
        <w:t>وأدّعی الإجماع علی معنی العقد صاحب المستند،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أنّه حقیقة فی العقد أیضاً خاصّة فی الشّرع، ویؤید غلبة الاستعمال فیه کذلک؛ لکونها مظنّة التّبادر واشتهاره، وأدلّة الاشتراک ضعیفة</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وکما ذکرنا یوجد فی قبال هذه الآراء قول آخر مخالف لما ذکر وأشار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الظّاهر عدم تمامیّة شیء ممّا أفادوه فی المقام، بل الحقّ أنّه اسم للمعنی الاعتباری المنشأ باللفظ أو الفعل، نظیر سائر أسامِ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أنّ النّکاح من مقولة المعنی لا اللفظ وإلّا لم یعقل إنشائه باللفظ، کما لا إشکال فی أنّه لیس اسماً للوطئ؛ لذا لا یستقبح ذکره ومنشأه باللفظ غیر ذلک من القرائن، فهو اسم لذلک الأمر الاعتباری الثّابت قبل الشّرع، وقد أمضاه الشّارع وأضاف إلیه قیوداً</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35" w:name="__RefHeading___Toc37356_581953129"/>
      <w:bookmarkStart w:id="36" w:name="_Toc13"/>
      <w:bookmarkEnd w:id="35"/>
      <w:r>
        <w:rPr>
          <w:rtl w:val="true"/>
        </w:rPr>
        <w:t>النّشوز</w:t>
      </w:r>
      <w:bookmarkEnd w:id="36"/>
    </w:p>
    <w:p>
      <w:pPr>
        <w:pStyle w:val="Heading5"/>
        <w:numPr>
          <w:ilvl w:val="4"/>
          <w:numId w:val="1"/>
        </w:numPr>
        <w:rPr/>
      </w:pPr>
      <w:bookmarkStart w:id="37" w:name="__RefHeading___Toc37358_581953129"/>
      <w:bookmarkStart w:id="38" w:name="_Toc14"/>
      <w:bookmarkEnd w:id="37"/>
      <w:r>
        <w:rPr>
          <w:rtl w:val="true"/>
        </w:rPr>
        <w:t>اشارة</w:t>
      </w:r>
      <w:bookmarkEnd w:id="38"/>
    </w:p>
    <w:p>
      <w:pPr>
        <w:pStyle w:val="BookText"/>
        <w:rPr/>
      </w:pPr>
      <w:r>
        <w:rPr>
          <w:rFonts w:ascii="IRNazanin" w:hAnsi="IRNazanin" w:eastAsia="IRNazanin"/>
          <w:color w:val="111111"/>
          <w:sz w:val="28"/>
          <w:sz w:val="28"/>
          <w:szCs w:val="28"/>
          <w:rtl w:val="true"/>
          <w:lang w:bidi="fa-IR"/>
        </w:rPr>
        <w:t>ولما کان النّشوز رکناً أسیاسیاً یدور حوله البحث، تأتی أهمیة معرفة هذا الرکن علی مستوی اللغة والاصطلاح</w:t>
      </w:r>
      <w:r>
        <w:rPr>
          <w:rFonts w:eastAsia="IRNazanin" w:cs="IRNazanin"/>
          <w:color w:val="111111"/>
          <w:sz w:val="28"/>
          <w:szCs w:val="28"/>
          <w:rtl w:val="true"/>
          <w:lang w:bidi="fa-IR"/>
        </w:rPr>
        <w:t>.</w:t>
      </w:r>
    </w:p>
    <w:p>
      <w:pPr>
        <w:pStyle w:val="Heading5"/>
        <w:numPr>
          <w:ilvl w:val="4"/>
          <w:numId w:val="1"/>
        </w:numPr>
        <w:rPr/>
      </w:pPr>
      <w:bookmarkStart w:id="39" w:name="__RefHeading___Toc37360_581953129"/>
      <w:bookmarkStart w:id="40" w:name="_Toc15"/>
      <w:bookmarkEnd w:id="39"/>
      <w:r>
        <w:rPr/>
        <w:t>1</w:t>
      </w:r>
      <w:r>
        <w:rPr>
          <w:rtl w:val="true"/>
        </w:rPr>
        <w:t xml:space="preserve">. </w:t>
      </w:r>
      <w:r>
        <w:rPr>
          <w:rtl w:val="true"/>
        </w:rPr>
        <w:t>لغة</w:t>
      </w:r>
      <w:bookmarkEnd w:id="40"/>
    </w:p>
    <w:p>
      <w:pPr>
        <w:pStyle w:val="BookText"/>
        <w:rPr/>
      </w:pPr>
      <w:r>
        <w:rPr>
          <w:rFonts w:ascii="IRNazanin" w:hAnsi="IRNazanin" w:eastAsia="IRNazanin"/>
          <w:color w:val="111111"/>
          <w:sz w:val="28"/>
          <w:sz w:val="28"/>
          <w:szCs w:val="28"/>
          <w:rtl w:val="true"/>
          <w:lang w:bidi="fa-IR"/>
        </w:rPr>
        <w:t>فقد جاء لفظ النّشوز فی اللغة بتعبیرات متعدّدة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الارتفاع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الخروج عن الطّاعة والعصیان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یلحظ، هذه التّعبیرات تارة تشیر إلی جهة مادّیة وأخری معنویّة، والمتأمل فی کلمات اللغویین، لا یجد أکثر من هذه المعانی، وإلیک بعض هذه التّعبیرات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المفردات أصل النّشوز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نشز والنّشز المرتفع من الأرض، ونشز فلان إذا قصد نشزاً، ومنه نشز فلان عن مقرّه نبا وکلّ ناب ناشز، ویعبّر عن الأحیاء بالنّشز والإنشاز؛ لکونه ارتفاعاً بعد اتضاع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ونشوز المرأة بغضها لزوجها، ورفع نفسها عن طاعته وعینها عنه إلی غیره</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وفی مجمع البحرین استشهد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قِیلَ انْشُزُوا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لمعنی النّشوز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انهضوا وارتفعوا عن مجلس النّبی صلی الله علیه و آله إلی الصّلاة والجهاد وأعمال البر، وقرئ بضم الشّین وکسرها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وقعد علی نشز من الأرض، بمعنی علی مکان مرتفع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إِلَی الْعِظامِ کَیْفَ نُنْشِزُها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نرفعها إلی مواضعها، مأخوذ من النّشز وهو المکان المرتفع، یرید نرفع العظام بعضها علی بعض، وقرئ ننشزها بالرّاء المهملة من النّشر والطّی</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وفی لسان العرب جاء بمعنی مطابق لما ذکر،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النّشز، المتن المرتفع من الأرض، وهو أیضاً ما ارتفع عن الوادی إلی الأرض، ولیس بالغلیظ، والجمع انشاز ونشوز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ونشز ینشز نشوزاً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 علی نشز من الأرض، وهو ما ارتفع وظهر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علی ذلک النّشاز، ومنه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أتاه رجل ناشز الجبهة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التّنزیل العزیز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قِیلَ انْشُزُوا فَانْشُزُوا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انهضوا فانهضوا وقوموا، وقیل فی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إلی الصّلاة أو قضاء حقّ أو شهادة فانشزوا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ونشز الرّجل ینشز إذا کان قاعداً فقام ورکب ناشز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ناتئ مرتفع، وعرق ناشز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 منتبر، ونشزت المرأة بزوجها وعلی زوجها تنشز وتنشز نشوزاً، وهی ناشز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ارتفعت علیه واستعصت علیه، وأبغضته وخرجت عن طاعته</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وقد عبّر الزّبیدی عن النّشز، بالمکان، وفی المحکم بالمتن المرتفع من الأرض، کالنّشاز بالفتح، والنّشز محرکة،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النّشز، والنّشز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ارتفع عن الوادی إلی الأرض ولیس بالغلیظ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بأنّ جمع النّشز بالفتح نشوز، وجمع المحرک أنشاز، کسبب وأسباب، ونشاز مثل جبل وأجبال وجبال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نشزت المرأة بزوجها وعلی زوجها، تنشز وتنشز نشوزاً، وهی ناشز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استعصت علی زوجها وارتفعت علیه وأبغضته وخرجت عن طاعته وفرکته، وقد تکرّر ذکر النّشوز فی القرآن</w:t>
      </w:r>
      <w:bookmarkStart w:id="41" w:name="pg5194_44626"/>
    </w:p>
    <w:p>
      <w:pPr>
        <w:pStyle w:val="BookText"/>
        <w:rPr/>
      </w:pPr>
      <w:bookmarkEnd w:id="41"/>
      <w:r>
        <w:rPr>
          <w:rFonts w:ascii="IRNazanin" w:hAnsi="IRNazanin" w:eastAsia="IRNazanin"/>
          <w:color w:val="111111"/>
          <w:sz w:val="28"/>
          <w:sz w:val="28"/>
          <w:szCs w:val="28"/>
          <w:rtl w:val="true"/>
          <w:lang w:bidi="fa-IR"/>
        </w:rPr>
        <w:t>والأحادیث، وهو أن یکون بین الزّوجین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ونشز بعلها علیها ینشز نشوزاً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ضربها وجفاها وأضرّ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وعرق ناشز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منتبر، أی مرتفع لا یزال یضرب، من داء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وقلب ناشز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ارتفع عن مکانه رعباً،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لارضاع إلّا ما أنشز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رفعه وأعلاه وأکبر حجمه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والنشز محرکة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المسن القوی،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أسن ولم ینقص، ودابة نشیزة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یکد یستقر الرّاکب علی ظهرها، ویقال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لنشزة</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وعلی الرّغم من توسع المصنف فی هذا المجال، لکن لا یلحظ فیه أکثر ممّا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هذه الآراء، فالنّشوز یأتی بمعان متعدّدة، کالقیام والنّبوء والارتفاع والخروج عن الطاعة، ویمکن جمع کلّ هذه المعانی بمعنیٍ واحد، وهو الارتفاع</w:t>
      </w:r>
      <w:r>
        <w:rPr>
          <w:rFonts w:eastAsia="IRNazanin" w:cs="IRNazanin"/>
          <w:color w:val="111111"/>
          <w:sz w:val="28"/>
          <w:szCs w:val="28"/>
          <w:rtl w:val="true"/>
          <w:lang w:bidi="fa-IR"/>
        </w:rPr>
        <w:t>.</w:t>
      </w:r>
    </w:p>
    <w:p>
      <w:pPr>
        <w:pStyle w:val="Heading5"/>
        <w:numPr>
          <w:ilvl w:val="4"/>
          <w:numId w:val="1"/>
        </w:numPr>
        <w:rPr/>
      </w:pPr>
      <w:bookmarkStart w:id="42" w:name="__RefHeading___Toc37362_581953129"/>
      <w:bookmarkStart w:id="43" w:name="_Toc16"/>
      <w:bookmarkEnd w:id="42"/>
      <w:r>
        <w:rPr/>
        <w:t>2</w:t>
      </w:r>
      <w:r>
        <w:rPr>
          <w:rtl w:val="true"/>
        </w:rPr>
        <w:t xml:space="preserve">. </w:t>
      </w:r>
      <w:r>
        <w:rPr>
          <w:rtl w:val="true"/>
        </w:rPr>
        <w:t>اصطلاحاً</w:t>
      </w:r>
      <w:bookmarkEnd w:id="43"/>
    </w:p>
    <w:p>
      <w:pPr>
        <w:pStyle w:val="BookText"/>
        <w:rPr/>
      </w:pPr>
      <w:r>
        <w:rPr>
          <w:rFonts w:ascii="IRNazanin" w:hAnsi="IRNazanin" w:eastAsia="IRNazanin"/>
          <w:color w:val="111111"/>
          <w:sz w:val="28"/>
          <w:sz w:val="28"/>
          <w:szCs w:val="28"/>
          <w:rtl w:val="true"/>
          <w:lang w:bidi="fa-IR"/>
        </w:rPr>
        <w:t>خلافاً لما ظهر من المعنی اللغوی، اتّفقت کلمات الفقهاء علی أنّ النّشوز هو خروج أحد الزّوجین عن طاعة الآخر، ولکن اختلفت ألفاظ الفقهاء حول التّعبیر عن هذا المعنی، وسوف نذکر بعض هذه الألفاظ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الشّهید الثّانی فی المسالک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النّشوز هو خروج أحد الزّوجین عن طاعة الآخر؛ وذلک لأنّه</w:t>
      </w:r>
    </w:p>
    <w:p>
      <w:pPr>
        <w:pStyle w:val="BookText"/>
        <w:rPr/>
      </w:pPr>
      <w:r>
        <w:rPr>
          <w:rFonts w:ascii="IRNazanin" w:hAnsi="IRNazanin" w:eastAsia="IRNazanin"/>
          <w:color w:val="111111"/>
          <w:sz w:val="28"/>
          <w:sz w:val="28"/>
          <w:szCs w:val="28"/>
          <w:rtl w:val="true"/>
          <w:lang w:bidi="fa-IR"/>
        </w:rPr>
        <w:t>بمعصیته قد ارتفع وتعالی عمّا أوجب الله علیه؛ ولذلک خصّ النّشوز بما إذا کان الخروج من أحدهما؛ لأنّ الخارج ارتفع علی الآخر فلم یقم بحقّه، أو عن الحقّ</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وفی المعجم جاء النّشوز بمعنی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رفض أحد الزّوجین إطاعة صاحبه فیما یجب له من حقوق</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أمّا العلّامة الحلّی نظر إلی النّشوز من جانب الرّجل فقط؛ إذ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النّشوز هو أن یکره الرّجل المرأة، وترید المرأة المقام معه وتکره مفارقته، ویرید الرجل طلاقها</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وذهب أحد الفقهاء إلی 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من الزّوج والزّوجة حقوقاً علی الآخر یجب القیام بها، فبارتفاع أحدهما عن الطّاعة یتحقّق النّشوز، بل هو عین النّشوز</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وعبّر آخر بأنّه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المعانی العرفیّة الاجتماعیّة بین النّاس، وبهذا المعنی العرفی جعل مورد الحکم الشّرعی، وهو فی الزّوجة خروجها عن طاعة الزّوج الواجبة علیها، ویکون من الزّوج أیضاً بتعدیه علیها وعدم القیام بحقوقه مطلقاً</w:t>
      </w:r>
      <w:r>
        <w:rPr>
          <w:rFonts w:eastAsia="IRNazanin" w:cs="IRNazanin"/>
          <w:color w:val="111111"/>
          <w:sz w:val="28"/>
          <w:szCs w:val="28"/>
          <w:rtl w:val="true"/>
          <w:lang w:bidi="fa-IR"/>
        </w:rPr>
        <w:t>.</w:t>
      </w:r>
      <w:r>
        <w:rPr>
          <w:rStyle w:val="FootnoteAnchor"/>
          <w:rtl w:val="true"/>
        </w:rPr>
        <w:footnoteReference w:id="2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جملة من آراء الأعلام عمّا قیل فی المعنی الاصطلاحی للنّشوز، والّذی</w:t>
      </w:r>
      <w:bookmarkStart w:id="44" w:name="pg5194_44628"/>
    </w:p>
    <w:p>
      <w:pPr>
        <w:pStyle w:val="BookText"/>
        <w:rPr/>
      </w:pPr>
      <w:bookmarkEnd w:id="44"/>
      <w:r>
        <w:rPr>
          <w:rFonts w:ascii="IRNazanin" w:hAnsi="IRNazanin" w:eastAsia="IRNazanin"/>
          <w:color w:val="111111"/>
          <w:sz w:val="28"/>
          <w:sz w:val="28"/>
          <w:szCs w:val="28"/>
          <w:rtl w:val="true"/>
          <w:lang w:bidi="fa-IR"/>
        </w:rPr>
        <w:t>یظهر منها هو استخدام نفس المعنی وهو الخروج عن الطّاعة</w:t>
      </w:r>
      <w:r>
        <w:rPr>
          <w:rFonts w:eastAsia="IRNazanin" w:cs="IRNazanin"/>
          <w:color w:val="111111"/>
          <w:sz w:val="28"/>
          <w:szCs w:val="28"/>
          <w:rtl w:val="true"/>
          <w:lang w:bidi="fa-IR"/>
        </w:rPr>
        <w:t>.</w:t>
      </w:r>
    </w:p>
    <w:p>
      <w:pPr>
        <w:pStyle w:val="Heading4"/>
        <w:numPr>
          <w:ilvl w:val="3"/>
          <w:numId w:val="1"/>
        </w:numPr>
        <w:rPr/>
      </w:pPr>
      <w:bookmarkStart w:id="45" w:name="__RefHeading___Toc37364_581953129"/>
      <w:bookmarkStart w:id="46" w:name="_Toc17"/>
      <w:bookmarkEnd w:id="45"/>
      <w:r>
        <w:rPr>
          <w:rtl w:val="true"/>
        </w:rPr>
        <w:t>الشّقاق</w:t>
      </w:r>
      <w:bookmarkEnd w:id="46"/>
    </w:p>
    <w:p>
      <w:pPr>
        <w:pStyle w:val="Heading5"/>
        <w:numPr>
          <w:ilvl w:val="4"/>
          <w:numId w:val="1"/>
        </w:numPr>
        <w:rPr/>
      </w:pPr>
      <w:bookmarkStart w:id="47" w:name="__RefHeading___Toc37366_581953129"/>
      <w:bookmarkStart w:id="48" w:name="_Toc18"/>
      <w:bookmarkEnd w:id="47"/>
      <w:r>
        <w:rPr>
          <w:rtl w:val="true"/>
        </w:rPr>
        <w:t>اشارة</w:t>
      </w:r>
      <w:bookmarkEnd w:id="48"/>
    </w:p>
    <w:p>
      <w:pPr>
        <w:pStyle w:val="BookText"/>
        <w:rPr/>
      </w:pPr>
      <w:r>
        <w:rPr>
          <w:rFonts w:ascii="IRNazanin" w:hAnsi="IRNazanin" w:eastAsia="IRNazanin"/>
          <w:color w:val="111111"/>
          <w:sz w:val="28"/>
          <w:sz w:val="28"/>
          <w:szCs w:val="28"/>
          <w:rtl w:val="true"/>
          <w:lang w:bidi="fa-IR"/>
        </w:rPr>
        <w:t>المتأمل فی کتب الفقهاء یلاحظ، أنّ موضوع الشّقاق عادةً یؤتی به بعد النّشوز؛ لأنّه مرتبط به،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واحد، ولکن فی الواقع الشّقاق له معان متعدّدة تختلف عن معنی النّشوز من حیث اللغة، بالرغم من اتّفاقهما فی تعدّد المعانی، وسیتضح ذلک من خلال التّعاریف</w:t>
      </w:r>
      <w:r>
        <w:rPr>
          <w:rFonts w:eastAsia="IRNazanin" w:cs="IRNazanin"/>
          <w:color w:val="111111"/>
          <w:sz w:val="28"/>
          <w:szCs w:val="28"/>
          <w:rtl w:val="true"/>
          <w:lang w:bidi="fa-IR"/>
        </w:rPr>
        <w:t>.</w:t>
      </w:r>
    </w:p>
    <w:p>
      <w:pPr>
        <w:pStyle w:val="Heading5"/>
        <w:numPr>
          <w:ilvl w:val="4"/>
          <w:numId w:val="1"/>
        </w:numPr>
        <w:rPr/>
      </w:pPr>
      <w:bookmarkStart w:id="49" w:name="__RefHeading___Toc37368_581953129"/>
      <w:bookmarkStart w:id="50" w:name="_Toc19"/>
      <w:bookmarkEnd w:id="49"/>
      <w:r>
        <w:rPr/>
        <w:t>1</w:t>
      </w:r>
      <w:r>
        <w:rPr>
          <w:rtl w:val="true"/>
        </w:rPr>
        <w:t xml:space="preserve">. </w:t>
      </w:r>
      <w:r>
        <w:rPr>
          <w:rtl w:val="true"/>
        </w:rPr>
        <w:t>لغة</w:t>
      </w:r>
      <w:bookmarkEnd w:id="50"/>
    </w:p>
    <w:p>
      <w:pPr>
        <w:pStyle w:val="BookText"/>
        <w:rPr/>
      </w:pPr>
      <w:r>
        <w:rPr>
          <w:rFonts w:ascii="IRNazanin" w:hAnsi="IRNazanin" w:eastAsia="IRNazanin"/>
          <w:color w:val="111111"/>
          <w:sz w:val="28"/>
          <w:sz w:val="28"/>
          <w:szCs w:val="28"/>
          <w:rtl w:val="true"/>
          <w:lang w:bidi="fa-IR"/>
        </w:rPr>
        <w:t>وأصله من الشّق بالکسر، وهو مصدر، جاء بمعان متعدّدة أهمّها کما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النّاحیة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الشّدة والمشقة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نصف الشّیء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المخالفة والعداوة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للمعنی الأوّل الطّریحی؛ إذ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الشّقة بالضم والکسر البعد، والنّاحیة یقصدها المسافر، والسّفر البعید والمشقة، ومنه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بَعُدَتْ عَلَیْهِمُ الشُّقَّةُ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لکونک فی شق غیر شق صاحبک،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غیر ناحیته</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وأشار للمعنی الثّانی فی الحدیث</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أشق علی أمّتی لأخّرت العتمة إلی نصف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لا أن أثقل علیهم من المشقة، وهی الشدّة، وشقّ الأمر علینا من باب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صعب ولم یسهل فهو شاق</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وذکر الجوهری المعنی الثّالث 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نصف الشّیء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شق الشّاة وشقة الشّاة، وهذا شقیق هذا، إذا انشق الشّیء نصفین، فکلّ واحد منهما شقیق الآخر، ومنه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شقیق فلان،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الشّاعر وقد صغره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أمّی ویا شقیق نفسی أنت خلیتنی لأمر شدید</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أمّا المعنی الرّابع فقد جاء به الرّاغب فی مفرداته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الشّقاق المخالفة وکونک فی شق غیر شق صاحبک، أو من شق العصا بینک وبینه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خِفْتُمْ شِقاقَ بَیْنِهِما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هُمْ فِی 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یُشاقِقِ اللّهَ وَ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فی شق غیر شق أولیائه نحو من یحادد الله ومن یشاقق الرّسول</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وأیّد ابن منظور المعنی الأخیر، وذکر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غلبة العداوة والخلاف، شاقة مشاقة وشقاقاً، خالفه والشّقاق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العداوة بین فریقین والخلاف بین اثنین، سمّی ذلک شقاقاً؛ لأنّ کلّ فریق من فرقتی العداوة قصد شقاً،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ناحیة غیر شق صاحبه</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وأضاف إلی ما ذکر معنی آخر، وهو الفراق، حیث قال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شق أمره یشقه شقاً فانشق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أنفرق وتبدّد اختلافاً وشق فلان</w:t>
      </w:r>
      <w:bookmarkStart w:id="51" w:name="pg5194_44630"/>
    </w:p>
    <w:p>
      <w:pPr>
        <w:pStyle w:val="BookText"/>
        <w:rPr/>
      </w:pPr>
      <w:bookmarkEnd w:id="51"/>
      <w:r>
        <w:rPr>
          <w:rFonts w:ascii="IRNazanin" w:hAnsi="IRNazanin" w:eastAsia="IRNazanin"/>
          <w:color w:val="111111"/>
          <w:sz w:val="28"/>
          <w:sz w:val="28"/>
          <w:szCs w:val="28"/>
          <w:rtl w:val="true"/>
          <w:lang w:bidi="fa-IR"/>
        </w:rPr>
        <w:t>العصا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 الجماعة، وشق عصا الطّاعة فانشقت، وهو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الخوارج عصا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فرّقوا جمعهم وکلمتهم، وهو من الشّق الّذی هو الصّدع</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وعلی هذا یمکن حصر أهمّ معانی الشّقاق بالناحیة والمشقة ونصف الشّیء والعداوة والفراق</w:t>
      </w:r>
      <w:r>
        <w:rPr>
          <w:rFonts w:eastAsia="IRNazanin" w:cs="IRNazanin"/>
          <w:color w:val="111111"/>
          <w:sz w:val="28"/>
          <w:szCs w:val="28"/>
          <w:rtl w:val="true"/>
          <w:lang w:bidi="fa-IR"/>
        </w:rPr>
        <w:t>.</w:t>
      </w:r>
    </w:p>
    <w:p>
      <w:pPr>
        <w:pStyle w:val="Heading5"/>
        <w:numPr>
          <w:ilvl w:val="4"/>
          <w:numId w:val="1"/>
        </w:numPr>
        <w:rPr/>
      </w:pPr>
      <w:bookmarkStart w:id="52" w:name="__RefHeading___Toc37370_581953129"/>
      <w:bookmarkStart w:id="53" w:name="_Toc20"/>
      <w:bookmarkEnd w:id="52"/>
      <w:r>
        <w:rPr/>
        <w:t>2</w:t>
      </w:r>
      <w:r>
        <w:rPr>
          <w:rtl w:val="true"/>
        </w:rPr>
        <w:t xml:space="preserve">. </w:t>
      </w:r>
      <w:r>
        <w:rPr>
          <w:rtl w:val="true"/>
        </w:rPr>
        <w:t>اصطلاحاً</w:t>
      </w:r>
      <w:bookmarkEnd w:id="53"/>
    </w:p>
    <w:p>
      <w:pPr>
        <w:pStyle w:val="BookText"/>
        <w:rPr/>
      </w:pPr>
      <w:r>
        <w:rPr>
          <w:rFonts w:ascii="IRNazanin" w:hAnsi="IRNazanin" w:eastAsia="IRNazanin"/>
          <w:color w:val="111111"/>
          <w:sz w:val="28"/>
          <w:sz w:val="28"/>
          <w:szCs w:val="28"/>
          <w:rtl w:val="true"/>
          <w:lang w:bidi="fa-IR"/>
        </w:rPr>
        <w:t>اتّفقت کلمات الفقهاء حول المعنی الاصطلاحی للشقاق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الکراهة والارتفاع والاختلاف من کلا الطرفین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ذهب إلی هذا المعنی کلّ من المحقّق الحلّی</w:t>
      </w:r>
      <w:r>
        <w:rPr>
          <w:rStyle w:val="FootnoteAnchor"/>
          <w:rtl w:val="true"/>
        </w:rPr>
        <w:footnoteReference w:id="28"/>
      </w:r>
      <w:r>
        <w:rPr>
          <w:rFonts w:ascii="Amiri" w:hAnsi="Amiri" w:eastAsia="Amiri" w:cs="Amiri"/>
          <w:color w:val="111111"/>
          <w:sz w:val="28"/>
          <w:sz w:val="28"/>
          <w:szCs w:val="28"/>
          <w:rtl w:val="true"/>
          <w:lang w:bidi="ar-SA"/>
        </w:rPr>
        <w:t>والعلّامة</w:t>
      </w:r>
      <w:r>
        <w:rPr>
          <w:rStyle w:val="FootnoteAnchor"/>
          <w:rtl w:val="true"/>
        </w:rPr>
        <w:footnoteReference w:id="29"/>
      </w:r>
      <w:r>
        <w:rPr>
          <w:rFonts w:ascii="IRNazanin" w:hAnsi="IRNazanin" w:eastAsia="IRNazanin"/>
          <w:color w:val="111111"/>
          <w:sz w:val="28"/>
          <w:sz w:val="28"/>
          <w:szCs w:val="28"/>
          <w:rtl w:val="true"/>
          <w:lang w:bidi="fa-IR"/>
        </w:rPr>
        <w:t>والفاضل الهندی</w:t>
      </w:r>
      <w:r>
        <w:rPr>
          <w:rStyle w:val="FootnoteAnchor"/>
          <w:rtl w:val="true"/>
        </w:rPr>
        <w:footnoteReference w:id="30"/>
      </w:r>
      <w:r>
        <w:rPr>
          <w:rFonts w:ascii="IRNazanin" w:hAnsi="IRNazanin" w:eastAsia="IRNazanin"/>
          <w:color w:val="111111"/>
          <w:sz w:val="28"/>
          <w:sz w:val="28"/>
          <w:szCs w:val="28"/>
          <w:rtl w:val="true"/>
          <w:lang w:bidi="fa-IR"/>
        </w:rPr>
        <w:t>والشّیخ یوسف البحرانی</w:t>
      </w:r>
      <w:r>
        <w:rPr>
          <w:rStyle w:val="FootnoteAnchor"/>
          <w:rtl w:val="true"/>
        </w:rPr>
        <w:footnoteReference w:id="31"/>
      </w:r>
      <w:r>
        <w:rPr>
          <w:rFonts w:ascii="IRNazanin" w:hAnsi="IRNazanin" w:eastAsia="IRNazanin"/>
          <w:color w:val="111111"/>
          <w:sz w:val="28"/>
          <w:sz w:val="28"/>
          <w:szCs w:val="28"/>
          <w:rtl w:val="true"/>
          <w:lang w:bidi="fa-IR"/>
        </w:rPr>
        <w:t>والسیّد علی الطّباطبائی</w:t>
      </w:r>
      <w:r>
        <w:rPr>
          <w:rStyle w:val="FootnoteAnchor"/>
          <w:rtl w:val="true"/>
        </w:rPr>
        <w:footnoteReference w:id="32"/>
      </w:r>
      <w:r>
        <w:rPr>
          <w:rFonts w:ascii="IRNazanin" w:hAnsi="IRNazanin" w:eastAsia="IRNazanin"/>
          <w:color w:val="111111"/>
          <w:sz w:val="28"/>
          <w:sz w:val="28"/>
          <w:szCs w:val="28"/>
          <w:rtl w:val="true"/>
          <w:lang w:bidi="fa-IR"/>
        </w:rPr>
        <w:t>والجواهری</w:t>
      </w:r>
      <w:r>
        <w:rPr>
          <w:rStyle w:val="FootnoteAnchor"/>
          <w:rtl w:val="true"/>
        </w:rPr>
        <w:footnoteReference w:id="33"/>
      </w:r>
      <w:r>
        <w:rPr>
          <w:rFonts w:ascii="IRNazanin" w:hAnsi="IRNazanin" w:eastAsia="IRNazanin"/>
          <w:color w:val="111111"/>
          <w:sz w:val="28"/>
          <w:sz w:val="28"/>
          <w:szCs w:val="28"/>
          <w:rtl w:val="true"/>
          <w:lang w:bidi="fa-IR"/>
        </w:rPr>
        <w:t>والسیّد الخوانساری</w:t>
      </w:r>
      <w:r>
        <w:rPr>
          <w:rStyle w:val="FootnoteAnchor"/>
          <w:rtl w:val="true"/>
        </w:rPr>
        <w:footnoteReference w:id="34"/>
      </w:r>
      <w:r>
        <w:rPr>
          <w:rFonts w:ascii="Amiri" w:hAnsi="Amiri" w:eastAsia="Amiri" w:cs="Amiri"/>
          <w:color w:val="111111"/>
          <w:sz w:val="28"/>
          <w:sz w:val="28"/>
          <w:szCs w:val="28"/>
          <w:rtl w:val="true"/>
          <w:lang w:bidi="ar-SA"/>
        </w:rPr>
        <w:t>والسیّد الرّوحانی</w:t>
      </w:r>
      <w:r>
        <w:rPr>
          <w:rStyle w:val="FootnoteAnchor"/>
          <w:rtl w:val="true"/>
        </w:rPr>
        <w:footnoteReference w:id="35"/>
      </w:r>
      <w:r>
        <w:rPr>
          <w:rFonts w:ascii="IRNazanin" w:hAnsi="IRNazanin" w:eastAsia="IRNazanin"/>
          <w:color w:val="111111"/>
          <w:sz w:val="28"/>
          <w:sz w:val="28"/>
          <w:szCs w:val="28"/>
          <w:rtl w:val="true"/>
          <w:lang w:bidi="fa-IR"/>
        </w:rPr>
        <w:t>وابن فهد الحلّی،</w:t>
      </w:r>
      <w:r>
        <w:rPr>
          <w:rStyle w:val="FootnoteAnchor"/>
          <w:rtl w:val="true"/>
        </w:rPr>
        <w:footnoteReference w:id="36"/>
      </w:r>
      <w:r>
        <w:rPr>
          <w:rFonts w:ascii="Amiri" w:hAnsi="Amiri" w:eastAsia="Amiri" w:cs="Amiri"/>
          <w:color w:val="111111"/>
          <w:sz w:val="28"/>
          <w:sz w:val="28"/>
          <w:szCs w:val="28"/>
          <w:rtl w:val="true"/>
          <w:lang w:bidi="ar-SA"/>
        </w:rPr>
        <w:t>الّا أنّ الشّهید الثّانی أضاف</w:t>
      </w:r>
      <w:r>
        <w:rPr>
          <w:rFonts w:eastAsia="Amiri" w:cs="Amiri" w:ascii="Amiri" w:hAnsi="Amiri"/>
          <w:color w:val="111111"/>
          <w:sz w:val="28"/>
          <w:szCs w:val="28"/>
          <w:rtl w:val="true"/>
          <w:lang w:bidi="ar-SA"/>
        </w:rPr>
        <w:t>:</w:t>
      </w:r>
      <w:bookmarkStart w:id="54" w:name="pg5194_44631"/>
    </w:p>
    <w:p>
      <w:pPr>
        <w:pStyle w:val="BookText"/>
        <w:rPr/>
      </w:pPr>
      <w:bookmarkEnd w:id="54"/>
      <w:r>
        <w:rPr>
          <w:rFonts w:ascii="IRNazanin" w:hAnsi="IRNazanin" w:eastAsia="IRNazanin"/>
          <w:color w:val="111111"/>
          <w:sz w:val="28"/>
          <w:sz w:val="28"/>
          <w:szCs w:val="28"/>
          <w:rtl w:val="true"/>
          <w:lang w:bidi="fa-IR"/>
        </w:rPr>
        <w:t>لما کان ارتفاع أحدهما علی الآخر دون صاحبه مختصاً باسم النّشوز، ناسب أن یخص التعدّی من کلّ منهما باسم الشّقاق؛ لأنّهما تشارکا فی التّعدی والتّباعد، فکأن کلّ منهما صار فی شق،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غیر جانب الآخر، وحاصله الاختلاف وعدم الاجتماع علی رأی واحد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ولکن الّذی نقصده من الشّقاق فی البحث، هو الاختلاف الّذی ینطبق علی معنی النّشوز، وهذا ما ذهب إلیه الشّیخ، حیث ساوی بین النّشوز والشّقاق؛ إذ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ظهر الشّقاق بین الزّوجین لم یخلُ من ثلاثة 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النّشوز منه، أو منها، أو یشکل الأمر</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فالمقصود من الشّقاق فی البحث، هو الاختلاف النّاجم من أحد الأطراف، والّذی عُبر عنه بنشوز الزّوج أو الزّوجة، أمّا الشّقاق بالمعنی الاصطلاحی الّذی هو الاختلاف من الطّرفین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ذهب إلیه الشّهید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غیر منظور فی بحثنا هذا المخصّص الحدیث عن النّشوز من الطّرفین</w:t>
      </w:r>
      <w:r>
        <w:rPr>
          <w:rFonts w:eastAsia="IRNazanin" w:cs="IRNazanin"/>
          <w:color w:val="111111"/>
          <w:sz w:val="28"/>
          <w:szCs w:val="28"/>
          <w:rtl w:val="true"/>
          <w:lang w:bidi="fa-IR"/>
        </w:rPr>
        <w:t>.</w:t>
      </w:r>
    </w:p>
    <w:p>
      <w:pPr>
        <w:pStyle w:val="Heading4"/>
        <w:numPr>
          <w:ilvl w:val="3"/>
          <w:numId w:val="1"/>
        </w:numPr>
        <w:rPr/>
      </w:pPr>
      <w:bookmarkStart w:id="55" w:name="__RefHeading___Toc37372_581953129"/>
      <w:bookmarkStart w:id="56" w:name="_Toc21"/>
      <w:bookmarkEnd w:id="55"/>
      <w:r>
        <w:rPr>
          <w:rtl w:val="true"/>
        </w:rPr>
        <w:t>الحقّ</w:t>
      </w:r>
      <w:bookmarkEnd w:id="56"/>
    </w:p>
    <w:p>
      <w:pPr>
        <w:pStyle w:val="Heading5"/>
        <w:numPr>
          <w:ilvl w:val="4"/>
          <w:numId w:val="1"/>
        </w:numPr>
        <w:rPr/>
      </w:pPr>
      <w:bookmarkStart w:id="57" w:name="__RefHeading___Toc37374_581953129"/>
      <w:bookmarkStart w:id="58" w:name="_Toc22"/>
      <w:bookmarkEnd w:id="57"/>
      <w:r>
        <w:rPr>
          <w:rtl w:val="true"/>
        </w:rPr>
        <w:t>اشارة</w:t>
      </w:r>
      <w:bookmarkEnd w:id="5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استخدم هذا المصطلح فی مواقع متعدّدة من الذّکر الحکیم، وکذا فی الأحادیث الشّریفة، کما أنّه استعمل کثیراً فی العرف والمحاورة؛ لهذا توجّب علینا أن نبحث عن هذه المعانی فی مواردها المتعدّدة</w:t>
      </w:r>
      <w:r>
        <w:rPr>
          <w:rFonts w:eastAsia="IRNazanin" w:cs="IRNazanin"/>
          <w:color w:val="111111"/>
          <w:sz w:val="28"/>
          <w:szCs w:val="28"/>
          <w:rtl w:val="true"/>
          <w:lang w:bidi="fa-IR"/>
        </w:rPr>
        <w:t>.</w:t>
      </w:r>
      <w:bookmarkStart w:id="59" w:name="pg5194_44632"/>
    </w:p>
    <w:p>
      <w:pPr>
        <w:pStyle w:val="Heading5"/>
        <w:numPr>
          <w:ilvl w:val="4"/>
          <w:numId w:val="1"/>
        </w:numPr>
        <w:rPr/>
      </w:pPr>
      <w:bookmarkStart w:id="60" w:name="__RefHeading___Toc37376_581953129"/>
      <w:bookmarkStart w:id="61" w:name="_Toc23"/>
      <w:bookmarkEnd w:id="59"/>
      <w:bookmarkEnd w:id="60"/>
      <w:r>
        <w:rPr/>
        <w:t>1</w:t>
      </w:r>
      <w:r>
        <w:rPr>
          <w:rtl w:val="true"/>
        </w:rPr>
        <w:t xml:space="preserve">. </w:t>
      </w:r>
      <w:r>
        <w:rPr>
          <w:rtl w:val="true"/>
        </w:rPr>
        <w:t>لغة</w:t>
      </w:r>
      <w:bookmarkEnd w:id="61"/>
    </w:p>
    <w:p>
      <w:pPr>
        <w:pStyle w:val="BookText"/>
        <w:rPr/>
      </w:pPr>
      <w:r>
        <w:rPr>
          <w:rFonts w:ascii="IRNazanin" w:hAnsi="IRNazanin" w:eastAsia="IRNazanin"/>
          <w:color w:val="111111"/>
          <w:sz w:val="28"/>
          <w:sz w:val="28"/>
          <w:szCs w:val="28"/>
          <w:rtl w:val="true"/>
          <w:lang w:bidi="fa-IR"/>
        </w:rPr>
        <w:t>قد یتصوّر البعض أنّ لجمیع المصطلحات معان لغویة محدّدة یمکن حصرها، ولکن المتتبع لکلمات اللغویین یعلم أنّ المصطلحات علی قسمین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کانت لها معان لغویة محدّدة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کانت لها معان کثیرة، بحیث لا یمکن حصرها بسهولة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الأوّل یمکن الإشارة إلی مصطلح النّشوز الّذی ذکرناه سابقاً، حیث حصرنا معانیه بالارتفاع والنّبوء والقیام والخروج عن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مصطلح الحقّ فهو من القسم الثّانی الّذی لا یمکن حصر معانیه بسهولة؛ لذا سوف نتطرّق إلی أهمّ المعانی اللغویة الّتی ذکرت حول الحقّ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الثّابت، ورد هذا المعنی فی آیات متعدّدة من القرآن الکریم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حَقَّ الْقَوْلُ عَلی أَکْثَرِهِمْ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الَّذِینَ حَقَّ عَلَیْهِمُ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حَقَّتْ کَلِمَةُ الْعَذابِ عَلَی الْکافِرِینَ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واستشهد ابن منظور بهذه الآیات وإنّها بمعنی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أثبته وصار عنده حقّاً لایشک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الأمر یحقّ ویحقّ حقّاً وحقوقاً صار حقّاً وثبت</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وفی الصّحاح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الشّیء یحقّ بالکسر،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وأحققت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أوجبته، واستحققته،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استوجبته</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وأمّا فی تاج العروس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أوجبه وأثبته،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یحقّ علیک أن تفعل کذا،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کأحقه وحقّقه،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صیّره حقّاً، 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عُثِرَ عَلی أَنَّهُمَا اسْتَحَقّا إِثْماً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استوجباه بالخیانة</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نقیض الباطل، بهذا المعنی ورد الحقّ علی لسان کثیر من علماء اللغة کالطّریحی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والجوهری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وابن منظور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والزّبیدی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واستشهدوا بآیات عدیدة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یُجادِلُونَکَ فِی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وَعْدَ اللّهِ 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هُوَ الْحَقُّ الْمُبِینُ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رُدُّوا إِلَی اللّهِ مَوْلاهُمُ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وغیر ذلک من الآیات، وجمعه حقوق وحقاق، وفی حدیث التّلبیة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حقّاً،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باطل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الیقین، تقول حقّقت الأمر وأحققته إذا کنت علی یقین منه، هذا ما جاء به ابن منظور،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وعند الطّریحی حقّقت الأمر أحقّه، إذا تیقنته وجعلته ثابتاً لازماً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وذکر الزّبیدی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حقّه حقّاً أحقّه صیّره حقّاً لا یشک فیه، 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حقیقة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یقین شأنه، وهو الیقین بعد الشّک</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ودلّ علی هذا المعنی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لَهُوَ حَقُّ الْیَقِینِ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السّهم والنّصیب، والحقّ یعنی الامتیاز أو النّصیب الملحوظ لشخص، والّذی ینبغی للآخرین مراعاته والمحافظة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وعند الطریحی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أعط کلّ ذی حقّ حقّه،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نصیبه الّذی فرض له</w:t>
      </w:r>
      <w:r>
        <w:rPr>
          <w:rFonts w:eastAsia="Amiri" w:cs="Amiri" w:ascii="Amiri" w:hAnsi="Amiri"/>
          <w:color w:val="111111"/>
          <w:sz w:val="28"/>
          <w:szCs w:val="28"/>
          <w:rtl w:val="true"/>
          <w:lang w:bidi="ar-SA"/>
        </w:rPr>
        <w:t>.</w:t>
      </w:r>
      <w:r>
        <w:rPr>
          <w:rStyle w:val="FootnoteAnchor"/>
          <w:rtl w:val="true"/>
        </w:rPr>
        <w:footnoteReference w:id="43"/>
      </w:r>
      <w:bookmarkStart w:id="62" w:name="pg5194_44635"/>
    </w:p>
    <w:p>
      <w:pPr>
        <w:pStyle w:val="BookText"/>
        <w:rPr/>
      </w:pPr>
      <w:bookmarkEnd w:id="62"/>
      <w:r>
        <w:rPr>
          <w:rFonts w:ascii="IRNazanin" w:hAnsi="IRNazanin" w:eastAsia="IRNazanin"/>
          <w:color w:val="111111"/>
          <w:sz w:val="28"/>
          <w:sz w:val="28"/>
          <w:szCs w:val="28"/>
          <w:rtl w:val="true"/>
          <w:lang w:bidi="fa-IR"/>
        </w:rPr>
        <w:t>ومثل ذلک فی تاج العروس</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التّخاصم، عبّر الزّبیدی عن الحقّ بالتّخاصم،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حاقه محاقه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خاصمه وأدعی کلّ واحد منهما الحقّ، فإذا غلبه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حقّه حقّاً،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فیک حقّ ولا حقق،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خصومة</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وفی الصّحاح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 للرجل إذا خاصم فی صغار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لنزق الحقاق،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فیه حقّ،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خصومة، والتّحاق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التّخاصم، والاحتقاق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الاختصام</w:t>
      </w:r>
      <w:r>
        <w:rPr>
          <w:rFonts w:eastAsia="IRNazanin" w:cs="IRNazanin"/>
          <w:color w:val="111111"/>
          <w:sz w:val="28"/>
          <w:szCs w:val="28"/>
          <w:rtl w:val="true"/>
          <w:lang w:bidi="fa-IR"/>
        </w:rPr>
        <w:t>.</w:t>
      </w:r>
      <w:r>
        <w:rPr>
          <w:rStyle w:val="FootnoteAnchor"/>
          <w:rtl w:val="true"/>
        </w:rPr>
        <w:footnoteReference w:id="46"/>
      </w:r>
    </w:p>
    <w:p>
      <w:pPr>
        <w:pStyle w:val="Heading5"/>
        <w:numPr>
          <w:ilvl w:val="4"/>
          <w:numId w:val="1"/>
        </w:numPr>
        <w:rPr/>
      </w:pPr>
      <w:bookmarkStart w:id="63" w:name="__RefHeading___Toc37378_581953129"/>
      <w:bookmarkStart w:id="64" w:name="_Toc24"/>
      <w:bookmarkEnd w:id="63"/>
      <w:r>
        <w:rPr/>
        <w:t>2</w:t>
      </w:r>
      <w:r>
        <w:rPr>
          <w:rtl w:val="true"/>
        </w:rPr>
        <w:t xml:space="preserve">. </w:t>
      </w:r>
      <w:r>
        <w:rPr>
          <w:rtl w:val="true"/>
        </w:rPr>
        <w:t>اصطلاحاً</w:t>
      </w:r>
      <w:bookmarkEnd w:id="64"/>
    </w:p>
    <w:p>
      <w:pPr>
        <w:pStyle w:val="Heading6"/>
        <w:numPr>
          <w:ilvl w:val="5"/>
          <w:numId w:val="1"/>
        </w:numPr>
        <w:rPr/>
      </w:pPr>
      <w:bookmarkStart w:id="65" w:name="__RefHeading___Toc37380_581953129"/>
      <w:bookmarkStart w:id="66" w:name="_Toc25"/>
      <w:bookmarkEnd w:id="65"/>
      <w:r>
        <w:rPr>
          <w:rtl w:val="true"/>
        </w:rPr>
        <w:t>اشارة</w:t>
      </w:r>
      <w:bookmarkEnd w:id="66"/>
    </w:p>
    <w:p>
      <w:pPr>
        <w:pStyle w:val="BookText"/>
        <w:rPr/>
      </w:pPr>
      <w:r>
        <w:rPr>
          <w:rFonts w:ascii="IRNazanin" w:hAnsi="IRNazanin" w:eastAsia="IRNazanin"/>
          <w:color w:val="111111"/>
          <w:sz w:val="28"/>
          <w:sz w:val="28"/>
          <w:szCs w:val="28"/>
          <w:rtl w:val="true"/>
          <w:lang w:bidi="fa-IR"/>
        </w:rPr>
        <w:t>لا یخفی علی کلّ باحث، أنّ تعریف الحقّ من المباحث المختلفة الّذی لا تتفق علیه کلمات العلماء، فقد عُرّف الحقّ بتعریفات متعدّدة، ومن هذه التّعریفات ما وجدناه عند الفقهاء والحقوقیین</w:t>
      </w:r>
      <w:r>
        <w:rPr>
          <w:rFonts w:eastAsia="IRNazanin" w:cs="IRNazanin"/>
          <w:color w:val="111111"/>
          <w:sz w:val="28"/>
          <w:szCs w:val="28"/>
          <w:rtl w:val="true"/>
          <w:lang w:bidi="fa-IR"/>
        </w:rPr>
        <w:t>.</w:t>
      </w:r>
    </w:p>
    <w:p>
      <w:pPr>
        <w:pStyle w:val="Heading6"/>
        <w:numPr>
          <w:ilvl w:val="5"/>
          <w:numId w:val="1"/>
        </w:numPr>
        <w:rPr/>
      </w:pPr>
      <w:bookmarkStart w:id="67" w:name="__RefHeading___Toc37382_581953129"/>
      <w:bookmarkStart w:id="68" w:name="_Toc26"/>
      <w:bookmarkEnd w:id="67"/>
      <w:r>
        <w:rPr>
          <w:rtl w:val="true"/>
        </w:rPr>
        <w:t>أ</w:t>
      </w:r>
      <w:r>
        <w:rPr>
          <w:rtl w:val="true"/>
        </w:rPr>
        <w:t xml:space="preserve">) </w:t>
      </w:r>
      <w:r>
        <w:rPr>
          <w:rtl w:val="true"/>
        </w:rPr>
        <w:t>عند الفقهاء</w:t>
      </w:r>
      <w:bookmarkEnd w:id="68"/>
    </w:p>
    <w:p>
      <w:pPr>
        <w:pStyle w:val="BookText"/>
        <w:rPr/>
      </w:pPr>
      <w:r>
        <w:rPr>
          <w:rFonts w:ascii="IRNazanin" w:hAnsi="IRNazanin" w:eastAsia="IRNazanin"/>
          <w:color w:val="111111"/>
          <w:sz w:val="28"/>
          <w:sz w:val="28"/>
          <w:szCs w:val="28"/>
          <w:rtl w:val="true"/>
          <w:lang w:bidi="fa-IR"/>
        </w:rPr>
        <w:t>عُرّف الحقّ عند الفقهاء تارة بلحاظ السّلطنة، وأخری بالاعتبار، وحاول البعض الجمع بینهما، أمّا بلحاظ السّلطنة عرّفه الشّیخ الأنصاری فی المکاسب، بأنّ الحقّ</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سلطنة فعلیة لا یعقل قیام طرفیها بشخص واحد</w:t>
      </w:r>
      <w:r>
        <w:rPr>
          <w:rFonts w:eastAsia="IRNazanin" w:cs="IRNazanin"/>
          <w:color w:val="111111"/>
          <w:sz w:val="28"/>
          <w:szCs w:val="28"/>
          <w:rtl w:val="true"/>
          <w:lang w:bidi="fa-IR"/>
        </w:rPr>
        <w:t>.</w:t>
      </w:r>
      <w:r>
        <w:rPr>
          <w:rStyle w:val="FootnoteAnchor"/>
          <w:rtl w:val="true"/>
        </w:rPr>
        <w:footnoteReference w:id="47"/>
      </w:r>
      <w:bookmarkStart w:id="69" w:name="pg5194_44636"/>
    </w:p>
    <w:p>
      <w:pPr>
        <w:pStyle w:val="BookText"/>
        <w:rPr/>
      </w:pPr>
      <w:bookmarkEnd w:id="69"/>
      <w:r>
        <w:rPr>
          <w:rFonts w:ascii="IRNazanin" w:hAnsi="IRNazanin" w:eastAsia="IRNazanin"/>
          <w:color w:val="111111"/>
          <w:sz w:val="28"/>
          <w:sz w:val="28"/>
          <w:szCs w:val="28"/>
          <w:rtl w:val="true"/>
          <w:lang w:bidi="fa-IR"/>
        </w:rPr>
        <w:t>وکذا المحقّق الیزدی فی الحاشیة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من السّلطنة علی شیء متعلق بعین</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لکن السیّد الخمینی عرّفه بلحاظ الاعتبار،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ماهیة اعتباریّة عقلائیّة تارة وشرعیّة أخری، کاعتباریّة الملک</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أمّا السیّد محمّد آل بحر العلوم فقد جمع تعاریف الحقّ بهذا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سلطنة مجعولة للإنسان من حیث هو علی غیره ولو بالاعتبار، من مال أو شخص أو هما معاً</w:t>
      </w:r>
      <w:r>
        <w:rPr>
          <w:rFonts w:eastAsia="IRNazanin" w:cs="IRNazanin"/>
          <w:color w:val="111111"/>
          <w:sz w:val="28"/>
          <w:szCs w:val="28"/>
          <w:rtl w:val="true"/>
          <w:lang w:bidi="fa-IR"/>
        </w:rPr>
        <w:t>.</w:t>
      </w:r>
      <w:r>
        <w:rPr>
          <w:rStyle w:val="FootnoteAnchor"/>
          <w:rtl w:val="true"/>
        </w:rPr>
        <w:footnoteReference w:id="50"/>
      </w:r>
    </w:p>
    <w:p>
      <w:pPr>
        <w:pStyle w:val="Heading6"/>
        <w:numPr>
          <w:ilvl w:val="5"/>
          <w:numId w:val="1"/>
        </w:numPr>
        <w:rPr/>
      </w:pPr>
      <w:bookmarkStart w:id="70" w:name="__RefHeading___Toc37384_581953129"/>
      <w:bookmarkStart w:id="71" w:name="_Toc27"/>
      <w:bookmarkEnd w:id="70"/>
      <w:r>
        <w:rPr>
          <w:rtl w:val="true"/>
        </w:rPr>
        <w:t>ب</w:t>
      </w:r>
      <w:r>
        <w:rPr>
          <w:rtl w:val="true"/>
        </w:rPr>
        <w:t xml:space="preserve">) </w:t>
      </w:r>
      <w:r>
        <w:rPr>
          <w:rtl w:val="true"/>
        </w:rPr>
        <w:t>عند الحقوقیین</w:t>
      </w:r>
      <w:bookmarkEnd w:id="71"/>
    </w:p>
    <w:p>
      <w:pPr>
        <w:pStyle w:val="BookText"/>
        <w:rPr/>
      </w:pPr>
      <w:r>
        <w:rPr>
          <w:rFonts w:ascii="IRNazanin" w:hAnsi="IRNazanin" w:eastAsia="IRNazanin"/>
          <w:color w:val="111111"/>
          <w:sz w:val="28"/>
          <w:sz w:val="28"/>
          <w:szCs w:val="28"/>
          <w:rtl w:val="true"/>
          <w:lang w:bidi="fa-IR"/>
        </w:rPr>
        <w:t>اختلف تعریف الحقّ عند الحقوقیین باختلاف نظرتهم القانونیّة إلیه، فقد عرّفوه بالمکنة، أو الاستئثار، تحت أطار القانون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الدّکتور سلمان بوذیاب أنّ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مکنة قانونیّة محدّدة تحقّق مصلحة ذاتیّة مباشرة</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کما جاء فی الدّروس فی القانون بأنّه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سلطة یمنحها القانون لشخص معین تخول له الاستئثار بقیمة معینة</w:t>
      </w:r>
      <w:r>
        <w:rPr>
          <w:rFonts w:eastAsia="IRNazanin" w:cs="IRNazanin"/>
          <w:color w:val="111111"/>
          <w:sz w:val="28"/>
          <w:szCs w:val="28"/>
          <w:rtl w:val="true"/>
          <w:lang w:bidi="fa-IR"/>
        </w:rPr>
        <w:t>.</w:t>
      </w:r>
      <w:r>
        <w:rPr>
          <w:rStyle w:val="FootnoteAnchor"/>
          <w:rtl w:val="true"/>
        </w:rPr>
        <w:footnoteReference w:id="5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وعبّر ثالث عن الحقّ</w:t>
      </w:r>
      <w:r>
        <w:rPr>
          <w:rFonts w:eastAsia="Amiri" w:cs="Amiri" w:ascii="Amiri" w:hAnsi="Amiri"/>
          <w:color w:val="111111"/>
          <w:sz w:val="28"/>
          <w:szCs w:val="28"/>
          <w:rtl w:val="true"/>
          <w:lang w:bidi="ar-SA"/>
        </w:rPr>
        <w:t>:</w:t>
      </w:r>
      <w:bookmarkStart w:id="72" w:name="pg5194_44637"/>
    </w:p>
    <w:p>
      <w:pPr>
        <w:pStyle w:val="BookText"/>
        <w:rPr/>
      </w:pPr>
      <w:bookmarkEnd w:id="72"/>
      <w:r>
        <w:rPr>
          <w:rFonts w:ascii="IRNazanin" w:hAnsi="IRNazanin" w:eastAsia="IRNazanin"/>
          <w:color w:val="111111"/>
          <w:sz w:val="28"/>
          <w:sz w:val="28"/>
          <w:szCs w:val="28"/>
          <w:rtl w:val="true"/>
          <w:lang w:bidi="fa-IR"/>
        </w:rPr>
        <w:t>باستئثار الشّخص بالشّیء أو القیمة، بحیث یحمیه القانون</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أمّا عند الدّکتور محمّد سامی، فالحقّ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سلطة یقرّرها القانون لشخص معین، وبمقتضاها یکون لهذا الشّخص میزة القیام بعمل معین</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وبناءً علی ما ذکر أنّ جمیع التّعاریف عند الحقوقیین محدّدة بالقانون خلافاً لنظرة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والملاحظ هنا، أنّنا لم نأتِ بجمیع التّعاریف الواردة حول الحقّ، بل توجد هناک تعاریف کثیرة لم نتطرّق إلیها</w:t>
      </w:r>
      <w:r>
        <w:rPr>
          <w:rFonts w:eastAsia="IRNazanin" w:cs="IRNazanin"/>
          <w:color w:val="111111"/>
          <w:sz w:val="28"/>
          <w:szCs w:val="28"/>
          <w:rtl w:val="true"/>
          <w:lang w:bidi="fa-IR"/>
        </w:rPr>
        <w:t>.</w:t>
      </w:r>
    </w:p>
    <w:p>
      <w:pPr>
        <w:pStyle w:val="Heading4"/>
        <w:numPr>
          <w:ilvl w:val="3"/>
          <w:numId w:val="1"/>
        </w:numPr>
        <w:rPr/>
      </w:pPr>
      <w:bookmarkStart w:id="73" w:name="__RefHeading___Toc37386_581953129"/>
      <w:bookmarkStart w:id="74" w:name="_Toc28"/>
      <w:bookmarkEnd w:id="73"/>
      <w:r>
        <w:rPr>
          <w:rtl w:val="true"/>
        </w:rPr>
        <w:t>الحکم</w:t>
      </w:r>
      <w:bookmarkEnd w:id="74"/>
    </w:p>
    <w:p>
      <w:pPr>
        <w:pStyle w:val="Heading5"/>
        <w:numPr>
          <w:ilvl w:val="4"/>
          <w:numId w:val="1"/>
        </w:numPr>
        <w:rPr/>
      </w:pPr>
      <w:bookmarkStart w:id="75" w:name="__RefHeading___Toc37388_581953129"/>
      <w:bookmarkStart w:id="76" w:name="_Toc29"/>
      <w:bookmarkEnd w:id="75"/>
      <w:r>
        <w:rPr>
          <w:rtl w:val="true"/>
        </w:rPr>
        <w:t>اشارة</w:t>
      </w:r>
      <w:bookmarkEnd w:id="76"/>
    </w:p>
    <w:p>
      <w:pPr>
        <w:pStyle w:val="BookText"/>
        <w:rPr/>
      </w:pPr>
      <w:r>
        <w:rPr>
          <w:rFonts w:ascii="IRNazanin" w:hAnsi="IRNazanin" w:eastAsia="IRNazanin"/>
          <w:color w:val="111111"/>
          <w:sz w:val="28"/>
          <w:sz w:val="28"/>
          <w:szCs w:val="28"/>
          <w:rtl w:val="true"/>
          <w:lang w:bidi="fa-IR"/>
        </w:rPr>
        <w:t>علی الرّغم من توسع مصطلح الحکم ومشتقاته فی الکتب اللغویّة، ولکن یمکن حصر معناه فی عدّة معانی نشیر إلیها لما یخصّ البحث</w:t>
      </w:r>
      <w:r>
        <w:rPr>
          <w:rFonts w:eastAsia="IRNazanin" w:cs="IRNazanin"/>
          <w:color w:val="111111"/>
          <w:sz w:val="28"/>
          <w:szCs w:val="28"/>
          <w:rtl w:val="true"/>
          <w:lang w:bidi="fa-IR"/>
        </w:rPr>
        <w:t>.</w:t>
      </w:r>
    </w:p>
    <w:p>
      <w:pPr>
        <w:pStyle w:val="Heading5"/>
        <w:numPr>
          <w:ilvl w:val="4"/>
          <w:numId w:val="1"/>
        </w:numPr>
        <w:rPr/>
      </w:pPr>
      <w:bookmarkStart w:id="77" w:name="__RefHeading___Toc37390_581953129"/>
      <w:bookmarkStart w:id="78" w:name="_Toc30"/>
      <w:bookmarkEnd w:id="77"/>
      <w:r>
        <w:rPr/>
        <w:t>1</w:t>
      </w:r>
      <w:r>
        <w:rPr>
          <w:rtl w:val="true"/>
        </w:rPr>
        <w:t xml:space="preserve">. </w:t>
      </w:r>
      <w:r>
        <w:rPr>
          <w:rtl w:val="true"/>
        </w:rPr>
        <w:t>لغة</w:t>
      </w:r>
      <w:bookmarkEnd w:id="78"/>
    </w:p>
    <w:p>
      <w:pPr>
        <w:pStyle w:val="BookText"/>
        <w:rPr/>
      </w:pPr>
      <w:r>
        <w:rPr>
          <w:rFonts w:ascii="IRNazanin" w:hAnsi="IRNazanin" w:eastAsia="IRNazanin"/>
          <w:color w:val="111111"/>
          <w:sz w:val="28"/>
          <w:sz w:val="28"/>
          <w:szCs w:val="28"/>
          <w:rtl w:val="true"/>
          <w:lang w:bidi="fa-IR"/>
        </w:rPr>
        <w:t>أهمّ ما ذکر للحکم فی معناه اللغوی، هو العلم والفقه والقضاء بالعدل والمنع، حیث وردت علی ألسنة أغلب علماء اللغة، فقد صرّح ابن منظور بأنّ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العلم والفقه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آتَیْناهُ الْحُکْمَ صَبِیًّا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وفقهاً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الشّعر لحکماً،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الشّعر کلاماً نافعاً یمنع من الجهل والسّفه وینهی عنهما</w:t>
      </w:r>
      <w:r>
        <w:rPr>
          <w:rFonts w:eastAsia="IRNazanin" w:cs="IRNazanin"/>
          <w:color w:val="111111"/>
          <w:sz w:val="28"/>
          <w:szCs w:val="28"/>
          <w:rtl w:val="true"/>
          <w:lang w:bidi="fa-IR"/>
        </w:rPr>
        <w:t>.</w:t>
      </w:r>
      <w:bookmarkStart w:id="79" w:name="pg5194_44638"/>
    </w:p>
    <w:p>
      <w:pPr>
        <w:pStyle w:val="BookText"/>
        <w:rPr/>
      </w:pPr>
      <w:bookmarkEnd w:id="79"/>
      <w:r>
        <w:rPr>
          <w:rFonts w:ascii="IRNazanin" w:hAnsi="IRNazanin" w:eastAsia="IRNazanin"/>
          <w:color w:val="111111"/>
          <w:sz w:val="28"/>
          <w:sz w:val="28"/>
          <w:szCs w:val="28"/>
          <w:rtl w:val="true"/>
          <w:lang w:bidi="fa-IR"/>
        </w:rPr>
        <w:t>والعرب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وأحکمت وحکّمت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منعت ردّدت، ومن هذا قیل للحاکم بین النّاس حاکم؛ لأنّه یمنع الظّالم من الظّلم، ومعنی الأحکام حینئذ الأحراز</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وفی مجمع البحرین أشار إلی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لِی حُکْماً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الحکم بین النّاس بالحقّ، فإنّه من أفضل الأعمال وأکملها، والمراد هو القضاء بالعدل</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وأیّد هذا المعنی الجوهری،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مصدر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بینهم یحکم،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والحکم أیضاً الحکمة من العلم</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وما ذکرناه هو معنی الحکم بالضم، أمّا هناک توجد معان کثیرة لمشتقات الحکم، کالحکمة والحکیم والمحکم وغیر ذلک، ولم نُشر إلیها؛ لأنّها لیست فی مجال بحثنا</w:t>
      </w:r>
      <w:r>
        <w:rPr>
          <w:rFonts w:eastAsia="IRNazanin" w:cs="IRNazanin"/>
          <w:color w:val="111111"/>
          <w:sz w:val="28"/>
          <w:szCs w:val="28"/>
          <w:rtl w:val="true"/>
          <w:lang w:bidi="fa-IR"/>
        </w:rPr>
        <w:t>.</w:t>
      </w:r>
    </w:p>
    <w:p>
      <w:pPr>
        <w:pStyle w:val="Heading5"/>
        <w:numPr>
          <w:ilvl w:val="4"/>
          <w:numId w:val="1"/>
        </w:numPr>
        <w:rPr/>
      </w:pPr>
      <w:bookmarkStart w:id="80" w:name="__RefHeading___Toc37392_581953129"/>
      <w:bookmarkStart w:id="81" w:name="_Toc31"/>
      <w:bookmarkEnd w:id="80"/>
      <w:r>
        <w:rPr/>
        <w:t>2</w:t>
      </w:r>
      <w:r>
        <w:rPr>
          <w:rtl w:val="true"/>
        </w:rPr>
        <w:t xml:space="preserve">. </w:t>
      </w:r>
      <w:r>
        <w:rPr>
          <w:rtl w:val="true"/>
        </w:rPr>
        <w:t>اصطلاحاً</w:t>
      </w:r>
      <w:bookmarkEnd w:id="81"/>
    </w:p>
    <w:p>
      <w:pPr>
        <w:pStyle w:val="BookText"/>
        <w:rPr/>
      </w:pPr>
      <w:r>
        <w:rPr>
          <w:rFonts w:ascii="IRNazanin" w:hAnsi="IRNazanin" w:eastAsia="IRNazanin"/>
          <w:color w:val="111111"/>
          <w:sz w:val="28"/>
          <w:sz w:val="28"/>
          <w:szCs w:val="28"/>
          <w:rtl w:val="true"/>
          <w:lang w:bidi="fa-IR"/>
        </w:rPr>
        <w:t>من خلال التّعاریف الواردة حول الحکم، یلاحظ عدم وجود خلاف بین العلماء فی تعریف الحکم؛ بل نظرة الجمیع تدور بین الاعتبار أو الخطاب أو الرخصة الشّرعیة المرتبطة بأفعال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فتارةً یعرّفه السیّد الحکیم بأنّه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الاعتبار الشّرعی المتعلق بأفعال العباد تعلقاً مباشراً، أو غیر مباشر</w:t>
      </w:r>
      <w:r>
        <w:rPr>
          <w:rFonts w:eastAsia="IRNazanin" w:cs="IRNazanin"/>
          <w:color w:val="111111"/>
          <w:sz w:val="28"/>
          <w:szCs w:val="28"/>
          <w:rtl w:val="true"/>
          <w:lang w:bidi="fa-IR"/>
        </w:rPr>
        <w:t>.</w:t>
      </w:r>
      <w:r>
        <w:rPr>
          <w:rStyle w:val="FootnoteAnchor"/>
          <w:rtl w:val="true"/>
        </w:rPr>
        <w:footnoteReference w:id="58"/>
      </w:r>
      <w:bookmarkStart w:id="82" w:name="pg5194_44639"/>
    </w:p>
    <w:p>
      <w:pPr>
        <w:pStyle w:val="BookText"/>
        <w:rPr/>
      </w:pPr>
      <w:bookmarkEnd w:id="82"/>
      <w:r>
        <w:rPr>
          <w:rFonts w:ascii="Amiri" w:hAnsi="Amiri" w:eastAsia="Amiri" w:cs="Amiri"/>
          <w:color w:val="111111"/>
          <w:sz w:val="28"/>
          <w:sz w:val="28"/>
          <w:szCs w:val="28"/>
          <w:rtl w:val="true"/>
          <w:lang w:bidi="ar-SA"/>
        </w:rPr>
        <w:t>وأُخری یعرّفه المحقّق الیزدی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بجعل الرّخصة فی فعل شیء أو ترکه</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وفی المعجم 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بالتّشریع الصّادر من الله تعالی لتنظیم حیاة الإنسان</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أمّا الموسوعة، فقد عرّفته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بأثر خطاب الشّارع فی أفعال المکلفین</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والّذی یظهر من هذه التّعبیرات اتّفاق نظرة الفقهاء حول الحکم</w:t>
      </w:r>
      <w:r>
        <w:rPr>
          <w:rFonts w:eastAsia="IRNazanin" w:cs="IRNazanin"/>
          <w:color w:val="111111"/>
          <w:sz w:val="28"/>
          <w:szCs w:val="28"/>
          <w:rtl w:val="true"/>
          <w:lang w:bidi="fa-IR"/>
        </w:rPr>
        <w:t>.</w:t>
      </w:r>
    </w:p>
    <w:p>
      <w:pPr>
        <w:pStyle w:val="Heading4"/>
        <w:numPr>
          <w:ilvl w:val="3"/>
          <w:numId w:val="1"/>
        </w:numPr>
        <w:rPr/>
      </w:pPr>
      <w:bookmarkStart w:id="83" w:name="__RefHeading___Toc37394_581953129"/>
      <w:bookmarkStart w:id="84" w:name="_Toc32"/>
      <w:bookmarkEnd w:id="83"/>
      <w:r>
        <w:rPr>
          <w:rtl w:val="true"/>
        </w:rPr>
        <w:t>الفرق بین الحقّ والحکم</w:t>
      </w:r>
      <w:bookmarkEnd w:id="84"/>
    </w:p>
    <w:p>
      <w:pPr>
        <w:pStyle w:val="BookText"/>
        <w:rPr/>
      </w:pPr>
      <w:r>
        <w:rPr>
          <w:rFonts w:ascii="IRNazanin" w:hAnsi="IRNazanin" w:eastAsia="IRNazanin"/>
          <w:color w:val="111111"/>
          <w:sz w:val="28"/>
          <w:sz w:val="28"/>
          <w:szCs w:val="28"/>
          <w:rtl w:val="true"/>
          <w:lang w:bidi="fa-IR"/>
        </w:rPr>
        <w:t>الحقّ والحکم مفهومان اعتباریان لکلّ منهما معنی خاص به یمیّزه عن الآخر، وهذا التّمییز أیضاً یترک أثره علی المصطلحَین من ناحیة الآثار؛ ولهذا قال السیّد 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الحقّ والحکم أمور اعتباریّة تختلف من حیث الآثار إختلافاً واضحاً</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والمتأمل فی کتب الفقهاء یلاحظ فروق واضحة بین الحقّ والحکم، وهذا ما سنشیر إلیه فی عدّة نقاط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الحقوق قابلة للإسقاط خلافاً للحکم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الحقوق قابلة للنقل خلافاً للحکم</w:t>
      </w:r>
      <w:r>
        <w:rPr>
          <w:rFonts w:eastAsia="IRNazanin" w:cs="IRNazanin"/>
          <w:color w:val="111111"/>
          <w:sz w:val="28"/>
          <w:szCs w:val="28"/>
          <w:rtl w:val="true"/>
          <w:lang w:bidi="fa-IR"/>
        </w:rPr>
        <w:t>.</w:t>
      </w:r>
      <w:bookmarkStart w:id="85" w:name="pg5194_44640"/>
    </w:p>
    <w:p>
      <w:pPr>
        <w:pStyle w:val="BookText"/>
        <w:rPr/>
      </w:pPr>
      <w:bookmarkEnd w:id="8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تشخیص المصلحة فی الحقّ بید المکلف بینما فی الحکم بید الشّارع</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یتضمّن التّحمیل والضّیق حتّی لو کان غیر إلزامی، أمّا الحقّ یتضمّن الإرفاق بالمکلف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الحقوق دائماً تحتاج إلی طرف ثانی یکون علیه الحقّ، أمّا الأحکام لو کانت تکلیفیة لیست دائماً ذات طرف آخر، کوجوب الصّلاة، أمّا لو کانت وضعیّة فکلّها ذات طرف آخر؛ لأنّها من سنخ المعاملات وهی لا تصدق قطعاً من دون طرفین فأکثر</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86" w:name="__RefHeading___Toc37396_581953129"/>
      <w:bookmarkStart w:id="87" w:name="_Toc33"/>
      <w:bookmarkEnd w:id="86"/>
      <w:r>
        <w:rPr>
          <w:rtl w:val="true"/>
        </w:rPr>
        <w:t>دراسة تأریخیّة للحقوق الزّوجیّة فی الدّیانات الإلهیّة السّابقة</w:t>
      </w:r>
      <w:bookmarkEnd w:id="87"/>
    </w:p>
    <w:p>
      <w:pPr>
        <w:pStyle w:val="BookText"/>
        <w:rPr/>
      </w:pPr>
      <w:r>
        <w:rPr>
          <w:rFonts w:ascii="IRNazanin" w:hAnsi="IRNazanin" w:eastAsia="IRNazanin"/>
          <w:color w:val="111111"/>
          <w:sz w:val="28"/>
          <w:sz w:val="28"/>
          <w:szCs w:val="28"/>
          <w:rtl w:val="true"/>
          <w:lang w:bidi="fa-IR"/>
        </w:rPr>
        <w:t xml:space="preserve">کلّ إنسان مدرک یعلم أنّ الصّلة والعلاقة الّتی تربط الزّوج بالزّوجة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یعبّر عنها بالزّواج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العُلقة المسبّبة لتکوّن الأسرة والعائلة، وأنّ الحیاة الاجتماعیّة ناشئة من هذا الأمر الّذی أودعه الله تعالی لعباده من أجل استمرار الحیاة البشریّة وبقاءها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ومهما اختلفت ضوابطه وقیوده وحقوق أطرافه من مجتمع إلی آخر بحسب الاختلاف الّذی وجد بین الأدیان السّماویّة؛ فهو ضرورة من ضرورات الحیاة الإنسانیّة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الدّیانة الیهودیّة، تطالب التّوراة بزیادة النّسل، وعلی الشّعب المختار أن یتزاید، تقول التّوراة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الله الإنسان، ذکراً وأنثی، خلقهم وبارکهم الله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أثمروا وأکثروا وأملأوا الأرض وأخضعوها وتسلطوا علی سمک البحر وعلی طیر السّماء وعلی کلّ حیوان یدب علی الأرض</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وبذلک نری حثّ أحبار الیهود علی التّکاثر والتّناسل، وأنّ النّکاح فرض علی کلّ یهودی، کما جاء فی کتاب الأحکام العبریّة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النّکاح بنیة التّناسل ودوام حفظ النّوع الإنسانی، فرض علی کلّ یهودی، ومن تأخر عن أداء هذا الفرض وعاش عزباً بدون زواج، کان سبباً فی غضب الله علی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وتتحدّث التّوراة عن تعدّد الزّوجات، وکأنّه أمرٌ مفروغ منه؛ وذلک لحفاظ النّوع الإنسانی من الإنقراض؛ ولتکاثر الشّعب الإسرائیلی، ولم تحدّد عدد الزّوجات، بل ترک الأمر لکلّ الإنسان قدر ما یستطیع ویقتضی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المرأة مملوکة الرّجل وهو سیّدها، ومتی خرجت الزّوجة من بیت أهلها ودخلت بیت زوجها، صار له علیها حقّ الطّاعة التّامة والامتثال فی جمیع ما یأمرها به، فعلیها ألا تخالفه فی شیء ممّا یطلبه منها، بل تطیعه کما تطیع الجاریة سیّدها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ویکون جمیع مال الزّوجة ملکاً لزوجها، ولیس لها سوی ما فرض لها من المهر فی عقد الزّواج، تطالب به بعد موته، أو عند الطّلاق إذا وقعت الفرقة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وتنصّ المادة </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الأحکام العبریّة علی أنّه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تدخل الزّوجة علی زوجها بمالٍ علی ذمة الزّوجیّة، فلا یکلّف الزّوج بأن ینفق علیها فی غیر الحاجات اللازمة الّتی لا بدّ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دخلت علیه بمال، فیجب علیه التّوسع فی النّفقة بقدر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من حقّ الزّوجة أن تطلب الطّلاق من زوجها مهما کانت عیوبه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سلطة الزّوج علی الزّوجة فی تعلیم أمور الدّین والدّنیا فهی مطلقة لا حدود لها، وعلیه أن یستعملها فی محلها مع الحکمة والاعتدال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حقّ الزّوج، متی نوی الطّلاق حرمت علیه معاشرة زوجته، فبمجرد عزمه علی مفارقتها وجب علیه الإسراع إلی طلاقها</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أمّا فی الدّیانة المسیحیّة، نلاحظ رهبان المسیح حدّدوا الزّواج بزوجة واحدة، حیث لا یجوز للمسیحی أن یتزوج بأکثر من واحدة، إلّا أن تتوفی أو یفترق عنها شرعاً، فلا یجوز الجمع بین زوجتین فی وقت واحد، بل یعتبر الزّواج الثّانی باطلاً؛ وذلک لأنّ الله تعالی لم یخلق لآدم أکثر من حواء رغم أنّه لم تنقصه المادة لصنعها ولا القدرة علی ذلک، فالله لم یخلق إلّا معیناً واحداً للرّجل، ولو کان من الضّروری الجمع بین عدّة زوجات، لکان الله خلق العدد المناسب منهم لآدم؛ لذلک عندما سأل الفریسیون الربّ عن ذلک قال لهم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قرأتم أن الّذی خلق منذ البدء خلقهما من ذکر وأنثی، وقال من أجل هذا یترک الرّجل أباه وأمّه ویلتصق بامرأته ویکون الإثنان جسداً واحداً، إذ لیسا بعد اثنین، بل جسداً واحداً فالّذی جمعه الله لا یفرقه الإنسان</w:t>
      </w:r>
      <w:r>
        <w:rPr>
          <w:rFonts w:eastAsia="IRNazanin" w:cs="IRNazanin"/>
          <w:color w:val="111111"/>
          <w:sz w:val="28"/>
          <w:szCs w:val="28"/>
          <w:rtl w:val="true"/>
          <w:lang w:bidi="fa-IR"/>
        </w:rPr>
        <w:t>.</w:t>
      </w:r>
      <w:r>
        <w:rPr>
          <w:rStyle w:val="FootnoteAnchor"/>
          <w:rtl w:val="true"/>
        </w:rPr>
        <w:footnoteReference w:id="67"/>
      </w:r>
      <w:bookmarkStart w:id="88" w:name="pg5194_44643"/>
    </w:p>
    <w:p>
      <w:pPr>
        <w:pStyle w:val="BookText"/>
        <w:rPr/>
      </w:pPr>
      <w:bookmarkEnd w:id="88"/>
      <w:r>
        <w:rPr>
          <w:rFonts w:ascii="IRNazanin" w:hAnsi="IRNazanin" w:eastAsia="IRNazanin"/>
          <w:color w:val="111111"/>
          <w:sz w:val="28"/>
          <w:sz w:val="28"/>
          <w:szCs w:val="28"/>
          <w:rtl w:val="true"/>
          <w:lang w:bidi="fa-IR"/>
        </w:rPr>
        <w:t>وذلک لیکون الرّباط الزّوجی مؤسساً علی الحبّ، والوحدة بین الإثنین لا یدخل بینهما ثالث یفرقهما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الموانع الزّوجیّة عند المسیح کثیرة، منها القرابة بالأصول والفروع، فلا یجوز الزّواج بالفروع الأبویّة ولا الجدّیة، کما لا یجوز الزّواج بزوجة والده أو عمّه أو خاله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لا یجوز الزّواج بمن ینتمی إلی دین آخر أو مذهب غیر مسیحی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الطّلاق فی الدیانة المسیحیّة من الأمور الغیر مسموحة إلّا فی أضیق الحدود وأقل الحالات، والکنیسة لا تعترف به إلّا فی ضمن شروط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فالعلاقة الزّوجیّة فی المسیح هی علاقة مقدّسة، ولیس وسیلة لطلب الذّریّة فقط، بل هی احتیاج بیولوجی، کما أنّه إعانة لکلّ منهما للآخر لتخفیف متاعب الحیاة</w:t>
      </w:r>
      <w:r>
        <w:rPr>
          <w:rFonts w:eastAsia="IRNazanin" w:cs="IRNazanin"/>
          <w:color w:val="111111"/>
          <w:sz w:val="28"/>
          <w:szCs w:val="28"/>
          <w:rtl w:val="true"/>
          <w:lang w:bidi="fa-IR"/>
        </w:rPr>
        <w:t>.</w:t>
      </w:r>
      <w:r>
        <w:rPr>
          <w:rStyle w:val="FootnoteAnchor"/>
          <w:rtl w:val="true"/>
        </w:rPr>
        <w:footnoteReference w:id="68"/>
      </w:r>
    </w:p>
    <w:p>
      <w:pPr>
        <w:pStyle w:val="Heading4"/>
        <w:numPr>
          <w:ilvl w:val="3"/>
          <w:numId w:val="1"/>
        </w:numPr>
        <w:rPr/>
      </w:pPr>
      <w:bookmarkStart w:id="89" w:name="__RefHeading___Toc37398_581953129"/>
      <w:bookmarkStart w:id="90" w:name="_Toc34"/>
      <w:bookmarkEnd w:id="89"/>
      <w:r>
        <w:rPr>
          <w:rtl w:val="true"/>
        </w:rPr>
        <w:t>دراسة تأریخیّة للحقوق الزّوجیّة فی المجتمعات البشریّة</w:t>
      </w:r>
      <w:bookmarkEnd w:id="90"/>
    </w:p>
    <w:p>
      <w:pPr>
        <w:pStyle w:val="BookText"/>
        <w:rPr/>
      </w:pPr>
      <w:r>
        <w:rPr>
          <w:rFonts w:ascii="IRNazanin" w:hAnsi="IRNazanin" w:eastAsia="IRNazanin"/>
          <w:color w:val="111111"/>
          <w:sz w:val="28"/>
          <w:sz w:val="28"/>
          <w:szCs w:val="28"/>
          <w:rtl w:val="true"/>
          <w:lang w:bidi="fa-IR"/>
        </w:rPr>
        <w:t>اختلفت الحقوق المترتبة بین الزّوجین بحسب اختلاف نظرة کلّ مجتمع للمرأة والرّجل، وبالتالی للأسرة الّتی هی نواة المجتمع</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حیاة النّساء فی الأمم الغیر متمدنة والقبائل الوحشیّة بالنسبة إلی حیاة الرّجال، کحیاة الحیوانات الأهلیّة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الإنسان لوجود</w:t>
      </w:r>
    </w:p>
    <w:p>
      <w:pPr>
        <w:pStyle w:val="BookText"/>
        <w:rPr/>
      </w:pPr>
      <w:r>
        <w:rPr>
          <w:rFonts w:ascii="IRNazanin" w:hAnsi="IRNazanin" w:eastAsia="IRNazanin"/>
          <w:color w:val="111111"/>
          <w:sz w:val="28"/>
          <w:sz w:val="28"/>
          <w:szCs w:val="28"/>
          <w:rtl w:val="true"/>
          <w:lang w:bidi="fa-IR"/>
        </w:rPr>
        <w:t>قریحة الاستخدام فیه یری لنفسه حقّاً أن یمتلک الأنعام وسائر الحیوانات الأهلیّة، ویتصرّف فیها کیفما یشاء، کذلک کانت حیاة النّساء، فالمرأة مخلوقة لأجل الرّجل من غیر استقلال فی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للرّجل أن یبیع المرأة ممّن شاء، أو یهبها لغیره، أو یقرضها، أو حتّی یقتلها ویرتزق بلحمها، کالبهیمة، وخاصّة فی المجاعة والمآدب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المرأة أن تطیع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أباها أو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یأمر به طوعاً أو کرهاً، وأن تلبی جمیع أمور البیت والأولاد وما یحتاج إلیه الرّجل، وأن تتحمل من الأشغال أشقها، کحمل الأثقال وما شابه ذلک</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وأمّا حیاة المرأة فی الأمم المتمدنة قبل الإسلام، کالصین والهند ومصر القدیمة وایران ونحوها کانت أرفه حالاً بالنّسبة للأمم غیر المتمدنة، فلم تکن تقتل ویؤکل لحمها، ولم تحرم من تملک المال بالکلیة، بل کانت تتملک فی الجملة من إرث أو زواج وإن لم تتصرف فیها باستقلال، وکان للرّجل أن یتخذ زوجات متعدّدة من غیر تحدید، وله أن یطلّق من شاء منهن، وأن یتزوج بعد موتها ولا حقّ لها فی الغالب</w:t>
      </w:r>
      <w:r>
        <w:rPr>
          <w:rFonts w:eastAsia="IRNazanin" w:cs="IRNazanin"/>
          <w:color w:val="111111"/>
          <w:sz w:val="28"/>
          <w:szCs w:val="28"/>
          <w:rtl w:val="true"/>
          <w:lang w:bidi="fa-IR"/>
        </w:rPr>
        <w:t>.</w:t>
      </w:r>
      <w:r>
        <w:rPr>
          <w:rStyle w:val="FootnoteAnchor"/>
          <w:rtl w:val="true"/>
        </w:rPr>
        <w:footnoteReference w:id="7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ولکلّ أمّة من هذه الأمم مختصات بحسب اقتضاء المناطق والأوضاع وعادات وتقالید موروثة؛ من غیر أن تعتمد علی کتاب أو</w:t>
      </w:r>
    </w:p>
    <w:p>
      <w:pPr>
        <w:pStyle w:val="BookText"/>
        <w:rPr/>
      </w:pPr>
      <w:r>
        <w:rPr>
          <w:rFonts w:ascii="IRNazanin" w:hAnsi="IRNazanin" w:eastAsia="IRNazanin"/>
          <w:color w:val="111111"/>
          <w:sz w:val="28"/>
          <w:sz w:val="28"/>
          <w:szCs w:val="28"/>
          <w:rtl w:val="true"/>
          <w:lang w:bidi="fa-IR"/>
        </w:rPr>
        <w:t>قانون ظاهر، لکن هناک أُمم أُخری عاشت تحت سیطرة القانون کالروم والیونان والآشور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کانت المرأة عند هؤلاء طفیلیّة الوجود، تابعة للحیاة فی المجتمع، زمام حیاتها وإرادتها بید ربّ البیت، من أبیها إن کانت فی بیت الأب، أو زوجها إن کانت فی بیت الزّوج،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یفعل بها ما یشاء ویحکم فیها ما یرید، فربّما باعها، وربّما وهبها أو أقرضها، أو غیر ذلک، وبیده تدبیر مالها إن ملکت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کان الاجتماع متقوّماً بالرّجل، أمّا القوانین الموضوعة کانت تحکم علیهن بالاستقلال، ولا تحکم لهن إلّا بالتّبع إذا وافق نفع الرّجال، فکانت المرأة عندهم تعاقب بجمیع جرائمها بالاستقلال، ولا تثاب لحسناتها، ولا یراعی جانبها إلّا بالتّبع وتحت ولایة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تعدّد الزّوجات فهو أمر جائزٌ، غیر أنّ الزّوجة إذا زادت علی الواحدة، کانت واحدة منهن زوجة رسمیّة والباقیّة غیر رسمیّة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الجملة أنّ جمیع هذه القوانین تشیر إلی أنّ المرأة جزء ضعیف من المجتمع الإنسانیّ</w:t>
      </w:r>
      <w:r>
        <w:rPr>
          <w:rFonts w:eastAsia="IRNazanin" w:cs="IRNazanin"/>
          <w:color w:val="111111"/>
          <w:sz w:val="28"/>
          <w:szCs w:val="28"/>
          <w:rtl w:val="true"/>
          <w:lang w:bidi="fa-IR"/>
        </w:rPr>
        <w:t>.</w:t>
      </w:r>
      <w:r>
        <w:rPr>
          <w:rStyle w:val="FootnoteAnchor"/>
          <w:rtl w:val="true"/>
        </w:rPr>
        <w:footnoteReference w:id="7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الأسرة الّتی أصلها من الأسر جاءت بمعنی القید عند العرب قبل الإسلام، وهو العبء الملقی علی الإنسان الّذی یثقل کاهله ویشل حرکته</w:t>
      </w:r>
      <w:r>
        <w:rPr>
          <w:rFonts w:eastAsia="IRNazanin" w:cs="IRNazanin"/>
          <w:color w:val="111111"/>
          <w:sz w:val="28"/>
          <w:szCs w:val="28"/>
          <w:rtl w:val="true"/>
          <w:lang w:bidi="fa-IR"/>
        </w:rPr>
        <w:t>.</w:t>
      </w:r>
      <w:r>
        <w:rPr>
          <w:rStyle w:val="FootnoteAnchor"/>
          <w:rtl w:val="true"/>
        </w:rPr>
        <w:footnoteReference w:id="7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فکانت العرب لا تری للمرأة استقلالاً فی الحیاة ولا حُرمة ولا شرافة، والنّساء لا تورث، وتعدّد الزّوجات جائز من غیر تحدید بعدّد معین، وکانت العرب تئد البنات وتتشائم بولادتها، وکیف کان، فمعاملتهم مع النساء معاملة مرکبة من الأمم المتمدنة والغیر متمدنة</w:t>
      </w:r>
      <w:r>
        <w:rPr>
          <w:rFonts w:eastAsia="IRNazanin" w:cs="IRNazanin"/>
          <w:color w:val="111111"/>
          <w:sz w:val="28"/>
          <w:szCs w:val="28"/>
          <w:rtl w:val="true"/>
          <w:lang w:bidi="fa-IR"/>
        </w:rPr>
        <w:t>.</w:t>
      </w:r>
      <w:r>
        <w:rPr>
          <w:rStyle w:val="FootnoteAnchor"/>
          <w:rtl w:val="true"/>
        </w:rPr>
        <w:footnoteReference w:id="73"/>
      </w:r>
      <w:bookmarkStart w:id="91" w:name="pg5194_44647"/>
    </w:p>
    <w:p>
      <w:pPr>
        <w:pStyle w:val="Heading2"/>
        <w:numPr>
          <w:ilvl w:val="1"/>
          <w:numId w:val="1"/>
        </w:numPr>
        <w:rPr/>
      </w:pPr>
      <w:bookmarkStart w:id="92" w:name="__RefHeading___Toc37400_581953129"/>
      <w:bookmarkStart w:id="93" w:name="_Toc35"/>
      <w:bookmarkEnd w:id="91"/>
      <w:bookmarkEnd w:id="92"/>
      <w:r>
        <w:rPr>
          <w:rtl w:val="true"/>
        </w:rPr>
        <w:t>الفصل الثانی</w:t>
      </w:r>
      <w:r>
        <w:rPr>
          <w:rtl w:val="true"/>
        </w:rPr>
        <w:t xml:space="preserve">: </w:t>
      </w:r>
      <w:r>
        <w:rPr>
          <w:rtl w:val="true"/>
        </w:rPr>
        <w:t>نشوز الزّوجة</w:t>
      </w:r>
      <w:bookmarkEnd w:id="93"/>
    </w:p>
    <w:p>
      <w:pPr>
        <w:pStyle w:val="Heading3"/>
        <w:numPr>
          <w:ilvl w:val="2"/>
          <w:numId w:val="1"/>
        </w:numPr>
        <w:rPr/>
      </w:pPr>
      <w:bookmarkStart w:id="94" w:name="__RefHeading___Toc37402_581953129"/>
      <w:bookmarkStart w:id="95" w:name="_Toc36"/>
      <w:bookmarkEnd w:id="94"/>
      <w:r>
        <w:rPr>
          <w:rtl w:val="true"/>
        </w:rPr>
        <w:t>اشارة</w:t>
      </w:r>
      <w:bookmarkEnd w:id="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الزّوج علی زوجته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کیف یتحقّق النّشوز</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نشوز الزّوجة علی العائلة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أحکام نشوز الزّوجة</w:t>
      </w:r>
      <w:bookmarkStart w:id="96" w:name="pg5194_44649"/>
    </w:p>
    <w:p>
      <w:pPr>
        <w:pStyle w:val="Heading3"/>
        <w:numPr>
          <w:ilvl w:val="2"/>
          <w:numId w:val="1"/>
        </w:numPr>
        <w:rPr/>
      </w:pPr>
      <w:bookmarkStart w:id="97" w:name="__RefHeading___Toc37404_581953129"/>
      <w:bookmarkStart w:id="98" w:name="_Toc37"/>
      <w:bookmarkEnd w:id="96"/>
      <w:bookmarkEnd w:id="97"/>
      <w:r>
        <w:rPr>
          <w:rtl w:val="true"/>
        </w:rPr>
        <w:t>التمهید</w:t>
      </w:r>
      <w:bookmarkEnd w:id="98"/>
    </w:p>
    <w:p>
      <w:pPr>
        <w:pStyle w:val="BookText"/>
        <w:rPr/>
      </w:pPr>
      <w:r>
        <w:rPr>
          <w:rFonts w:ascii="IRNazanin" w:hAnsi="IRNazanin" w:eastAsia="IRNazanin"/>
          <w:color w:val="111111"/>
          <w:sz w:val="28"/>
          <w:sz w:val="28"/>
          <w:szCs w:val="28"/>
          <w:rtl w:val="true"/>
          <w:lang w:bidi="fa-IR"/>
        </w:rPr>
        <w:t>فی الحال الّذی رأینا فیه معاناة المرأة فی المجتمعات البشریّة والدّیانات الإلهیّة السّابقة، جاء الإسلام بشریعة کاملة أغنت الأمّة عن کلّ متطلباتها، کما صبّ اهتماماً خاصّاً علی القاعدة الأساسیّة لبناء المجتمع، وهی الأسرة بعد ما جعل قانون المساواة بین المرأة والرّجل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فوضع حقوقاً وواجباتاً لکلّ منهما لحفظ الکیان الأسری؛ لأنّ الحیاة غالباً ما تتعرض لمتاعب وتجاذبات بین الطّرفین مهما کانت درجة التّوافق والتّفاهم بینهما 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هنا فی هذا الفصل سوف نشیر إلی أهمّ الحقوق المقرّرة للزوج من قبل الشّریعة، حیث بالتخلف عنها تصبح الزّوجة ناشزة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نبیّن ما هی الآثار المترتبة علی نشوز الزّوجة بالنّسبة إلی العائلة والمجتمع، وبالتّالی ما هی أحکام المرأة الناشزة</w:t>
      </w:r>
      <w:r>
        <w:rPr>
          <w:rFonts w:eastAsia="IRNazanin" w:cs="IRNazanin"/>
          <w:color w:val="111111"/>
          <w:sz w:val="28"/>
          <w:szCs w:val="28"/>
          <w:rtl w:val="true"/>
          <w:lang w:bidi="fa-IR"/>
        </w:rPr>
        <w:t>.</w:t>
      </w:r>
      <w:bookmarkStart w:id="99" w:name="pg5194_44651"/>
    </w:p>
    <w:p>
      <w:pPr>
        <w:pStyle w:val="Heading3"/>
        <w:numPr>
          <w:ilvl w:val="2"/>
          <w:numId w:val="1"/>
        </w:numPr>
        <w:rPr/>
      </w:pPr>
      <w:bookmarkStart w:id="100" w:name="__RefHeading___Toc37406_581953129"/>
      <w:bookmarkStart w:id="101" w:name="_Toc38"/>
      <w:bookmarkEnd w:id="99"/>
      <w:bookmarkEnd w:id="100"/>
      <w:r>
        <w:rPr>
          <w:rtl w:val="true"/>
        </w:rPr>
        <w:t>المبحث الأوّل</w:t>
      </w:r>
      <w:r>
        <w:rPr>
          <w:rtl w:val="true"/>
        </w:rPr>
        <w:t>:</w:t>
      </w:r>
      <w:r>
        <w:rPr>
          <w:rtl w:val="true"/>
        </w:rPr>
        <w:t>حقوق الزّوج علی زوجته</w:t>
      </w:r>
      <w:bookmarkEnd w:id="101"/>
    </w:p>
    <w:p>
      <w:pPr>
        <w:pStyle w:val="Heading4"/>
        <w:numPr>
          <w:ilvl w:val="3"/>
          <w:numId w:val="1"/>
        </w:numPr>
        <w:rPr/>
      </w:pPr>
      <w:bookmarkStart w:id="102" w:name="__RefHeading___Toc37408_581953129"/>
      <w:bookmarkStart w:id="103" w:name="_Toc39"/>
      <w:bookmarkEnd w:id="102"/>
      <w:r>
        <w:rPr>
          <w:rtl w:val="true"/>
        </w:rPr>
        <w:t>حقوق الزّوج علی زوجته</w:t>
      </w:r>
      <w:bookmarkEnd w:id="103"/>
    </w:p>
    <w:p>
      <w:pPr>
        <w:pStyle w:val="BookText"/>
        <w:rPr/>
      </w:pPr>
      <w:r>
        <w:rPr>
          <w:rFonts w:ascii="IRNazanin" w:hAnsi="IRNazanin" w:eastAsia="IRNazanin"/>
          <w:color w:val="111111"/>
          <w:sz w:val="28"/>
          <w:sz w:val="28"/>
          <w:szCs w:val="28"/>
          <w:rtl w:val="true"/>
          <w:lang w:bidi="fa-IR"/>
        </w:rPr>
        <w:t>إنّ التّشریع الإسلامی فرض للرجل علی زوجته حقوقاً مقابل وفائه بحقّها والقیام بشؤونها، وقد بیّنت تلک الحقوق تارة فی الآیات وأُخری بالروایات، والمتأمل فی الآیات والرّوایات یجد أنّ الحقوق الزّوجیّة المرتبطة بمبحثنا جُمعت فی حقّ الطّاعة، وأشار إلی ذلک العلماء أیضاً من الفقهاء والحقوقیین باختلاف نظراتهم، فأحیاناً یزید بعضهم علی الحقوق أو ینقص الآخر، ونحن هنا بصدّد ما هو الأهم من تلک الحقوق</w:t>
      </w:r>
      <w:r>
        <w:rPr>
          <w:rFonts w:eastAsia="IRNazanin" w:cs="IRNazanin"/>
          <w:color w:val="111111"/>
          <w:sz w:val="28"/>
          <w:szCs w:val="28"/>
          <w:rtl w:val="true"/>
          <w:lang w:bidi="fa-IR"/>
        </w:rPr>
        <w:t>.</w:t>
      </w:r>
    </w:p>
    <w:p>
      <w:pPr>
        <w:pStyle w:val="Heading4"/>
        <w:numPr>
          <w:ilvl w:val="3"/>
          <w:numId w:val="1"/>
        </w:numPr>
        <w:rPr/>
      </w:pPr>
      <w:bookmarkStart w:id="104" w:name="__RefHeading___Toc37410_581953129"/>
      <w:bookmarkStart w:id="105" w:name="_Toc40"/>
      <w:bookmarkEnd w:id="104"/>
      <w:r>
        <w:rPr>
          <w:rtl w:val="true"/>
        </w:rPr>
        <w:t>حقّ الطّاعة</w:t>
      </w:r>
      <w:bookmarkEnd w:id="10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ولعلّه من أهمّ الحقوق المطروحة والمتفق علیها فی حقّ الزّوج، حقّ الطّاعة وأنّ الزّوجة بإطاعتها لزوجها تستطیع أن تأسر قلبه فی حبّها وتسحره بخلقها، فلیس هناک عامل أقوی ولا أشدّ فعالیة فی توثیق عری</w:t>
      </w:r>
    </w:p>
    <w:p>
      <w:pPr>
        <w:pStyle w:val="BookText"/>
        <w:rPr/>
      </w:pPr>
      <w:r>
        <w:rPr>
          <w:rFonts w:ascii="Amiri" w:hAnsi="Amiri" w:eastAsia="Amiri" w:cs="Amiri"/>
          <w:color w:val="111111"/>
          <w:sz w:val="28"/>
          <w:sz w:val="28"/>
          <w:szCs w:val="28"/>
          <w:rtl w:val="true"/>
          <w:lang w:bidi="ar-SA"/>
        </w:rPr>
        <w:t xml:space="preserve">الزّوجیة من إطاعة المرأة لزوجها فی حیاتها العامّة والخاصّة ممّا یقوّم سلوکها ویقوّی مرکزها ومکانتها فی الأسرة، ومنشأ هذا الحقّ هو ما أعطاه الشّارع للرجل من درجة القوامة والقیادة والرئادة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لِلرِّجالِ عَلَیْهِنَّ دَرَجَةٌ</w:t>
      </w:r>
      <w:r>
        <w:rPr>
          <w:rFonts w:eastAsia="Amiri" w:cs="Amiri" w:ascii="Amiri" w:hAnsi="Amiri"/>
          <w:color w:val="111111"/>
          <w:sz w:val="28"/>
          <w:szCs w:val="28"/>
          <w:rtl w:val="true"/>
          <w:lang w:bidi="ar-SA"/>
        </w:rPr>
        <w:t>)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عَلَی النِّساءِ بِما فَضَّلَ اللّهُ بَعْضَهُمْ عَلی بَعْضٍ وَ بِما أَنْفَقُوا مِنْ أَمْوالِهِمْ فَالصّالِحاتُ قانِتاتٌ حافِظاتٌ لِلْغَیْبِ بِما حَفِظَ اللّهُ وَ اللاّتِی تَخافُونَ نُشُوزَهُنَّ فَعِظُوهُنَّ وَ اهْجُرُوهُنَّ فِی الْمَضاجِعِ وَ اضْرِبُوهُنَّ فَإِنْ أَطَعْنَکُمْ فَلا تَبْغُوا عَلَیْهِنَّ سَبِیلاً إِنَّ اللّهَ کانَ عَلِیًّا کَبِیراً</w:t>
      </w:r>
      <w:r>
        <w:rPr>
          <w:rFonts w:eastAsia="Amiri" w:cs="Amiri" w:ascii="Amiri" w:hAnsi="Amiri"/>
          <w:color w:val="111111"/>
          <w:sz w:val="28"/>
          <w:szCs w:val="28"/>
          <w:rtl w:val="true"/>
          <w:lang w:bidi="ar-SA"/>
        </w:rPr>
        <w:t>)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ففی الآیة الأولی جعل الله للزوج علی زوجته درجة، أی الطّاعة وقد أُشیر إلی هذا المعنی فی مجمع البیان،</w:t>
      </w:r>
      <w:r>
        <w:rPr>
          <w:rStyle w:val="FootnoteAnchor"/>
          <w:rtl w:val="true"/>
        </w:rPr>
        <w:footnoteReference w:id="76"/>
      </w:r>
      <w:r>
        <w:rPr>
          <w:rFonts w:ascii="IRNazanin" w:hAnsi="IRNazanin" w:eastAsia="IRNazanin"/>
          <w:color w:val="111111"/>
          <w:sz w:val="28"/>
          <w:sz w:val="28"/>
          <w:szCs w:val="28"/>
          <w:rtl w:val="true"/>
          <w:lang w:bidi="fa-IR"/>
        </w:rPr>
        <w:t>وکذا فی تفسیر الکاشف</w:t>
      </w:r>
      <w:r>
        <w:rPr>
          <w:rFonts w:eastAsia="IRNazanin" w:cs="IRNazanin"/>
          <w:color w:val="111111"/>
          <w:sz w:val="28"/>
          <w:szCs w:val="28"/>
          <w:rtl w:val="true"/>
          <w:lang w:bidi="fa-IR"/>
        </w:rPr>
        <w:t>.</w:t>
      </w:r>
      <w:r>
        <w:rPr>
          <w:rStyle w:val="FootnoteAnchor"/>
          <w:rtl w:val="true"/>
        </w:rPr>
        <w:footnoteReference w:id="7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الثّانیة حقّ القوامة الذی استمده الرّجل من تفوّقه التّکوینی علی المرأة، وأیضاً من تحمّله لتکالیف المعیشة الشاقّة، مع أنّ قیمومة الرّجل لا تبیح له التّسلط والخروج عن دائرة المسؤولیّة إلی دائرة التّحکم والتّعامل القسری مع الزّوجة، لئلا یتعارض مع حقّ المرأة فی المعاشرة الحسنة الذی أشار إلیه القرآن صراحة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عاشِرُوهُنَّ بِالْمَعْرُوفِ</w:t>
      </w:r>
      <w:r>
        <w:rPr>
          <w:rFonts w:eastAsia="IRNazanin" w:cs="IRNazanin"/>
          <w:color w:val="111111"/>
          <w:sz w:val="28"/>
          <w:szCs w:val="28"/>
          <w:rtl w:val="true"/>
          <w:lang w:bidi="fa-IR"/>
        </w:rPr>
        <w:t>...)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وبهذا المعنی جاء العلّامة فی تفسیر القیمومة بأنّها تتعلق بالجهات العامّة المشترکة بینهما، المرتبطة بزیادة تعقل الرجل وشدته فی البأس وهی جهات الحکومة والقضاء والحرب من غیر أن یبطل بذلک ما للمرأة من الاستقلال فی الإرادة الفردیّة وعمل نفسها بأن ترید ما أحبت وتفعل ما شاءت من غیر أن یحقّ للرجل أن یعارضها فی شیء من ذلک فی غیر المنکر</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وقد یتخیّل البعض أنّ القوامة تعنی السّیادة والسّیطرة، فلیس للمرأة کلمة مقابل کلمة الزّوج، ولیس لها موقف أمام موقفه، سواء فی ذلک فی قضایاها الخاصّة أو العامّة، ویشیر السیّد فضل الله إلی أنّ هذا بعید عن الجوّ الإسلامی فی التّشریعات الخاصّة بالأسرة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فالزّواج لا یلغی شخصیّة المرأة فی جمیع الأمور الّتی لا یشملها العقد الزّوجی من خلال ما تلتزم به المرأة من شؤون الحیاة، بل کلّ ما یلزمها به من ناحیة قانونیّة، هو الجانب الّذی تلزم به نفسها، فإن لعقد الزّواج مفهوماً محدوداً من خلال ما یفرضه من التّزامات لا بدّ لکلّ منهما من الوقوف عندها تبعاً للالتزام بالعقد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ولاشک أنّ الإسلام قد طلب من الزّوجة الانقیاد للزوج فی کلّ ما یرتضیه العقل والشّرع، وبدون ذلک لا طاعة لمخلوق فی معصیة الخالق</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فجاء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فَالصّالِحاتُ قانِتاتٌ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یتخذن لأنفسهن وصف الصّلاح، فإذا کنّ صالحات فهن لا محالة قانتات،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w:t>
      </w:r>
    </w:p>
    <w:p>
      <w:pPr>
        <w:pStyle w:val="BookText"/>
        <w:rPr/>
      </w:pPr>
      <w:r>
        <w:rPr>
          <w:rFonts w:ascii="IRNazanin" w:hAnsi="IRNazanin" w:eastAsia="IRNazanin"/>
          <w:color w:val="111111"/>
          <w:sz w:val="28"/>
          <w:sz w:val="28"/>
          <w:szCs w:val="28"/>
          <w:rtl w:val="true"/>
          <w:lang w:bidi="fa-IR"/>
        </w:rPr>
        <w:t>یقنتن ویطعن أزواجهن إطاعة دائمة فیما أرادوا منهن مما له مساس بالتّمتع، ویجب علیهن أن یحفظن جانبهم فی جمیع ما لهم من الحقوق إذا غابوا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الإسلام لا یرتضی أن تستخدم هذه القیمومة وسیلة لإذلال المرأة أو الانتقاص من مکانتها، ولم یطرح أن الرّجال سادة علی النّساء بل جاء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لیفید معنی عالیاً بنّاءً، بمعنی أنّهم یصلحون ویعدلون، لا أنّهم یستبدّون ویتسلّطون، فنطاق القوامة محصور فی مصلحة النّساء وحقوق الزّوج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ویؤید ذلک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أَطَعْنَکُمْ فَلا تَبْغُوا عَلَیْهِنَّ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تتخذوا علیهن علّة تعتلون بها فی إیذائهن مع إطاعتهن لکم، ثمّ علّل هذا النّهی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کانَ عَلِیًّا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إیذان لهم، أنّ مقام ربّهم علیّ کبیر، فلا یغرنّهم ما یجدونه من القوة والشدّة فی أنفسهم، فیظلموهن بالاستعلاء والاستکبار علیهن</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والحاصل أنّ الآیة أشارت إلی أنّه سبحانه ما جعل القوامة للرجال علی النّساء إلّا لیثبت أنّ للأزواج حقّ الطّاعة؛ لأنّ القیّم لا یکون قیماً إلّا إذا نفذت کلمته ووجبت طاعته، ولکی تسیر سفینة الزّواج إلی شاطیء الأمان لا بدّ من إعطاء قائد هذه السّفینة حقوقه المقرّرة له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الرّوایات فی هذا الجانب کثیرة نشیر إلی بعض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امرأة إلی النبیّ صلی الله علیه و 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حقّ الزّوج علی المرأة؟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تطیعه ولا تعصیه ولا تصّدق من بیته إلّا بإذنه ولا تصوم تطوعاً إلا بإذنه ولا تمنعه نفسها وإن کانت علی ظهر قتب ولا تخرج من بیتها إلا بإذنه وإن خرجت من بیتها بغیر إذنه لعنتها ملائکة السّماء وملائکة الأرض وملائکة الغضب حتّی ترجع إلی بیتها</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قوماً أتوا إلی رسول الله صلی الله علیه و 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إنّا رأینا أُناساً یسجد بعضهم لبعض، فقال رسول الله صلی الله علیه و آله لو أمرت أحداً أن یسجد لأحد، لأمرت المرأة أن تسجد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ذلک إلّا لوجوب الطّاعة</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وأیضاً 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رسول الله یوم النّحر إلی ظهر المدینة علی جملٍ عاری الجسم، فمّر بالنّساء فوقف علیهن،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معاشر النّساء تصدّقن وأطعن أزواجکن، فإنّ أکثرکن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سمعن ذلک بکین ثمّ قامت إلیه امرأة منهن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فی النّار مع الکفار، والله ما نحن بکفار فنکون من أهل النّار، فقال لها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إنکن کافرات بحقّ أزواجکن</w:t>
      </w:r>
      <w:r>
        <w:rPr>
          <w:rFonts w:eastAsia="IRNazanin" w:cs="IRNazanin"/>
          <w:color w:val="111111"/>
          <w:sz w:val="28"/>
          <w:szCs w:val="28"/>
          <w:rtl w:val="true"/>
          <w:lang w:bidi="fa-IR"/>
        </w:rPr>
        <w:t>».</w:t>
      </w:r>
      <w:r>
        <w:rPr>
          <w:rStyle w:val="FootnoteAnchor"/>
          <w:rtl w:val="true"/>
        </w:rPr>
        <w:footnoteReference w:id="8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میّز الإسلام المرأة الکریمة عن غیرها بمدی طاعتها لزوجها وما یتبع ذلک من حفظه فی عرضها ومالها، فقال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استفاد إمرء مسلم فائدة بعد الإسلام أفضل من زوجة مسلمة تسرّه إذا نظر إلیها وتطیعه إذا أمرها وتحفظه إذا غاب عنها فی نفسها وماله</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إلی غیر ذلک من الرّوایات لکن المتأمل فی کلمات الفقهاء یستکشف من کلامهم انحصار حقّ الزّوج فی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التّمکین والمساکنة الذی یتفرع علیه عدم الخروج من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واحد من الزّوجین حقّ یجب علی صاحبه القیام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فکذا یجب علی الزّوجة التّمکین من الاستمتاع، وتجنب ما ینفر منه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منعها من عیادة أبیها وأمها، وعن الخروج من منزله إلّا لحقٍّ واجب</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ومثله فی إیضاح الفوائد،</w:t>
      </w:r>
      <w:r>
        <w:rPr>
          <w:rStyle w:val="FootnoteAnchor"/>
          <w:rtl w:val="true"/>
        </w:rPr>
        <w:footnoteReference w:id="87"/>
      </w:r>
      <w:r>
        <w:rPr>
          <w:rFonts w:ascii="IRNazanin" w:hAnsi="IRNazanin" w:eastAsia="IRNazanin"/>
          <w:color w:val="111111"/>
          <w:sz w:val="28"/>
          <w:sz w:val="28"/>
          <w:szCs w:val="28"/>
          <w:rtl w:val="true"/>
          <w:lang w:bidi="fa-IR"/>
        </w:rPr>
        <w:t>وکما ذکر السبزواری فی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حقوق الزّوج تمکین الزّوجة من الاستمتاع وإزالة ما ینفر عنه ومنه عدم الخروج عن منزله بغیر إذنه ولو إلی بیت أهلها وأقاربها حتّی حضور میتهم وتعزیتهم</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وذکر أبو الصّلاح الحلبی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تسلم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یلزمها طاعته فی نفسها وملازمة منزله دون ما عدا ذلک</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ومثل هذا الکلام باختلاف التّعابیر عند القاضی ابن البراج</w:t>
      </w:r>
      <w:r>
        <w:rPr>
          <w:rStyle w:val="FootnoteAnchor"/>
          <w:rtl w:val="true"/>
        </w:rPr>
        <w:footnoteReference w:id="90"/>
      </w:r>
      <w:r>
        <w:rPr>
          <w:rFonts w:ascii="IRNazanin" w:hAnsi="IRNazanin" w:eastAsia="IRNazanin"/>
          <w:color w:val="111111"/>
          <w:sz w:val="28"/>
          <w:sz w:val="28"/>
          <w:szCs w:val="28"/>
          <w:rtl w:val="true"/>
          <w:lang w:bidi="fa-IR"/>
        </w:rPr>
        <w:t>وکذا صاحب الحدائق</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أمّا ما جاء فی جواهر الکلام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لکلّ واحد من الزّوجین حقّ یجب علی صاحبه القیام به، ویستحب کتاباً وسنّة متواترة وإجماعاً وإن کان حقّ الزّوج علی الزّوجة أعظم بمراتب، فإنّه لا حقّ لها علیه مثل ما له علیها، بل ولا من کلّ مائة واحد، بل هو أعظم النّاس حقّاً علیها</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وأشکل علی هذا الکلام الشّیخ شمس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مقتضی طبع الحقّ فی مقامنا هو الإلزام، ولا یتناسب مع الاستحباب المقتضی للتخییر، وإلّا فمستحاب المعاشرة مع الأرحام والانسباء وسائر الأخوان المؤمنین من الجیران وغیرهم کثیرة جداً، ولکنّها لیست حقوقاً بالمعنی المصطلح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الزّوج علی الزّوجة أعظم بمراتب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واضح المستند، وأنّ حقوق الزّوج لیست أعظم بمراتب، بل مکافئة لحقوق الزّوجة علیه</w:t>
      </w:r>
      <w:r>
        <w:rPr>
          <w:rFonts w:eastAsia="IRNazanin" w:cs="IRNazanin"/>
          <w:color w:val="111111"/>
          <w:sz w:val="28"/>
          <w:szCs w:val="28"/>
          <w:rtl w:val="true"/>
          <w:lang w:bidi="fa-IR"/>
        </w:rPr>
        <w:t>.</w:t>
      </w:r>
      <w:r>
        <w:rPr>
          <w:rStyle w:val="FootnoteAnchor"/>
          <w:rtl w:val="true"/>
        </w:rPr>
        <w:footnoteReference w:id="9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المراد من التّمکین المروی علی ألسنة الفقهاء فهو التّخلیة بینها وبینه فی الاستمتاع، بحیث لا یختص زماناً ولا مکاناً مع عدم المانع عقلاً أو شرعاً</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فللزوج حقّ مطلق فی هذا الشّأن، لا یقیده إلّا المانع الشّرعی، والموانع فهی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حالة الحیض والنّفاس، أو الواجبات العبادیّة کالصوم الواجب أو القضاء المضیّق أو فی الإحرام بالعمرة والحج، وأمّا حالة صحیة تجعل المرأة غیر مؤهلة للتمکین، وفیما عدا الموانع بقسمیها، یثبت بمقتضی عقد الزّوجیّة التّمکین التّام للزوج</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والمراد من المساکنة، أن تسکن حیث یسکنها الزّوج، بحیث تحصل من لبثها فی البیت مع زوجها حالة المعیّة، فیصدق علیها أنّها ساکنة مع زوجها، والأصل فی ذلک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أَسْکِنُوهُنَّ مِنْ حَیْثُ سَکَنْتُمْ مِنْ وُجْدِکُمْ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فوجوب السّکن یدلّ علیه الأمر بإسکانها، وشأنیة المسکن یدلّ علیها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 حصول حالة المعیّة یستفاد من معنی المسکن الزّوجی الّذی تدلّ علیه الآیة، وکذا دلالة العرف علی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کلام متفق علیه عند الفقهاء، إلّا أنّ الاختلاف حصل فی خروج الزّوجة من بیت الزّوجیّة لغیر حقّ واجب ولغیر محرّم کخروجها لأمر مستحب کالزّیارات أو صلة الرّحم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یجب علیه استئذانه فی ذلک أم لا؟ وهل یجوز للزّوج منعها من ذلک أو لا؟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 الشّیخ 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توهم بعض الفضلاء ابتناء وجوب الإستئذان وعدمه علی تبعیة وجوب المساکنة لحقّ الاستمتاع وعدمها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التّبعیة یجب علی الزّوجة الالتزام بالکون فی بیت الزّوجیّة بما یحقّق تمکنه منها إذا أراد الاستمتاع بها، وفیما عدا ذلک فلها أن تخرج من بیته بغیر إذنه ولیس له منعها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عدم التّبعیة واعتبار المساکنة حقّاً مستقلاً، یجب علی الزّوجة أن تلتزم بإستئذان الزّوج فی الخروج دائماً، وللزّوج منعها من الخروج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التّدقیق فی المسألة یکشف عن عدم صحة الملازمة المدعاة، وأنّ وجوب الإستئذان وعدمه مسألة مستقلة عن قضیة التّبعیة لحقّ الإستمتاع وعدمها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ریب فی وجوب الإستئذان علیها فی حالة العلم بإرادة الزّوج الإستمتاع أو تظنّه ذلک، من دون فرق بین کون المساکنة حقّاً مستقلاً فی التّشریع وبین کونها من شؤون حقّ الإستمتاع ولوازمه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حالة عدم إرادة الزّوج الإستمتاع، فلا بدّ من البحث فی الأدلّة عن وجوب الإستئذان مطلقاً وعدمه،</w:t>
      </w:r>
      <w:r>
        <w:rPr>
          <w:rStyle w:val="FootnoteAnchor"/>
          <w:rtl w:val="true"/>
        </w:rPr>
        <w:footnoteReference w:id="96"/>
      </w:r>
      <w:r>
        <w:rPr>
          <w:rFonts w:ascii="IRNazanin" w:hAnsi="IRNazanin" w:eastAsia="IRNazanin"/>
          <w:color w:val="111111"/>
          <w:sz w:val="28"/>
          <w:sz w:val="28"/>
          <w:szCs w:val="28"/>
          <w:rtl w:val="true"/>
          <w:lang w:bidi="fa-IR"/>
        </w:rPr>
        <w:t>والحقّ أنّه لا دلیل علی ذلک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أنّ ما حدّدته الشّریعة من حقوق للرجل اتّجاه زوجته، انحصر فی حقّین التّمکین والمساکنة، وقد یظهر من کلمات بعض الفقهاء حقوق أُخری، کحقّ الخدمة والتّأدیب وغیر ذلک، والواقع أنّ کلّ هذه الأمور ترجع إلی حقّ الطّاعة والمعاشرة بالمعروف</w:t>
      </w:r>
      <w:r>
        <w:rPr>
          <w:rFonts w:eastAsia="IRNazanin" w:cs="IRNazanin"/>
          <w:color w:val="111111"/>
          <w:sz w:val="28"/>
          <w:szCs w:val="28"/>
          <w:rtl w:val="true"/>
          <w:lang w:bidi="fa-IR"/>
        </w:rPr>
        <w:t>.</w:t>
      </w:r>
      <w:bookmarkStart w:id="106" w:name="pg5194_44661"/>
    </w:p>
    <w:p>
      <w:pPr>
        <w:pStyle w:val="Heading3"/>
        <w:numPr>
          <w:ilvl w:val="2"/>
          <w:numId w:val="1"/>
        </w:numPr>
        <w:rPr/>
      </w:pPr>
      <w:bookmarkStart w:id="107" w:name="__RefHeading___Toc37412_581953129"/>
      <w:bookmarkStart w:id="108" w:name="_Toc41"/>
      <w:bookmarkEnd w:id="106"/>
      <w:bookmarkEnd w:id="107"/>
      <w:r>
        <w:rPr>
          <w:rtl w:val="true"/>
        </w:rPr>
        <w:t>المبحث الثّانی</w:t>
      </w:r>
      <w:r>
        <w:rPr>
          <w:rtl w:val="true"/>
        </w:rPr>
        <w:t>:</w:t>
      </w:r>
      <w:r>
        <w:rPr>
          <w:rtl w:val="true"/>
        </w:rPr>
        <w:t>کیف یتحقّق نشوز الزّوجة</w:t>
      </w:r>
      <w:bookmarkEnd w:id="108"/>
    </w:p>
    <w:p>
      <w:pPr>
        <w:pStyle w:val="BookText"/>
        <w:rPr/>
      </w:pPr>
      <w:r>
        <w:rPr>
          <w:rFonts w:ascii="IRNazanin" w:hAnsi="IRNazanin" w:eastAsia="IRNazanin"/>
          <w:color w:val="111111"/>
          <w:sz w:val="28"/>
          <w:sz w:val="28"/>
          <w:szCs w:val="28"/>
          <w:rtl w:val="true"/>
          <w:lang w:bidi="fa-IR"/>
        </w:rPr>
        <w:t>وبعد ما اتّضحت الحقوق المفروضة للزّوج اتّجاه زوجته ینتقل الحدیث فیما لو خالفت الزّوجة عن أداء هذه الحقوق ومراعاتها، الحالة الّتی یعبّر عنها بالنّشوز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لفظ النّشوز فی القرآن، وهو لغة بمعنی الارتفاع، کما یظهر أنّ العرف العام وسّع فی معناه، حیث استعمله فی العلاقات الزّوجیّة، فأطلقه علی کلّ خلاف واختلاف بین الزوجین له طابع النّفور والإیذاء المعنوی أو الجسدی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النّشوز فی الشّرع هو معصیة الله تعالی فیما جعله علی أحد الزّوجین من الحقوق اللازمة بالنّسبة إلی الآخر؛ وذلک بالامتناع عن أداء حقّه إلیه مع التزام الآخر بأداء ما علیه من الحقوق اتّجاه النّاشز؛ وذلک</w:t>
      </w:r>
    </w:p>
    <w:p>
      <w:pPr>
        <w:pStyle w:val="BookText"/>
        <w:rPr/>
      </w:pPr>
      <w:r>
        <w:rPr>
          <w:rFonts w:ascii="IRNazanin" w:hAnsi="IRNazanin" w:eastAsia="IRNazanin"/>
          <w:color w:val="111111"/>
          <w:sz w:val="28"/>
          <w:sz w:val="28"/>
          <w:szCs w:val="28"/>
          <w:rtl w:val="true"/>
          <w:lang w:bidi="fa-IR"/>
        </w:rPr>
        <w:t>لأنّ النّاشز منهما قد خرج عن الاستقامة علی مقتضی الشّریعة</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فالمرأة النّاشزة هی المتمردة، الخارجة عن طاعة زوجها، الّتی جاء بها القرآن فی قبال المرأة الصّالحة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فَالصّالِحاتُ قانِتاتٌ حافِظاتٌ لِلْغَیْبِ بِما حَفِظَ اللّهُ وَ اللاّتِی تَخافُونَ نُشُوزَهُنَّ فَعِظُوهُنَّ وَ اهْجُرُوهُنَّ فِی الْمَضاجِعِ وَ اضْرِبُوهُنَّ فَإِنْ أَطَعْنَکُمْ فَلا تَبْغُوا عَلَیْهِنَّ سَبِیلاً إِنَّ اللّهَ کانَ عَلِیًّا کَبِیراً</w:t>
      </w:r>
      <w:r>
        <w:rPr>
          <w:rFonts w:eastAsia="Amiri" w:cs="Amiri" w:ascii="Amiri" w:hAnsi="Amiri"/>
          <w:color w:val="111111"/>
          <w:sz w:val="28"/>
          <w:szCs w:val="28"/>
          <w:rtl w:val="true"/>
          <w:lang w:bidi="ar-SA"/>
        </w:rPr>
        <w:t>)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والظّاهر من الآیة الکریمة أنّ النّشوز والطّاعة متقابلان، فالزّوجة المطیعة لیست ناشزاً والزّوجة النّاشز لیست مطیعة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الزّوجة مکلف کسائر المکلفین المخاطبین بالأحکام الشّرعیّة الملزمة من حیث وجوب امتثالها وترتب الآثار الشّرعیة الوضعیّة والتّکلیفیّة علی مخالفتها وعصیانها، فإذا ارتکبت محرماً شرعیّاً أو ترکت واجباً شرعیّاً فإنّها تکون موضوعاً للأمر بالمعروف والنّهی عن المنکر کما لو ارتکب المحرم أو ترک الواجب غیرها من المکلفین ولا دخل لعنوان الزّوجیّة فی ذلک إلّا من جهة أن الزّوج هو أکثر النّاس اطلاعاً علی حالها وأقدر علی القیام بواجب الأمر بالمعروف والنّهی عن المنکر بالنّسبة إلیها من غیره من الرّجال الأجانب</w:t>
      </w:r>
      <w:r>
        <w:rPr>
          <w:rFonts w:eastAsia="IRNazanin" w:cs="IRNazanin"/>
          <w:color w:val="111111"/>
          <w:sz w:val="28"/>
          <w:szCs w:val="28"/>
          <w:rtl w:val="true"/>
          <w:lang w:bidi="fa-IR"/>
        </w:rPr>
        <w:t>.</w:t>
      </w:r>
      <w:r>
        <w:rPr>
          <w:rStyle w:val="FootnoteAnchor"/>
          <w:rtl w:val="true"/>
        </w:rPr>
        <w:footnoteReference w:id="9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ظهرت أمارات النّشوز، کتغییر عادتها معه فی القول والفعل بأنّ</w:t>
      </w:r>
    </w:p>
    <w:p>
      <w:pPr>
        <w:pStyle w:val="BookText"/>
        <w:rPr/>
      </w:pPr>
      <w:r>
        <w:rPr>
          <w:rFonts w:ascii="IRNazanin" w:hAnsi="IRNazanin" w:eastAsia="IRNazanin"/>
          <w:color w:val="111111"/>
          <w:sz w:val="28"/>
          <w:sz w:val="28"/>
          <w:szCs w:val="28"/>
          <w:rtl w:val="true"/>
          <w:lang w:bidi="fa-IR"/>
        </w:rPr>
        <w:t>تجیبه بکلام خشن بعد إن کان بلین، أو غیر مقبلة بوجهها بعد إن کانت تلطف له وتبادر إلیه وتقبل علیه ونحو ذلک، وعرف الزّوج من خلال معرفته بحال زوجته بأنّها لم تنشأ من ظروف صحیّة أو شرعیّة، فعلیه أن یعالج هذه الحالة بذهنیة عادلة بعیدة عن الانفعال والتّشنج، بل بإقامة الحلول الّذی وضعتها الشّریعة من أجل حفظ کیان الأسرة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وأفاد السیّد السّبزواری بإمکان تحقّق النّشوز بالتّدرج ابتداءً من القول والفعل والأخلاق حتّی تصل إلی المرتبة الشّدیدة منذرة بالنّشوز الوخیم والطّغیان فی الخروج عن الاستقامة والموافقة، فیکون ابتداءً ذلک هو مقام الخوف الّذی هو ظهور علامات النّشوز وقد شرّع الله تعالی فی الاستصلاح أحکاماً خاصّة تتناسب مع تلک الدّرجات</w:t>
      </w:r>
      <w:r>
        <w:rPr>
          <w:rFonts w:eastAsia="IRNazanin" w:cs="IRNazanin"/>
          <w:color w:val="111111"/>
          <w:sz w:val="28"/>
          <w:szCs w:val="28"/>
          <w:rtl w:val="true"/>
          <w:lang w:bidi="fa-IR"/>
        </w:rPr>
        <w:t>.</w:t>
      </w:r>
      <w:r>
        <w:rPr>
          <w:rStyle w:val="FootnoteAnchor"/>
          <w:rtl w:val="true"/>
        </w:rPr>
        <w:footnoteReference w:id="10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 الظّاهر من النّشوز شرعاً لا یتحقّق بامتناع أحدهما عن المستحب بالنّسبة إلی الآخر وإن کان ذلک موجباً لعدم الملائمة والموافقة وسبباً لتغییر الحالة السّابقة، فامتناع المرأة ممّا لا یجب علیها من الرّضاع والطّبخ والکنس والغسل وما أشبه لیس بنشوز، هذا ما ذکره الشّیرازی ثمّ أضاف ترک الواجب الّذی یوجب النّشوز إنّما هو الواجب الفعلی لا الشّأنی کما هو واضح فإنّ لم تتمکن الزّوجة من استجابة الزّوج لمرض أو غیره لم یکن نشوزاً</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أمّا الشّهید الثّانی صرّح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بأنّ لیس من النّشوز ولا من مقدماته بذاءة اللسان والشّتم ولکنها تأثم به وتستحق التّأدیب علیه لکن هل یجوز للزّوج تأدیبها علی ذلک ممّا لا یتعلق بحقّ الاستمتاع أم یرفع أمره إلی الحاکم، قولان أقواهما أنّ الزّوج فیما وراء حقّ المساکنة والاستمتاع کالأجنبی وان نغّص ذلک عیشه وکدّر الاستمتاع</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وأمّا الخوف الّذی جاء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اللاّتِی تَخافُونَ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حالة تحصل فی القلب عند حدوث أمر مکروه فی المستقبل وجاء فی تفسیر اللباب عن الشّافعی بأنّ دلّالة النّشوز قد تکون قولاً وقد تکون فعلاً فالقول مثل أن تلبیه إذا دعاها وتخضع له بالقول إذا خاطبها، ثمّ تغیّرت والفعل إن کانت تقوم إلیه إذا دخل علیها أو تسارع إلی أمره وتبادر إلی فراشة باستبشار إذا التمسها، ثم إنها تغیّرت عن کلّ ذلک فهذه أمارات دالة علی النّشوز، فحینئذ ظنّ نشوزها وهذه المقدّمات توجب خوف النّشوز</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لکن الشّیخ ذکر نحو الخوف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تعلمون؛ لأنّ خوف النّشوز للعلم بموقعه، فلذلک جاز أن توضع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تدفننی بالفلاة فإنّنی أخاف إذا ما متّ إلّا أذوقها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الّذی هو خلاف الأمن، کأنّه قال تخافون نشوزهن لعلمکم بالأحوال المؤذنة به، وهذا منقول عن محمد بن کعب</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وقد فسّر محمّد رشید رضا خوف النّشوز بأنّ فی تعبیر القرآن حکمة لطیفة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تعالی لما کان یحبّ أن تکون المعیشة بین الزّوجین معیشة محبّة ومودة وتراض والتئام، لم یشأ أن یسند النّشوز إلی النّساء اسناداً یدلّ علی أنّ من شأنه أن یقع منهن فعلاً، بل عبّر عن ذلک بعبارة تومئ إلی أنّ من شأنه أن لا یقع؛ لأنّه خروج عن الأصل الّذی یقوم به نظام الفطرة، وتطیب به المعیشة، ففی هذا التّعبیر تنبیه لطیف إلی مکانة المرأة وما هو الأولی فی شأنها، وإلی ما یجب علی الرّجل من السّیاسة لها وحسن التّلطف فی معاملتها</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وأمّا المرأة النّاشزة الّتی عبّرت عنها الرّوایات بشرار النّساء، فقال رسول الله صلی الله علیه و آله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أخبرکم بشرار نسائکم، الذّلیلة فی أهلها العزیزة مع بعلها، العقیم الحقود، الّتی لا توّرع من قبیح، المتبرجة إذا غاب عنها بعلها، الحصان معه، إذا حضر لا تسمع قوله ولا تطیع أمره، وإذا خلا بها بعلها تمنّعت منه کما تمنع الصّعبة عن رکوبها، لا تقبل منه عذراً ولا تغفر له ذنباً</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وهذه الصّفات مختصّة بالنّشوز، وفی قبالها قال رسول الله صلی الله علیه و آله قال الله عزّ وجلّ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أن أجمع للمسلم خیر الدّنیا والآخرة جعلت له قلباً خاشعاً ولساناً ذاکراً وجسداً علی البلاء صابراً وزوجة مؤمنة تسُّره</w:t>
      </w:r>
    </w:p>
    <w:p>
      <w:pPr>
        <w:pStyle w:val="BookText"/>
        <w:rPr/>
      </w:pPr>
      <w:r>
        <w:rPr>
          <w:rFonts w:ascii="IRNazanin" w:hAnsi="IRNazanin" w:eastAsia="IRNazanin"/>
          <w:color w:val="111111"/>
          <w:sz w:val="28"/>
          <w:sz w:val="28"/>
          <w:szCs w:val="28"/>
          <w:rtl w:val="true"/>
          <w:lang w:bidi="fa-IR"/>
        </w:rPr>
        <w:t>إذا نظر إلیها وتحفظه إذا غاب عنها فی نفسها وماله</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هذا ما ذکر عن کیفیة تحقّق النّشوز من الزّوجة، وحاصله ظهور أمارة العصیان بتقطیبها فی وجه الزّوج والضّجر والسّأم بحوائجه الّتی یجب علیها فعلها من مقدمات الاستمتاع بأن تمتنع أو تتثاقل إذا دعاها إلیه لا مطلق حوائجه، أو تغیّر عادتها فی أدبها معه قولاً أو فعلاً، کأن تجیبه بکلام خشن بعدما کان بلین، أو إعراض بعد اللطف</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کما أنّه یتحقّق بالمنع من المساکنة فیما یلیق بها، بأن لا تأتیه، أو تغلق الباب علی نفسها وتمنعه من الدّخول أو تخرج من بیته بغیر إذنه، أو المنع من الاستمتاع المحلل</w:t>
      </w:r>
      <w:r>
        <w:rPr>
          <w:rFonts w:eastAsia="IRNazanin" w:cs="IRNazanin"/>
          <w:color w:val="111111"/>
          <w:sz w:val="28"/>
          <w:szCs w:val="28"/>
          <w:rtl w:val="true"/>
          <w:lang w:bidi="fa-IR"/>
        </w:rPr>
        <w:t>.</w:t>
      </w:r>
      <w:r>
        <w:rPr>
          <w:rStyle w:val="FootnoteAnchor"/>
          <w:rtl w:val="true"/>
        </w:rPr>
        <w:footnoteReference w:id="10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ما ذکرناه فی شأن حقوق الزّوج علی زوجته وکیفیة تحقّق النّشوز هو ما حدّدته الشّریعة، وهو المرجع فی حالة الألتباس والنّزاع بین الزّوجین فیما للزوجة وعلیها من حقوق وواجبات، وهذا لا یعنی ولایقتضی أن علاقات الالتزام الزّوجی بین الزّوجین یجب أن تخضع لهذا العیار ولا تتعداه، وتنحصر ضمن هذه الحدود الصّارمة لا تتجاوزها، فمثلاً قضیة الخدمة المنزلیة ذات أهمیة قصوی فی الحیاة الزّوجیّة، ومثلها رعایة الأطفال والعنایة بهم، وقد جری عرف أغلب البشر علی قیام الزّوجة بالأعمال المنزلیة والمألوفة من إعداد الطّعام وترتیب المنزل ورعایة الأطفال، وغیر ذلک ممّا یتصل به ویناسبه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ولدی غالبیة النّاس ارتکاز ذهنی بأنّ هذه الأمور من واجبات الزّوجة ومن حقوق الزّوج علیها، بحیث لو طرحت قضیة أنّ الزّوجة لا تجب علیها الخدمة فی بیت الزّوجیّة ولا رضاعة الأطفال ولا خدمتهم ولا حضانتهم لامتنع کثیر من الرّجال من الزّواج بامرأة لن تقوم بهذه المهمات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هذا الارتکاز لا یتنافی مع حصر حقّ الزّوج فی الاستمتاع والمساکنة علی النّحو الّذی تقدّم بیانه، حیث أنّ ذلک لا یقتضی حصر المشروعیّة به وعدم مشروعیة قیام الزّوجة بأیّة خدمة لزوجها ولأسرتها، بل غایة ما یقتضی عدم إلزامها بذلک بدعوی أنّه من مقتضیات عقد الزّوجیّة بمقتضی طبعه وأصل تشریعه، وهذا لا ینافی قیامها بذلک أو ببعضه تبرعاً أو لسبب من عقد أو شرط</w:t>
      </w:r>
      <w:r>
        <w:rPr>
          <w:rFonts w:eastAsia="IRNazanin" w:cs="IRNazanin"/>
          <w:color w:val="111111"/>
          <w:sz w:val="28"/>
          <w:szCs w:val="28"/>
          <w:rtl w:val="true"/>
          <w:lang w:bidi="fa-IR"/>
        </w:rPr>
        <w:t>.</w:t>
      </w:r>
      <w:r>
        <w:rPr>
          <w:rStyle w:val="FootnoteAnchor"/>
          <w:rtl w:val="true"/>
        </w:rPr>
        <w:footnoteReference w:id="110"/>
      </w:r>
      <w:bookmarkStart w:id="109" w:name="pg5194_44669"/>
    </w:p>
    <w:p>
      <w:pPr>
        <w:pStyle w:val="Heading3"/>
        <w:numPr>
          <w:ilvl w:val="2"/>
          <w:numId w:val="1"/>
        </w:numPr>
        <w:rPr/>
      </w:pPr>
      <w:bookmarkStart w:id="110" w:name="__RefHeading___Toc37414_581953129"/>
      <w:bookmarkStart w:id="111" w:name="_Toc42"/>
      <w:bookmarkEnd w:id="109"/>
      <w:bookmarkEnd w:id="110"/>
      <w:r>
        <w:rPr>
          <w:rtl w:val="true"/>
        </w:rPr>
        <w:t>المبحث الثّالث</w:t>
      </w:r>
      <w:r>
        <w:rPr>
          <w:rtl w:val="true"/>
        </w:rPr>
        <w:t>:</w:t>
      </w:r>
      <w:r>
        <w:rPr>
          <w:rtl w:val="true"/>
        </w:rPr>
        <w:t>آثار نشوز الزّوجة علی العائلة</w:t>
      </w:r>
      <w:bookmarkEnd w:id="111"/>
    </w:p>
    <w:p>
      <w:pPr>
        <w:pStyle w:val="BookText"/>
        <w:rPr/>
      </w:pPr>
      <w:r>
        <w:rPr>
          <w:rFonts w:ascii="IRNazanin" w:hAnsi="IRNazanin" w:eastAsia="IRNazanin"/>
          <w:color w:val="111111"/>
          <w:sz w:val="28"/>
          <w:sz w:val="28"/>
          <w:szCs w:val="28"/>
          <w:rtl w:val="true"/>
          <w:lang w:bidi="fa-IR"/>
        </w:rPr>
        <w:t>إنّ الخلافات والمشاکل فی الحیاة الزّوجیّة إذا لم تعالج، تسلب الطّرفین راحتهما وسعادتهما وتفقدهما أهمّ میزات وخصائص الارتباط الزّواجی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ویضغط الخلاف العائلی علی الإنسان أکثر من أی خلاف آخر؛ لأنّه یقع فی أقرب الدّوائر والحلقات إلی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واقع الحیاة الزّوجیّة استقراراً کان أو اضطراباً، لا تقتصر آثاره علی حیاة الزّوجین فقط، بل تنعکس نتائجها سلباً وإیجاباً علی الأطفال والمجتمع</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ویبرز دور المرأة أکثر؛ لأنّها بحکم أنوثتها رقیقة العاطفة، مرهفة الحس، سریعة التّأثر، تتغلب عواطفها علی عقلها ومشاعرها، وذلک ما یؤهلها لأداء رسالة الأمومة، فإذا أصبحت الزّوجة تقهر زوجها من خلال</w:t>
      </w:r>
    </w:p>
    <w:p>
      <w:pPr>
        <w:pStyle w:val="BookText"/>
        <w:rPr/>
      </w:pPr>
      <w:r>
        <w:rPr>
          <w:rFonts w:ascii="IRNazanin" w:hAnsi="IRNazanin" w:eastAsia="IRNazanin"/>
          <w:color w:val="111111"/>
          <w:sz w:val="28"/>
          <w:sz w:val="28"/>
          <w:szCs w:val="28"/>
          <w:rtl w:val="true"/>
          <w:lang w:bidi="fa-IR"/>
        </w:rPr>
        <w:t xml:space="preserve">مطالبها المادّیة الّتی لا تنتهی وتعنّفه وتوبخّه عند عدم قدرته علی تلبیة ما ترید، وتتعامل معه من منطلق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فینعکس هذا علی أبنائها أیضاً فلا یجدون المناخ الأسری المناسب للانتماء فینشقون عن الأسرة، ویظهر هذا فی عدم الولاء والطّاعة للأبوین</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ذلک لأنّ البیت هو المدرسة الأولی للطفل، یترعرع فی ظلاله وتتکامل فیه شخصیته وتنمو فیه سجایاه متأثراً بأخلاق أبویه وسلوکهما، فعلیهما أن یکونا قدوة حسنة ومثلاً رفیعاً؛ لتنعکس فی نفسه مزایاهم وفضائلهم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الأم الّتی ترید أن تری من أبنائها قرة عین وذخیرة لها فی مستقبلها أن تسهر علی تربیتهم وترعی سلوکهم وتثبت فی نفوسهم النّزعات الطّیبة والمُثل الکریمة وأن تجنبهم الطّرق المؤدّیة للإجرام والعادات السّیئة؛</w:t>
      </w:r>
      <w:r>
        <w:rPr>
          <w:rStyle w:val="FootnoteAnchor"/>
          <w:rtl w:val="true"/>
        </w:rPr>
        <w:footnoteReference w:id="112"/>
      </w:r>
      <w:r>
        <w:rPr>
          <w:rFonts w:ascii="IRNazanin" w:hAnsi="IRNazanin" w:eastAsia="IRNazanin"/>
          <w:color w:val="111111"/>
          <w:sz w:val="28"/>
          <w:sz w:val="28"/>
          <w:szCs w:val="28"/>
          <w:rtl w:val="true"/>
          <w:lang w:bidi="fa-IR"/>
        </w:rPr>
        <w:t>لأنّها هی النّموذج لفترة طفولة الصبّی، وفی ظلها یتحرک ویتعرّف علی ما یحیط به ویمیّز الأشیاء الحسنة والسّیئة والمفیدة والضّارة، ویتعرّف علی العالم بأسره؛ إذ العواطف والمشاعر الرّکن الأساس فی حیاة الأسرة، والمرأة هی المتلقی لمشاعر الحبّ، وهی المسؤولة عن بثّ هذه الأحاسیس فی جوّ الأسرة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ارتباط المرأة وحبّها الأصیل، هو الّذی یکون استجابة لاحترام وارتباط الرّجل، کما أنّها تزرع بذور الحبّ والاحترام فی نفوس الأبناء</w:t>
      </w:r>
    </w:p>
    <w:p>
      <w:pPr>
        <w:pStyle w:val="BookText"/>
        <w:rPr/>
      </w:pPr>
      <w:r>
        <w:rPr>
          <w:rFonts w:ascii="IRNazanin" w:hAnsi="IRNazanin" w:eastAsia="IRNazanin"/>
          <w:color w:val="111111"/>
          <w:sz w:val="28"/>
          <w:sz w:val="28"/>
          <w:szCs w:val="28"/>
          <w:rtl w:val="true"/>
          <w:lang w:bidi="fa-IR"/>
        </w:rPr>
        <w:t>اتّجاه والدهم، وتعطی القدرة والقیادة لربّ الأسرة ومظهر القدوة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وتشیر البیانات الّتی تتحدّث عن جنوح الأحداث إلی أنّ النّسبة الغالبة منهم تنتمی إلی عوائل تعانی من اضطرابات فی علاقاتها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یلاحظ الموجهون التّربویون فی مدارس التّعلیم إنّ أغلب الطّلاب الّذین یعانون من تدنی المستوی التّعلیمی والأخلاقی، هم من أبناء عوائل تفقد الانسجام الدّاخلی</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ولا ریب فی أنّ معاشرة الزّوج بالمعروف تقتضی من الزّوجة فی بیت الزّوجیّة مع الزّوج والأبناء سلوکاً یتناسب مع طبیعة الحیاة الأسریة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استعصت المرأة ونشزت واستخفت بحقوق زوجها واستحقرته أمام الجمع من الأطفال والأهل والأقارب وخرجت من بیته بغیر إذنه، أو انصرفت إلی العمل خارج البیت دون رضاه، وحشرت نفسها فی أجواء العمل حتّی عادت لا تستطیع أن تفرّغ من وقتها جزءاً للبیت، فتذهب کالرّجال جنباً إلی جنب أوّل النّهار لتعود آخره مکدّدة، متعبة، أضناها العمل، وأجهدها التّقلب فی وجوه الحیاة، فکیف یتسنی لها مع ذلک أن تتفرّغ للبیت، وأن توزّع نفسها علی العمل داخل البیت وخارجه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والأسرة مؤسسة بذاتها تطلب من التّفرّغ ما تطلبه أی مؤسسة اجتماعیّة أخری، فلیست الأسرة حاجة فوقیة وعرضیّة فی حیاة الإنسان حتّی یستطیع أن یستغنی عنها أو یهملها أو یستبدلها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ترتبط المرأة وحدها بالحیاة العائلیّة فحسب، فإنّ سعادة الرّجل واستقراره ونشوء الأطفال واستقامة سلوکهم یرتبط ارتباطاً وثیقاً بالجو العائلی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فلابدّ ألا یتعارض خروج المرأة مع حقوق الزّوج فی الاستمتاع والمساکنة فی الحدود الّتی قرّرتها الشّریعة بحسب اجتهاد الفقهاء، وألا یتعارض مع المعاشرة بالمعروف فی نطاق الأسرة ومع طبیعة الحیاة الأسریّة، الّتی تقتضی رعایة الأم للأسرة وتربیة أبناءها، فلا ینبغی أن یتحول المنزل الزّوجی بسبب الخروج من البیت أو للعمل وغیر ذلک إلی مکان للنوم وتناول الطعام فقط، بحیث تنعدم أو تتقلص إلی أدنی حدّ علاقات المساکنة بین الزّوجة وزوجها</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فإذا أرادت الزّوجة أن تخرج من بیتها علیها أن تحرص استئذان زوجها، وإن کان هذا الخروج من البیت مثلاً لأجل العمل، وهو من شأنها، إلاّ أنّه یتصل بالمجال المشترک فی الحیاة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حالة نشوز الزّوجة تنعکس علی وحدة تماسک المجتمع والأمن الاجتماعی؛ لأنّ اضطرابها تمتد آثاره إلی مساحة واسعة من عوائل الزّوجین والمتعاطفین معهما، وقد تتصاعد الخلافات لتصل إلی المحاکم والجهات الرّسمیّة، أو تتطوّر إلی نزاعات حادّة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تشکّل هذه الخلاقات ثغرة فی أمن المجتمع الأخلاقی؛ لأنّ</w:t>
      </w:r>
    </w:p>
    <w:p>
      <w:pPr>
        <w:pStyle w:val="BookText"/>
        <w:rPr/>
      </w:pPr>
      <w:r>
        <w:rPr>
          <w:rFonts w:ascii="IRNazanin" w:hAnsi="IRNazanin" w:eastAsia="IRNazanin"/>
          <w:color w:val="111111"/>
          <w:sz w:val="28"/>
          <w:sz w:val="28"/>
          <w:szCs w:val="28"/>
          <w:rtl w:val="true"/>
          <w:lang w:bidi="fa-IR"/>
        </w:rPr>
        <w:t>اضطراب العلاقات الزّوجیّة قد یدفع بعض الأزواج إلی البحث عن علاقات عاطفیة خارج أطار البیت الزّوجی، فتحصل الخیانات الزّوجیّة والانحرافات السّلوکیة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مواجهة هذه الأخطاء لابدّ أن یتحمل المجتمع مسؤولیته فی الوقایة منها، بتوفیر أجواء الاستقرار العائلی ومعالجة أسباب الاضطراب، وبالتّصدی والمبادرة لحلّ الخلافات العائلیّة، فلا یصحّ السّکوت والتّفرج من قبل المجتمع علی حالات الخلاف والنّشوز فی الحیاة الزّوجیّة</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فمهما کانت درجة التّوافق الزّواجی فإنّ حصول شیء من الخلاف أمر محتمل ومتوقع خاصّة عند مواجهة الأزمات والصّعوبات، وهنا یأتی دور الوعی ونضج الشّخصیّة لمعالجة الموقف بتعقل وحکمة، بعیداً عن التّشنج والانفعال الّذی یحوّل المشکلة البسیطة إلی قضیة معقدة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والتّعالیم الدّینیة الّتی تتحدّث لکلّ من الزّوجین حول حقوق الآخر وفضله ومکانته، وتحثّ علی الاحترام وتحمل ما قد یصدر من الأخطاء أو القصور، ترید تعزیز المناعة فی نفسیة الطّرفین اتّجاه ما قد یواجهها من مشاکل فی علاقتهما الزّوجیّة، فهناک الکثیر من النّصوص الدّینیّة تخاطب الزّوجة لتذکرها بفضل الزّوج ودوره ومکانته فی حیاتها الزّوجیة، فعلیها أن تحترم مقامه کربّ الأسرة ومتحمل لإعبائها ومسؤولیتها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فإنّ الحیاة الزّوجیّة لا تقوم علی أساس الإلزامات الّتی یلزم بها کلّ فریق، وإنّما تقوم علی أساس روحیة العطاء النّاشئة من شعور المودة والرّحمة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المرأة التی تحسن إلی زوجها حتّی لو أساء إلیها، والمرأة الّتی تخدم بیتها حتّی لو لم تکن ملزمة بذلک، تعتبر فی عداد النّساء المجاهدات باعتبار أنّ ذلک یمثّل حسن التّبعل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تعیش الزّوجة من موقع إنسانیتها الّتی تتسع لکلّ المعانی الرّوحیّة الإنسانیّة، فإنّ الحیاة الزّوجیّة تکون فرصة للنمو والارتفاع إلی المستوی الکبیر وفرصة للسعادة الزّوجیّة، الّتی تتحوّل إلی سعادة مادّیة، وبذلک یتکامل لها خیر الدّنیا والآخرة</w:t>
      </w:r>
      <w:r>
        <w:rPr>
          <w:rFonts w:eastAsia="IRNazanin" w:cs="IRNazanin"/>
          <w:color w:val="111111"/>
          <w:sz w:val="28"/>
          <w:szCs w:val="28"/>
          <w:rtl w:val="true"/>
          <w:lang w:bidi="fa-IR"/>
        </w:rPr>
        <w:t>.</w:t>
      </w:r>
      <w:r>
        <w:rPr>
          <w:rStyle w:val="FootnoteAnchor"/>
          <w:rtl w:val="true"/>
        </w:rPr>
        <w:footnoteReference w:id="116"/>
      </w:r>
      <w:bookmarkStart w:id="112" w:name="pg5194_44675"/>
    </w:p>
    <w:p>
      <w:pPr>
        <w:pStyle w:val="Heading3"/>
        <w:numPr>
          <w:ilvl w:val="2"/>
          <w:numId w:val="1"/>
        </w:numPr>
        <w:rPr/>
      </w:pPr>
      <w:bookmarkStart w:id="113" w:name="__RefHeading___Toc37416_581953129"/>
      <w:bookmarkStart w:id="114" w:name="_Toc43"/>
      <w:bookmarkEnd w:id="112"/>
      <w:bookmarkEnd w:id="113"/>
      <w:r>
        <w:rPr>
          <w:rtl w:val="true"/>
        </w:rPr>
        <w:t>المبحث الرّابع</w:t>
      </w:r>
      <w:r>
        <w:rPr>
          <w:rtl w:val="true"/>
        </w:rPr>
        <w:t>:</w:t>
      </w:r>
      <w:r>
        <w:rPr>
          <w:rtl w:val="true"/>
        </w:rPr>
        <w:t>أحکام نشوز الزّوجة</w:t>
      </w:r>
      <w:bookmarkEnd w:id="114"/>
    </w:p>
    <w:p>
      <w:pPr>
        <w:pStyle w:val="Heading4"/>
        <w:numPr>
          <w:ilvl w:val="3"/>
          <w:numId w:val="1"/>
        </w:numPr>
        <w:rPr/>
      </w:pPr>
      <w:bookmarkStart w:id="115" w:name="__RefHeading___Toc37418_581953129"/>
      <w:bookmarkStart w:id="116" w:name="_Toc44"/>
      <w:bookmarkEnd w:id="115"/>
      <w:r>
        <w:rPr>
          <w:rtl w:val="true"/>
        </w:rPr>
        <w:t>اشارة</w:t>
      </w:r>
      <w:bookmarkEnd w:id="116"/>
    </w:p>
    <w:p>
      <w:pPr>
        <w:pStyle w:val="BookText"/>
        <w:rPr/>
      </w:pPr>
      <w:r>
        <w:rPr>
          <w:rFonts w:ascii="IRNazanin" w:hAnsi="IRNazanin" w:eastAsia="IRNazanin"/>
          <w:color w:val="111111"/>
          <w:sz w:val="28"/>
          <w:sz w:val="28"/>
          <w:szCs w:val="28"/>
          <w:rtl w:val="true"/>
          <w:lang w:bidi="fa-IR"/>
        </w:rPr>
        <w:t>یرغب النّظام الإسلامی فی الزّواج أن یکون قویّاً، سلیم البنیة، یکفل الاستقرار والاستمراریّة، ویضمن الحیاة السّعیدة، وبالرغم من الأسس الّتی وضعها له وما أقامه من دعائم لبناء الأسرة وحمایتها قد یطرأ علی الحیاة الزّوجیّة ما یصدع أرکانها ویخرجها عن حالة الأمن والاستقرار المطلوب فیها؛ لأنّ من شأن البشر أن یعرض بینهم الخلاف وأن یثور النّزاع عند تعارض الرّغبات أو نفور الطّباع</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واعترف الإسلام بإمکان حدوث النّشوز والشّقاق والتّصدع فی مجال الحیاة الزّوجیّة، لکن بما أنّ الشّریعة المقدّسة ترید الحفاظ علی علاقة الزّوجین وإبعادهما عن کلّ عرقلة تقع فی طریق إقامة الکیان الأسری، نری القرآن الکریم یبدأ برسم الخطوط الأولیّة للزّوج؛ لیتفادی</w:t>
      </w:r>
      <w:bookmarkStart w:id="117" w:name="pg5194_44676"/>
    </w:p>
    <w:p>
      <w:pPr>
        <w:pStyle w:val="BookText"/>
        <w:rPr/>
      </w:pPr>
      <w:bookmarkEnd w:id="117"/>
      <w:r>
        <w:rPr>
          <w:rFonts w:ascii="IRNazanin" w:hAnsi="IRNazanin" w:eastAsia="IRNazanin"/>
          <w:color w:val="111111"/>
          <w:sz w:val="28"/>
          <w:sz w:val="28"/>
          <w:szCs w:val="28"/>
          <w:rtl w:val="true"/>
          <w:lang w:bidi="fa-IR"/>
        </w:rPr>
        <w:t>بذلک من تهدیم البیت الزّوجی بالطّلاق لو ظهرت بوادر النّشوز من الزّوجة؛ وذلک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اللاّتِی تَخافُونَ نُشُوزَهُنَّ فَعِظُوهُنَّ وَ اهْجُرُوهُنَّ فِی الْمَضاجِعِ وَ اضْرِبُوهُنَّ فَإِنْ أَطَعْنَکُمْ فَلا تَبْغُوا عَلَیْهِنَّ سَبِیلاً إِنَّ اللّهَ کانَ عَلِیًّا کَبِیراً</w:t>
      </w:r>
      <w:r>
        <w:rPr>
          <w:rFonts w:eastAsia="Amiri" w:cs="Amiri" w:ascii="Amiri" w:hAnsi="Amiri"/>
          <w:color w:val="111111"/>
          <w:sz w:val="28"/>
          <w:szCs w:val="28"/>
          <w:rtl w:val="true"/>
          <w:lang w:bidi="ar-SA"/>
        </w:rPr>
        <w:t>)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وهذه هی الإجراءات الأولیّة الّتی ترسمها الآیة الکریمة للزّوج فی حالة ظهور التّمرد وعدم الإطاعة من زوجته، وهی تتلخص فی أمور ثلاثة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الوعظ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37420_581953129"/>
      <w:bookmarkStart w:id="119" w:name="_Toc45"/>
      <w:bookmarkEnd w:id="118"/>
      <w:r>
        <w:rPr/>
        <w:t>1</w:t>
      </w:r>
      <w:r>
        <w:rPr>
          <w:rtl w:val="true"/>
        </w:rPr>
        <w:t xml:space="preserve">. </w:t>
      </w:r>
      <w:r>
        <w:rPr>
          <w:rtl w:val="true"/>
        </w:rPr>
        <w:t>الوعظ</w:t>
      </w:r>
      <w:bookmarkEnd w:id="119"/>
    </w:p>
    <w:p>
      <w:pPr>
        <w:pStyle w:val="BookText"/>
        <w:rPr/>
      </w:pPr>
      <w:r>
        <w:rPr>
          <w:rFonts w:ascii="IRNazanin" w:hAnsi="IRNazanin" w:eastAsia="IRNazanin"/>
          <w:color w:val="111111"/>
          <w:sz w:val="28"/>
          <w:sz w:val="28"/>
          <w:szCs w:val="28"/>
          <w:rtl w:val="true"/>
          <w:lang w:bidi="fa-IR"/>
        </w:rPr>
        <w:t>وهو أوّل الحلول فی طریق عودة الزّوجة إلی حیاتها الزّوجیّة، ومن واجبات القیّم وربّ الأسرة، وهو عمل تهذیبی مطلوب منه فی کلّ حال، وفی هذا الحال بالذّات؛ وذلک بإتباع الأسالیب الفکریّة والرّوحیّة الّتی تحذّر الزّوجة من نتائج عملها علی الصّعید الدّنیوی والأخروی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ورد لدی الفقهاء کالشّهید الثّانی</w:t>
      </w:r>
      <w:r>
        <w:rPr>
          <w:rStyle w:val="FootnoteAnchor"/>
          <w:rtl w:val="true"/>
        </w:rPr>
        <w:footnoteReference w:id="118"/>
      </w:r>
      <w:r>
        <w:rPr>
          <w:rFonts w:ascii="IRNazanin" w:hAnsi="IRNazanin" w:eastAsia="IRNazanin"/>
          <w:color w:val="111111"/>
          <w:sz w:val="28"/>
          <w:sz w:val="28"/>
          <w:szCs w:val="28"/>
          <w:rtl w:val="true"/>
          <w:lang w:bidi="fa-IR"/>
        </w:rPr>
        <w:t>وصاحب الریّاض</w:t>
      </w:r>
      <w:r>
        <w:rPr>
          <w:rStyle w:val="FootnoteAnchor"/>
          <w:rtl w:val="true"/>
        </w:rPr>
        <w:footnoteReference w:id="119"/>
      </w:r>
      <w:r>
        <w:rPr>
          <w:rFonts w:ascii="IRNazanin" w:hAnsi="IRNazanin" w:eastAsia="IRNazanin"/>
          <w:color w:val="111111"/>
          <w:sz w:val="28"/>
          <w:sz w:val="28"/>
          <w:szCs w:val="28"/>
          <w:rtl w:val="true"/>
          <w:lang w:bidi="fa-IR"/>
        </w:rPr>
        <w:t>والحدائق</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والمدارک</w:t>
      </w:r>
      <w:r>
        <w:rPr>
          <w:rStyle w:val="FootnoteAnchor"/>
          <w:rtl w:val="true"/>
        </w:rPr>
        <w:footnoteReference w:id="121"/>
      </w:r>
      <w:r>
        <w:rPr>
          <w:rFonts w:ascii="IRNazanin" w:hAnsi="IRNazanin" w:eastAsia="IRNazanin"/>
          <w:color w:val="111111"/>
          <w:sz w:val="28"/>
          <w:sz w:val="28"/>
          <w:szCs w:val="28"/>
          <w:rtl w:val="true"/>
          <w:lang w:bidi="fa-IR"/>
        </w:rPr>
        <w:t>کما عند القاضی ابن البراج</w:t>
      </w:r>
      <w:r>
        <w:rPr>
          <w:rStyle w:val="FootnoteAnchor"/>
          <w:rtl w:val="true"/>
        </w:rPr>
        <w:footnoteReference w:id="122"/>
      </w:r>
      <w:r>
        <w:rPr>
          <w:rFonts w:ascii="IRNazanin" w:hAnsi="IRNazanin" w:eastAsia="IRNazanin"/>
          <w:color w:val="111111"/>
          <w:sz w:val="28"/>
          <w:sz w:val="28"/>
          <w:szCs w:val="28"/>
          <w:rtl w:val="true"/>
          <w:lang w:bidi="fa-IR"/>
        </w:rPr>
        <w:t>والشّیخ فی المبسوط،</w:t>
      </w:r>
      <w:r>
        <w:rPr>
          <w:rStyle w:val="FootnoteAnchor"/>
          <w:rtl w:val="true"/>
        </w:rPr>
        <w:footnoteReference w:id="123"/>
      </w:r>
      <w:r>
        <w:rPr>
          <w:rFonts w:ascii="IRNazanin" w:hAnsi="IRNazanin" w:eastAsia="IRNazanin"/>
          <w:color w:val="111111"/>
          <w:sz w:val="28"/>
          <w:sz w:val="28"/>
          <w:szCs w:val="28"/>
          <w:rtl w:val="true"/>
          <w:lang w:bidi="fa-IR"/>
        </w:rPr>
        <w:t>أنّ المراد من الوعظ، أن یخوّفها بالله تعالی، ویقول إتّقی الله فی حقّی الواجب واحذری عذاب الله تعالی ونکاله، ویذکر لها ما ورد من حقوق الزّوج علی الزّوجة من الأخبار النّبویّة وکلام الأئمة علیهم السلام ویبیّن لها أنّ النّشوز یسقط النّفقة وحقّ القسم، فقد تتأدب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فی سبیل تحقیق هذا الهدف من إتباع الطّرق الّتی تؤدی إلی الهدف المنشود من رجوعها إلی الخط المستقیم وعودتها عن الانحراف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وتختلف الأسالیب باختلاف ذهنیة الزّوجة من ناحیة فکریّة وروحیّة وعاطفیّة، فلابدّ من دراسة ذلک کلّه مع ملاحظة نقاط الضّعف والقوة فی شخصیّتها الذّاتیّة والدّینیّة</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فمنهن من یؤثر فی نفسها التّخوف من الله عزّ وجلّ وعقابه علی النّشوز، ومنهن من یؤثر فی نفسها التّهدید والتّحذیر من سوء العاقبة فی الدّنیا، کشماتة الأعداء والمنع من بعض الرّغائب، کالثیاب الحسنة والحلی، والرّجل العاقل لا یخفی علیه الوعظ الّذی یؤثر فی قلب امرأته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ویجب أن یکون التّذکیر والوعظ فی أوقات مناسبة وبطریقة مؤثرة،</w:t>
      </w:r>
      <w:r>
        <w:rPr>
          <w:rStyle w:val="FootnoteAnchor"/>
          <w:rtl w:val="true"/>
        </w:rPr>
        <w:footnoteReference w:id="125"/>
      </w:r>
      <w:r>
        <w:rPr>
          <w:rFonts w:ascii="IRNazanin" w:hAnsi="IRNazanin" w:eastAsia="IRNazanin"/>
          <w:color w:val="111111"/>
          <w:sz w:val="28"/>
          <w:sz w:val="28"/>
          <w:szCs w:val="28"/>
          <w:rtl w:val="true"/>
          <w:lang w:bidi="fa-IR"/>
        </w:rPr>
        <w:t>قال بحر العلوم فی کتاب الزّواج</w:t>
      </w:r>
      <w:r>
        <w:rPr>
          <w:rFonts w:eastAsia="IRNazanin" w:cs="IRNazanin"/>
          <w:color w:val="111111"/>
          <w:sz w:val="28"/>
          <w:szCs w:val="28"/>
          <w:rtl w:val="true"/>
          <w:lang w:bidi="fa-IR"/>
        </w:rPr>
        <w:t>:</w:t>
      </w:r>
      <w:bookmarkStart w:id="120" w:name="pg5194_44678"/>
    </w:p>
    <w:p>
      <w:pPr>
        <w:pStyle w:val="BookText"/>
        <w:rPr/>
      </w:pPr>
      <w:bookmarkEnd w:id="120"/>
      <w:r>
        <w:rPr>
          <w:rFonts w:ascii="IRNazanin" w:hAnsi="IRNazanin" w:eastAsia="IRNazanin"/>
          <w:color w:val="111111"/>
          <w:sz w:val="28"/>
          <w:sz w:val="28"/>
          <w:szCs w:val="28"/>
          <w:rtl w:val="true"/>
          <w:lang w:bidi="fa-IR"/>
        </w:rPr>
        <w:t xml:space="preserve">المراد من الوعظ هو أن یجلس الزّوج مع زوجته لیتدارس الزّوجان الأسباب الّتی أدّت إلی فتور الزّوجة وعدم إطاعتها، وفی هذه الحالة ربّما تبدی الزّوجة وجهة نظرها لتقول کلمتها، فتشرح الأسباب الّتی دعتها إلی إتخاذ مثل هذا الموقف الصّارم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ولربّما کانت وجهة نظر معقولة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بالزّوج هو المقصر حینئذ فلا بدّ من تلافی الأمر، أو لعلّها تلتفت إلی الخطأ الّذی ارتکبته فتصحّح خطأها لتعود المیاه إلی مجاریها الطبیعیّة، وإنّ هذه المحاورة النفسیّة بین الزّوجین لها أثرها العمیق فی حلّ کثیر من المشاکل الّتی تعرقل مسیرة الحیاة الزّوجیّة، علی أنّ نوعیة الوعظ متروکة إلی الزّوج، فله أن یسلک أحسن الطّرق الّتی یراها ملائمة لعزوفه مع زوجته، فلیس فی البین من النّصوص ما یحدّد له ذلک، بل هو فی هذه الحالة أبصر وأخبر بأنفع السّبل بما فیها التّحذیر من مغبة النّشوز</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فإن لم یثمر الوعظ بالکلام، وظلت المرأة علی نشوزها، تأتی مرحلة أخری وهی</w:t>
      </w:r>
      <w:r>
        <w:rPr>
          <w:rFonts w:eastAsia="IRNazanin" w:cs="IRNazanin"/>
          <w:color w:val="111111"/>
          <w:sz w:val="28"/>
          <w:szCs w:val="28"/>
          <w:rtl w:val="true"/>
          <w:lang w:bidi="fa-IR"/>
        </w:rPr>
        <w:t>:</w:t>
      </w:r>
    </w:p>
    <w:p>
      <w:pPr>
        <w:pStyle w:val="Heading4"/>
        <w:numPr>
          <w:ilvl w:val="3"/>
          <w:numId w:val="1"/>
        </w:numPr>
        <w:rPr/>
      </w:pPr>
      <w:bookmarkStart w:id="121" w:name="__RefHeading___Toc37422_581953129"/>
      <w:bookmarkStart w:id="122" w:name="_Toc46"/>
      <w:bookmarkEnd w:id="121"/>
      <w:r>
        <w:rPr/>
        <w:t>2</w:t>
      </w:r>
      <w:r>
        <w:rPr>
          <w:rtl w:val="true"/>
        </w:rPr>
        <w:t xml:space="preserve">. </w:t>
      </w:r>
      <w:r>
        <w:rPr>
          <w:rtl w:val="true"/>
        </w:rPr>
        <w:t>الهجر</w:t>
      </w:r>
      <w:bookmarkEnd w:id="12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بعدما أخفق البیان وفشلت الأسالیب العاطفیّة، ولم تجدِ الوسیلة الأوّلی مع الزّوجة النّاشز، فلابدّ أن ینتقل إلی الوسیلة الثّانیة، وهی الهجر فی المضجع، وتلک من أقوی الوسائل العاطفیّة الّتی یبعثها الزّوج لزوجته لبیان غضبه علیها وعدم تحمله سوء تصرفها وخروجها عن طاعته، ومن أقوی الأسالیب المؤثرة فی شخصیّة المرأة؛ لأنّ اهتمام الزّوج بها یعتبر</w:t>
      </w:r>
    </w:p>
    <w:p>
      <w:pPr>
        <w:pStyle w:val="BookText"/>
        <w:rPr/>
      </w:pPr>
      <w:r>
        <w:rPr>
          <w:rFonts w:ascii="IRNazanin" w:hAnsi="IRNazanin" w:eastAsia="IRNazanin"/>
          <w:color w:val="111111"/>
          <w:sz w:val="28"/>
          <w:sz w:val="28"/>
          <w:szCs w:val="28"/>
          <w:rtl w:val="true"/>
          <w:lang w:bidi="fa-IR"/>
        </w:rPr>
        <w:t>عاملاً مهماً من عوامل إحساسها بأهمیتها وبقوة شخصیّتها، فهو ضرب من ضروب التّأدیب لمن تحب زوجها ویشقّ علیها هجره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واختلفت رؤیة الفقهاء حول معنی الهجر، وقد جمع السیّد السّبزواری</w:t>
      </w:r>
      <w:r>
        <w:rPr>
          <w:rStyle w:val="FootnoteAnchor"/>
          <w:rtl w:val="true"/>
        </w:rPr>
        <w:footnoteReference w:id="127"/>
      </w:r>
      <w:r>
        <w:rPr>
          <w:rFonts w:ascii="IRNazanin" w:hAnsi="IRNazanin" w:eastAsia="IRNazanin"/>
          <w:color w:val="111111"/>
          <w:sz w:val="28"/>
          <w:sz w:val="28"/>
          <w:szCs w:val="28"/>
          <w:rtl w:val="true"/>
          <w:lang w:bidi="fa-IR"/>
        </w:rPr>
        <w:t>آرائهم فی المقام بعدّة نقاط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الهجر من الأمور الإضافیّة التّشکیکیّة فیکون قابلاً للشّدة والضعف، وله مراتب کثیرة تختلف باختلاف الحالات والأشخاص والعادات، فکم من هجر عند قوم لیس بهجر عند الآخرین، وهو یتصوّر علی أقسام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المضجع واحداً، ویولی الرّجل ظهره إلیها فیه بطبعه بلا غرض فی البیان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ما تقدّم ولکن بعنوان المنافرة والمباغضة، کما جاء به صاحب الجواهر</w:t>
      </w:r>
      <w:r>
        <w:rPr>
          <w:rStyle w:val="FootnoteAnchor"/>
          <w:rtl w:val="true"/>
        </w:rPr>
        <w:footnoteReference w:id="128"/>
      </w:r>
      <w:r>
        <w:rPr>
          <w:rFonts w:ascii="IRNazanin" w:hAnsi="IRNazanin" w:eastAsia="IRNazanin"/>
          <w:color w:val="111111"/>
          <w:sz w:val="28"/>
          <w:sz w:val="28"/>
          <w:szCs w:val="28"/>
          <w:rtl w:val="true"/>
          <w:lang w:bidi="fa-IR"/>
        </w:rPr>
        <w:t>والقاضی ابن البراج</w:t>
      </w:r>
      <w:r>
        <w:rPr>
          <w:rStyle w:val="FootnoteAnchor"/>
          <w:rtl w:val="true"/>
        </w:rPr>
        <w:footnoteReference w:id="129"/>
      </w:r>
      <w:r>
        <w:rPr>
          <w:rFonts w:ascii="IRNazanin" w:hAnsi="IRNazanin" w:eastAsia="IRNazanin"/>
          <w:color w:val="111111"/>
          <w:sz w:val="28"/>
          <w:sz w:val="28"/>
          <w:szCs w:val="28"/>
          <w:rtl w:val="true"/>
          <w:lang w:bidi="fa-IR"/>
        </w:rPr>
        <w:t>وما نقله الشّهید الثّانی</w:t>
      </w:r>
      <w:r>
        <w:rPr>
          <w:rStyle w:val="FootnoteAnchor"/>
          <w:rtl w:val="true"/>
        </w:rPr>
        <w:footnoteReference w:id="130"/>
      </w:r>
      <w:r>
        <w:rPr>
          <w:rFonts w:ascii="IRNazanin" w:hAnsi="IRNazanin" w:eastAsia="IRNazanin"/>
          <w:color w:val="111111"/>
          <w:sz w:val="28"/>
          <w:sz w:val="28"/>
          <w:szCs w:val="28"/>
          <w:rtl w:val="true"/>
          <w:lang w:bidi="fa-IR"/>
        </w:rPr>
        <w:t>عن ابن بابویة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تعدّد المضجع بعد أن کان واحداً فی غرفة واحدة بقصد المنافرة والمباغضة، کما اختاره الشّیخ فی المبسوط</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إذا کان مثل القسم الثّالث، ولکن فی غرفتین أو بیتین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والمتیقن من الآیة الکریمة وأقوال الفقهاء صورة تحقّق إظهار</w:t>
      </w:r>
    </w:p>
    <w:p>
      <w:pPr>
        <w:pStyle w:val="BookText"/>
        <w:rPr/>
      </w:pPr>
      <w:r>
        <w:rPr>
          <w:rFonts w:ascii="IRNazanin" w:hAnsi="IRNazanin" w:eastAsia="IRNazanin"/>
          <w:color w:val="111111"/>
          <w:sz w:val="28"/>
          <w:sz w:val="28"/>
          <w:szCs w:val="28"/>
          <w:rtl w:val="true"/>
          <w:lang w:bidi="fa-IR"/>
        </w:rPr>
        <w:t>المنافرة والتّباغض فی الهجر، فیشمل جمیع الأقسام إلّا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صاحب الرّیاض</w:t>
      </w:r>
      <w:r>
        <w:rPr>
          <w:rStyle w:val="FootnoteAnchor"/>
          <w:rtl w:val="true"/>
        </w:rPr>
        <w:footnoteReference w:id="132"/>
      </w:r>
      <w:r>
        <w:rPr>
          <w:rFonts w:ascii="IRNazanin" w:hAnsi="IRNazanin" w:eastAsia="IRNazanin"/>
          <w:color w:val="111111"/>
          <w:sz w:val="28"/>
          <w:sz w:val="28"/>
          <w:szCs w:val="28"/>
          <w:rtl w:val="true"/>
          <w:lang w:bidi="fa-IR"/>
        </w:rPr>
        <w:t>والخوانساری</w:t>
      </w:r>
      <w:r>
        <w:rPr>
          <w:rStyle w:val="FootnoteAnchor"/>
          <w:rtl w:val="true"/>
        </w:rPr>
        <w:footnoteReference w:id="133"/>
      </w:r>
      <w:r>
        <w:rPr>
          <w:rFonts w:ascii="IRNazanin" w:hAnsi="IRNazanin" w:eastAsia="IRNazanin"/>
          <w:color w:val="111111"/>
          <w:sz w:val="28"/>
          <w:sz w:val="28"/>
          <w:szCs w:val="28"/>
          <w:rtl w:val="true"/>
          <w:lang w:bidi="fa-IR"/>
        </w:rPr>
        <w:t>فقد ذهبا إلی التّخییر بین أن یولّیها ظهره فی الفراش، أو أن یعتزل فراشها، وأفاد صاحب الرّیاض بعد ذلک أنّ الأوّل أحوط وأولی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تفسیر القمی</w:t>
      </w:r>
      <w:r>
        <w:rPr>
          <w:rStyle w:val="FootnoteAnchor"/>
          <w:rtl w:val="true"/>
        </w:rPr>
        <w:footnoteReference w:id="134"/>
      </w:r>
      <w:r>
        <w:rPr>
          <w:rFonts w:ascii="IRNazanin" w:hAnsi="IRNazanin" w:eastAsia="IRNazanin"/>
          <w:color w:val="111111"/>
          <w:sz w:val="28"/>
          <w:sz w:val="28"/>
          <w:szCs w:val="28"/>
          <w:rtl w:val="true"/>
          <w:lang w:bidi="fa-IR"/>
        </w:rPr>
        <w:t>المراد من الهجر هو السبّ، وهو غریب علی ما ذکره الشّیخ یوسف البحرانی</w:t>
      </w:r>
      <w:r>
        <w:rPr>
          <w:rStyle w:val="FootnoteAnchor"/>
          <w:rtl w:val="true"/>
        </w:rPr>
        <w:footnoteReference w:id="135"/>
      </w:r>
      <w:r>
        <w:rPr>
          <w:rFonts w:ascii="IRNazanin" w:hAnsi="IRNazanin" w:eastAsia="IRNazanin"/>
          <w:color w:val="111111"/>
          <w:sz w:val="28"/>
          <w:sz w:val="28"/>
          <w:szCs w:val="28"/>
          <w:rtl w:val="true"/>
          <w:lang w:bidi="fa-IR"/>
        </w:rPr>
        <w:t>حیث 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یذکره غیره فیما أعلم ولا ریب أنّه أحد معانی الهجر لکنه هنا بعید، وقال الشّهید الثّانی</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الرّجوع فیه إلی العرف، وما تستفید المرأة منه الهجران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هذا النّوع من التّرکیز علی الهجران فی المضجع وإظهار الزّوج کراهیته لها دون بقیة الحالات والأماکن، إنّما هو لمعاکسة المرأة وتحریک عواطفها کزوجة؛ لأنّ هذا الإجراء من الزّوج إنّما هو تعبیر صارخ منه بعدم اعترافه بأنوثتها وحیویتها فی مکان یجب أن تسیطر المرأة فیه علی الرّجل</w:t>
      </w:r>
      <w:r>
        <w:rPr>
          <w:rFonts w:eastAsia="IRNazanin" w:cs="IRNazanin"/>
          <w:color w:val="111111"/>
          <w:sz w:val="28"/>
          <w:szCs w:val="28"/>
          <w:rtl w:val="true"/>
          <w:lang w:bidi="fa-IR"/>
        </w:rPr>
        <w:t>.</w:t>
      </w:r>
      <w:r>
        <w:rPr>
          <w:rStyle w:val="FootnoteAnchor"/>
          <w:rtl w:val="true"/>
        </w:rPr>
        <w:footnoteReference w:id="13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الواجب علی المسلم أن یلتزم بالآداب الإسلامیّة والأخلاق الحمیدة فی جمیع شؤونه فی الحیاة، وخصوصاً فی حلّ مشاکل الحیاة</w:t>
      </w:r>
      <w:bookmarkStart w:id="123" w:name="pg5194_44681"/>
    </w:p>
    <w:p>
      <w:pPr>
        <w:pStyle w:val="BookText"/>
        <w:rPr/>
      </w:pPr>
      <w:bookmarkEnd w:id="123"/>
      <w:r>
        <w:rPr>
          <w:rFonts w:ascii="IRNazanin" w:hAnsi="IRNazanin" w:eastAsia="IRNazanin"/>
          <w:color w:val="111111"/>
          <w:sz w:val="28"/>
          <w:sz w:val="28"/>
          <w:szCs w:val="28"/>
          <w:rtl w:val="true"/>
          <w:lang w:bidi="fa-IR"/>
        </w:rPr>
        <w:t>الزّوجیّة، وفی حالة الغضب والاستیاء وقد مدح الله سبحانه وتعالی المؤمنین بصفة الحلم والعفو عند المقدرة</w:t>
      </w:r>
      <w:r>
        <w:rPr>
          <w:rStyle w:val="FootnoteAnchor"/>
          <w:rtl w:val="true"/>
        </w:rPr>
        <w:footnoteReference w:id="138"/>
      </w:r>
      <w:r>
        <w:rPr>
          <w:rFonts w:ascii="Amiri" w:hAnsi="Amiri" w:eastAsia="Amiri" w:cs="Amiri"/>
          <w:color w:val="111111"/>
          <w:sz w:val="28"/>
          <w:sz w:val="28"/>
          <w:szCs w:val="28"/>
          <w:rtl w:val="true"/>
          <w:lang w:bidi="ar-SA"/>
        </w:rPr>
        <w:t>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الْکاظِمِینَ الْغَیْظَ وَ الْعافِینَ عَنِ النّاسِ</w:t>
      </w:r>
      <w:r>
        <w:rPr>
          <w:rFonts w:eastAsia="Amiri" w:cs="Amiri" w:ascii="Amiri" w:hAnsi="Amiri"/>
          <w:color w:val="111111"/>
          <w:sz w:val="28"/>
          <w:szCs w:val="28"/>
          <w:rtl w:val="true"/>
          <w:lang w:bidi="ar-SA"/>
        </w:rPr>
        <w:t>...)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فإن تمادت الزّوجة فی العصیان ولم یؤثر فیها الوعظ والهجران، فذلک دلیل علی مرض مشاعرها وانحراف طبیعتها، وهنا تأتی المرحلة الثّالثة، وهی</w:t>
      </w:r>
      <w:r>
        <w:rPr>
          <w:rFonts w:eastAsia="IRNazanin" w:cs="IRNazanin"/>
          <w:color w:val="111111"/>
          <w:sz w:val="28"/>
          <w:szCs w:val="28"/>
          <w:rtl w:val="true"/>
          <w:lang w:bidi="fa-IR"/>
        </w:rPr>
        <w:t>:</w:t>
      </w:r>
    </w:p>
    <w:p>
      <w:pPr>
        <w:pStyle w:val="Heading4"/>
        <w:numPr>
          <w:ilvl w:val="3"/>
          <w:numId w:val="1"/>
        </w:numPr>
        <w:rPr/>
      </w:pPr>
      <w:bookmarkStart w:id="124" w:name="__RefHeading___Toc37424_581953129"/>
      <w:bookmarkStart w:id="125" w:name="_Toc47"/>
      <w:bookmarkEnd w:id="124"/>
      <w:r>
        <w:rPr/>
        <w:t>3</w:t>
      </w:r>
      <w:r>
        <w:rPr>
          <w:rtl w:val="true"/>
        </w:rPr>
        <w:t xml:space="preserve">. </w:t>
      </w:r>
      <w:r>
        <w:rPr>
          <w:rtl w:val="true"/>
        </w:rPr>
        <w:t>الضرب</w:t>
      </w:r>
      <w:bookmarkEnd w:id="125"/>
    </w:p>
    <w:p>
      <w:pPr>
        <w:pStyle w:val="BookText"/>
        <w:rPr/>
      </w:pPr>
      <w:r>
        <w:rPr>
          <w:rFonts w:ascii="IRNazanin" w:hAnsi="IRNazanin" w:eastAsia="IRNazanin"/>
          <w:color w:val="111111"/>
          <w:sz w:val="28"/>
          <w:sz w:val="28"/>
          <w:szCs w:val="28"/>
          <w:rtl w:val="true"/>
          <w:lang w:bidi="fa-IR"/>
        </w:rPr>
        <w:t xml:space="preserve">وهذا هو الأسلوب الثّالث فیما لو تجاوزت المرأة فی عصیانها وتمردت فی واجباتها ومسؤولیاتها، ومضت فی طریق العناد واللجاج دون أن ترتدع بالأسالیب السّابقة، فلا النّصیحة تفید، ولا العظة تنفع، ولا الهجر ینجع، ولم یبقَ من سبیل إلّا استخدام العنف، فحینئذ یأتی دور الضّرب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اضْرِبُوهُنَّ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لدفعها إلی القیام بواجباتها الزّوجیّة؛ لانحصار الوسیلة فی هذه الحالة باستخدام شیء من العنف</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سمح الإسلام فی مثل هذه الصّورة بالضّغط علیها من خلال التّنبیه الجسدی</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والحقّ لا بدّ من اتخاذ هذا الإجراء؛ لأنّه یأتی نتیجة الحیرة الّتی تنتاب الرّجل وهو یری زوجته لا زالت مصرّة علی رأیها فی عدم الإطاعة، وقد أخفقت مساعیه الأخلاقیّة الهادئة، ولم تبدِ الزّوجة مبرراً لهذه الحالات السّلبیّة، فلابدّ من علاج هذه المسألة کحلّ تأدیبی یضمن للزّوج فرض سیطرته علی حیاته الزّوجیّة</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وأمّا کیفیته، فإن یضربها ضرب تأدیب کما یضرب الصّبیان علی الذّنب، ولا یضربها ضرباً مبرحاً ولا مدمیاً ولا مزمناً، ویفرّق الضّرب علی بدنها ویتقی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أصحابنا أنّه یضربها بالسّواک، 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الضّرب بمندیل ملفوف، أو درّة، ولا یکون بسیاط، ولا خشب، هذا ما أفاده الشّیخ فی المبسوط</w:t>
      </w:r>
      <w:r>
        <w:rPr>
          <w:rStyle w:val="FootnoteAnchor"/>
          <w:rtl w:val="true"/>
        </w:rPr>
        <w:footnoteReference w:id="142"/>
      </w:r>
      <w:r>
        <w:rPr>
          <w:rFonts w:ascii="IRNazanin" w:hAnsi="IRNazanin" w:eastAsia="IRNazanin"/>
          <w:color w:val="111111"/>
          <w:sz w:val="28"/>
          <w:sz w:val="28"/>
          <w:szCs w:val="28"/>
          <w:rtl w:val="true"/>
          <w:lang w:bidi="fa-IR"/>
        </w:rPr>
        <w:t>وهو متفق علیه عند باقی الفقهاء، کما جاء فی المهذب</w:t>
      </w:r>
      <w:r>
        <w:rPr>
          <w:rStyle w:val="FootnoteAnchor"/>
          <w:rtl w:val="true"/>
        </w:rPr>
        <w:footnoteReference w:id="143"/>
      </w:r>
      <w:r>
        <w:rPr>
          <w:rFonts w:ascii="IRNazanin" w:hAnsi="IRNazanin" w:eastAsia="IRNazanin"/>
          <w:color w:val="111111"/>
          <w:sz w:val="28"/>
          <w:sz w:val="28"/>
          <w:szCs w:val="28"/>
          <w:rtl w:val="true"/>
          <w:lang w:bidi="fa-IR"/>
        </w:rPr>
        <w:t>وفی نهایة المرام أیضاً</w:t>
      </w:r>
      <w:r>
        <w:rPr>
          <w:rStyle w:val="FootnoteAnchor"/>
          <w:rtl w:val="true"/>
        </w:rPr>
        <w:footnoteReference w:id="144"/>
      </w:r>
      <w:r>
        <w:rPr>
          <w:rFonts w:ascii="Amiri" w:hAnsi="Amiri" w:eastAsia="Amiri" w:cs="Amiri"/>
          <w:color w:val="111111"/>
          <w:sz w:val="28"/>
          <w:sz w:val="28"/>
          <w:szCs w:val="28"/>
          <w:rtl w:val="true"/>
          <w:lang w:bidi="ar-SA"/>
        </w:rPr>
        <w:t>والشّهید الثّانی أضاف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لعلّ حکمة الضّرب بالسّواک توهمها أرادة الملاعبة والأفراح، وإلّا فهذا الفعل بعید عن التّأدیب والإصلاح</w:t>
      </w:r>
      <w:r>
        <w:rPr>
          <w:rFonts w:eastAsia="IRNazanin" w:cs="IRNazanin"/>
          <w:color w:val="111111"/>
          <w:sz w:val="28"/>
          <w:szCs w:val="28"/>
          <w:rtl w:val="true"/>
          <w:lang w:bidi="fa-IR"/>
        </w:rPr>
        <w:t>.</w:t>
      </w:r>
      <w:r>
        <w:rPr>
          <w:rStyle w:val="FootnoteAnchor"/>
          <w:rtl w:val="true"/>
        </w:rPr>
        <w:footnoteReference w:id="14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صاحب الجواهر</w:t>
      </w:r>
      <w:r>
        <w:rPr>
          <w:rStyle w:val="FootnoteAnchor"/>
          <w:rtl w:val="true"/>
        </w:rPr>
        <w:footnoteReference w:id="146"/>
      </w:r>
      <w:r>
        <w:rPr>
          <w:rFonts w:ascii="IRNazanin" w:hAnsi="IRNazanin" w:eastAsia="IRNazanin"/>
          <w:color w:val="111111"/>
          <w:sz w:val="28"/>
          <w:sz w:val="28"/>
          <w:szCs w:val="28"/>
          <w:rtl w:val="true"/>
          <w:lang w:bidi="fa-IR"/>
        </w:rPr>
        <w:t>إضافة إلی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اتقاء المواضع</w:t>
      </w:r>
    </w:p>
    <w:p>
      <w:pPr>
        <w:pStyle w:val="BookText"/>
        <w:rPr/>
      </w:pPr>
      <w:r>
        <w:rPr>
          <w:rFonts w:ascii="IRNazanin" w:hAnsi="IRNazanin" w:eastAsia="IRNazanin"/>
          <w:color w:val="111111"/>
          <w:sz w:val="28"/>
          <w:sz w:val="28"/>
          <w:szCs w:val="28"/>
          <w:rtl w:val="true"/>
          <w:lang w:bidi="fa-IR"/>
        </w:rPr>
        <w:t>المخوفة، کالوجه والخاصرة ومراق البطن ونحوه، وأن لا یوالی الضّرب علی موضع واحد، بل یفرق علی المواضع الصّلبة، مراعیاً فیه الإصلاح لا التّشفی والانتقام، ومثله فی المسالک</w:t>
      </w:r>
      <w:r>
        <w:rPr>
          <w:rStyle w:val="FootnoteAnchor"/>
          <w:rtl w:val="true"/>
        </w:rPr>
        <w:footnoteReference w:id="147"/>
      </w:r>
      <w:r>
        <w:rPr>
          <w:rFonts w:ascii="IRNazanin" w:hAnsi="IRNazanin" w:eastAsia="IRNazanin"/>
          <w:color w:val="111111"/>
          <w:sz w:val="28"/>
          <w:sz w:val="28"/>
          <w:szCs w:val="28"/>
          <w:rtl w:val="true"/>
          <w:lang w:bidi="fa-IR"/>
        </w:rPr>
        <w:t>وإنّه یحرم بقصد التّشفی والانتقام، بل بدون القصد المأذون فیه لأجله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نهایة المرام لو حصل بالضّرب تلف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وجب علیه الغرم؛ لأنّه تبیّن بذلک أنّه إتلاف لا إصلاح، بخلاف الولی إذا أدّب 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 بینهما بأنّ تأدیب المرأة لحظّ نفسه، والولد لحظّه لا لحظّ الولی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الفرق نظر، وینبغی القطع بعدم غرامة الولی؛ لأنّه بتأدیب الطّفل محسن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الْمُحْسِنِینَ مِنْ سَبِیلٍ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یبعد إلحاق الزّوج به فی ذلک، خصوصاً إذا کان المقصود من الضّرب تأدیبها علی فعل محرم</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وأورد صاحب الحدائق علی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کان الضّرب المذکور لیس ممّا یترتب علیه التّلف بحسب العادة، وإنّما اتّفق بعدّه اتفاقاً فهذا لا یترتب علیه ضمان، وإن کان ممّا یمکن ترتب التّلف علیه فلا یبعد وجوب الضّمان</w:t>
      </w:r>
      <w:r>
        <w:rPr>
          <w:rFonts w:eastAsia="IRNazanin" w:cs="IRNazanin"/>
          <w:color w:val="111111"/>
          <w:sz w:val="28"/>
          <w:szCs w:val="28"/>
          <w:rtl w:val="true"/>
          <w:lang w:bidi="fa-IR"/>
        </w:rPr>
        <w:t>.</w:t>
      </w:r>
      <w:r>
        <w:rPr>
          <w:rStyle w:val="FootnoteAnchor"/>
          <w:rtl w:val="true"/>
        </w:rPr>
        <w:footnoteReference w:id="14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هذا یطرح هنا سؤال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الأمور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الوعظ والهجر والضّرب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التّخییر أو الجمع أو التّرتیب بالتّدرج من الأخف إلی</w:t>
      </w:r>
    </w:p>
    <w:p>
      <w:pPr>
        <w:pStyle w:val="BookText"/>
        <w:rPr/>
      </w:pPr>
      <w:r>
        <w:rPr>
          <w:rFonts w:ascii="IRNazanin" w:hAnsi="IRNazanin" w:eastAsia="IRNazanin"/>
          <w:color w:val="111111"/>
          <w:sz w:val="28"/>
          <w:sz w:val="28"/>
          <w:szCs w:val="28"/>
          <w:rtl w:val="true"/>
          <w:lang w:bidi="fa-IR"/>
        </w:rPr>
        <w:t>الأثقل، کمراتب النّهی عن المنکر؟ وعلی التّقادیر، هل هی مع تحقّق النّشوز، أو ظهور أماراته قبل وقوعه أو معهما؟ بمعنی أنّ الوعظ والهجر مع الثّانی والضّرب مع الأوّل،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فی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الأمور الثّلاثة وإن ذکرت معاً وعطف بعضها علی بعض بالواو، فهی أمور مترتبة تدریجیّة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فالموعظة، فإن لم تنجح فالهجرة، فإن لم تنفع فالضّرب؛ ویدلّ علی کون المراد بها التّدرج فیها أنّها بحسب الطّبع وسائل للزجر مختلفة آخذة من الضّعف إلی الشّدة بحسب التّرتیب المأخوذ فی الکلام، فالتّرتیب مفهوم من السّیاق دون الواو</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وذکر محمد رشید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صرّح کثیر من المفسرین بوجوب التّرتیب فی التّأدیب وإن کان العطف بالواو لا یفید التّرتیب،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علی ذلک السّیاق والقرینة العقلیّة؛ إذ لو عکس کان استغناء بالأشدّ عن الأضعف فلا یکون لهذا فائدة،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التّرتیب مستفاد من دخول الواو علی أجزائه مختلفة فی الشدّة والضعف مرتبة علی أمر مدّرج فإنّما النّص هو الدال علی التّرتیب</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أمّا الکلام عند الفقهاء کثیر فی هذا المجال والآراء مختلفة، وکما عبّر الشّیرازی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الأقوال لا یمکن استظهارها من الآیة الکریمة، وإنّما استظهر کلّ واحد ما استفاد من بعض القرائن الّتی رآها مکتنفة بالآیة من العقل أو النّقل</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حاصله ثلاثة آراء فی المسألة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من رأی أنّ الأمور الثّلاثة متحقّقة بظهور أمارات النّشوز، لکنّها علی التّرتیب فتقدّم الموعظة، فإن لم تنجع فالهجر، فإن لم یفد انتقل إلی الضّرب، وهذا موافق لرأی المحقّق علی ما نقله الشّهید فی المسالک</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ورأی آخر یجعل الأمور الثّلاثة مترتبة علی النّشوز بالفعل، لکنّها مترتبة مراتب الإنکار بالتّدرج من الأخف إلی الأثقل، کما جاء به صاحب الجواهر</w:t>
      </w:r>
      <w:r>
        <w:rPr>
          <w:rStyle w:val="FootnoteAnchor"/>
          <w:rtl w:val="true"/>
        </w:rPr>
        <w:footnoteReference w:id="154"/>
      </w:r>
      <w:r>
        <w:rPr>
          <w:rFonts w:ascii="IRNazanin" w:hAnsi="IRNazanin" w:eastAsia="IRNazanin"/>
          <w:color w:val="111111"/>
          <w:sz w:val="28"/>
          <w:sz w:val="28"/>
          <w:szCs w:val="28"/>
          <w:rtl w:val="true"/>
          <w:lang w:bidi="fa-IR"/>
        </w:rPr>
        <w:t>ونقله العاملی عن العلّامة فی نهایة المرام</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والرأی الأخیر جاء بالتّفصیل؛ بأنّ الأمور الثّلاثة منزلة علی الحالتین، ظهور أمارات النّشوز وتحقّقه بالفعل، حیث جعلوا الوعظ والهجر معلقین علی ظهور أماراته والضّرب مشروطاً بحصوله بالفعل، ومع ذلک لم یشرطوا فی جواز الضّرب مع تحقّق النّشوز تقدیم الوعظ ولا الهجر، بل جوّزوا الضّرب بأوّل مرّة، وجعلوا الهجر فی الأوّل مشروطاً بعدم نجع الوعظ،</w:t>
      </w:r>
      <w:r>
        <w:rPr>
          <w:rStyle w:val="FootnoteAnchor"/>
          <w:rtl w:val="true"/>
        </w:rPr>
        <w:footnoteReference w:id="156"/>
      </w:r>
      <w:r>
        <w:rPr>
          <w:rFonts w:ascii="IRNazanin" w:hAnsi="IRNazanin" w:eastAsia="IRNazanin"/>
          <w:color w:val="111111"/>
          <w:sz w:val="28"/>
          <w:sz w:val="28"/>
          <w:szCs w:val="28"/>
          <w:rtl w:val="true"/>
          <w:lang w:bidi="fa-IR"/>
        </w:rPr>
        <w:t>وهذا موافق لرأی الشّیخ فی المبسوط</w:t>
      </w:r>
      <w:r>
        <w:rPr>
          <w:rStyle w:val="FootnoteAnchor"/>
          <w:rtl w:val="true"/>
        </w:rPr>
        <w:footnoteReference w:id="157"/>
      </w:r>
      <w:r>
        <w:rPr>
          <w:rFonts w:ascii="IRNazanin" w:hAnsi="IRNazanin" w:eastAsia="IRNazanin"/>
          <w:color w:val="111111"/>
          <w:sz w:val="28"/>
          <w:sz w:val="28"/>
          <w:szCs w:val="28"/>
          <w:rtl w:val="true"/>
          <w:lang w:bidi="fa-IR"/>
        </w:rPr>
        <w:t>وریاض المسائل</w:t>
      </w:r>
      <w:r>
        <w:rPr>
          <w:rStyle w:val="FootnoteAnchor"/>
          <w:rtl w:val="true"/>
        </w:rPr>
        <w:footnoteReference w:id="158"/>
      </w:r>
      <w:r>
        <w:rPr>
          <w:rFonts w:ascii="Amiri" w:hAnsi="Amiri" w:eastAsia="Amiri" w:cs="Amiri"/>
          <w:color w:val="111111"/>
          <w:sz w:val="28"/>
          <w:sz w:val="28"/>
          <w:szCs w:val="28"/>
          <w:rtl w:val="true"/>
          <w:lang w:bidi="ar-SA"/>
        </w:rPr>
        <w:t>والمحقّق فی الشّرائع</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وأمّا الشّهید فی المسالک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متی احتمل انزجارها بالوعظ لا ینتقل إلی الهجر، وإن لم یجوّزه جاز الهجر، ولا یجوز الضّرب إلّا مع العلم إنّها لا تنزجر بهما، ومعه یجوز الضّرب ولو فی الابتداء، کمراتب النّهی؛ وذلک حیث تتحقّق المعصیة وبدونه یقتصر علی الموعظة</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وکیف کان فعلی الزّوج أن یخاف الله فی استعمال الحقوق الّتی أباحها له الشّرع، فلا یتجاوز ولا یفرط فی الهجر والضّرب والاستعلاء علی زوجته بقوّته وقدرته الّتی فضّله الله بها ولو شاء لنزعها منه؛ فالله مطّلع علی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 هذا المجال غالباً ما یخطر سؤال فی الذّهن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سمح الإسلام للرّجال بأن یتوسلوا بأسلوب التّنبیه الجسدی المتمثّل بالضّرب؟</w:t>
      </w:r>
    </w:p>
    <w:p>
      <w:pPr>
        <w:pStyle w:val="BookText"/>
        <w:rPr/>
      </w:pPr>
      <w:r>
        <w:rPr>
          <w:rFonts w:ascii="IRNazanin" w:hAnsi="IRNazanin" w:eastAsia="IRNazanin"/>
          <w:color w:val="111111"/>
          <w:sz w:val="28"/>
          <w:sz w:val="28"/>
          <w:szCs w:val="28"/>
          <w:rtl w:val="true"/>
          <w:lang w:bidi="fa-IR"/>
        </w:rPr>
        <w:t>والجواب کما ذکره صاحب الأمثل یتلخص بعدّه نقاط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الآیة تسمح بممارسة التّنبیه الجسدی فی حقّ من لا یحترم وظائفه وواجباته، الّذی لا تنفع معه أی وسیلة أُخری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التّنبیه الجسدی المسموح به هنا یجب أن یکون خفیفاً، وأن یکون الضّرب ضرباً غیر مبرح، أی لا یبلغ الکسر والجرح، بل ولا الضّرب البالغ حدّ السّواد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علماء التّحلیل النّفسی یرون أن بعض النّساء یعانین من حالة نفسیّة تقتضی ارتیاح المرأة لضربها، وأنّ هذه الحالة قد تشتد فی المرأة إلی درجة تحس باللذة والسّکون والرّضا إذا ضربت ضرباً طفیفاً</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هذا تمام ما قیل حول أحکام النّشوز للزّوجة، لکن هناک تبقی مسألة متّفق علیها من قبل الفقهاء والحقوقیین، وهی عدم استحقاق المرأة النّاشزة للنفقة، وقد ذکرت عند جمیع الفقهاء، کما رتّب القانون علی النّشوز بمعناه وقف نفقة الزّوجة من تاریخ الامتناع عن طاعته زوجها، وقد نصّت المادة رقم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بقانون رقم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لسنة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للمحکمة العربیة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امتنعت الزّوجة عن طاعة الزّوج دون حقّ، توقف نفقة الزّوجیّة من تاریخ الامتناع، وتعتبر ممتنعة دون حقّ، إذا لم تعد منزل الزّوجیّة بعد دعوة الزّوج إیاها بإعلان علی ید محضر لشخصها أو من ینوب عنها، وعلیه أن یبیّن فی الإعلان المسکن</w:t>
      </w:r>
      <w:r>
        <w:rPr>
          <w:rFonts w:eastAsia="IRNazanin" w:cs="IRNazanin"/>
          <w:color w:val="111111"/>
          <w:sz w:val="28"/>
          <w:szCs w:val="28"/>
          <w:rtl w:val="true"/>
          <w:lang w:bidi="fa-IR"/>
        </w:rPr>
        <w:t>.</w:t>
      </w:r>
      <w:r>
        <w:rPr>
          <w:rStyle w:val="FootnoteAnchor"/>
          <w:rtl w:val="true"/>
        </w:rPr>
        <w:footnoteReference w:id="162"/>
      </w:r>
      <w:bookmarkStart w:id="126" w:name="pg5194_44689"/>
    </w:p>
    <w:p>
      <w:pPr>
        <w:pStyle w:val="Heading2"/>
        <w:numPr>
          <w:ilvl w:val="1"/>
          <w:numId w:val="1"/>
        </w:numPr>
        <w:rPr/>
      </w:pPr>
      <w:bookmarkStart w:id="127" w:name="__RefHeading___Toc37426_581953129"/>
      <w:bookmarkStart w:id="128" w:name="_Toc48"/>
      <w:bookmarkEnd w:id="126"/>
      <w:bookmarkEnd w:id="127"/>
      <w:r>
        <w:rPr>
          <w:rtl w:val="true"/>
        </w:rPr>
        <w:t>الفصل الثالث</w:t>
      </w:r>
      <w:r>
        <w:rPr>
          <w:rtl w:val="true"/>
        </w:rPr>
        <w:t xml:space="preserve">: </w:t>
      </w:r>
      <w:r>
        <w:rPr>
          <w:rtl w:val="true"/>
        </w:rPr>
        <w:t>نشوز الزّوج</w:t>
      </w:r>
      <w:bookmarkEnd w:id="128"/>
    </w:p>
    <w:p>
      <w:pPr>
        <w:pStyle w:val="Heading3"/>
        <w:numPr>
          <w:ilvl w:val="2"/>
          <w:numId w:val="1"/>
        </w:numPr>
        <w:rPr/>
      </w:pPr>
      <w:bookmarkStart w:id="129" w:name="__RefHeading___Toc37428_581953129"/>
      <w:bookmarkStart w:id="130" w:name="_Toc49"/>
      <w:bookmarkEnd w:id="129"/>
      <w:r>
        <w:rPr>
          <w:rtl w:val="true"/>
        </w:rPr>
        <w:t>اشارة</w:t>
      </w:r>
      <w:bookmarkEnd w:id="1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الزوجة علی الزّوج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کیف یتحقّق النّشوز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نشوز الزّوج علی العائلة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أحکام نشوز الزّوج</w:t>
      </w:r>
      <w:r>
        <w:rPr>
          <w:rFonts w:eastAsia="IRNazanin" w:cs="IRNazanin"/>
          <w:color w:val="111111"/>
          <w:sz w:val="28"/>
          <w:szCs w:val="28"/>
          <w:rtl w:val="true"/>
          <w:lang w:bidi="fa-IR"/>
        </w:rPr>
        <w:t>.</w:t>
      </w:r>
      <w:bookmarkStart w:id="131" w:name="pg5194_44691"/>
    </w:p>
    <w:p>
      <w:pPr>
        <w:pStyle w:val="Heading3"/>
        <w:numPr>
          <w:ilvl w:val="2"/>
          <w:numId w:val="1"/>
        </w:numPr>
        <w:rPr/>
      </w:pPr>
      <w:bookmarkStart w:id="132" w:name="__RefHeading___Toc37430_581953129"/>
      <w:bookmarkStart w:id="133" w:name="_Toc50"/>
      <w:bookmarkEnd w:id="131"/>
      <w:bookmarkEnd w:id="132"/>
      <w:r>
        <w:rPr>
          <w:rtl w:val="true"/>
        </w:rPr>
        <w:t>التمهید</w:t>
      </w:r>
      <w:bookmarkEnd w:id="133"/>
    </w:p>
    <w:p>
      <w:pPr>
        <w:pStyle w:val="BookText"/>
        <w:rPr/>
      </w:pPr>
      <w:r>
        <w:rPr>
          <w:rFonts w:ascii="IRNazanin" w:hAnsi="IRNazanin" w:eastAsia="IRNazanin"/>
          <w:color w:val="111111"/>
          <w:sz w:val="28"/>
          <w:sz w:val="28"/>
          <w:szCs w:val="28"/>
          <w:rtl w:val="true"/>
          <w:lang w:bidi="fa-IR"/>
        </w:rPr>
        <w:t>لمّا وضع قانون المساواة الإلهی للزّوج اتّجاه زوجته حقوقاً یؤدی التّخلف عنها نشوز الزّوجة، کذلک وضع للزّوجة اتّجاه زوجها حقوقاً معینة فی المجال المادی والمعنوی، فلو أبدی الزّوج أیّ قصور وإهمال فی هذا الشّأن یجعله ناشزاً؛ ممّا یترتب علی نشوزه آثاراً وأضراراً، سواء بالمرأة أم الأطفال والمجتمع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أنّ الشّریعة لم تقف مکتوفة الأیدی فی قبال المرأة النّاشزة، کذلک للرّجل النّاشز</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هذا الفصل سوف نشیر إلی أهمّ حقوق الزّوجة المطروحة من قبل التّشریع، حیث عند التّقصیر بها یکون الرّجل ناشزاً، ثمّ نشیر إلی أهمّ الآثار والأحکام المترتبة علی نشوز الزّوج</w:t>
      </w:r>
      <w:r>
        <w:rPr>
          <w:rFonts w:eastAsia="IRNazanin" w:cs="IRNazanin"/>
          <w:color w:val="111111"/>
          <w:sz w:val="28"/>
          <w:szCs w:val="28"/>
          <w:rtl w:val="true"/>
          <w:lang w:bidi="fa-IR"/>
        </w:rPr>
        <w:t>.</w:t>
      </w:r>
      <w:bookmarkStart w:id="134" w:name="pg5194_44693"/>
    </w:p>
    <w:p>
      <w:pPr>
        <w:pStyle w:val="Heading3"/>
        <w:numPr>
          <w:ilvl w:val="2"/>
          <w:numId w:val="1"/>
        </w:numPr>
        <w:rPr/>
      </w:pPr>
      <w:bookmarkStart w:id="135" w:name="__RefHeading___Toc37432_581953129"/>
      <w:bookmarkStart w:id="136" w:name="_Toc51"/>
      <w:bookmarkEnd w:id="134"/>
      <w:bookmarkEnd w:id="135"/>
      <w:r>
        <w:rPr>
          <w:rtl w:val="true"/>
        </w:rPr>
        <w:t>المبحث الأوّل</w:t>
      </w:r>
      <w:bookmarkEnd w:id="136"/>
    </w:p>
    <w:p>
      <w:pPr>
        <w:pStyle w:val="Heading4"/>
        <w:numPr>
          <w:ilvl w:val="3"/>
          <w:numId w:val="1"/>
        </w:numPr>
        <w:rPr/>
      </w:pPr>
      <w:bookmarkStart w:id="137" w:name="__RefHeading___Toc37434_581953129"/>
      <w:bookmarkStart w:id="138" w:name="_Toc52"/>
      <w:bookmarkEnd w:id="137"/>
      <w:r>
        <w:rPr>
          <w:rtl w:val="true"/>
        </w:rPr>
        <w:t>حقوق الزّوجة علی الزّوج</w:t>
      </w:r>
      <w:bookmarkEnd w:id="138"/>
    </w:p>
    <w:p>
      <w:pPr>
        <w:pStyle w:val="BookText"/>
        <w:rPr/>
      </w:pPr>
      <w:r>
        <w:rPr>
          <w:rFonts w:ascii="IRNazanin" w:hAnsi="IRNazanin" w:eastAsia="IRNazanin"/>
          <w:color w:val="111111"/>
          <w:sz w:val="28"/>
          <w:sz w:val="28"/>
          <w:szCs w:val="28"/>
          <w:rtl w:val="true"/>
          <w:lang w:bidi="fa-IR"/>
        </w:rPr>
        <w:t>وضعت الشّریعة الإسلامیّة حقوقاً للزّوجة اتّجاه الزّوج ضامنة لها الحیاة الکریمة من غیر التّعرض لأیّ ظلم أو غبن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السنّة الشّریفة اهتمّت أیضاً بقضیة المرأة وحقوقها، کقول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زال جبرئیل یوصینی بالمرأة، حتّی ظننت أنّه لا ینبغی طلاقها إلّا من فاحشة مبیّنة</w:t>
      </w:r>
      <w:r>
        <w:rPr>
          <w:rFonts w:eastAsia="IRNazanin" w:cs="IRNazanin"/>
          <w:color w:val="111111"/>
          <w:sz w:val="28"/>
          <w:szCs w:val="28"/>
          <w:rtl w:val="true"/>
          <w:lang w:bidi="fa-IR"/>
        </w:rPr>
        <w:t>».</w:t>
      </w:r>
      <w:r>
        <w:rPr>
          <w:rStyle w:val="FootnoteAnchor"/>
          <w:rtl w:val="true"/>
        </w:rPr>
        <w:footnoteReference w:id="16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کان الرّجل قیّماً علی المرأة بحکم الشّرع، فقد أمره الله تعالی علی أداء حقوق زوجته المادیّة والمعنویّة، وهذه الحقوق هی‌کالتّالی</w:t>
      </w:r>
      <w:r>
        <w:rPr>
          <w:rFonts w:eastAsia="IRNazanin" w:cs="IRNazanin"/>
          <w:color w:val="111111"/>
          <w:sz w:val="28"/>
          <w:szCs w:val="28"/>
          <w:rtl w:val="true"/>
          <w:lang w:bidi="fa-IR"/>
        </w:rPr>
        <w:t>:</w:t>
      </w:r>
      <w:bookmarkStart w:id="139" w:name="pg5194_44694"/>
    </w:p>
    <w:p>
      <w:pPr>
        <w:pStyle w:val="Heading4"/>
        <w:numPr>
          <w:ilvl w:val="3"/>
          <w:numId w:val="1"/>
        </w:numPr>
        <w:rPr/>
      </w:pPr>
      <w:bookmarkStart w:id="140" w:name="__RefHeading___Toc37436_581953129"/>
      <w:bookmarkStart w:id="141" w:name="_Toc53"/>
      <w:bookmarkEnd w:id="139"/>
      <w:bookmarkEnd w:id="140"/>
      <w:r>
        <w:rPr>
          <w:rtl w:val="true"/>
        </w:rPr>
        <w:t>الجانب المادّی من حقوق الزّوجة</w:t>
      </w:r>
      <w:bookmarkEnd w:id="141"/>
    </w:p>
    <w:p>
      <w:pPr>
        <w:pStyle w:val="Heading5"/>
        <w:numPr>
          <w:ilvl w:val="4"/>
          <w:numId w:val="1"/>
        </w:numPr>
        <w:rPr/>
      </w:pPr>
      <w:bookmarkStart w:id="142" w:name="__RefHeading___Toc37438_581953129"/>
      <w:bookmarkStart w:id="143" w:name="_Toc54"/>
      <w:bookmarkEnd w:id="142"/>
      <w:r>
        <w:rPr/>
        <w:t>1</w:t>
      </w:r>
      <w:r>
        <w:rPr>
          <w:rtl w:val="true"/>
        </w:rPr>
        <w:t xml:space="preserve">. </w:t>
      </w:r>
      <w:r>
        <w:rPr>
          <w:rtl w:val="true"/>
        </w:rPr>
        <w:t>حقّ النّفقة</w:t>
      </w:r>
      <w:bookmarkEnd w:id="143"/>
    </w:p>
    <w:p>
      <w:pPr>
        <w:pStyle w:val="BookText"/>
        <w:rPr/>
      </w:pPr>
      <w:r>
        <w:rPr>
          <w:rFonts w:ascii="IRNazanin" w:hAnsi="IRNazanin" w:eastAsia="IRNazanin"/>
          <w:color w:val="111111"/>
          <w:sz w:val="28"/>
          <w:sz w:val="28"/>
          <w:szCs w:val="28"/>
          <w:rtl w:val="true"/>
          <w:lang w:bidi="fa-IR"/>
        </w:rPr>
        <w:t>عرّفت النّفقة لغةً بالمال الّذی یدفعه الإنسان لمن یعوله</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وفی اصطلاح الشّرع الإدرار علی الشّیء بما به بقاؤه،</w:t>
      </w:r>
      <w:r>
        <w:rPr>
          <w:rStyle w:val="FootnoteAnchor"/>
          <w:rtl w:val="true"/>
        </w:rPr>
        <w:footnoteReference w:id="165"/>
      </w:r>
      <w:r>
        <w:rPr>
          <w:rFonts w:ascii="IRNazanin" w:hAnsi="IRNazanin" w:eastAsia="IRNazanin"/>
          <w:color w:val="111111"/>
          <w:sz w:val="28"/>
          <w:sz w:val="28"/>
          <w:szCs w:val="28"/>
          <w:rtl w:val="true"/>
          <w:lang w:bidi="fa-IR"/>
        </w:rPr>
        <w:t>وهو تعریف شامل لجمیع النّفقات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أشکل علی هذا التّعریف بأنّ النّفقة لا تقتصر علی ما به البقاء، حیث إنّ هذا المقدار هو النّفقة لرفع الضّرورة ودفع الهلاک، وأمّا النّفقة فی 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المبنیة علی موازین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ما به البقاء والنّماء</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أمّا نفقة الزّوجة فقد عرّفها الشّیخ عارف البصری بأنّها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مالیٌ واجب علی الزّوج للزّوجة بما هی زوجة وفق شروط معینة بمستوی الکفایة عرفاً</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إذن من الحقوق الواجبة علی الزّوج لزوجته حقّ النّفقة، فالزّوج هو المتکفل بالانفاق علی زوجته بالقدر المتعارف علیه بین النّاس من غیر إفراط ولا 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فی قبال ما فرضه الله تعالی علی الزّوجة من الإطاعة الکاملة لزوجها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استدل علی وجوب النّفقة بایآت متعدّدة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ما فَرَضْنا عَلَیْهِمْ فِی أَزْواجِهِمْ وَ ما مَلَکَتْ أَیْمانُهُمْ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الحقوق الّتی لهن علی الأزواج من الکسوة والنّفقة والمهر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بهذه الآیة الشّیخ فی المبسوط</w:t>
      </w:r>
      <w:r>
        <w:rPr>
          <w:rStyle w:val="FootnoteAnchor"/>
          <w:rtl w:val="true"/>
        </w:rPr>
        <w:footnoteReference w:id="168"/>
      </w:r>
      <w:r>
        <w:rPr>
          <w:rFonts w:ascii="IRNazanin" w:hAnsi="IRNazanin" w:eastAsia="IRNazanin"/>
          <w:color w:val="111111"/>
          <w:sz w:val="28"/>
          <w:sz w:val="28"/>
          <w:szCs w:val="28"/>
          <w:rtl w:val="true"/>
          <w:lang w:bidi="fa-IR"/>
        </w:rPr>
        <w:t>وکذا القاضی ابن البراج،</w:t>
      </w:r>
      <w:r>
        <w:rPr>
          <w:rStyle w:val="FootnoteAnchor"/>
          <w:rtl w:val="true"/>
        </w:rPr>
        <w:footnoteReference w:id="169"/>
      </w:r>
      <w:r>
        <w:rPr>
          <w:rFonts w:ascii="IRNazanin" w:hAnsi="IRNazanin" w:eastAsia="IRNazanin"/>
          <w:color w:val="111111"/>
          <w:sz w:val="28"/>
          <w:sz w:val="28"/>
          <w:szCs w:val="28"/>
          <w:rtl w:val="true"/>
          <w:lang w:bidi="fa-IR"/>
        </w:rPr>
        <w:t>کما ذکرت فی المغنی</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لِیُنْفِقْ ذُو سَعَةٍ مِنْ سَعَتِهِ وَ مَنْ قُدِرَ عَلَیْهِ رِزْقُهُ فَلْیُنْفِقْ مِمّا آتاهُ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ووجه الاستدلال مبنی علی إرادة الزّوجات، وهو یدلّ علی وجوب الانفاق علیهن واستدل بهذه الآیة صاحب الریّاض</w:t>
      </w:r>
      <w:r>
        <w:rPr>
          <w:rStyle w:val="FootnoteAnchor"/>
          <w:rtl w:val="true"/>
        </w:rPr>
        <w:footnoteReference w:id="171"/>
      </w:r>
      <w:r>
        <w:rPr>
          <w:rFonts w:ascii="IRNazanin" w:hAnsi="IRNazanin" w:eastAsia="IRNazanin"/>
          <w:color w:val="111111"/>
          <w:sz w:val="28"/>
          <w:sz w:val="28"/>
          <w:szCs w:val="28"/>
          <w:rtl w:val="true"/>
          <w:lang w:bidi="fa-IR"/>
        </w:rPr>
        <w:t>والجواهر</w:t>
      </w:r>
      <w:r>
        <w:rPr>
          <w:rStyle w:val="FootnoteAnchor"/>
          <w:rtl w:val="true"/>
        </w:rPr>
        <w:footnoteReference w:id="172"/>
      </w:r>
      <w:r>
        <w:rPr>
          <w:rFonts w:ascii="IRNazanin" w:hAnsi="IRNazanin" w:eastAsia="IRNazanin"/>
          <w:color w:val="111111"/>
          <w:sz w:val="28"/>
          <w:sz w:val="28"/>
          <w:szCs w:val="28"/>
          <w:rtl w:val="true"/>
          <w:lang w:bidi="fa-IR"/>
        </w:rPr>
        <w:t>والمغنی لابن قدامة،</w:t>
      </w:r>
      <w:r>
        <w:rPr>
          <w:rStyle w:val="FootnoteAnchor"/>
          <w:rtl w:val="true"/>
        </w:rPr>
        <w:footnoteReference w:id="173"/>
      </w:r>
      <w:r>
        <w:rPr>
          <w:rFonts w:ascii="IRNazanin" w:hAnsi="IRNazanin" w:eastAsia="IRNazanin"/>
          <w:color w:val="111111"/>
          <w:sz w:val="28"/>
          <w:sz w:val="28"/>
          <w:szCs w:val="28"/>
          <w:rtl w:val="true"/>
          <w:lang w:bidi="fa-IR"/>
        </w:rPr>
        <w:t>کما ذکره الشّهید فی المسالک</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عَلَی النِّساءِ بِما فَضَّلَ اللّهُ بَعْضَهُمْ عَلی بَعْضٍ وَ بِما أَنْفَقُوا مِنْ أَمْوالِهِمْ</w:t>
      </w:r>
      <w:r>
        <w:rPr>
          <w:rFonts w:eastAsia="Amiri" w:cs="Amiri" w:ascii="Amiri" w:hAnsi="Amiri"/>
          <w:color w:val="111111"/>
          <w:sz w:val="28"/>
          <w:szCs w:val="28"/>
          <w:rtl w:val="true"/>
          <w:lang w:bidi="ar-SA"/>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وتقریب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جعل القیمومة للرّجال علی النّساء؛ لمکان انفاقهم علیهن؛ وذلک یدلّ علی وجوب النّفقة علی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الشّیخ فی المبسوط</w:t>
      </w:r>
      <w:r>
        <w:rPr>
          <w:rStyle w:val="FootnoteAnchor"/>
          <w:rtl w:val="true"/>
        </w:rPr>
        <w:footnoteReference w:id="175"/>
      </w:r>
      <w:r>
        <w:rPr>
          <w:rFonts w:ascii="IRNazanin" w:hAnsi="IRNazanin" w:eastAsia="IRNazanin"/>
          <w:color w:val="111111"/>
          <w:sz w:val="28"/>
          <w:sz w:val="28"/>
          <w:szCs w:val="28"/>
          <w:rtl w:val="true"/>
          <w:lang w:bidi="fa-IR"/>
        </w:rPr>
        <w:t>والقاضی ابن البراج</w:t>
      </w:r>
      <w:r>
        <w:rPr>
          <w:rStyle w:val="FootnoteAnchor"/>
          <w:rtl w:val="true"/>
        </w:rPr>
        <w:footnoteReference w:id="176"/>
      </w:r>
      <w:r>
        <w:rPr>
          <w:rFonts w:ascii="IRNazanin" w:hAnsi="IRNazanin" w:eastAsia="IRNazanin"/>
          <w:color w:val="111111"/>
          <w:sz w:val="28"/>
          <w:sz w:val="28"/>
          <w:szCs w:val="28"/>
          <w:rtl w:val="true"/>
          <w:lang w:bidi="fa-IR"/>
        </w:rPr>
        <w:t>وصاحب الجواهر</w:t>
      </w:r>
      <w:r>
        <w:rPr>
          <w:rStyle w:val="FootnoteAnchor"/>
          <w:rtl w:val="true"/>
        </w:rPr>
        <w:footnoteReference w:id="177"/>
      </w:r>
      <w:r>
        <w:rPr>
          <w:rFonts w:ascii="IRNazanin" w:hAnsi="IRNazanin" w:eastAsia="IRNazanin"/>
          <w:color w:val="111111"/>
          <w:sz w:val="28"/>
          <w:sz w:val="28"/>
          <w:szCs w:val="28"/>
          <w:rtl w:val="true"/>
          <w:lang w:bidi="fa-IR"/>
        </w:rPr>
        <w:t>بهذه الآیة علی وجوب الانفاق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عاشِرُوهُنَّ بِالْمَعْرُوفِ</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هذه الآیة فی صدد تنظیم وتحدید العلاقات الزّوجیّة، فکان من جملة ما أوجبت علی الرّجال أن یعاشروهن بالمعروف، ولمّا کان الانفاق علی الزّوجة داخلاً فی الأمر بالمعاشرة بالمعروف، بل هو من أظهر مصادیقه، فیمکن أن تعتبر هذه الآیة من أقوی الأدلّة علی وجوب النّفقة للزّوجة علی زوجها، هذا ما جاء به الشّیخ عارف البصری فی حقّ هذه الآیة</w:t>
      </w:r>
      <w:r>
        <w:rPr>
          <w:rFonts w:eastAsia="IRNazanin" w:cs="IRNazanin"/>
          <w:color w:val="111111"/>
          <w:sz w:val="28"/>
          <w:szCs w:val="28"/>
          <w:rtl w:val="true"/>
          <w:lang w:bidi="fa-IR"/>
        </w:rPr>
        <w:t>.</w:t>
      </w:r>
      <w:r>
        <w:rPr>
          <w:rStyle w:val="FootnoteAnchor"/>
          <w:rtl w:val="true"/>
        </w:rPr>
        <w:footnoteReference w:id="17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الشّیخ استدل علی وجوب النّفقة بهذه الآیة منضمة إلی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لَهُنَّ مِثْلُ الَّذِی عَلَیْهِنَّ بِالْمَعْرُوفِ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ثبتت العشرة بالآیة فعلی کلّ واحد منهما أن یکف عمّا یکرهه صاحبه من قول أو فعل، وعلی کلّ واحد منهما أن یوفی الحقوق الّتی علیه من غیر أن یحوج صاحبه إلی الاستعانة بغیره</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کما أنّ الشّیخ شمس الدّین أیضاً أشار إلی وجوب النّفقة بهذه الآیة قائلاً بأنّ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المعاشرة بالمعروف من الزّوجة لایکون إلّا بأمور،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التّمکین، ومن الزّوج لا یکون إلّا بأمور،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النفقة، والإخلال بهما لیس من المعاشرة بالمعروف</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أمّا الاستدلال بالرّوایات أیضاً تامّ فی هذا المجال، وهی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الصّادق علیه السلام عن آبائه علیهم السلام عن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امرأة جاءت إلی النبیّ صلی الله علیه و آله فسألته عن حقّ الزّوج علی المرأة؟ فخبّرها، ثمّ قالت فما حقّها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یکسوها من العری، ویطعمها من الجوع، وإذا أذنبت غفر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لها علیه شیء غیر هذا؟ قال لا</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وعن أبی بصیر المرادی،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کانت عنده امرأة فلم یکسها ما یواری عورتها، ویطعمها ما یقیم صلبها، کان حقّاً علی الإمام أن یفرّق بینهما</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لکن أکثر هذه الرّوایات تفصیلاً روایة شهاب بن عبد ربّه،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المرأة علی 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یسد جوعتها ویستر عورتها، ولا یقبح لها وجهاً، فإذا فعل ذلک فقد والله أدّی إلیها حقّها</w:t>
      </w:r>
      <w:r>
        <w:rPr>
          <w:rFonts w:eastAsia="IRNazanin" w:cs="IRNazanin"/>
          <w:color w:val="111111"/>
          <w:sz w:val="28"/>
          <w:szCs w:val="28"/>
          <w:rtl w:val="true"/>
          <w:lang w:bidi="fa-IR"/>
        </w:rPr>
        <w:t>...».</w:t>
      </w:r>
      <w:r>
        <w:rPr>
          <w:rStyle w:val="FootnoteAnchor"/>
          <w:rtl w:val="true"/>
        </w:rPr>
        <w:footnoteReference w:id="18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بیّن صاحب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الضّابطة فی مقدار النّفقة،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القیام بما تحتاج إلیه المرأة من طعام وإدام وکسوة وإسکان وإخدام وآلة الأدهان، کلّ ذلک تبعاً لعادة أمثالها من أهل البلد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ومثله الشّهید الثّانی فی المسالک،</w:t>
      </w:r>
      <w:r>
        <w:rPr>
          <w:rStyle w:val="FootnoteAnchor"/>
          <w:rtl w:val="true"/>
        </w:rPr>
        <w:footnoteReference w:id="185"/>
      </w:r>
      <w:r>
        <w:rPr>
          <w:rFonts w:ascii="IRNazanin" w:hAnsi="IRNazanin" w:eastAsia="IRNazanin"/>
          <w:color w:val="111111"/>
          <w:sz w:val="28"/>
          <w:sz w:val="28"/>
          <w:szCs w:val="28"/>
          <w:rtl w:val="true"/>
          <w:lang w:bidi="fa-IR"/>
        </w:rPr>
        <w:t>بل وأغلب الفقهاء، علی أنّ المقیاس الشّرعی لمقدار النّفقة هو العرف الاجتماعی الّذی یعیش فیه الزّوجان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وعلّق الشّیخ شمس الدّین علی ما ذکره الفقهاء من تحدیدات النّفقة للزّوجة بأنّها لیس تحدیدات شرعیّة؛ لأنّ الرّوایة من هذه الجهة لیست دلیلاً شرعیّاً، بل وثیقة تأریخیّة تصوّر مستوی وطبیعة الحیاة المعیشیّة للأسرة المسلمة المتوسطة فی الحدّ الأدنی من مستوی المعیشة، ولا وجه لاعتبارها معاییر عامّة ومطلقة فی الزّمان والمکان والأحوال، بل هی تحدیدات عرفیّة فلابدّ من مراعاة العرف بحسب الأعراف والتّقالید الاجتماعیّة الغیر منافیة للشرع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یدخل فی النّفقة بحسب عرفنا وزماننا إضافة إلی الطعام والأدام والکسوة والفراش وآلة الطّبخ والتّنظیف والسّکن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یتصل بالاعتبار والاحترام الاجتماعی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 إنّ السّبب الموجب للنّفقة علی الزّوج هو مجموع عقد الزّوجیّة وتمکین الزّوجة من نفسها، علی أنّ أصل الوجوب یحصل بالعقد الدّائم، فتکون الزّوجة موضوعاً للنّفقة بنحو الشّأنیة والاقتضاء، وبالتّمکین یکون الوجوب فعلیاً ومنجزاً</w:t>
      </w:r>
      <w:r>
        <w:rPr>
          <w:rFonts w:eastAsia="IRNazanin" w:cs="IRNazanin"/>
          <w:color w:val="111111"/>
          <w:sz w:val="28"/>
          <w:szCs w:val="28"/>
          <w:rtl w:val="true"/>
          <w:lang w:bidi="fa-IR"/>
        </w:rPr>
        <w:t>.</w:t>
      </w:r>
      <w:r>
        <w:rPr>
          <w:rStyle w:val="FootnoteAnchor"/>
          <w:rtl w:val="true"/>
        </w:rPr>
        <w:footnoteReference w:id="186"/>
      </w:r>
      <w:bookmarkStart w:id="144" w:name="pg5194_44699"/>
    </w:p>
    <w:p>
      <w:pPr>
        <w:pStyle w:val="BookText"/>
        <w:rPr/>
      </w:pPr>
      <w:bookmarkEnd w:id="144"/>
      <w:r>
        <w:rPr>
          <w:rFonts w:ascii="IRNazanin" w:hAnsi="IRNazanin" w:eastAsia="IRNazanin"/>
          <w:color w:val="111111"/>
          <w:sz w:val="28"/>
          <w:sz w:val="28"/>
          <w:szCs w:val="28"/>
          <w:rtl w:val="true"/>
          <w:lang w:bidi="fa-IR"/>
        </w:rPr>
        <w:t>وأمّا المعیار من حیث الاعسار والیسار فی وجوب الانفاق بالمعروف، هو اعتبار کلا الطّرفین من الزّوج والزّوجة بما یناسب مستواهما، ومع اختلافهما یراعی الأحسن حالاً منهما حال الأضعف، ویبذل الأضعف أقصی ما یستطیعه؛ لأنّ هذا هو مقتضی المعاشرة بالمعروف</w:t>
      </w:r>
      <w:r>
        <w:rPr>
          <w:rFonts w:eastAsia="IRNazanin" w:cs="IRNazanin"/>
          <w:color w:val="111111"/>
          <w:sz w:val="28"/>
          <w:szCs w:val="28"/>
          <w:rtl w:val="true"/>
          <w:lang w:bidi="fa-IR"/>
        </w:rPr>
        <w:t>.</w:t>
      </w:r>
      <w:r>
        <w:rPr>
          <w:rStyle w:val="FootnoteAnchor"/>
          <w:rtl w:val="true"/>
        </w:rPr>
        <w:footnoteReference w:id="187"/>
      </w:r>
    </w:p>
    <w:p>
      <w:pPr>
        <w:pStyle w:val="Heading5"/>
        <w:numPr>
          <w:ilvl w:val="4"/>
          <w:numId w:val="1"/>
        </w:numPr>
        <w:rPr/>
      </w:pPr>
      <w:bookmarkStart w:id="145" w:name="__RefHeading___Toc37440_581953129"/>
      <w:bookmarkStart w:id="146" w:name="_Toc55"/>
      <w:bookmarkEnd w:id="145"/>
      <w:r>
        <w:rPr/>
        <w:t>2</w:t>
      </w:r>
      <w:r>
        <w:rPr>
          <w:rtl w:val="true"/>
        </w:rPr>
        <w:t xml:space="preserve">. </w:t>
      </w:r>
      <w:r>
        <w:rPr>
          <w:rtl w:val="true"/>
        </w:rPr>
        <w:t>حقّ المهر</w:t>
      </w:r>
      <w:bookmarkEnd w:id="146"/>
    </w:p>
    <w:p>
      <w:pPr>
        <w:pStyle w:val="BookText"/>
        <w:rPr/>
      </w:pPr>
      <w:r>
        <w:rPr>
          <w:rFonts w:ascii="Amiri" w:hAnsi="Amiri" w:eastAsia="Amiri" w:cs="Amiri"/>
          <w:color w:val="111111"/>
          <w:sz w:val="28"/>
          <w:sz w:val="28"/>
          <w:szCs w:val="28"/>
          <w:rtl w:val="true"/>
          <w:lang w:bidi="ar-SA"/>
        </w:rPr>
        <w:t>ومن جملة حقوق الزّوجة علی الزّوج، هو المهر، أو قُل الصّداق، کما جاء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النِّساءَ صَدُقاتِهِنَّ نِحْلَةً</w:t>
      </w:r>
      <w:r>
        <w:rPr>
          <w:rFonts w:eastAsia="Amiri" w:cs="Amiri" w:ascii="Amiri" w:hAnsi="Amiri"/>
          <w:color w:val="111111"/>
          <w:sz w:val="28"/>
          <w:szCs w:val="28"/>
          <w:rtl w:val="true"/>
          <w:lang w:bidi="ar-SA"/>
        </w:rPr>
        <w:t>...)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وفی هذه الآیة یتابع القرآن حدیثه عن العلاقة الزّوجیّة فی خط العدل فی بعض الالتزامات المالیّة اللازمة علی الرّجل؛ لیؤکد الحقیقة الإیمانیّة الّتی توجه الإنسان إلی اعتبار هذه العلاقة مسؤولیّة شرعیّة قانونیّة هدفها الحصول علی رضا الله؛ لئلا یخیّل للرّجل أنّ موقعه داخل هذه العلاقة یبرز له التّصرف دون تحمل المسؤولیّة لیرجع إلی الإحساس بإنسانیّة العلاقة الّتی تجعل لأی من الطّرفین حقّاً لا یملک الآخر أن یعتدی علیه، سواء کان الحقّ مالاً، أو غیره إلّا إذا تنازل عنه بطیب نفسه کان للآخر ان یتصرف فیه بما یشاء</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الصّدقة بضم الدّال وفتحها، والصّداق هو المهر، والنّحلة هی العطیّة، ذکره العلّامة وأضاف أنّ إضافة الصّدقات إلی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w:t>
      </w:r>
    </w:p>
    <w:p>
      <w:pPr>
        <w:pStyle w:val="BookText"/>
        <w:rPr/>
      </w:pPr>
      <w:r>
        <w:rPr>
          <w:rFonts w:ascii="IRNazanin" w:hAnsi="IRNazanin" w:eastAsia="IRNazanin"/>
          <w:color w:val="111111"/>
          <w:sz w:val="28"/>
          <w:sz w:val="28"/>
          <w:szCs w:val="28"/>
          <w:rtl w:val="true"/>
          <w:lang w:bidi="fa-IR"/>
        </w:rPr>
        <w:t>علی أنّ الحکم بوجوب الإیتاء مبنی علی المتداول بین النّاس فی سنن الزّواج من تخصیص شیء من المال، أو أی شیء له قیمة، مهراً لهن کأنّه یقابل به البضع مقابلة الثّمن المبیع</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وأشار الرّازی إلی معنی النّحلة بأنّها إمّا عطیّة من الزّوج؛ لأنّ الزّوج لا یملک بدله شیئاً؛ لأنّ البضع فی ملک المرأة بعد النّکاح، کما هو قبله، فالزّوج أعطاها المهر ولم یأخذ منها عوضاً یملکه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النّحلة هی عطیّة من الله، بأنّ الله تعالی جعل منافع النّکاح من قضاء الشّهوة والتّوالد مشترکاً بین الزّوجین، ثمّ أمر الزّوج بأن یؤتی الزّوجة المهر، فکان ذلک عطیّة من الله ابتداءً،</w:t>
      </w:r>
      <w:r>
        <w:rPr>
          <w:rStyle w:val="FootnoteAnchor"/>
          <w:rtl w:val="true"/>
        </w:rPr>
        <w:footnoteReference w:id="190"/>
      </w:r>
      <w:r>
        <w:rPr>
          <w:rFonts w:ascii="IRNazanin" w:hAnsi="IRNazanin" w:eastAsia="IRNazanin"/>
          <w:color w:val="111111"/>
          <w:sz w:val="28"/>
          <w:sz w:val="28"/>
          <w:szCs w:val="28"/>
          <w:rtl w:val="true"/>
          <w:lang w:bidi="fa-IR"/>
        </w:rPr>
        <w:t>کما جاء مغنیة بهذا المعنی فی تفسیره</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ومثل ذلک فی الأمثل عند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آتُوا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إعطوا المهر للزّوجة کاملاً، واهتموا بذلک کما تهتمون بما علیکم من دیون فتؤدونها کاملة دون نقص، أمّا إذا أخذنا لفظة النّحلة بمعنی العطیّة والهبة، یکون تفسیر الآیة أعطوا النّساء کامل مهرهن الّذی هو عطیّة من الله لهن؛ لأجل أن یکون للنساء حقوق أکثر فی المجتمع، وینجبر بهذا الأمر ما فیهن من ضعف جسمیّ نسبیّ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یضیف إلی ذلک بأنّ صحیح المهر فی نظر القوانین الإسلامیّة یتعلق بذمة الرّجل من لحظة انعقاد الرّابطة الزّوجیّة وقیامها بین المرأة</w:t>
      </w:r>
    </w:p>
    <w:p>
      <w:pPr>
        <w:pStyle w:val="BookText"/>
        <w:rPr/>
      </w:pPr>
      <w:r>
        <w:rPr>
          <w:rFonts w:ascii="IRNazanin" w:hAnsi="IRNazanin" w:eastAsia="IRNazanin"/>
          <w:color w:val="111111"/>
          <w:sz w:val="28"/>
          <w:sz w:val="28"/>
          <w:szCs w:val="28"/>
          <w:rtl w:val="true"/>
          <w:lang w:bidi="fa-IR"/>
        </w:rPr>
        <w:t>والرّجل ویحقّ للمرأة المطالبة به فوراً، ولکن حیث إنّ الغالب هو أن یتخذ الصّداق صفة الدَّین المتعلق فی الذّمة، یکون لذلک بمثابة توفیر المرأة تستفید منه فی مستقبلها، کما یعتبر خیر دعامة لحفظ حقوقها إلی جانب أنّه یساعد علی حفظ الرّابطة الزّوجیّة من التّبعثر والتّمزق</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وفی الواقع هذه الآیة عالجت موضوع المهر، فاعطته الصّفة الّتی لا ترهق إنسانیّة الإنسان فی المرأة، فلم تعتبرها ثمناً وعوضاً کما یخیّل للبعض أن یراه کذلک، بل اعتبرته نحلة، وهی العطیّة الّتی یمنحها الإنسان للآخر من دون مقابل؛ لتکون رمزاً للمحبة والمودة</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هذا ما ورد فی التّفاسیر، وأمّا الرّوایات جاءت لتؤکّد هذا الأمر، وهی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الصّداق ما تراضیا علیه النّاس من قلیل أو کثیر، فهذا صداق</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المهر ما تراضی علیه النّاس، أو اثنتا عشرة أوقیة ونش، أو خمس مائة درهم</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الصّداق کلّ شیء تراضی علیه النّاس قلّ أو کثر، فی متعة أو تزویج غیر متعة</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کما ورد عن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امرأة أتته برجل قد تزوجها ودخل بها، وسمّی لها مهراً، وسمّی لمهرها أجلاً، فقال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أجل لک فی مهرها إذا دخلت بها، فأدّ حقّها إلیها</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ثمّ إنّ المهر کثیراً ما ورد علی لسان الفقهاء، فقد ذکر الشّهید الثّانی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من النّحلة ما هو بمعنی العطیّة المتبرع بها، لأنّه عوض البضع، بل إمّا من الانتحال، وهو التّدیّن، أو لأنّه فی حکم التّبرع من حیث تحقّق الاستمتاع للزوجین، فکان للزّوجة فی معنی النّحلة وإن کان عوضاً، أو لأنّ الصّداق کان للأولیاء فی غیر شرعنا، کما ینبّه علیه قصّة شعیب، وجعل مهر ابنته رعی غنمه، فکان جعله لهن فی شرعنا بمنزلة النّحلة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أضاف الشّهید الثّانی بأنّ المهر لیس رکناً فی النّکاح، کالمبیع والثّمن فی البیع؛ لأنّ المقصود الأظهر منه الاستمتاع ولواحقه، وأنّه یقوّم بالزّوجین، فهما الرّکن فیجوز إخلاء النّکاح عن المهر، ولکن الأحبّ تسمیته مهراً کیلا یشبه نکاح الواهبة نفسها للنبیّ</w:t>
      </w:r>
      <w:r>
        <w:rPr>
          <w:rFonts w:eastAsia="IRNazanin" w:cs="IRNazanin"/>
          <w:color w:val="111111"/>
          <w:sz w:val="28"/>
          <w:szCs w:val="28"/>
          <w:rtl w:val="true"/>
          <w:lang w:bidi="fa-IR"/>
        </w:rPr>
        <w:t>.</w:t>
      </w:r>
      <w:r>
        <w:rPr>
          <w:rStyle w:val="FootnoteAnchor"/>
          <w:rtl w:val="true"/>
        </w:rPr>
        <w:footnoteReference w:id="19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والمتتبع لکلمات الفقهاء یلاحظ أنّ أکثر أحکام الصّداق متفق علیها، فهی مشهورة وواضحة؛ إذ أنّ الصّداق ما یعطیه الزّوج لزوجته طبقاً لإستحقاقها، وکما یذکر السیّد السّبزواری هو ما یثبت علی الزّوج للزّوجة</w:t>
      </w:r>
    </w:p>
    <w:p>
      <w:pPr>
        <w:pStyle w:val="BookText"/>
        <w:rPr/>
      </w:pPr>
      <w:r>
        <w:rPr>
          <w:rFonts w:ascii="IRNazanin" w:hAnsi="IRNazanin" w:eastAsia="IRNazanin"/>
          <w:color w:val="111111"/>
          <w:sz w:val="28"/>
          <w:sz w:val="28"/>
          <w:szCs w:val="28"/>
          <w:rtl w:val="true"/>
          <w:lang w:bidi="fa-IR"/>
        </w:rPr>
        <w:t>بعقد النّکاح</w:t>
      </w:r>
      <w:r>
        <w:rPr>
          <w:rStyle w:val="FootnoteAnchor"/>
          <w:rtl w:val="true"/>
        </w:rPr>
        <w:footnoteReference w:id="199"/>
      </w:r>
      <w:r>
        <w:rPr>
          <w:rFonts w:ascii="IRNazanin" w:hAnsi="IRNazanin" w:eastAsia="IRNazanin"/>
          <w:color w:val="111111"/>
          <w:sz w:val="28"/>
          <w:sz w:val="28"/>
          <w:szCs w:val="28"/>
          <w:rtl w:val="true"/>
          <w:lang w:bidi="fa-IR"/>
        </w:rPr>
        <w:t>وقد وردت مرادفات المهر فی القرآن الکریم فی مواضع متعدّدة، تارةً بالصّداق، وأخری بالنّحلة، أو الأجر والحباء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ذکر المهر فی العقد لیس بواجب، بل مستحب، وکلّ ما یملک یصّح أن یکون مهراً، سواء کان عیناً أو منفعة، هذا ما جاء به أغلب المتقدّمین، بل المتأخرین من الفقهاء، ومنهم العلّامة الحلّی فی کتابه یشیر إلی ذلک، ثمّ أضاف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وحتّی بتعلیم صنعة، أو شیء من القرآن، أو غیر ذلک من الأعمال المحلّلة</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وقال الشّهید الصّدر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المهر لا یتعین أن یکون نقداً معجلاً، بل یمکن أن یکون دیناً فی الذّمة مؤجلاً، والمرأة تملک المهر بالعقد، فإن لم یدفعه بقی فی ذمته تأخذه من ترکته إن مات مقدماً علی المیراث، کما هو الحال فی کلّ الدّیون، وإن أصبح زوجها مفلساً ضربت مع الغرماء بنسبة مهرها کأی دین آخر</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والواقع أنّ المهر هو رمز لعلاقة الزّوج بالزّوجة ولیس مجرد مال یدفع فی مقابل ما تبذله المرأة من نفسها، وإنّما عطیة من الزّوج، إمّا لاجتذاب محبتها، أو لأنّ الرّجل فی العرف العامّ هو المستفید من الزّواج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ونری أنّ الشّهید المطهری قد صوّر دلالة الآیة لثلاثة مفاهیم أساسیّة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التّعبیر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صدقاتهن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الدّال، لا المهر؛ للدلالة علی صدق علاقة الرّجل</w:t>
      </w:r>
      <w:r>
        <w:rPr>
          <w:rFonts w:eastAsia="IRNazanin" w:cs="IRNazanin"/>
          <w:color w:val="111111"/>
          <w:sz w:val="28"/>
          <w:szCs w:val="28"/>
          <w:rtl w:val="true"/>
          <w:lang w:bidi="fa-IR"/>
        </w:rPr>
        <w:t>.</w:t>
      </w:r>
      <w:bookmarkStart w:id="147" w:name="pg5194_44704"/>
    </w:p>
    <w:p>
      <w:pPr>
        <w:pStyle w:val="BookText"/>
        <w:rPr/>
      </w:pPr>
      <w:bookmarkEnd w:id="14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جاء التّعبیر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صدقاتهن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ضم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للإشارة إلی أنّ المهر متعلق بالمرأة لا بالأب أو الأم، فهو لیس ثمن تنشئتها ورضاعتها وتغذیتها من قبل أبویها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خلال 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للمهر أی عنوان سوی الهدیّة والعطیّة</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المهر لیس ثمن للمرأة، فهی لا تقدر بثمن، بل إنسان کامل یتمتّع بحریة، وقد شرّع المهر لأجل حفظ حقوقها، والمحافظة علی مصلحتها، بدخولها فی حقل الحیاة الزّوجیّة، مع أنّ من المستحب فی الشّرع المقدّس تخفیف المؤنة علی الزّوج، وبالأخص المهر، فقد روی عن النبیّ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نساء أمتی أصبحهن وجهاً، وأقلّهن مهرا</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هذا ما ذکر إجمالاً حول المهر، ولم نتطرق لتفاصیله المذکورة فی طیّات الکتب الفقهیّة</w:t>
      </w:r>
      <w:r>
        <w:rPr>
          <w:rFonts w:eastAsia="IRNazanin" w:cs="IRNazanin"/>
          <w:color w:val="111111"/>
          <w:sz w:val="28"/>
          <w:szCs w:val="28"/>
          <w:rtl w:val="true"/>
          <w:lang w:bidi="fa-IR"/>
        </w:rPr>
        <w:t>.</w:t>
      </w:r>
    </w:p>
    <w:p>
      <w:pPr>
        <w:pStyle w:val="Heading4"/>
        <w:numPr>
          <w:ilvl w:val="3"/>
          <w:numId w:val="1"/>
        </w:numPr>
        <w:rPr/>
      </w:pPr>
      <w:bookmarkStart w:id="148" w:name="__RefHeading___Toc37442_581953129"/>
      <w:bookmarkStart w:id="149" w:name="_Toc56"/>
      <w:bookmarkEnd w:id="148"/>
      <w:r>
        <w:rPr>
          <w:rtl w:val="true"/>
        </w:rPr>
        <w:t>الجانب المعنویّ والمشترک من حقوق الزّوجیّة</w:t>
      </w:r>
      <w:bookmarkEnd w:id="149"/>
    </w:p>
    <w:p>
      <w:pPr>
        <w:pStyle w:val="Heading5"/>
        <w:numPr>
          <w:ilvl w:val="4"/>
          <w:numId w:val="1"/>
        </w:numPr>
        <w:rPr/>
      </w:pPr>
      <w:bookmarkStart w:id="150" w:name="__RefHeading___Toc37444_581953129"/>
      <w:bookmarkStart w:id="151" w:name="_Toc57"/>
      <w:bookmarkEnd w:id="150"/>
      <w:r>
        <w:rPr>
          <w:rtl w:val="true"/>
        </w:rPr>
        <w:t>حُسن المعاشرة</w:t>
      </w:r>
      <w:bookmarkEnd w:id="15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وأوجب الإسلام حُسن المعاملة والمعاشرة بالمعروف بین أفراد المجتمع عامّة وأفراد الأسرة خاصّة، وبین الزّوجین بصورة مؤکّدة بنصوص من</w:t>
      </w:r>
    </w:p>
    <w:p>
      <w:pPr>
        <w:pStyle w:val="BookText"/>
        <w:rPr/>
      </w:pPr>
      <w:r>
        <w:rPr>
          <w:rFonts w:ascii="IRNazanin" w:hAnsi="IRNazanin" w:eastAsia="IRNazanin"/>
          <w:color w:val="111111"/>
          <w:sz w:val="28"/>
          <w:sz w:val="28"/>
          <w:szCs w:val="28"/>
          <w:rtl w:val="true"/>
          <w:lang w:bidi="fa-IR"/>
        </w:rPr>
        <w:t>القرآن الکریم والسنّة الشّریفة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 مخاطباً 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عاشِرُوهُنَّ بِالْمَعْرُوفِ فَإِنْ کَرِهْتُمُوهُنَّ فَعَسی أَنْ تَکْرَهُوا شَیْئاً وَ یَجْعَلَ اللّهُ فِیهِ خَیْراً کَثِیراً</w:t>
      </w:r>
      <w:r>
        <w:rPr>
          <w:rFonts w:eastAsia="Amiri" w:cs="Amiri" w:ascii="Amiri" w:hAnsi="Amiri"/>
          <w:color w:val="111111"/>
          <w:sz w:val="28"/>
          <w:szCs w:val="28"/>
          <w:rtl w:val="true"/>
          <w:lang w:bidi="ar-SA"/>
        </w:rPr>
        <w:t>)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تجمع کلّ جمیل فی الخَلق وجمیل فی الخُلق والسلوک، أمّا العلامة الطّباطبائی فسّر المعروف بالأمر الّذی یعرفه النّاس فی مجتمعهم، من غیر أن ینکروه ویجهلوه، وحیث قیّد به الأمر بالمعاشرة، وکان المعنی الأمر بمعاشرتهن، المعاشرة المعروفة بین هؤلاء المأمورین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والمعاشرة الّتی یعرفها الرّجال ویتعارفونه بینهم، أنّ الواحد منهم جزء مقوّم للمجتمع یساوی سائر الأجزاء فی تکوینه المجتمع الإنسانی؛ لغرض التّعاون والتّعاضد العمومی النّوعی، فیتوجّه علی کلّ منهم من التّکلیف أن یسعی بما فی وسعه من السّعی فیما یحتاج إلیه المجتمع</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وجاء فی تفسیر الشّعراوی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المعروف أوسع دائرة من کلمة المودة، فالمودة هی أنّک تحسن لمن عندک ودادة له وترتاح نفسک لمواددته، إنّک فرح به وبوجوده، لکن المعروف قد تبذله ولو لم تکره</w:t>
      </w:r>
      <w:r>
        <w:rPr>
          <w:rFonts w:eastAsia="IRNazanin" w:cs="IRNazanin"/>
          <w:color w:val="111111"/>
          <w:sz w:val="28"/>
          <w:szCs w:val="28"/>
          <w:rtl w:val="true"/>
          <w:lang w:bidi="fa-IR"/>
        </w:rPr>
        <w:t>.</w:t>
      </w:r>
      <w:r>
        <w:rPr>
          <w:rStyle w:val="FootnoteAnchor"/>
          <w:rtl w:val="true"/>
        </w:rPr>
        <w:footnoteReference w:id="20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فقد أمر القرآن الکریم الأزواج بالصّبر علی المعاشرة بالمعروف حتّی مع الکراهیة، فقد یکره الإنسان أمراً ویجعل الله فیه خیراً کثیراً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ونلاحظ أیضاً أنّ النبیّ الأکرم صلی الله علیه و آله مجمع الصّفات الحسنة ومنبع الکمالات الإنسانیة، فقد مدحهُ القرآن الکریم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فی هذه الخصلة من المزایا الجلیلة والحمیدة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هذا المرتکز الأخلاقی والقاعدة الإسلامیّة المتینة یبنی الإسلام أهمّ صرح تنعم بظله الحیاة الزّوجیّة، حیث یجعل فی مقدّمة الصّفات الّتی لابدّ منها للزّوج، هی الأخلاق الفاضلة والمعاشرة الحسنة، فقد جاء فی الأحادیث الشّریفة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جاءکم من ترضون خلقه ودینه فزوجوه</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وإنّ هذا التّشریک فی العطف بین الدّین وطیب الخلق؛ لیبیّن لنا مدی اهتمام الشّارع المقدّس بالأخلاق، وأنّ الزّوج لابدّ أن یکون مثال الخلق الرفیع؛ لیتمکن من إدارة البیت، ومن ورائه الأسرة بکلّ مفاهیمها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فالأسرة کما یقومها الغذاء الجسمی یقدّمه الزّوج کنفقة واجبة، کذلک یقومها الغذاء الرّوحی، والّذی یتجسّد فی المرحلة الأولی بما یبدیه الزّوج من خُلق کریم</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أمّا المعاشرة بالمعروف الّذی صرّح به القرآن، قد شرحتها السنّة فی الرّوایات تارة بالکسوة والطعام، وتارة بالغفران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عن 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لأبی عبدالله علیه السلام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حقّ المرأة علی زوجها الّذی إذا فعله کان محسناً؟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یشبعها ویکسوها، وإن جهلت غفر لها</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وعن شهاب 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حقّ المرأة علی 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یسد جوعتها ویستر عورتها ولا یقبح لها وجهاً، فإذا فعل ذلک فقد والله أدّی حقّها</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وعن یونس بن عمار،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زوّجنی أبو عبدالله علیه السلام جاریة کانت لإسماعیل ابنه،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إلیها،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الإحسان إلیها؟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أشبع بطنها وأکس جثتها وأغفر ذنبها</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ومثل هذه الرّوایات کثیرة فی کتب الأحادیث، وهذا یعنی أنّ الرّوایات قد بیّنت وجهین للمعاشرة،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المادّی، وهو النفقة بالمعنی العام، 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المعنویّ والأخلاقیّ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تعرّض الفقهاء للوجه المادی وأفاضوا فی شرحه دون الوجه المعنوی، وهو التّصرف مع الزّوجة علی نحو تتوفر فی الکرامة الإنسانیة والمودة العاطفیة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لاحظ الشّارع هذا النّحو من التّصرف، وعبّر عنه فی السنّة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الزّوج للزّوجة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هذا المفهوم فی السنّة باعتباره من حقوق الزّوجة علی الزّوج، تارة بصیغة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جهلت غفر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أذنبت غفر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إنّ الجهل أو الذّنب الّذی أمر الزّوج بغفرانه، هو ما یکون من الإنسان فی بعض الأحیان فی تعامله مع غیره، من أخطاء فی القول أو الفعل وسوء الخلق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دون أن یکون قد صدر من الغیر ما یقتضی ذلک أو یبرّره، بل یکون سببه ما یعتری الإنسان من حالات نفسیة أو مزاجیة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نصّ الشّارع علی استحقاق الزّوجة للغفران، وإغفال النّص علی استحقاق الزّوج لذلک علی الزّوجة، هو من جهة أنّ مرکز الزّوجة فی الأسرة بالنسبة إلی الزّوج أضعف من مرکز الزّوج بالنسبة إلیها، فهی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عرضة لعدوان الزّوج، والزّوج مهیأ لأن یکون أکثر منها غفلة عن مراعاة جانب الأنصاف والعدالة معها وعدم المبالات بما لها علیه من الحقوق، فاقتضی ذلک من الشّارع النصّ علیه بالخصوص فی حقّها علیه بالغفران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بخلاف حال الزّوج فأنّ مرکزه القوی فی الأسرة یجعل الزّوجة أکثر وعیاً لحقوقه علیها فی التّوقیر وأکثر مراعاة لمقامه، وتجنباً من التّهاون فی المعاملة معه</w:t>
      </w:r>
      <w:r>
        <w:rPr>
          <w:rFonts w:eastAsia="IRNazanin" w:cs="IRNazanin"/>
          <w:color w:val="111111"/>
          <w:sz w:val="28"/>
          <w:szCs w:val="28"/>
          <w:rtl w:val="true"/>
          <w:lang w:bidi="fa-IR"/>
        </w:rPr>
        <w:t>.</w:t>
      </w:r>
      <w:r>
        <w:rPr>
          <w:rStyle w:val="FootnoteAnchor"/>
          <w:rtl w:val="true"/>
        </w:rPr>
        <w:footnoteReference w:id="212"/>
      </w:r>
      <w:bookmarkStart w:id="152" w:name="pg5194_44709"/>
    </w:p>
    <w:p>
      <w:pPr>
        <w:pStyle w:val="Heading3"/>
        <w:numPr>
          <w:ilvl w:val="2"/>
          <w:numId w:val="1"/>
        </w:numPr>
        <w:rPr/>
      </w:pPr>
      <w:bookmarkStart w:id="153" w:name="__RefHeading___Toc37446_581953129"/>
      <w:bookmarkStart w:id="154" w:name="_Toc58"/>
      <w:bookmarkEnd w:id="152"/>
      <w:bookmarkEnd w:id="153"/>
      <w:r>
        <w:rPr>
          <w:rtl w:val="true"/>
        </w:rPr>
        <w:t>المبحث الثّانی</w:t>
      </w:r>
      <w:r>
        <w:rPr>
          <w:rtl w:val="true"/>
        </w:rPr>
        <w:t>:</w:t>
      </w:r>
      <w:r>
        <w:rPr>
          <w:rtl w:val="true"/>
        </w:rPr>
        <w:t>کیف یتحقق نشوز الزّوج</w:t>
      </w:r>
      <w:bookmarkEnd w:id="154"/>
    </w:p>
    <w:p>
      <w:pPr>
        <w:pStyle w:val="BookText"/>
        <w:rPr/>
      </w:pPr>
      <w:r>
        <w:rPr>
          <w:rFonts w:ascii="IRNazanin" w:hAnsi="IRNazanin" w:eastAsia="IRNazanin"/>
          <w:color w:val="111111"/>
          <w:sz w:val="28"/>
          <w:sz w:val="28"/>
          <w:szCs w:val="28"/>
          <w:rtl w:val="true"/>
          <w:lang w:bidi="fa-IR"/>
        </w:rPr>
        <w:t>وبعد ما بینت الشّریعة الحقوق الزّوجیّة، أخذت بعین الاعتبار الجوانب السّلبیة، الّتی قد تحدث عند أحد الزّوجین، حیث یتخلف عن تأدیة ما یلزم تحقیقه إزاء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ظهر ممّا ذکرنا أنّ النّشوز صفة تنطبق علی کلّ واحد من الزّوجین إذا لم یلتزم بحقوق الآخر علیه، مع التزام الآخر بحقوق النّاشز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یتحقق النّشوز من الزّوجة إذا لم تلتزم بحقوق الزّوج علیها مع التزامه بحقوقها، کذلک یتحقّق من الزّوج إذا لم یلتزم بحقوق زوجته علیه مع التزامها بحقوقه علیها</w:t>
      </w:r>
      <w:r>
        <w:rPr>
          <w:rFonts w:eastAsia="IRNazanin" w:cs="IRNazanin"/>
          <w:color w:val="111111"/>
          <w:sz w:val="28"/>
          <w:szCs w:val="28"/>
          <w:rtl w:val="true"/>
          <w:lang w:bidi="fa-IR"/>
        </w:rPr>
        <w:t>.</w:t>
      </w:r>
      <w:r>
        <w:rPr>
          <w:rStyle w:val="FootnoteAnchor"/>
          <w:rtl w:val="true"/>
        </w:rPr>
        <w:footnoteReference w:id="21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الموافق للاستعمال القرآنی،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امْرَأَةٌ</w:t>
      </w:r>
    </w:p>
    <w:p>
      <w:pPr>
        <w:pStyle w:val="BookText"/>
        <w:rPr/>
      </w:pPr>
      <w:r>
        <w:rPr>
          <w:rFonts w:ascii="Amiri" w:hAnsi="Amiri" w:eastAsia="Amiri" w:cs="Amiri"/>
          <w:color w:val="111111"/>
          <w:sz w:val="28"/>
          <w:sz w:val="28"/>
          <w:szCs w:val="28"/>
          <w:rtl w:val="true"/>
          <w:lang w:bidi="ar-SA"/>
        </w:rPr>
        <w:t>خافَتْ مِنْ بَعْلِها نُشُوزاً أَوْ إِعْراضاً فَلا جُناحَ عَلَیْهِما أَنْ یُصْلِحا بَیْنَهُما صُلْحاً وَ الصُّلْحُ خَیْرٌ وَ أُحْضِرَتِ الْأَنْفُسُ الشُّحَّ وَ إِنْ تُحْسِنُوا وَ تَتَّقُوا فَإِنَّ اللّهَ کانَ بِما تَعْمَلُونَ خَبِیراً</w:t>
      </w:r>
      <w:r>
        <w:rPr>
          <w:rFonts w:eastAsia="Amiri" w:cs="Amiri" w:ascii="Amiri" w:hAnsi="Amiri"/>
          <w:color w:val="111111"/>
          <w:sz w:val="28"/>
          <w:szCs w:val="28"/>
          <w:rtl w:val="true"/>
          <w:lang w:bidi="ar-SA"/>
        </w:rPr>
        <w:t>)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توقعت من بعلها نشوزاً وترفعاً علیها بما لاح لها من مخایل ذلک وأماراته، بأن منعها نفسه ونفقته والمودة والرّحمة الّتی تکون بین الرّجل والمرأة، أو آذاها بسبِّ أو ضرب أو نحو ذلک، أو إعراضاً عنها بأن قلّل فی محادثتها ومؤانستها لبعض أسباب من طعن فی سن أو دمامة أو شیء فی الأخلاق، أو الخلق أو ملال لها، أو طموح إلی غیرها</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والخوف لا یحصل إلّا بظهور الإمارات الّتی تدل علی وقوع الخوف،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خافت عملت،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ظنت</w:t>
      </w:r>
      <w:r>
        <w:rPr>
          <w:rFonts w:eastAsia="IRNazanin" w:cs="IRNazanin"/>
          <w:color w:val="111111"/>
          <w:sz w:val="28"/>
          <w:szCs w:val="28"/>
          <w:rtl w:val="true"/>
          <w:lang w:bidi="fa-IR"/>
        </w:rPr>
        <w:t>.</w:t>
      </w:r>
      <w:r>
        <w:rPr>
          <w:rStyle w:val="FootnoteAnchor"/>
          <w:rtl w:val="true"/>
        </w:rPr>
        <w:footnoteReference w:id="21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تلمح المرأة فی حیاتها مع الزّوج تغیّراً فی معاملتها وتمرداً علی حقوقها وإعراضاً عنها بوجهه، وربّما کان ذلک نتیجة کِبَر أو میل إلی زوجة أخری أو غیر ذلک من الأسباب، ومن الطبیعی إنّ الإسلام لم یرخص للرّجل فی ذلک، فقد أراد الله له أن یعاشر زوجته بالمعروف، ولکنه فی الوقت نفسه رخّص له فی الطّلاق عندما تموت العاطفة فی الرّوح، ویتبدّل الجوّ الطّیب إلی حالة من النّفور، وقد لا تحب الزّوجة أن تفارق زوجها بسبب بعض المؤثرات الذّاتیّة، فلها أن تدخل معه بالمفاوضات الّتی تنتهی إلی الصّلح</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هذا، وأمّا المراد من النّشوز موضع البحث هنا، یختلف فی معناه عن النّشوز الوارد فی الآیة المبارکة، فنشوز الرّجل فی نص القرآن الکریم یختلف عن نشوز المرأة فی هذا النّص، حیث إنّ نشوز المرأة إخلال بالتّکلیف الشّرعی، ونشوز الرّجل فی النّص القرآنی لیس إخلالاً بالتّکلیف الشّرعی، بل تعبیر عن خلل فی العلاقة العاطفیّة، واختلاف المیل والمزاج ما یؤدی إلی الکراهیّة والطّلاق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تمانع المرأة فی ذلک، أو مانعت ولم یستجب الزّوج لممانعتها، فإنّ الطّلاق یقع من الزّوج، ویکون للمرأة المطلّقة حقوقها الّتی أجملتها الآیات فی المقام، وإذا مانعت واستجاب الزّوج لممانعتها، فإنّها تفتدی نفسها من الطّلاق، وتستمر فی علاقتها الزّوجیّة بالتّنازل عن بعض حقوقها، کما أجملت الآیة وفصّلت السنّة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ما نحن بصدّده هنا، هو نشوز الزّوج عن جادة الشّرع بالنّسبة إلی ما علیه من حقوق للزّوجة، بحیث یخرج فی سلوکه معها عن المعروف بما یستبطنه من معانی السّکن واللباس، فیکون ظالماً لها، ویدخل إمساکه لها وعیشه معها، فی باب العضل والضّرار والاعتداء</w:t>
      </w:r>
      <w:r>
        <w:rPr>
          <w:rFonts w:eastAsia="IRNazanin" w:cs="IRNazanin"/>
          <w:color w:val="111111"/>
          <w:sz w:val="28"/>
          <w:szCs w:val="28"/>
          <w:rtl w:val="true"/>
          <w:lang w:bidi="fa-IR"/>
        </w:rPr>
        <w:t>.</w:t>
      </w:r>
      <w:r>
        <w:rPr>
          <w:rStyle w:val="FootnoteAnchor"/>
          <w:rtl w:val="true"/>
        </w:rPr>
        <w:footnoteReference w:id="21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مخالفة الزّوج لبعض التّکالیف الشّرعیة الّتی لم تنشأ من عقد الزّوجیّة، بل هی ثابتة علیه فی أصل الشّرع؛ باعتباره مکلّفاً لا باعتباره زوجاً، فإنّه یکون موضوعاً للمؤاخذة الشّرعیّة بهذا الاعتبار، لا باعتباره</w:t>
      </w:r>
    </w:p>
    <w:p>
      <w:pPr>
        <w:pStyle w:val="BookText"/>
        <w:rPr/>
      </w:pPr>
      <w:r>
        <w:rPr>
          <w:rFonts w:ascii="IRNazanin" w:hAnsi="IRNazanin" w:eastAsia="IRNazanin"/>
          <w:color w:val="111111"/>
          <w:sz w:val="28"/>
          <w:sz w:val="28"/>
          <w:szCs w:val="28"/>
          <w:rtl w:val="true"/>
          <w:lang w:bidi="fa-IR"/>
        </w:rPr>
        <w:t>زوجاً ناشزاً، وإذا کانت لهذه المخالفة آثار وضعیّة فإنّها تثبت علیه بما هو مکلّف لا بما هو زوج، فلا یکون ناشزاً بمخالفة هذه التّکالیف إلّا إذا أدّی ارتکابها إلی الإخلال بالمعیار الشّرعی فی علاقة الزّوجین، وهو المعاشرة بالمعروف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قلنا إنّ الحقوق الواجبة الّتی قرّرتها الشّریعة للزّوجة اتّجاه زوجها، هی عبارة عن النّفقة والمهر وحُسن المعاشرة، ولکنّ المستفاد من کلمات الفقهاء أنّ حقوق الزّوجة الثّابتة لها بمقتضی عقد الزّوجیّة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یصبح الزّوج ناشزاً عند مخالفتها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الأجمال ینحصر فی 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العلاقة الجنسیّة بالمعنی الواسع، الّذی یشمل المضاجعة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العیش المشترک بالمعنی العامّ، الذی یشمل الجانب المادیّ والمعنویّ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فالمراد منه المبیت عندها فی المکان الّذی تنام فیه لیلة من کلّ أربع لیالٍ، وهذا الحقّ ثابت للزّوجة فی حالة التعدّد، فلو کان عنده زوجتان وجب علی الزّوج القسّمة بینهما، بأن یبیت عند کلّ واحدة منهما لیلة من أربع، وله أن ینفرد بنفسه فی لیلتین من أربع، وله أن یقسّمها بین الزّوجتین، وله أن یختص بهما إحداهما، وقس علی هذا لو کانت لدیه ثلاث أو أربع نسوة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حالة وحدة الزّوجة فلیس فی روایات المسألة ما یدّل علی وجوب القسّمة لها، بأن یبیت عندها لیلة من أربع، فإنّ الرّوایات بأجمعها</w:t>
      </w:r>
    </w:p>
    <w:p>
      <w:pPr>
        <w:pStyle w:val="BookText"/>
        <w:rPr/>
      </w:pPr>
      <w:r>
        <w:rPr>
          <w:rFonts w:ascii="IRNazanin" w:hAnsi="IRNazanin" w:eastAsia="IRNazanin"/>
          <w:color w:val="111111"/>
          <w:sz w:val="28"/>
          <w:sz w:val="28"/>
          <w:szCs w:val="28"/>
          <w:rtl w:val="true"/>
          <w:lang w:bidi="fa-IR"/>
        </w:rPr>
        <w:t>واردة فی صورة التّعدد؛ ولذا فإنّ مقتضی الأصل الأوّلی، القاضی بولایة الرّجل علی نفسه فی هذا الشّأن، عدم وجوب القسّمة للزّوجة الواحدة بالمبیت عندها لیلة من أربع لیال، فله أن یستقل فی مکان مبیته عنها ما لم یصدق علیه عنوان الهجر والمضارة، بحیث تکون معاملته لها فی هذا الشّأن بغیر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فقد ذهب بعض الفقهاء إلی عدم وجوب ذلک علیه فی حالة وحدة الزّوجة، ولکنّ المشهور بین الفقهاء، هو القول بوجوب القسّمة علیه للزّوجة الواحدة بالمبیت عندها لیلة من أربع لیال</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وجاء فی تفسیر الأمثل أنّ حکماً مثل تقسیم أیام الأسبوع بین الزّوجات، له طابع الحقّ أکثر من طابع الحکم؛ ولذلک فبإمکان المرأة التّخلی عن هذا الحقّ بشکل تام إذا شاءت أو بصورة جزئیّة</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ثمّ إنّه لم یرد فی نصوص السنّة بیان لخصوصیات المبیت، وأنّه یکفی الاشتراک فی المکان تحت سقف واحد ووراء باب واحد، أو أنّه لابدّ مع ذلک من المجاورة فی مکان النّوم، أو أنّه لابدّ من الاشتراک فی فراش واحد وغطاء واحد، فلیس للرّوایات تحدید للمبیت من أیّة جهة من هذه الجهات</w:t>
      </w:r>
      <w:r>
        <w:rPr>
          <w:rFonts w:eastAsia="IRNazanin" w:cs="IRNazanin"/>
          <w:color w:val="111111"/>
          <w:sz w:val="28"/>
          <w:szCs w:val="28"/>
          <w:rtl w:val="true"/>
          <w:lang w:bidi="fa-IR"/>
        </w:rPr>
        <w:t>.</w:t>
      </w:r>
      <w:r>
        <w:rPr>
          <w:rStyle w:val="FootnoteAnchor"/>
          <w:rtl w:val="true"/>
        </w:rPr>
        <w:footnoteReference w:id="22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فالإهمال بشأن هذا الحقّ ینتج النّشوز وإنّ بإمکان الزّوجة مطالبته من الزّوج؛ لأنّه حقّ ثابت لها، لکن من المسلّم به أنّ حقّ المضاجعة لا یتضمن</w:t>
      </w:r>
    </w:p>
    <w:p>
      <w:pPr>
        <w:pStyle w:val="BookText"/>
        <w:rPr/>
      </w:pPr>
      <w:r>
        <w:rPr>
          <w:rFonts w:ascii="IRNazanin" w:hAnsi="IRNazanin" w:eastAsia="IRNazanin"/>
          <w:color w:val="111111"/>
          <w:sz w:val="28"/>
          <w:sz w:val="28"/>
          <w:szCs w:val="28"/>
          <w:rtl w:val="true"/>
          <w:lang w:bidi="fa-IR"/>
        </w:rPr>
        <w:t>حقّ الوطئ الثّابت مرّة واحدة کلّ أربعة أشهر، المتفق علیه لدی الفقهاء، بل هو المبیت فقط فللزّوج أن یکتفی بالمبیت فقط، وله أن یجامع زوجته</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وکما أن القصور فی هذا الحقّ یوجب نشوز الزّوج، کذلک فی الحقّ الثّانی الشّامل للنفقة وحُسن المعاشرة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للنفقة، فالمشهور أنّ الزّوجة تملک علی الزّوج نفقة کلّ یوم، ممّا یصرف عینه، فلها أن تطالبه بها، فلو منعها مع التّمکین وانقضی الیوم، استقرت فی ذمته وصار دیناً علیه؛</w:t>
      </w:r>
      <w:r>
        <w:rPr>
          <w:rStyle w:val="FootnoteAnchor"/>
          <w:rtl w:val="true"/>
        </w:rPr>
        <w:footnoteReference w:id="223"/>
      </w:r>
      <w:r>
        <w:rPr>
          <w:rFonts w:ascii="IRNazanin" w:hAnsi="IRNazanin" w:eastAsia="IRNazanin"/>
          <w:color w:val="111111"/>
          <w:sz w:val="28"/>
          <w:sz w:val="28"/>
          <w:szCs w:val="28"/>
          <w:rtl w:val="true"/>
          <w:lang w:bidi="fa-IR"/>
        </w:rPr>
        <w:t>لأنّ النّفقة فی قبال ما فرض الله علی الزّوجة من الإطاعة الکاملة لزوجها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حُسن المعاشرة، فینبغی فیه طلاقة الوجه والإحسان إلی الزّوجة، فعن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عبداً أحسن فیما بینه وبین زوجته، فإنّ الله عزّ وجلّ قد ملّکه ناصیتها وجعله القیّم علیها</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وعن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فداروهن علی کلّ حال، وأحسنوا لهن المقال؛ لعلهن یحسن الفعال</w:t>
      </w:r>
      <w:r>
        <w:rPr>
          <w:rFonts w:eastAsia="IRNazanin" w:cs="IRNazanin"/>
          <w:color w:val="111111"/>
          <w:sz w:val="28"/>
          <w:szCs w:val="28"/>
          <w:rtl w:val="true"/>
          <w:lang w:bidi="fa-IR"/>
        </w:rPr>
        <w:t>».</w:t>
      </w:r>
      <w:r>
        <w:rPr>
          <w:rStyle w:val="FootnoteAnchor"/>
          <w:rtl w:val="true"/>
        </w:rPr>
        <w:footnoteReference w:id="22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وأیضاً یتحقّق النّشوز فیما لو تعدّی الزّوج علی زوجته بالضّرب والإیذاء</w:t>
      </w:r>
    </w:p>
    <w:p>
      <w:pPr>
        <w:pStyle w:val="BookText"/>
        <w:rPr/>
      </w:pPr>
      <w:r>
        <w:rPr>
          <w:rFonts w:ascii="IRNazanin" w:hAnsi="IRNazanin" w:eastAsia="IRNazanin"/>
          <w:color w:val="111111"/>
          <w:sz w:val="28"/>
          <w:sz w:val="28"/>
          <w:szCs w:val="28"/>
          <w:rtl w:val="true"/>
          <w:lang w:bidi="fa-IR"/>
        </w:rPr>
        <w:t>والتّخویف والإرعاب، وحتّی بما تخاف منه علی حیاتها، فإنّ الفقهاء فی مثل هذه الحالات یخولون الزّوجة فی أن تتقدّم بطلب إلی الحاکم الشّرعی بما یؤمن لها حیاتها ویجنبها ما یؤذیها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أخبرکم بشرّ رجالکم،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شرّ رجالکم البهات، البخیل الفاحش الآکل وحده، المانع رفده، الضّارب أهله وعبده، الملجئ عیاله إلی غیره، العاق بوالدیه</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أیضرب أحدکم المرأة ثمّ یظل معانقها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وغیرها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یتحقّق لو لم یتعدَّ نشوز الزّوج إلی هذه المراحل، بل اقتصر علی الضّجر منها، وإظهار النّفور، وما یشبه ذلک، ما یشعرها بکراهیته لها، أو العزم علی فک عری الزّوجیّة بطلاقها</w:t>
      </w:r>
      <w:r>
        <w:rPr>
          <w:rFonts w:eastAsia="IRNazanin" w:cs="IRNazanin"/>
          <w:color w:val="111111"/>
          <w:sz w:val="28"/>
          <w:szCs w:val="28"/>
          <w:rtl w:val="true"/>
          <w:lang w:bidi="fa-IR"/>
        </w:rPr>
        <w:t>.</w:t>
      </w:r>
      <w:r>
        <w:rPr>
          <w:rStyle w:val="FootnoteAnchor"/>
          <w:rtl w:val="true"/>
        </w:rPr>
        <w:footnoteReference w:id="228"/>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جملة من الأمور المؤدیّة لنشوز الزّوج، وسوف نبیّن فیما بعد ما هی الأحکام المقرّرة من قبل الشّریعة عند الإخلال بها</w:t>
      </w:r>
      <w:r>
        <w:rPr>
          <w:rFonts w:eastAsia="IRNazanin" w:cs="IRNazanin"/>
          <w:color w:val="111111"/>
          <w:sz w:val="28"/>
          <w:szCs w:val="28"/>
          <w:rtl w:val="true"/>
          <w:lang w:bidi="fa-IR"/>
        </w:rPr>
        <w:t>.</w:t>
      </w:r>
      <w:bookmarkStart w:id="155" w:name="pg5194_44717"/>
    </w:p>
    <w:p>
      <w:pPr>
        <w:pStyle w:val="Heading3"/>
        <w:numPr>
          <w:ilvl w:val="2"/>
          <w:numId w:val="1"/>
        </w:numPr>
        <w:rPr/>
      </w:pPr>
      <w:bookmarkStart w:id="156" w:name="__RefHeading___Toc37448_581953129"/>
      <w:bookmarkStart w:id="157" w:name="_Toc59"/>
      <w:bookmarkEnd w:id="155"/>
      <w:bookmarkEnd w:id="156"/>
      <w:r>
        <w:rPr>
          <w:rtl w:val="true"/>
        </w:rPr>
        <w:t>المبحث الثّالث</w:t>
      </w:r>
      <w:r>
        <w:rPr>
          <w:rtl w:val="true"/>
        </w:rPr>
        <w:t>:</w:t>
      </w:r>
      <w:r>
        <w:rPr>
          <w:rtl w:val="true"/>
        </w:rPr>
        <w:t>آثار نشوز الزّوج علی العائلة</w:t>
      </w:r>
      <w:bookmarkEnd w:id="157"/>
    </w:p>
    <w:p>
      <w:pPr>
        <w:pStyle w:val="Heading4"/>
        <w:numPr>
          <w:ilvl w:val="3"/>
          <w:numId w:val="1"/>
        </w:numPr>
        <w:rPr/>
      </w:pPr>
      <w:bookmarkStart w:id="158" w:name="__RefHeading___Toc37450_581953129"/>
      <w:bookmarkStart w:id="159" w:name="_Toc60"/>
      <w:bookmarkEnd w:id="158"/>
      <w:r>
        <w:rPr>
          <w:rtl w:val="true"/>
        </w:rPr>
        <w:t>اشارة</w:t>
      </w:r>
      <w:bookmarkEnd w:id="159"/>
    </w:p>
    <w:p>
      <w:pPr>
        <w:pStyle w:val="BookText"/>
        <w:rPr/>
      </w:pPr>
      <w:r>
        <w:rPr>
          <w:rFonts w:ascii="IRNazanin" w:hAnsi="IRNazanin" w:eastAsia="IRNazanin"/>
          <w:color w:val="111111"/>
          <w:sz w:val="28"/>
          <w:sz w:val="28"/>
          <w:szCs w:val="28"/>
          <w:rtl w:val="true"/>
          <w:lang w:bidi="fa-IR"/>
        </w:rPr>
        <w:t>یؤثر تصدّع الأسرة بالنّشوز کان، أم بغیره، علی حیاة أفراد العائلة، سواء علی الزّوجین أم الأطفال؛ لأنّهم وفی الحال هذا یجتازون تجربة ألیمة، نتیجة وجودهم داخل أسرة مفککة باطناً؛ فیعیش القلق کلّ من الزّوجین بالوهلة الأولی صورة أزمة نفسیّة، یجدون أنفسهم مضطرین إلی مواجهة المشاکل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إلی جانب مشاعر الحقد والکره والضغینة، الّتی یحملها کلّ منهما للآخر؛ لاعتقاده بأنّه السبب فی ذبذبة حیاته وتحطیم آماله، وما ینشده من استقرار عائلی، ویتولد عن ذلک الشّعور بعدم الأمن والثّقة فی الطّرف المقابل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وتشتد هذه الصّورة خاصّة عند الزّوجة؛ باعتبارها العنصر الضّعیف فی العلاقة الزّوجیّة، وهی المتضررة الأکثر فی هذا المجال، وبالذات</w:t>
      </w:r>
    </w:p>
    <w:p>
      <w:pPr>
        <w:pStyle w:val="BookText"/>
        <w:rPr/>
      </w:pPr>
      <w:r>
        <w:rPr>
          <w:rFonts w:ascii="IRNazanin" w:hAnsi="IRNazanin" w:eastAsia="IRNazanin"/>
          <w:color w:val="111111"/>
          <w:sz w:val="28"/>
          <w:sz w:val="28"/>
          <w:szCs w:val="28"/>
          <w:rtl w:val="true"/>
          <w:lang w:bidi="fa-IR"/>
        </w:rPr>
        <w:t>عندما یقهرها الزّوج، ولا یراعی حقوقها، ولا یضعها فی المکانة الّتی تلیق بها، ویستخدم معها أسالیب المعاملة السّیئة المختلفة، الّتی تسبب فی أحداث إیذاء أو ألم جسدی أو جنسی أو نفسی، أو الحرمان التّعسفی من الحریة، سواء حدث فی إطار الحیاة العامّة أو الخاصّة</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فلم تترک هذه الأمور طابعها السّلبی علی المرأة فقط، بل علی الأطفال والمجتمع أیضاً، وهذه الأمور هی الّتی عبّر عنها علماء النّفس اصطلاحاً بالعنف، وهو کلّ سلوک أو فعل یتّسم بالعدوانیّة، ویصدر عن طرف بهدف استغلال وإخضاع طرف آخر فی علاقة غیر متکافئة، ممّا یتسبب عنه إحداث أضرار مادّیة أو معنویّة أو نفسیّة، وضد المرأة بشکل خاصّ، هو استخدام للقوة والسّیطرة علی المرأة</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وقد تأخذ أقل صورة لها، کالاستخفاف والسّخریّة من آراء الزّوجة أمام الآخرین، ثمّ تتزاید إلی أن تصل للسّب وخدش الحیاء، أو منعها من الخروج من المنزل، أو للعمل أو للسفر، أو التّضییق علیها مادیّاً، أو ترکها بلا نفقة، الأمر الّذی قرّره الشّارع ضماناً لها مقابل ارتباطها بزوجها؛ لتأمین مستلزمات حیاتها مادامت ملتزمة بحقوقها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یصل حد العنف لارتکاب جرائم معاقب علیها، مثل ضربها ومعاملتها بقوة، وما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خلال ما نراه الآن من وقائع وأحداث، نجد أنّ عدم التّناغم بین أفراد الأسرة أصبح السّمة السّائدة بین العوائل، فنسبة کبیرة من الأسر تعانی من القهر المادّی والمعنویّ، وقد أثار بعض الباحثین إنّ الأسرة هی مکان محتمل لحدوث العنف، حیث إنّ الأزواج والزّوجات یتعرّضون لکثیر من الاحباطات؛ نتیجة الأعباء الاقتصادیّة، والمشاکل الزّوجیّة، وعبء تربیة الأطفال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تعدّ المرأة ذاتها أحد العوامل الرّئیسیّة لممارسة العنف ضدها؛ وذلک لتقبلها ذلک، أو السّکوت عن ممارسة حقّها فی الشّکوی بسبب الخوف الشّدید من الرّجل، أو المجتمع، ممّا یدفعها للاستسلام لقدر بسیط من العنف تتزاید حدته فیما بعد، فقد تتقبل المهانة والسّخریّة من أجل تجنب عنف جسدیّ أشدّ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الشّکوی من المرأة ضد زوجها تعدّ من المحظورات الاجتماعیّة، فقد توصم بالعار طیلة حیاتها؛ نتیجة لاستخدامها هذا الحقّ؛ لذا نری غالب النّساء تحت الضّغوط الاجتماعیّة تفضّل العودة للحیاة الّتی تعیشها متحلّیة بالصّبر علی أذی زوجها، غیر أنّ الأعراض النّاجمة عن هذا الأمر تزداد سوءاً یوماً بعد یوم</w:t>
      </w:r>
      <w:r>
        <w:rPr>
          <w:rFonts w:eastAsia="IRNazanin" w:cs="IRNazanin"/>
          <w:color w:val="111111"/>
          <w:sz w:val="28"/>
          <w:szCs w:val="28"/>
          <w:rtl w:val="true"/>
          <w:lang w:bidi="fa-IR"/>
        </w:rPr>
        <w:t>.</w:t>
      </w:r>
      <w:r>
        <w:rPr>
          <w:rStyle w:val="FootnoteAnchor"/>
          <w:rtl w:val="true"/>
        </w:rPr>
        <w:footnoteReference w:id="231"/>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هنا من خلال هذا البحث سوف نشیر إلی أهمّ الآثار السّلبیة والأضرار النّاتجة عن نشوز الزّوج بالنّسبة إلی المرأة والأطفال والمجتمع</w:t>
      </w:r>
      <w:r>
        <w:rPr>
          <w:rFonts w:eastAsia="IRNazanin" w:cs="IRNazanin"/>
          <w:color w:val="111111"/>
          <w:sz w:val="28"/>
          <w:szCs w:val="28"/>
          <w:rtl w:val="true"/>
          <w:lang w:bidi="fa-IR"/>
        </w:rPr>
        <w:t>.</w:t>
      </w:r>
      <w:bookmarkStart w:id="160" w:name="pg5194_44720"/>
    </w:p>
    <w:p>
      <w:pPr>
        <w:pStyle w:val="Heading4"/>
        <w:numPr>
          <w:ilvl w:val="3"/>
          <w:numId w:val="1"/>
        </w:numPr>
        <w:rPr/>
      </w:pPr>
      <w:bookmarkStart w:id="161" w:name="__RefHeading___Toc37452_581953129"/>
      <w:bookmarkStart w:id="162" w:name="_Toc61"/>
      <w:bookmarkEnd w:id="160"/>
      <w:bookmarkEnd w:id="161"/>
      <w:r>
        <w:rPr/>
        <w:t>1</w:t>
      </w:r>
      <w:r>
        <w:rPr>
          <w:rtl w:val="true"/>
        </w:rPr>
        <w:t xml:space="preserve">. </w:t>
      </w:r>
      <w:r>
        <w:rPr>
          <w:rtl w:val="true"/>
        </w:rPr>
        <w:t>الأضرار المتوجّهة للمرأة</w:t>
      </w:r>
      <w:bookmarkEnd w:id="162"/>
    </w:p>
    <w:p>
      <w:pPr>
        <w:pStyle w:val="BookText"/>
        <w:rPr/>
      </w:pPr>
      <w:r>
        <w:rPr>
          <w:rFonts w:ascii="IRNazanin" w:hAnsi="IRNazanin" w:eastAsia="IRNazanin"/>
          <w:color w:val="111111"/>
          <w:sz w:val="28"/>
          <w:sz w:val="28"/>
          <w:szCs w:val="28"/>
          <w:rtl w:val="true"/>
          <w:lang w:bidi="fa-IR"/>
        </w:rPr>
        <w:t>وقد أثبتت الدّراسات الّتی أجریت فی هذا الصدّد أنّ المرأة الّتی تتعرّض للعنف، تعانی من أمراض نفسیّة، کالقلق والاکتئاب ودوام الإحساس بالتّعب والأرق، کما یؤدی سوء معاملة الزّوج إلی انخفاض الإحساس بتقدیر الذّات وفقد الثقة بالنفس والیأس والإحباط، وقد تصل المرأة إلی محاولة الانتحار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یقتصر آثار العنف علی الجانب النفسیّ فقط، بل تمتد أیضاً لیشمل أعراضاً بدنیّة مرضیّة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تصاب المرأة بعاهة مستدیمة، تجعلها بدلاً من کونها أداة بناء للمجتمع والأسرة عاجزة تحتاج إلی من یعولها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فتفتقد الأسرة والمجتمع العنصر الفعّال والغالب فی التّربیة والتّنشئة، وقد تلجاً الزّوجة إلی العنف المضاد ضد الزّوج نفسه، وبالتالی تتحول الأسرة من سکن ومودة ورحمة إلی حلبة صراع ترتکب داخلها کافة أنواع الصّراعات والجرائم الشّاذة، وقد تلجأ الزّوجة إلی الانحراف کردّ فعل داخلیّ للانتقام من العنف، أو قد ترکن إلی علاقة عاطفیّة غیر مشروعة مع من یتعامل معها برفق</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فهذه جملة من الأضرار المتوجّهة للمرأة عند نشوز الزوج إلیها</w:t>
      </w:r>
      <w:r>
        <w:rPr>
          <w:rFonts w:eastAsia="IRNazanin" w:cs="IRNazanin"/>
          <w:color w:val="111111"/>
          <w:sz w:val="28"/>
          <w:szCs w:val="28"/>
          <w:rtl w:val="true"/>
          <w:lang w:bidi="fa-IR"/>
        </w:rPr>
        <w:t>.</w:t>
      </w:r>
    </w:p>
    <w:p>
      <w:pPr>
        <w:pStyle w:val="Heading4"/>
        <w:numPr>
          <w:ilvl w:val="3"/>
          <w:numId w:val="1"/>
        </w:numPr>
        <w:rPr/>
      </w:pPr>
      <w:bookmarkStart w:id="163" w:name="__RefHeading___Toc37454_581953129"/>
      <w:bookmarkStart w:id="164" w:name="_Toc62"/>
      <w:bookmarkEnd w:id="163"/>
      <w:r>
        <w:rPr/>
        <w:t>2</w:t>
      </w:r>
      <w:r>
        <w:rPr>
          <w:rtl w:val="true"/>
        </w:rPr>
        <w:t xml:space="preserve">. </w:t>
      </w:r>
      <w:r>
        <w:rPr>
          <w:rtl w:val="true"/>
        </w:rPr>
        <w:t>الأضرار المتوجّهة للأطفال</w:t>
      </w:r>
      <w:bookmarkEnd w:id="16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وتعتبر الأسرة أهمّ المؤسسات التّربویّة؛ لأنّ تأثیرها أقوی أثراً وأشدّ عمقاً وأصعب زوالاً من غیرها من المؤسسات، فیها یجد الطّفل من یصحّح</w:t>
      </w:r>
    </w:p>
    <w:p>
      <w:pPr>
        <w:pStyle w:val="BookText"/>
        <w:rPr/>
      </w:pPr>
      <w:r>
        <w:rPr>
          <w:rFonts w:ascii="IRNazanin" w:hAnsi="IRNazanin" w:eastAsia="IRNazanin"/>
          <w:color w:val="111111"/>
          <w:sz w:val="28"/>
          <w:sz w:val="28"/>
          <w:szCs w:val="28"/>
          <w:rtl w:val="true"/>
          <w:lang w:bidi="fa-IR"/>
        </w:rPr>
        <w:t>أخطاءه ویقوّمه؛ لأنّ سلوک الإنسان سلوک مکتسب من البیئة المحیطة به أساساً، فلا یمکن لأطفال یعیشون داخل أسر تحدث فیها عملیات العنف، أن یکونوا أسویاء بالشّکل المطلوب لضمان استقرار المجتمع، فالأطفال یصابون بأمراض نفسیّة خطیرة حتّی لو لم یتعرّضوا للعنف مباشرة؛ لأنّ مشاهدة الطّفل لعملیة ضرب الأب للأم لها آثار خطیرة، حیث تشکّل الأم صدراً حانیاً للطفل فیشاهدها تتعرّض للضّرب والأذی أمامه، وهو بدوره غیر قادر علی الدّفاع عنها، وأنّ من یضربها لیس بغریب عنه، بل هو والده، وهو شخص عزیز علیه أیضاً، ویمثل له القدوة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أثبت علم النّفس إنّ الطّفل یتعرّض للأذی الجسدیّ غیر المباشر عند مشاهدته لواقعة العنف من الأب ضد الأم، مثل الحرمان من النّوم وفقدان التّرکیز والتّبوّل اللیلی اللاإرادی، واختلال فی الأکل والشّعور بالقلق وعدم الثقة بالنفس والغضب والخوف وعدم احترام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فینشأ الطفل ومعه مترسبات الماضی والعقد النّفسیّة، فیشب مصاباً بالاحباط والاکتئاب وفقدان الاتصال بالأسرة أو الأصدقاء، وبالتّالی المجتمع</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وأخیراً؛ فإنّ الطّفل قد یقلد أباه فی کافة تصرفاته، حیث کان یمثّل له القدوة، فیصبح الطّفل عنیفاً بدوره، سواء فی ألعابه أو معاملاته مع الغیر، أو مع الرّجال، کردّ فعل نفسیّ، حیث یکره الرّجال جمیعاً فی صورة الأب الّذی کان یقسو علی مصدر حبّه وحنانه، أو یقوم بأفعال</w:t>
      </w:r>
      <w:bookmarkStart w:id="165" w:name="pg5194_44722"/>
    </w:p>
    <w:p>
      <w:pPr>
        <w:pStyle w:val="BookText"/>
        <w:rPr/>
      </w:pPr>
      <w:bookmarkEnd w:id="165"/>
      <w:r>
        <w:rPr>
          <w:rFonts w:ascii="IRNazanin" w:hAnsi="IRNazanin" w:eastAsia="IRNazanin"/>
          <w:color w:val="111111"/>
          <w:sz w:val="28"/>
          <w:sz w:val="28"/>
          <w:szCs w:val="28"/>
          <w:rtl w:val="true"/>
          <w:lang w:bidi="fa-IR"/>
        </w:rPr>
        <w:t>العنف ضد المرأة بفضل التقلید والمحاکاة، وبالتّالی تنشأ أجیال أخری عنیفة لدیها سلوکیات ممزقة ذات شخصیات متقلبة</w:t>
      </w:r>
      <w:r>
        <w:rPr>
          <w:rFonts w:eastAsia="IRNazanin" w:cs="IRNazanin"/>
          <w:color w:val="111111"/>
          <w:sz w:val="28"/>
          <w:szCs w:val="28"/>
          <w:rtl w:val="true"/>
          <w:lang w:bidi="fa-IR"/>
        </w:rPr>
        <w:t>.</w:t>
      </w:r>
      <w:r>
        <w:rPr>
          <w:rStyle w:val="FootnoteAnchor"/>
          <w:rtl w:val="true"/>
        </w:rPr>
        <w:footnoteReference w:id="233"/>
      </w:r>
    </w:p>
    <w:p>
      <w:pPr>
        <w:pStyle w:val="Heading4"/>
        <w:numPr>
          <w:ilvl w:val="3"/>
          <w:numId w:val="1"/>
        </w:numPr>
        <w:rPr/>
      </w:pPr>
      <w:bookmarkStart w:id="166" w:name="__RefHeading___Toc37456_581953129"/>
      <w:bookmarkStart w:id="167" w:name="_Toc63"/>
      <w:bookmarkEnd w:id="166"/>
      <w:r>
        <w:rPr/>
        <w:t>3</w:t>
      </w:r>
      <w:r>
        <w:rPr>
          <w:rtl w:val="true"/>
        </w:rPr>
        <w:t xml:space="preserve">. </w:t>
      </w:r>
      <w:r>
        <w:rPr>
          <w:rtl w:val="true"/>
        </w:rPr>
        <w:t>الأضرار المتوجّهة للمجتمع</w:t>
      </w:r>
      <w:bookmarkEnd w:id="167"/>
    </w:p>
    <w:p>
      <w:pPr>
        <w:pStyle w:val="BookText"/>
        <w:rPr/>
      </w:pPr>
      <w:r>
        <w:rPr>
          <w:rFonts w:ascii="IRNazanin" w:hAnsi="IRNazanin" w:eastAsia="IRNazanin"/>
          <w:color w:val="111111"/>
          <w:sz w:val="28"/>
          <w:sz w:val="28"/>
          <w:szCs w:val="28"/>
          <w:rtl w:val="true"/>
          <w:lang w:bidi="fa-IR"/>
        </w:rPr>
        <w:t>لا یمکن إنکار الواقع بأنّ المرأة نصف المجتمع، وهی الأم والأخت والزّوجة والأبنة، وبالتّالی فهی جزء رئیسیّ فی هذا المجتمع لا یمکن تجاهله، ولا یمکن تصوّر مجتمع فاقد المرأة، فاستمرار بقاء المرأة مهانة یعوّق المجتمع من التّقدّم والتّطوّر، حیث فاقد الشّیء لا یعطیه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النّساء مهزوزات غیر قادرات علی اتخاذ القرارات، فکیف بالأجیال القادمة، فهی حتماً ستکون بنفس المستوی، ممّا ینذر بانهیار المجتمع وعدم وجود قوی خلّاقة؛ لأنّ المجتمع القوی المتماسک یبدأ من بناء أسرة صحیحة نفسیّاً وعملیّاً وعلمیّاً</w:t>
      </w:r>
      <w:r>
        <w:rPr>
          <w:rStyle w:val="FootnoteAnchor"/>
          <w:rtl w:val="true"/>
        </w:rPr>
        <w:footnoteReference w:id="234"/>
      </w:r>
      <w:r>
        <w:rPr>
          <w:rFonts w:ascii="IRNazanin" w:hAnsi="IRNazanin" w:eastAsia="IRNazanin"/>
          <w:color w:val="111111"/>
          <w:sz w:val="28"/>
          <w:sz w:val="28"/>
          <w:szCs w:val="28"/>
          <w:rtl w:val="true"/>
          <w:lang w:bidi="fa-IR"/>
        </w:rPr>
        <w:t>وعلی قول الشاعر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النّس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اء 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أمّیة رضع الرّجال جهالة وخمولاً</w:t>
      </w:r>
      <w:bookmarkStart w:id="168" w:name="pg5194_44723"/>
    </w:p>
    <w:p>
      <w:pPr>
        <w:pStyle w:val="Heading3"/>
        <w:numPr>
          <w:ilvl w:val="2"/>
          <w:numId w:val="1"/>
        </w:numPr>
        <w:rPr/>
      </w:pPr>
      <w:bookmarkStart w:id="169" w:name="__RefHeading___Toc37458_581953129"/>
      <w:bookmarkStart w:id="170" w:name="_Toc64"/>
      <w:bookmarkEnd w:id="168"/>
      <w:bookmarkEnd w:id="169"/>
      <w:r>
        <w:rPr>
          <w:rtl w:val="true"/>
        </w:rPr>
        <w:t>المبحث الرّابع</w:t>
      </w:r>
      <w:r>
        <w:rPr>
          <w:rtl w:val="true"/>
        </w:rPr>
        <w:t>:</w:t>
      </w:r>
      <w:r>
        <w:rPr>
          <w:rtl w:val="true"/>
        </w:rPr>
        <w:t>أحکام نشوز الزّوج</w:t>
      </w:r>
      <w:bookmarkEnd w:id="170"/>
    </w:p>
    <w:p>
      <w:pPr>
        <w:pStyle w:val="Heading4"/>
        <w:numPr>
          <w:ilvl w:val="3"/>
          <w:numId w:val="1"/>
        </w:numPr>
        <w:rPr/>
      </w:pPr>
      <w:bookmarkStart w:id="171" w:name="__RefHeading___Toc37460_581953129"/>
      <w:bookmarkStart w:id="172" w:name="_Toc65"/>
      <w:bookmarkEnd w:id="171"/>
      <w:r>
        <w:rPr>
          <w:rtl w:val="true"/>
        </w:rPr>
        <w:t>اشارة</w:t>
      </w:r>
      <w:bookmarkEnd w:id="172"/>
    </w:p>
    <w:p>
      <w:pPr>
        <w:pStyle w:val="BookText"/>
        <w:rPr/>
      </w:pPr>
      <w:r>
        <w:rPr>
          <w:rFonts w:ascii="IRNazanin" w:hAnsi="IRNazanin" w:eastAsia="IRNazanin"/>
          <w:color w:val="111111"/>
          <w:sz w:val="28"/>
          <w:sz w:val="28"/>
          <w:szCs w:val="28"/>
          <w:rtl w:val="true"/>
          <w:lang w:bidi="fa-IR"/>
        </w:rPr>
        <w:t>یحرص الإسلام دائماً علی تجنب الزّوجین المشاکل والخلافات، ویقدّم أنفع الحلول والطّرق المؤدیّة لرفع التّخاصم علی ضوء الحکمة والصّبر والتّسامح، لکن بما أنّ الزّوجان لیسا دمیة بلا إحساس، ولا مخلوقان بلا عواطف، بل إنسانان تحکمهما الأمزجة، وهی قد تختلف وتتحکم فیها الطّباع، فقد تتنافر القلوب وتبتعد، فحینها تصاب الحیاة الزّوجیّة بما لا یستطاع معه العشرة، وتصبح جحیماً بعد أن کان سکناً وراحة؛ وذلک لأسباب کثیرة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فتنهض من تلک الأسباب، عوامل الفشل والأعراض والفرقة، وهنا نجد الإسلام یقیّم کلّ ما یمکن إقامته من هدی علی طریق الزّوجین، ومن تلک الحالات فیما لو نشز الرّجل وقد أخل بواجباته المقرّرة له</w:t>
      </w:r>
      <w:bookmarkStart w:id="173" w:name="pg5194_44724"/>
    </w:p>
    <w:p>
      <w:pPr>
        <w:pStyle w:val="BookText"/>
        <w:rPr/>
      </w:pPr>
      <w:bookmarkEnd w:id="173"/>
      <w:r>
        <w:rPr>
          <w:rFonts w:ascii="IRNazanin" w:hAnsi="IRNazanin" w:eastAsia="IRNazanin"/>
          <w:color w:val="111111"/>
          <w:sz w:val="28"/>
          <w:sz w:val="28"/>
          <w:szCs w:val="28"/>
          <w:rtl w:val="true"/>
          <w:lang w:bidi="fa-IR"/>
        </w:rPr>
        <w:t>اتّجاه زوجته، فما هو الموقف الّذی یمکن أن تتخذه الزّوجة عند سوء معاملة زوجها لها، أو عند الإکراه بل وحتّی فی حالة عدم الإنفاق؟</w:t>
      </w:r>
    </w:p>
    <w:p>
      <w:pPr>
        <w:pStyle w:val="BookText"/>
        <w:rPr/>
      </w:pPr>
      <w:r>
        <w:rPr>
          <w:rFonts w:ascii="IRNazanin" w:hAnsi="IRNazanin" w:eastAsia="IRNazanin"/>
          <w:color w:val="111111"/>
          <w:sz w:val="28"/>
          <w:sz w:val="28"/>
          <w:szCs w:val="28"/>
          <w:rtl w:val="true"/>
          <w:lang w:bidi="fa-IR"/>
        </w:rPr>
        <w:t>لاشک إنّ الشّریعة قد وضعت الحلول اللازمة فی هذا المجال، کما قد وضعتها لنشوز الزّوجة، ففی هذا المبحث سوف نشیر إلی تلک الحلول المطروحة عند قصور الزّوج بواجباته، والّتی قسّمناها إلی قسمین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حالة عدم الانفاق وسوء المعاملة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الاخلال بالحقوق الواجبة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حالة إکراه الزّوجة والضّجر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الاخلال بالحقوق غیر الواجبة</w:t>
      </w:r>
      <w:r>
        <w:rPr>
          <w:rFonts w:eastAsia="IRNazanin" w:cs="IRNazanin"/>
          <w:color w:val="111111"/>
          <w:sz w:val="28"/>
          <w:szCs w:val="28"/>
          <w:rtl w:val="true"/>
          <w:lang w:bidi="fa-IR"/>
        </w:rPr>
        <w:t>)</w:t>
      </w:r>
    </w:p>
    <w:p>
      <w:pPr>
        <w:pStyle w:val="Heading4"/>
        <w:numPr>
          <w:ilvl w:val="3"/>
          <w:numId w:val="1"/>
        </w:numPr>
        <w:rPr/>
      </w:pPr>
      <w:bookmarkStart w:id="174" w:name="__RefHeading___Toc37462_581953129"/>
      <w:bookmarkStart w:id="175" w:name="_Toc66"/>
      <w:bookmarkEnd w:id="174"/>
      <w:r>
        <w:rPr/>
        <w:t>1</w:t>
      </w:r>
      <w:r>
        <w:rPr>
          <w:rtl w:val="true"/>
        </w:rPr>
        <w:t xml:space="preserve">. </w:t>
      </w:r>
      <w:r>
        <w:rPr>
          <w:rtl w:val="true"/>
        </w:rPr>
        <w:t>فی حالة عدم الإنفاق وسوء المعاملة</w:t>
      </w:r>
      <w:bookmarkEnd w:id="175"/>
    </w:p>
    <w:p>
      <w:pPr>
        <w:pStyle w:val="BookText"/>
        <w:rPr/>
      </w:pPr>
      <w:r>
        <w:rPr>
          <w:rFonts w:ascii="IRNazanin" w:hAnsi="IRNazanin" w:eastAsia="IRNazanin"/>
          <w:color w:val="111111"/>
          <w:sz w:val="28"/>
          <w:sz w:val="28"/>
          <w:szCs w:val="28"/>
          <w:rtl w:val="true"/>
          <w:lang w:bidi="fa-IR"/>
        </w:rPr>
        <w:t>إذا امتنع الزّوج عن الإنفاق علی زوجته، أو ساء المعاملة معها، سواء بالسبّ أو الضّرب، وغیر ذلک، فللزوجة فی هذا الحال أن ترفع أمرها إلی الحاکم الشّرعی، شاکیة زوجها فی عدم الانفاق علیها من قِبله أو ولیه، ویقوم الحاکم الشّرعی بتبلیغ الزّوج بشکوی زوجته، وتکون هذه الدّعوی کبقیّة الدّعاوی الّتی تُعرض علی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حضور الزّوج وعجزه عن إبطال دعوی زوجته، یخیّر الحاکم الزّوجة بین البقاء علی هذه الحالة مع الزّوج، أو اتّخاذ الإجراءات فی حقّه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وتتلخص إجراءات الحاکم فی صورة إصرار الزّوج علی عدم الانفاق وعدم وجود مبرر شرعیّ له فی ذلک، فی تأدیبه بما یراه مناسباً فی مثل هذه الحالة</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فقد نصّت المادة رقم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لسنة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للمحکمة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امتنع المحکوم علیه من تنفیذ الحکم الصّادر فی النّفقات، أو أجر الحضانة أو الرضاعة أو المسکن، یرفع ذلک إلی المحکمة الجزائیة الّتی صدّرت الحکم، أو الّتی بدائرتها محل التّنفیذ، ومتّی ثبت لدیها أن المحکوم علیه قادر علی القیام بما حکم به وأمرته ولم یمتثل، حکمت بحبسه، ولا یجوز أن تزید مدّة الحبس عن ثلاثین یوماً</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وعند عدم الجدوی، یتصدّی لبیع ما یوازی مقدار النّفقة من أمواله، وعند عدم الإمکان، أو عدم وجود ما یباع عند الزّوج، فللزّوجة فی مثل هذه الحالة من التّقدّم إلی الحاکم لیطلقها جبراً علیه إن أبی الزوج أن یخلی سبیلها بالطلاق</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ومؤید لما ذُکِرَ کلام الفقهاء المجمع علیه عند تعدّی الزّوج علی زوجته بمنع بعض حقوقها الواجبة علیه، من نفقة أو قسمة وغیر ذلک، فلا ریب أنّ لها مطالبته بما أخل به من الحقوق بنفسها؛ وذلک کما قال السیّد السّبزواری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لقاعدة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لکلّ ذی حقّ مطالبة حقّه ممّن یعطله ویضیّعه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الموافقة للعقل والنّقل، وعن نبینا الأعظم صلی الله علیه و 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لصاحب الحقّ الید واللسان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نجع فیه وعظها وإلّا رفعت أمرها إلی الحاکم</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ومثله ما لو تعدّی علیها بإساءة خلق أو أذیة وضرب بغیر سبب مبیح له ذلک، لکن لیس لها هجره ولا ضربه للأصل وظهور الاجماع واشتمال الآیة المبارکة علی ضرب الزّوج للزوّجة عند نشوزها دون العکس،</w:t>
      </w:r>
      <w:r>
        <w:rPr>
          <w:rStyle w:val="FootnoteAnchor"/>
          <w:rtl w:val="true"/>
        </w:rPr>
        <w:footnoteReference w:id="239"/>
      </w:r>
      <w:r>
        <w:rPr>
          <w:rFonts w:ascii="IRNazanin" w:hAnsi="IRNazanin" w:eastAsia="IRNazanin"/>
          <w:color w:val="111111"/>
          <w:sz w:val="28"/>
          <w:sz w:val="28"/>
          <w:szCs w:val="28"/>
          <w:rtl w:val="true"/>
          <w:lang w:bidi="fa-IR"/>
        </w:rPr>
        <w:t xml:space="preserve">وإن رُجی بهما عوده إلی الحقّ؛ لأنّهما متوقفان علی الأذن الشّرعی، وفی الآیتین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ینبّه علی تفویض ذلک إلیه لا إلیها، وهو اللائق بمقامه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الحاکم إن عرف الحال بإطلاع أو إقرار الزّوج أو بشهود مطّلعین علی حالهما، وإلّا نصّب علیهما ثقة فی جوارهما، أو غیره یخبرهما ویحکم بما یتبیّن، فإن ثبت تعدّی الزّوج نهاه عن فعل ما یحرم، وأمره بفعل ما یجب، فإن عاد إلیه عزّره بما یراه، ولو امتنع من الإنفاق مع قدرته جاز للحاکم أن ینفق علیه من ماله، ولو ببیع شیء من عقاره إذا توقف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ذکره الشّهید الثّانی</w:t>
      </w:r>
      <w:r>
        <w:rPr>
          <w:rStyle w:val="FootnoteAnchor"/>
          <w:rtl w:val="true"/>
        </w:rPr>
        <w:footnoteReference w:id="240"/>
      </w:r>
      <w:r>
        <w:rPr>
          <w:rFonts w:ascii="IRNazanin" w:hAnsi="IRNazanin" w:eastAsia="IRNazanin"/>
          <w:color w:val="111111"/>
          <w:sz w:val="28"/>
          <w:sz w:val="28"/>
          <w:szCs w:val="28"/>
          <w:rtl w:val="true"/>
          <w:lang w:bidi="fa-IR"/>
        </w:rPr>
        <w:t>ومثله فی الجواهر</w:t>
      </w:r>
      <w:r>
        <w:rPr>
          <w:rStyle w:val="FootnoteAnchor"/>
          <w:rtl w:val="true"/>
        </w:rPr>
        <w:footnoteReference w:id="241"/>
      </w:r>
      <w:r>
        <w:rPr>
          <w:rFonts w:ascii="IRNazanin" w:hAnsi="IRNazanin" w:eastAsia="IRNazanin"/>
          <w:color w:val="111111"/>
          <w:sz w:val="28"/>
          <w:sz w:val="28"/>
          <w:szCs w:val="28"/>
          <w:rtl w:val="true"/>
          <w:lang w:bidi="fa-IR"/>
        </w:rPr>
        <w:t xml:space="preserve">وغیر ذلک من الکتب الفقهیّة ولم أرَ مخالف إلّا ما طرحه السیّد الشّیرازی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جاء فی تفسیر الفرقان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السیّد الشّیرازی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حقّ المرأة فی کلّ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النّشوز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کحقّ الرّجل من الوعظ والهجر والضّرب لقوله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لَهُنَّ</w:t>
      </w:r>
    </w:p>
    <w:p>
      <w:pPr>
        <w:pStyle w:val="BookText"/>
        <w:rPr/>
      </w:pPr>
      <w:r>
        <w:rPr>
          <w:rFonts w:ascii="Amiri" w:hAnsi="Amiri" w:eastAsia="Amiri" w:cs="Amiri"/>
          <w:color w:val="111111"/>
          <w:sz w:val="28"/>
          <w:sz w:val="28"/>
          <w:szCs w:val="28"/>
          <w:rtl w:val="true"/>
          <w:lang w:bidi="ar-SA"/>
        </w:rPr>
        <w:t>مِثْلُ الَّذِی عَلَیْهِنَّ بِالْمَعْرُوفِ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ینافی ذلک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لِلرِّجالِ عَلَیْهِنَّ دَرَجَةٌ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الدّرجة إنّما هو فیما فضّل الله بعضهم علی بعض، وفیما انفقوا من أموالهم، کما صرّح به فی الآیة الکریمة، وفی الطّلاق وما أشبه ممّا صرّح به فی النّص والفتوی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ذلک أیضاً؛ لأنّ إرجاع الزّوج إلی الطّاعة لله سبحانه وتعالی فی إعطاء المرأة حقّها 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لِباسٌ لَکُمْ وَ أَنْتُمْ لِباسٌ لَهُنَّ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یدلّ علی التّساوی إلّا فیما خرج، ولیس فی نصّ أو إجماع، أنّه ممّا خرج؛ ولأنّه من الأمر بالمعروف والنّهی عن المنکر، فیشمله إطلاق الأدلّة، ولم یقل أحد فی بابهما بخروج الزّوج بالنّسبة إلی الزّوجة عن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ولجملة من الرّوایات الدّالة علی تساوی الرّجل والمرأة فی الحقوق والواجبات إلّا ما خرج، مثل ما رواه الصّدوق فی عقاب الأعمال عن النبیّ 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امرأة تؤذیه لم یقبل الله صلاتها ولا حسنة من عملها، حتّی تعتبه وترضیه وإن صامت الدّهر وقامت، واعتقت الرّقاب، وانفقت الأموال فی سبیل الله، وکانت أوّل من ترد النّار،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الرّجل مثل ذلک الوزر والعذاب إذا کان لها مؤذیاً، إلی غیر ذلک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ینافی ذلک عدم ذکره فی الآیة بالنّسبة إلی الرّجل مع أنّه ذُکر بالنّسبة</w:t>
      </w:r>
    </w:p>
    <w:p>
      <w:pPr>
        <w:pStyle w:val="BookText"/>
        <w:rPr/>
      </w:pPr>
      <w:r>
        <w:rPr>
          <w:rFonts w:ascii="IRNazanin" w:hAnsi="IRNazanin" w:eastAsia="IRNazanin"/>
          <w:color w:val="111111"/>
          <w:sz w:val="28"/>
          <w:sz w:val="28"/>
          <w:szCs w:val="28"/>
          <w:rtl w:val="true"/>
          <w:lang w:bidi="fa-IR"/>
        </w:rPr>
        <w:t>إلی المرأة؛ لتعارف الثّانی دون الأوّل، ویؤیده أنّه لم یذکر الوعظ أیضاً فیما إذا نشز، وهل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لها وعظه إذا نشز، ولیس ذلک إلّا لعدم التّعارف، ولخوف المرأة من الطّلاق إن فعلت أمثال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أنّ للزّوجة إجبار الزّوج بأخذ حقّها منه، مثل غلق الباب علیه فی لیلة حقّها لیبیت عندها، ومثل تخویفها إن لم یؤدّ حقّها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فهی مخیّرة بین الرّجوع إلی الحاکم وبین أخذ هذه الحقوق علی ما ذکرناه، کما أنّه مخیّر بین الرّجوع إلی الحاکم وبین الهجر وما أشبه، بل والظّاهر أنّ لها المنع عن بعض حقّه فی قبال المنع عن حقّها؛ إذ یظهر من الآیة والرّوایة من التّقابل بین الحقّین، أنّهما کذلک، کمنع نفسها فی قبال منع الزّوج إعطائها مهرها، إلی غیر ذلک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یتوهّم من استفادة اشتراط وجوبه علیها بعدم نشوز الزّوج من النّصوص المتکفلة لبیان حقّ کلّ منهما علی الآخر، حیث یستفاد منها مقابلة حقوق کلّ منهما بحقوق الآخر، ففیه منع استفادة ذلک منها علی نحو یجوز لکلّ منهما الإمتناع عن القیام بحقّ الآخر عند امتناع الآخر عن القیام بحقّه؛ ولذا لم یقل أحد فیما إذا ظهر من الزّوج النّشوز بمنع حقوقها الواجبة من نفقة وقسم ونحوها، بجواز امتناعها عن القیام بحقّه، بل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لها هجره، بل لها المطالبة بحقوقها، وإلّا رفعت أمرها إلی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هذا تمام ما أفاده الشّیرازی فی المقام، إلّا أنّه أتمّه بهذه العبارة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 هو مقتضی الصّناعة، وإلا فللفتوی مقام آخر، 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یشعر بأنّ فتواه مؤیّدة لکلام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وأیدّه صاحب تفسیر الفرقان،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إصلاحها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کإصلاحه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تعظه وتهجره فی المضاجع، أو أن تضربه إن استطاعت أمراً بالمعروف ونهیاً عن المنکر، ولکنها لموضع ضعفها وعدم إمکانیتها لمثلث الإصلاح لم تؤمر به صراحاً، بل أجمل عن إصلاحها إیاه، فادمج فی إصلاحه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یُصْلِحا بَیْنَهُما صُلْحاً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لهما أن یتعاونا فی ذلک الإصلاح دون إفساد، ولا تفارق والصّلح خیر ممّا سواه</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والواقع إنّا لو نظرنا لقوله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امْرَأَةٌ خافَتْ مِنْ بَعْلِها نُشُوزاً أَوْ إِعْراضاً فَلا جُناحَ عَلَیْهِما أَنْ یُصْلِحا بَیْنَهُما صُلْحاً وَ الصُّلْحُ خَیْرٌ وَ أُحْضِرَتِ الْأَنْفُسُ الشُّحَّ وَ إِنْ تُحْسِنُوا وَ تَتَّقُوا فَإِنَّ اللّهَ کانَ بِما تَعْمَلُونَ خَبِیراً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أنّها لم تطبق الإجراءات الّتی رسمتها فی نشوز الزّوجة بالنّسبة إلی الزّوج، لو ظهرت بوادر النّشوز منها، وأهمّها الهجران والضّرب؛ إذ لیس من الهیّن جعل هاتین الوسیلتین بیَد المرأة لتأدیب الزّوج؛ ذلک لأنّ الزّوج مهما تمادی فی أخلاقه فهو ربّ الأسرة وکفیلها، وأیّ قیمة تبقی له فی بیت یشاهد أفراده، الزّوجة تضربه وتنزل به أنواع الإهانات</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ولماذا نذهب بعیداً، فالزوجة نفسها لا تری فی نفسها أیّ تقدیر</w:t>
      </w:r>
      <w:bookmarkStart w:id="176" w:name="pg5194_44730"/>
    </w:p>
    <w:p>
      <w:pPr>
        <w:pStyle w:val="BookText"/>
        <w:rPr/>
      </w:pPr>
      <w:bookmarkEnd w:id="176"/>
      <w:r>
        <w:rPr>
          <w:rFonts w:ascii="IRNazanin" w:hAnsi="IRNazanin" w:eastAsia="IRNazanin"/>
          <w:color w:val="111111"/>
          <w:sz w:val="28"/>
          <w:sz w:val="28"/>
          <w:szCs w:val="28"/>
          <w:rtl w:val="true"/>
          <w:lang w:bidi="fa-IR"/>
        </w:rPr>
        <w:t>لمثل هذا الزّوج، الّذی تطاولت علیه، وحینئذ فأین تکون القوامیّة المفروضة علی المرأة، والبیت الّذی یضم المجموعة من الأم وملحقاتها</w:t>
      </w:r>
      <w:r>
        <w:rPr>
          <w:rFonts w:eastAsia="IRNazanin" w:cs="IRNazanin"/>
          <w:color w:val="111111"/>
          <w:sz w:val="28"/>
          <w:szCs w:val="28"/>
          <w:rtl w:val="true"/>
          <w:lang w:bidi="fa-IR"/>
        </w:rPr>
        <w:t>.</w:t>
      </w:r>
      <w:r>
        <w:rPr>
          <w:rStyle w:val="FootnoteAnchor"/>
          <w:rtl w:val="true"/>
        </w:rPr>
        <w:footnoteReference w:id="244"/>
      </w:r>
    </w:p>
    <w:p>
      <w:pPr>
        <w:pStyle w:val="Heading4"/>
        <w:numPr>
          <w:ilvl w:val="3"/>
          <w:numId w:val="1"/>
        </w:numPr>
        <w:rPr/>
      </w:pPr>
      <w:bookmarkStart w:id="177" w:name="__RefHeading___Toc37464_581953129"/>
      <w:bookmarkStart w:id="178" w:name="_Toc67"/>
      <w:bookmarkEnd w:id="177"/>
      <w:r>
        <w:rPr/>
        <w:t>2</w:t>
      </w:r>
      <w:r>
        <w:rPr>
          <w:rtl w:val="true"/>
        </w:rPr>
        <w:t xml:space="preserve">. </w:t>
      </w:r>
      <w:r>
        <w:rPr>
          <w:rtl w:val="true"/>
        </w:rPr>
        <w:t>فی حالة إکراه الزّوجة والضّجر منها</w:t>
      </w:r>
      <w:bookmarkEnd w:id="178"/>
    </w:p>
    <w:p>
      <w:pPr>
        <w:pStyle w:val="BookText"/>
        <w:rPr/>
      </w:pPr>
      <w:r>
        <w:rPr>
          <w:rFonts w:ascii="IRNazanin" w:hAnsi="IRNazanin" w:eastAsia="IRNazanin"/>
          <w:color w:val="111111"/>
          <w:sz w:val="28"/>
          <w:sz w:val="28"/>
          <w:szCs w:val="28"/>
          <w:rtl w:val="true"/>
          <w:lang w:bidi="fa-IR"/>
        </w:rPr>
        <w:t>وفی حالة خوف الزّوجة من بعلها نشوزاً،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تجافیاً عنها وترفعاً عن مصاحبتها، کراهة لها ومنعاً لحقوقها أو إعراضاً، بأن یقل مجالستها ومحادثتها ولا یأنس بها، ففی مثل هذه الحالة یجمل بالزّوجین أن یجلسا مجلساً هادئاً بعیداً عن الانفعالات النّفسیّة والتّوترات الشّعوریّة، لا أنّ الزّوجة تقابل النّشوز بمثله، والإعراض بالصّد؛ فإنّ ذلک یوسع الهوة بینهما ویفک الأسرة، وینتهی الأمر إلی شقاق لا لقاء بعده، فالمرأة مدعوة فی هذه الحالة إلی الصّبر والحکمة والتّصرف بدقة إن تحسّست من زوجها النّفور، حفاظاً علی الرّابطة الزّوجیّة، فتستطیع بسیاستها وحنکتها وحسّها الأنثوی أن تتبیّن سبب الإعراض والجفاء، وتحاول إزالة هذه الأسباب وإصلاح الحال، والتّعرف علی مواطن الدّاء والعلّة لعلاجها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معنی ذلک إنّ أیّ إعراض من الرّجل یعتبر نشوزاً، فهناک کثیر من المسائل الحیاتیّة المهمّة قد تشغل باله وتأخذ من وقته وجهده الکثیر، کالمسائل الاقتصادیّة والسّیاسیّة، أو العلمیّة والعملیّة، یستغرق فیها طاقته وجهده، فیأتی إلیها وهو مجهد متعب لا یستطیع معها مناغاتها ومسامرتها ومباعلتها، فالواجب علیها أن تتبیّن کلّ هذه الأسباب، وتثبت فیما تراه وتشعر</w:t>
      </w:r>
    </w:p>
    <w:p>
      <w:pPr>
        <w:pStyle w:val="BookText"/>
        <w:rPr/>
      </w:pPr>
      <w:r>
        <w:rPr>
          <w:rFonts w:ascii="IRNazanin" w:hAnsi="IRNazanin" w:eastAsia="IRNazanin"/>
          <w:color w:val="111111"/>
          <w:sz w:val="28"/>
          <w:sz w:val="28"/>
          <w:szCs w:val="28"/>
          <w:rtl w:val="true"/>
          <w:lang w:bidi="fa-IR"/>
        </w:rPr>
        <w:t>به من إمارات النّشوز والإعراض، فإن کان کما شرحنا، أو غیرها من الأسباب، فإنّه یجب علیها الصّبر والتّحمل ومساعدته إن استطاعت إلی ذلک سبیلاً، وأن تهیئ له جواً من الرّاحة النّفسیّة والسّکون الرّوحیّ فی الدّار، وتزیل عنه الکرب والشّقاء بلطافتها وحنانها، وما یلاقیه من متاعب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وغالباً ما تزول أسباب الخلاف إن راعت الزّوجة مثل هذه الأمور فی حیاتها الزّوجیّة، والإسلام یدعو إلی بذل کلّ الجهود؛ لتثبیت دعائم الحیاة وتقویة عراها؛ لأنّ رابطة الزّوجیّة من أعظم الرّوابط وأحقّها بالحفظ، ومیثاقها أغلظ المواثیق وأجدرها بالوفاء</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وإلّا فنری الآیة الکریمة تنحو نحواً آخر فی معالجة الموقف من قبل الزّوجة، یتلخص فی استمالة الزّوج إلی جانبها، عبّرت عنه بالصّلح، والّذی فُسّر باسترضاء الزّوج بإسقاط بعض ما لها من الحقّ علیه، من مال أو قسمة أو ما شاکل ذلک، ممّا یجلب رضاه</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قال صاحب الجواهر فی هذا المجال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لا یمنعها شیئاً من حقوقها الواجبة ولا یفعل ما یحرم علیه بها، إلّا أنّه یکره صحبتها لکبر أو غیره، فیهمّ بطلاقها، فلها ترک بعض حقوقها أو جمیعها من قسمة أو نفقة؛ استمالة له ویحل للزّوج قبول ذلک بلا خلاف أجده فیه، بل الإجماع بقسمیه علیه، مضافاً إلی الأصل والکتاب والسنّة</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وفی المسالک مثل ما جاء به صاحب الجواهر، إضافة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ما ذکر حکم بذلها الحقّ مع عدم تقصیره، وظاهر الآیة جواز قبوله ذلک وحلّه له، وإن کان آثماً فی نشوزه؛ لأنّ مثل ذلک لا یعد إکراهاً علی بذل حقّها، وإن أثم فی تقصیره</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وجاء فی المهذب للسیّد 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ترک بعض حقوقها الواجبة، أو آذاها بالضّرب أو الشتم، وغیر ذلک، فبذلت مالاً أو ترکت بعض حقوقها لیقوم بما ترک من حقها أو لیمسک عن آذیتها أو لیخلعها فتخلص من یده، حرم علیه ما بذلت؛ لأنّها حینئذ کالمظلوم الّذی یبذل ماله للتخلّص عن ظلم الظّالم، فالأخذ حرام عقلاً وإجماعاً، وإن کان البذل منها یجوز حفظاً للنفس حینئذ</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أمّا الرّوایات فی المقام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أبی عبدالله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امْرَأَةٌ خَافَتْ مِنْ بَعْلِهَا نُشُوزًا أَوْ إِعْرَاضًا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المرأة تکون عند الرّجل فیکرهها، فیقول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أرید أن أطلّقک، 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إنّی أکره أن تشمت بی، ولکن انظر فی لیلتی، فاصنع بها ما شئت</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وعن علی أبی حمزة،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علیه السلام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امْرَأَةٌ خافَتْ مِنْ بَعْلِها نُشُوزاً أَوْ إِعْراضاً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کذلک فهم بطلاقها قالت</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امسکنی وادع لک بعض ما علیک واحلّلک من یومی ولیلتی، حلّ ذلک ولاجناح علیهما</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وعن أبی الحسن الرّضا علیه السلام فی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امْرَأَةٌ خافَتْ مِنْ بَعْلِها نُشُوزاً أَوْ إِعْراضاً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النّشوز، الرّجل یهمّ بطلاق امرأته فتقول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 ما علی ظهرک، وأعطیک کذا وکذا وأحلّلک من یومی ولیلتی علی ما اصطلحا فهو جائز</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وعن زرارة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أبو جعفر علیه السلام عن النّهاریة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ولکنّه إن تزوج امرأة فخافت منه نشوزاً، أو خافت أن یتزوج علیها أو یطلّقها، فصالحته من حقّها علی شیء من نفقتها، أو قسمتها، فإنّ ذلک جائز لا بأس به</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وقال صاحب الحدائق بعد ذکر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الأخبار بعد حمل مطلقها علی مقیّدها، ومجملها علی مبینها، ظاهرة الاتفاق فی تخصیص صحة الصّلح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وبراءة ذمة الزّوج ممّا أسقطته عنه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لو کرهها أو أراد التّزویج علیها، أو نحو ذلک، ممّا لا یتضمن إخلالاً بواجب أو ارتکاب محرم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وبذلک یظهر ضعف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أو أخل الزّوج بحقوقها</w:t>
      </w:r>
    </w:p>
    <w:p>
      <w:pPr>
        <w:pStyle w:val="BookText"/>
        <w:rPr/>
      </w:pPr>
      <w:r>
        <w:rPr>
          <w:rFonts w:ascii="IRNazanin" w:hAnsi="IRNazanin" w:eastAsia="IRNazanin"/>
          <w:color w:val="111111"/>
          <w:sz w:val="28"/>
          <w:sz w:val="28"/>
          <w:szCs w:val="28"/>
          <w:rtl w:val="true"/>
          <w:lang w:bidi="fa-IR"/>
        </w:rPr>
        <w:t>الواجبة أو بعضها، فترکت له بعض الحقوق، جاز ذلک وبرئت ذمته وإن کان آثماً فی نشوزها؛ لأنّ الآیة بمقتضی الرّوایات الّتی وردت بتفسیرها، أکثرها صریح فی تخصیص ذلک بکراهته لها ونحو ذلک دون الإخلال بالحقوق الواجبة علیه لها، وما أطلق فقرائن ألفاظه ظاهر فی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فإنّ المستفاد من الآیة والأخبار أنّ النّشوز الموجب لصحة الصّلح بإسقاط بعض الحقوق، هو ما لم یتحقق إخلال الزّوج بشیء من الحقوق الواجبة علیه، علی أنّه متی کان القسم والنّفقة من الأمور الواجبة علیه، فترکت له النّفقة مثلاً لأجل القسم، فإنّه یکون هذا التّرک لا فی مقابلة عوض؛ لأنّ القسم واجب علیه، ترکت النّفقة أم لم تترکها، فیکون إسقاط النّفقة من غیر سبب یوجبه قبیحاً، ولو قهرها علی بذل ما ترکت له، فلا ریب فی عدم حلّه؛ لأنّه أکراه بغیر حقّ شرعیّ</w:t>
      </w:r>
      <w:r>
        <w:rPr>
          <w:rFonts w:eastAsia="IRNazanin" w:cs="IRNazanin"/>
          <w:color w:val="111111"/>
          <w:sz w:val="28"/>
          <w:szCs w:val="28"/>
          <w:rtl w:val="true"/>
          <w:lang w:bidi="fa-IR"/>
        </w:rPr>
        <w:t>.</w:t>
      </w:r>
      <w:r>
        <w:rPr>
          <w:rStyle w:val="FootnoteAnchor"/>
          <w:rtl w:val="true"/>
        </w:rPr>
        <w:footnoteReference w:id="254"/>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تتحدّث الآیات عن حالة نشوز الزّوج وتمرده علی أداء حقوق الزّوجة الشّرعیّة؛ وقد أثیرت المسألة فی أبحاث الفقه، واختلفت الآراء فی موقف الزّوجة، هل تکتفی برفع أمرها إلی الحاکم الشّرعی لیجبره علی أداء حقوقها الشّرعیّة، أم یجوز لها أن تتصرف بأسالیبها الخاصّة؛ فتمنعه بعض حقوقه علیها، علی أساس المعاملة بالمثل، أم یفصل بین الحالات؟</w:t>
      </w:r>
    </w:p>
    <w:p>
      <w:pPr>
        <w:pStyle w:val="BookText"/>
        <w:rPr/>
      </w:pPr>
      <w:r>
        <w:rPr>
          <w:rFonts w:ascii="IRNazanin" w:hAnsi="IRNazanin" w:eastAsia="IRNazanin"/>
          <w:color w:val="111111"/>
          <w:sz w:val="28"/>
          <w:sz w:val="28"/>
          <w:szCs w:val="28"/>
          <w:rtl w:val="true"/>
          <w:lang w:bidi="fa-IR"/>
        </w:rPr>
        <w:t>ذهب الکثیرون إلی أنّ المسألة مربوطة بقرار الحاکم؛ لأنّ الله لم یجعل لها أمر تنفیذ حدوده، کما جعل للرّجل ذلک من خلال صفة القوامة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امتناعها عن أداء حقوقه فلا مبرر له؛ لأنّ معصیته لله فی أمرها لا تبرر لها المعصیة فی أمره، بعد أن کان لکلّ واحد منهما تکلّیف مستقل لا یرتبط بالآخر، فإذا رفعت أمرها إلی الحاکم، فیمکن للحاکم أن یطّلق بنفسه إذا امتنع الزّوج من الطّلاق والإنفاق، بعد تخییره بینهما؛ وذلک إذا کانت الحالة حالة النّشوز عن النّفقة؛ ویمکنه أن یجبره فی حالات أُخری علی حسب القانون الشّرعیّ المتبع فی مثل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البعض إلی أنّ لها الحقّ فی الامتناع؛ لما یفهمه من المقابلة بین الحقوق، فللزّوج الحقّ علی زوجته مقابل ما لها من الحقّ علیه، فإذا امتنع عن أداء ذلک کان لها الحقّ فی الإمتناع</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وتحفّظ بعض آخر، فلم یجزم بأحد الرأیین؛ لأنّ القضیة باقیة لدیه‌فی حدود الإشکال الّذی یبحث عن الوضوح، والله العالم بحقائق‌أحکامه</w:t>
      </w:r>
      <w:r>
        <w:rPr>
          <w:rFonts w:eastAsia="IRNazanin" w:cs="IRNazanin"/>
          <w:color w:val="111111"/>
          <w:sz w:val="28"/>
          <w:szCs w:val="28"/>
          <w:rtl w:val="true"/>
          <w:lang w:bidi="fa-IR"/>
        </w:rPr>
        <w:t>.</w:t>
      </w:r>
      <w:r>
        <w:rPr>
          <w:rStyle w:val="FootnoteAnchor"/>
          <w:rtl w:val="true"/>
        </w:rPr>
        <w:footnoteReference w:id="255"/>
      </w:r>
      <w:bookmarkStart w:id="179" w:name="pg5194_44741"/>
    </w:p>
    <w:p>
      <w:pPr>
        <w:pStyle w:val="Heading2"/>
        <w:numPr>
          <w:ilvl w:val="1"/>
          <w:numId w:val="1"/>
        </w:numPr>
        <w:rPr/>
      </w:pPr>
      <w:bookmarkStart w:id="180" w:name="__RefHeading___Toc37466_581953129"/>
      <w:bookmarkStart w:id="181" w:name="_Toc68"/>
      <w:bookmarkEnd w:id="179"/>
      <w:bookmarkEnd w:id="180"/>
      <w:r>
        <w:rPr>
          <w:rtl w:val="true"/>
        </w:rPr>
        <w:t>خلاصّة البحث</w:t>
      </w:r>
      <w:bookmarkEnd w:id="181"/>
    </w:p>
    <w:p>
      <w:pPr>
        <w:pStyle w:val="BookText"/>
        <w:rPr/>
      </w:pPr>
      <w:r>
        <w:rPr>
          <w:rFonts w:ascii="IRNazanin" w:hAnsi="IRNazanin" w:eastAsia="IRNazanin"/>
          <w:color w:val="111111"/>
          <w:sz w:val="28"/>
          <w:sz w:val="28"/>
          <w:szCs w:val="28"/>
          <w:rtl w:val="true"/>
          <w:lang w:bidi="fa-IR"/>
        </w:rPr>
        <w:t>غالباً ما نسمع فی حیاتنا عن النّشوز، ونری اتّصاف المرأة بها من قبل عامّة النّاس، دون معرفتهم بنشوز الزّوج أیضاً، بل ویعتبرون التّخلی وقصور الزّوجة فی کلّ أمر یجعلها ناشزة، وحینئذ یصبح کلّ الحقّ لدی الزّوج باستخدام شتی وسائل العنف ضدها، لکن الشّریعة الإسلامیّة لم تکن آحادیة النّظرة فی معالجتها للمواضیع الاجتماعیّة، فکما راعت حقوق الزّوج، کذلک راعت حقوق الزّوجة، وأعطت لکلّ منهما حقّاً یختصّ به، وبالتّخلف عن هذا الحقّ یصبح کلّ منهما ناشزاً دون التّبعیض، کما أنّ النّشوز له آثاره الّذی لا تتوقف علی موضع الزّوجین فقط، بل تمتد لکی تسلب راحة الأطفال والمجتمع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ختام هذا البحث، أود أن أشیر إلی مجموعة من النّتائج الّتی توصلنا إلیها، والّتی یمکن تلخیصها بما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مساواة الشّریعة بین المرأة والرّجال ولا فارق إلّا بالتّقوی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لکلّ من الزّوجین حقّ، وفی قباله واجب یجب الإلتزام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یتحقّق النّشوز بالتّخلی عن الحقّ المقرّر من قبل التّشریع الصّادر، ولیس کلّ أمر موجباً للنّشوز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یترک النّشوز آثاره ابتداءً علی الزّوجین بتغییر سلوکهم، ثمّ یمتد إلی أن یتصل إلی الأطفال، وبالتّالی إلی المجتمع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الشّارع أحکاماً للمرأة النّاشزة، کما أنّه سلب منها النّفقة الموضوعة لها قبال التّمکین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کذلک وضع الشّارع أحکاماً للرّجل النّاشز بسبب عدم إنفاقه أو سوء خلقه مع زوجته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w:t>
      </w:r>
      <w:bookmarkStart w:id="182" w:name="pg5194_44745"/>
    </w:p>
    <w:p>
      <w:pPr>
        <w:pStyle w:val="Heading2"/>
        <w:numPr>
          <w:ilvl w:val="1"/>
          <w:numId w:val="1"/>
        </w:numPr>
        <w:rPr/>
      </w:pPr>
      <w:bookmarkStart w:id="183" w:name="__RefHeading___Toc37468_581953129"/>
      <w:bookmarkStart w:id="184" w:name="_Toc69"/>
      <w:bookmarkEnd w:id="182"/>
      <w:bookmarkEnd w:id="183"/>
      <w:r>
        <w:rPr>
          <w:rtl w:val="true"/>
        </w:rPr>
        <w:t>المصادر</w:t>
      </w:r>
      <w:bookmarkEnd w:id="1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الطّلاق بین الشّریعة والقانون،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ثریا بن سعد، المغاربیّة للطباعة والاشهار،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أحکام الأسرة فی الإسلام، المستشار حسن حسانین، دار الآفاق العربیّة الطّبعة الأولی،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الأحوال الشّخصیة، السّید محمّد النّجفی، منشورات المرکز العالمی للدّراسات الإسلامیّة، الطبعة الأولی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الشّیخ الطّوسی، دار الکتب الإسلامیّة، الطّبعة الرّابعة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الأسرة المسلمة والأسرة المعاصرة،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عبدالغنی عبود، دار الفکر العربی، الطّبعة الأولی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الأصول العامّة للفقه المقارن، السیّد محمدتقی الحکیم الطباطبایی، المجمع العالمی لأهل البیت، الطبعة الثّانیة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الأمثل فی تفسیر کتاب الله المنزل، الشیخ ناصر مکارم الشیرازی، مؤسسة البعثة، 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 المحیط، أبو حیان الأندلسی الغرناطی، دار الفکر،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البیع، الإمام الخمینی، مؤسسة تنظیم ونشر آثار الإمام الخمینی، الطّبعة الأولی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التبیان، الشّیخ الطّوسی، مؤسسة النّشر الإسلامی تابعة لجماعة المدرسین بقم المقدّسة، الطّبعة الأولی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علی بن إبراهیم القمی، مؤسسة الأعلمی، الطّبعة 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الکبیر، الإمام محمد الرازی، دار الفکر،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الحدائق النّاضرة، الشیخ یوسف البحرانی، دار الأضواء، الطّبعة الثّالثة،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الروضة البهیة فی شرح اللمعة الدمشقیة، الشّهید زین الدین الجبعی العاملی، منشورات دار التّفسیر، الطّبعة التّاسعة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الزواج فی القرآن والسنة، عزّ الدین بحر العلوم، دار الزهراء، الطّبعة الثّالثة،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الصّحاح، الجوهری، دار المعرفة، الطّبعة الأولی،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العلاقات الزّوجیّة، منصور عبدالحکیم، دار الکتب العربی، الطّبعة الأولی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العنف ضد المرأة،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عبلة عبدالعزیز، دار النّهضة العربیة،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الفرقان فی تفسیر القرآن، محمد الصّادقی، انتشارات فرهنگ إسلامی، الطّبعة 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السیّد محمد الحسینی الشّیرازی، دار العلوم للتّحقیق والطّباعة، الطّبعة الثّانیة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القاموس الفقهی،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سعیدی أبو حبیب، دار الفکر، الطّبعة 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الکلینی، إحیاء الکتب الإسلامیّة، الطّبعة الأولی،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فی الفقه، أبو الصّلاح الحلبی، مکتبة الإمام أمیر المؤمنین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المبادئ القانونیّة العامّة،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بوذیاب، المؤسسة الجامعیّة للدّراسات والنّشر،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المبسوط، الشّیخ الطوسی، المکتبة المرتضویة لإحیاء الآثار الجعفریّة، الطّبعة الثّانیة،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المدخل للعلوم القانونیّة،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مصباح شلیبک، الجامعة المفتوحة طرابلس، الطّبعة الأولی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المغنی، ابن قدامة، 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المفردات، الرّاغب الأصفهانی، دفتر نشر الکتاب،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المکاسب، الشّیخ الأنصاری، مجمع الفکر الإسلامی، الطّبعة الثّامنة،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المهذب، عبدالعزیز بن البراج الطّرابلسی، مؤسسة النّشر الإسلامی التّابعة لجماعة المدرسین بقم،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المهذب البارع، ابن فهد الحلّی، مؤسسة النّشر الإسلامی التّابعة لجماعة المدرسین بقم، الطّبعة الثّانیة،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الموسوعة الفقهیة المیسرة، محمّد رواس قعله جی، دار النّفائس، الطّبعة الأولی،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فی تفسیر القرآن، العلّامة الطّباطبائی، مؤسسة الأعلمی، 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النظام التّربوی فی الإسلام، باقر شریف القرشی، دار الکتب الإسلامیة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النظام القانونی للأسرة فی التّشریع الإسلامی،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محجوب، المعهد العالمی للدراسات الإسلامیّة،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ایضاح الفوائد، فخر المحققین ابن العلّامة الحلّی، مؤسسة إسماعیلیان، الطّبعة الأولی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العلامة المجلسی، دار التعارف للمطبوعات، الطّبعة الأولی،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بلغة الفقیه، السیّد محمد آل بحر العلوم، منشورات مکتبة الصّادق، الطّبعة الرّابعة،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الأسرة المسلمة، الشّیخ خالد عبدالرّحمن العک، دار المعرفة، الطبعة الخامسة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العروس، مرتضی الزبیدی، مؤسسة إحیاء التراث العربی، الطبعة الأولی،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تأملات إسلامیة حول المرأة، السید محمد حسین فضل الله، دار الکتب الإسلامیّة، الطّبعة الأولی،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تحریر الأحکام، العلامة الحلی، مؤسسة الإمام الصّادق، الطّبعة الأولی،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الشّعراوی، محمد متولی الشّعراوی، إخبار الیوم قطاع الثقافة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الکاشف، محمد جواد مغنیة، دار الکتب الإسلامیة، الطّبعة الأولی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اللباب فی علوم الکتاب، أبی حفص عمر بن علی، دار الکتب العلمیّة، الطّبعة الأولی،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المراغی، أحمد مصطفی المراغی، دار الفکر،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المنار، محمد رشید رضا، دار المعرفة،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الأحکام، الشّیخ الطّوسی، دار الاضواء، الطّبعة الثّانیة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المدارک، السیّد أحمد الخوانساری، مؤسسة إسماعیلیان، الطّبعة الثّانیة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الکلام، محمّد حسن النّجفی، دار الکتب الإسلامیة، الطّبعة الرّابع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المکاسب، المحقّق الیزدی، دار المصطفی صلی الله علیه و آله لإحیاء التّراث، الطّبعة الأولی،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وحکم وتکلیف، سیف الله صارمی، پژوهشگاه علوم وفرهنگ إسلامی، الطّبعة الأولی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الإنسان، مجموعة مؤلفین، مرکز الحضارة لتنمیة الفکر الإسلامی، الطّبعة الأولی،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المرأة فی النّظام الإسلامی، الشّهید المطهری، مؤسسة الأعلمی، الطّبعة الأولی،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دروس فی القانون،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محمد الجمال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عبدالرحمن، الدّار المصریّة للطّباعة والنّشر،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ریاض المسائل، السیّد علی الطّباطبائی، مؤسسة آل البیت لإحیاء التّراث، الطّبعة الأولی،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سیکولوجیة القهر الأسری،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رشاد علی عبدالعزیز موسی، عالم الکتب، الطّبعة الأولی،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شرائع الإسلام، المحقّق الحلی، نشر الفقاهة، الطّبعة الأولی،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فتح القدیر، ابن الهمام،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الأسرة، حسن موسی الصّفار، دار الهادی، الطّبعة الأولی،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 الصادق، السیّد الرّوحانی، مؤسسة دار الکتاب، الطّبعة الثّالثة،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قضایا المجتمع والأسرة والزّواج، العلّامة الطّباطبائی، دار الصّفوة، الطّبعة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اللثام عن قواعد الأحکام، الفاضل الآبی، مؤسسة النشر الإسلامی، الطبعة الثانیة،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الأحکام، العلامة محمد باقر السّبزواری، مؤسسة النّشر الإسلامی التّابعة لجامعة المدرسین بقم،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ابن منظور، دار صادر، الطّبعة الأولی،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وراء الفقه، السیّد محمد الصّدر، المحبین للطّباعة والنّشر، الطّبعة الرّابعة،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الطّریحی، دار إحیاء التّراث العربی، الطّبعة الثّانیة،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الطّبرسی، مؤسسة الأعلمی،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مختلف الشیعة، العلامة الحلی، مکتب الأعلام الإسلامی، الطّبعة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العقول فی شرح أحبار آل الرسول، العلامة المجلسی، دار الکتب الإسلامیّة، الطّبعة الأولی،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حرجة فی فقه المرأة، الشّیخ محمّد مهدی شمس الدّین، المؤسسة الدولیّة للدّراسات والنّشر، الطّبعة الأولی،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مسالک الإفهام، زین الدین بن علی العاملی، مؤسسة المعارف الإسلامیّة، الطّبعة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مستند الشّیعة، المحقّق النّراقی، مؤسسة آل البیت لإحیاء التّراث، الطّبعة الأولی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الفقاهة، السیّد الخوئی، مؤسسة نشر الفقاهة، الطّبعة الأولی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ألفاظ الفقه الجعفری،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فتح الله، مطابع المدوخل،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الصّدوق، دار الأضواء، الطّبعة الثّانیة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وحی القرآن، السیّد محمد حسین فضل الله، دار الملاک، الطّبعة الثّانیة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مهذب الأحکام، السیّد عبدالأعلی السّبزواری، دفتر آیة الله العظمی السیّد السّبزواری، الطّبعة الرّابعة،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مواهب الرّحمن، السیّد عبدالأعلی السّبزواری، انتشارات دار التّفسیر، الطّبعة الثّانیة،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نظریة الحقّ،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سامی مرکود، دار الفکر العربی،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نفقات الزّوجة فی التّشریع الإسلامی، الشّیخ عارف البصری، الدّار الإسلامیّة، الطّبعة الأولی،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نهایة المرام، السیّد محمد العاملی، مؤسسة النّشر الإسلامی التّابعة لجماعة المدرسین بقم، 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الحر العاملی، المکتبة الإسلامیّة، الطبعة الخامسة،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 إسماعیل بن حماد،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الطّریحی، فخرالدین،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الاصفهانی، 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الزّبیدی، محمد مرتضی،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الدکتور أحمد فتح الله، معجم ألفاظ الفقه الجعفری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الدکتور سعدی أبو حبیب، القاموس الفقهی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الآبی، کشف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 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النراقی، محمد مهدی، مستند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الروحانی، محمد، فقه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محمدبن مکرم،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ألفاظ الفقه الجعفری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الخوانساری، أحمد، جامع المدارک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السّبزواری، عبدالأعلی، 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الحلی، نجم‌الدین أبوالقاسم جعفربن الحسن،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تحریر الاحکام الشرعیة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البحرانی، یوسف،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الطباطبائی، علی، 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النجفی، محمدحسن، 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209/31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فهد الحلی، مهذب البارع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 محمدبن الحسن،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الأنصاری، مرتضی،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الیزدی، حاشیة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الخمینی، روح‌الله، البیع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بحر العلوم، السید محمد، بلغة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المبادئ القانونیّة العامّة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الدّکتور مصطفی محمد الجمال والدّکتور حمدی عبدالرّحمن، دروس فی القانون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الدّکتور مصطفی مصباح شلیبک، المدخل للعلوم القانونیة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نظریّة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الحکیم، السیّد محمدتقی، الأصول العامة للفقه المقارن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ألفاظ الفقه الجعفری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رواس قلعة جی، الموسوعة الفقهیة المیسرة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 ابوالقاسم، 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سیف الله صارمی ترجمة، حقّ وحکم وتکلیف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الصدر، السید محمد، ماوراء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تکوین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منصور عبد الحکیم، عن العلاقات الزّوجیّة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عبد الکریم، العلاقات الزّوجیّة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الغنی عبود، عن الأسرة المسلمة والأسرة المعاصرة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العلاقات الزّوجیّة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الطباطبائی، محمدحسین، قضایا المجتمع والأسرة والزواج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وکذا فی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قضایا المجتمع والأسرة والزّواج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الأسرة المسلمة والأسرة المعاصرة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قضایا المجتمع والأسرة والزّواج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الفضل بن الحسن،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مغنیة، محمّدجواد، الکاشف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فضل الله، محمد حسین، من وحی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محمدبن یعقوب،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692/2</w:t>
      </w:r>
      <w:r>
        <w:rPr>
          <w:rFonts w:ascii="IRNazanin" w:hAnsi="IRNazanin" w:eastAsia="IRNazanin"/>
          <w:b w:val="false"/>
          <w:b w:val="false"/>
          <w:bCs w:val="false"/>
          <w:i w:val="false"/>
          <w:i w:val="false"/>
          <w:iCs w:val="false"/>
          <w:color w:val="333333"/>
          <w:sz w:val="20"/>
          <w:sz w:val="20"/>
          <w:szCs w:val="20"/>
          <w:rtl w:val="true"/>
        </w:rPr>
        <w:t>؛ العلامة المجلسی، محمدباقر،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248/103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507/5</w:t>
      </w:r>
      <w:r>
        <w:rPr>
          <w:rFonts w:ascii="IRNazanin" w:hAnsi="IRNazanin" w:eastAsia="IRNazanin"/>
          <w:b w:val="false"/>
          <w:b w:val="false"/>
          <w:bCs w:val="false"/>
          <w:i w:val="false"/>
          <w:i w:val="false"/>
          <w:iCs w:val="false"/>
          <w:color w:val="333333"/>
          <w:sz w:val="20"/>
          <w:sz w:val="20"/>
          <w:szCs w:val="20"/>
          <w:rtl w:val="true"/>
        </w:rPr>
        <w:t>؛ العلامة المجلسی، محمدباقر،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573/2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المحققین، ابن العلّامة الحلّی، إیضاح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السبزواری، السید محمد باقر، 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الحلبی، أبو الصلاح، 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ابن البراج،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الدین، الشیخ محمد مهدی، مسائل حرجة فی فقه المرأة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146/31</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587/24</w:t>
      </w:r>
      <w:r>
        <w:rPr>
          <w:rFonts w:ascii="IRNazanin" w:hAnsi="IRNazanin" w:eastAsia="IRNazanin"/>
          <w:b w:val="false"/>
          <w:b w:val="false"/>
          <w:bCs w:val="false"/>
          <w:i w:val="false"/>
          <w:i w:val="false"/>
          <w:iCs w:val="false"/>
          <w:color w:val="333333"/>
          <w:sz w:val="20"/>
          <w:sz w:val="20"/>
          <w:szCs w:val="20"/>
          <w:rtl w:val="true"/>
        </w:rPr>
        <w:t>؛ 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حرجة فی فقه المرأة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حرجة فی فقه المرأة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حرجة فی فقه المرأة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السبزواری، عبدالأعلی، مواهب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الشّیرازی، السیّد محمدحسین،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364/67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حفص عمر بن علی، تفسیر 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محمدبن الحسن، 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رشید رضا، تفسیر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239/103</w:t>
      </w:r>
      <w:r>
        <w:rPr>
          <w:rFonts w:ascii="IRNazanin" w:hAnsi="IRNazanin" w:eastAsia="IRNazanin"/>
          <w:b w:val="false"/>
          <w:b w:val="false"/>
          <w:bCs w:val="false"/>
          <w:i w:val="false"/>
          <w:i w:val="false"/>
          <w:iCs w:val="false"/>
          <w:color w:val="333333"/>
          <w:sz w:val="20"/>
          <w:sz w:val="20"/>
          <w:szCs w:val="20"/>
          <w:rtl w:val="true"/>
        </w:rPr>
        <w:t>؛ الحر العاملی، محمدبن الحسن،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حرجة فی فقه المرأة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رشاد علی عبد العزیز، سیکولوجیة القهری الأسری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القرشی، باقر شریف، النظام التربوی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حسن موسی، فقه الأسرة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الدین، الشیخ محمد مهدی، حقوق الزّوجیّة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الأسرة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فضل الله، محمدحسین، تأملات إسلامیّة حول المرأة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533/24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العاملی، السید محمد، نهایة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وحی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العک، الشیخ خالد عبدالرحمن، بناء الأسرة المسلمة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العلوم، عزالدین، الزّواج فی القرآن والسنّة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علی بن إبراهیم، التفسیر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533/24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الزّواج فی القرآن والسنة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الأسرة المسلمة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الشیرازی، الشیخ ناصر مکارم، الأمثل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الزّواج فی القرآن والسنة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534/24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373/67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577/2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المستشار حسن حسانین، أحکام الأسرة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همام، فتح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حرجة فی الفقه المرأة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عارف البصری، نفقات الزوجة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قدامة، 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302/31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302/31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البصری، الشیخ عارف، النفقات الزّوجیّة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حرجة فی فقه المرأة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509/21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511/5</w:t>
      </w:r>
      <w:r>
        <w:rPr>
          <w:rFonts w:ascii="IRNazanin" w:hAnsi="IRNazanin" w:eastAsia="IRNazanin"/>
          <w:b w:val="false"/>
          <w:b w:val="false"/>
          <w:bCs w:val="false"/>
          <w:i w:val="false"/>
          <w:i w:val="false"/>
          <w:iCs w:val="false"/>
          <w:color w:val="333333"/>
          <w:sz w:val="20"/>
          <w:sz w:val="20"/>
          <w:szCs w:val="20"/>
          <w:rtl w:val="true"/>
        </w:rPr>
        <w:t>؛ الطوسی، محمدبن الحسن،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330/31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حرجة فی فقه المرأة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نفقات الزوجة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وحی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الاحکام الشّرعیّة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المطهری، مرتضی، حقوق المرأة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237/103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الشعراوی، محمد متولی، تفسیر الشعراوی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2088/4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الزّواج فی القرآن والسنة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121/14</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حرجة فی فقه المرأة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حرجة فی فقه المرأة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المراغی، أحمد مصطفی، تفسیر المراغی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الأندلسی، أبو حیان، البحر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وحی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حرجة فی فقه المرأة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حرجة فی فقه المرأة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حرجة فی فقه المرأة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 زین‌الدین بن علی، 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النجفی، السید محمد، الأحوال الشّخصیّة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170/20</w:t>
      </w:r>
      <w:r>
        <w:rPr>
          <w:rFonts w:ascii="IRNazanin" w:hAnsi="IRNazanin" w:eastAsia="IRNazanin"/>
          <w:b w:val="false"/>
          <w:b w:val="false"/>
          <w:bCs w:val="false"/>
          <w:i w:val="false"/>
          <w:i w:val="false"/>
          <w:iCs w:val="false"/>
          <w:color w:val="333333"/>
          <w:sz w:val="20"/>
          <w:sz w:val="20"/>
          <w:szCs w:val="20"/>
          <w:rtl w:val="true"/>
        </w:rPr>
        <w:t>؛ الصّدوق، محمدبن علی، 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الزّواج فی القرآن والسنة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ثریا بن سعد، آثار الطّلاق بین الشّریعة والقانون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دکتورة عبلة عبدالعزیز، العنف ضد المرأة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العنف ضد المرأة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العنف ضد المرأة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العنف ضد المرأة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الزّواج فی القرآن والسنة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المستشار حسن حسانین، أحکام الأسرة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الزّواج فی القرآن والسنة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381/67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الصادقی، محمد، الفرقان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الزّواج فی القرآن والسنّة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الأسرة المسلمة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الزّواج فی القرآن والسنّة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536/24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وحی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image" Target="media/image2.jpeg"/><Relationship Id="rId137" Type="http://schemas.openxmlformats.org/officeDocument/2006/relationships/image" Target="media/image2.jpeg"/><Relationship Id="rId138" Type="http://schemas.openxmlformats.org/officeDocument/2006/relationships/footer" Target="footer131.xml"/><Relationship Id="rId139" Type="http://schemas.openxmlformats.org/officeDocument/2006/relationships/footnotes" Target="footnotes.xml"/><Relationship Id="rId140" Type="http://schemas.openxmlformats.org/officeDocument/2006/relationships/numbering" Target="numbering.xml"/><Relationship Id="rId141" Type="http://schemas.openxmlformats.org/officeDocument/2006/relationships/fontTable" Target="fontTable.xml"/><Relationship Id="rId142" Type="http://schemas.openxmlformats.org/officeDocument/2006/relationships/settings" Target="settings.xml"/><Relationship Id="rId1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135</Pages>
  <Words>21178</Words>
  <Characters>98625</Characters>
  <CharactersWithSpaces>118573</CharactersWithSpaces>
  <Paragraphs>1556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2026-08-19T00:08:12Z</dcterms:created>
  <dc:creator>ghaemiyeh.com</dc:creator>
  <dc:description/>
  <dc:language>en-US</dc:language>
  <cp:lastModifiedBy/>
  <dcterms:modified xsi:type="dcterms:W3CDTF">2026-08-19T03:38:16Z</dcterms:modified>
  <cp:revision>1</cp:revision>
  <dc:subject/>
  <dc:title>الحقوق الزوجیه احکام النشوز و الشقاق</dc:title>
</cp:coreProperties>
</file>

<file path=docProps/custom.xml><?xml version="1.0" encoding="utf-8"?>
<Properties xmlns="http://schemas.openxmlformats.org/officeDocument/2006/custom-properties" xmlns:vt="http://schemas.openxmlformats.org/officeDocument/2006/docPropsVTypes"/>
</file>