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320.xml" ContentType="application/vnd.openxmlformats-officedocument.wordprocessingml.footer+xml"/>
  <Override PartName="/word/footer513.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510.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دراسات تمهیدیه فی فقه الامامیه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80266_774463916">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580268_774463916">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580270_774463916">
            <w:r>
              <w:rPr>
                <w:webHidden/>
                <w:rStyle w:val="IndexLink"/>
                <w:rtl w:val="true"/>
              </w:rPr>
              <w:t>کلمة الناشر</w:t>
            </w:r>
            <w:r>
              <w:rPr>
                <w:rStyle w:val="IndexLink"/>
                <w:rtl w:val="true"/>
              </w:rPr>
              <w:tab/>
            </w:r>
            <w:r>
              <w:rPr>
                <w:rStyle w:val="IndexLink"/>
              </w:rPr>
              <w:t>15</w:t>
            </w:r>
          </w:hyperlink>
        </w:p>
        <w:p>
          <w:pPr>
            <w:pStyle w:val="Contents2"/>
            <w:tabs>
              <w:tab w:val="clear" w:pos="8743"/>
              <w:tab w:val="right" w:pos="9026" w:leader="dot"/>
            </w:tabs>
            <w:rPr/>
          </w:pPr>
          <w:hyperlink w:anchor="__RefHeading___Toc580272_774463916">
            <w:r>
              <w:rPr>
                <w:webHidden/>
                <w:rStyle w:val="IndexLink"/>
                <w:rtl w:val="true"/>
              </w:rPr>
              <w:t>کلمة مرکز المصطفی صلی الله علیه و آله العالمی للدراسات والتحقیق</w:t>
            </w:r>
            <w:r>
              <w:rPr>
                <w:rStyle w:val="IndexLink"/>
                <w:rtl w:val="true"/>
              </w:rPr>
              <w:tab/>
            </w:r>
            <w:r>
              <w:rPr>
                <w:rStyle w:val="IndexLink"/>
              </w:rPr>
              <w:t>17</w:t>
            </w:r>
          </w:hyperlink>
        </w:p>
        <w:p>
          <w:pPr>
            <w:pStyle w:val="Contents2"/>
            <w:tabs>
              <w:tab w:val="clear" w:pos="8743"/>
              <w:tab w:val="right" w:pos="9026" w:leader="dot"/>
            </w:tabs>
            <w:rPr/>
          </w:pPr>
          <w:hyperlink w:anchor="__RefHeading___Toc580274_774463916">
            <w:r>
              <w:rPr>
                <w:webHidden/>
                <w:rStyle w:val="IndexLink"/>
                <w:rtl w:val="true"/>
              </w:rPr>
              <w:t>الفهرس</w:t>
            </w:r>
            <w:r>
              <w:rPr>
                <w:rStyle w:val="IndexLink"/>
                <w:rtl w:val="true"/>
              </w:rPr>
              <w:tab/>
            </w:r>
            <w:r>
              <w:rPr>
                <w:rStyle w:val="IndexLink"/>
              </w:rPr>
              <w:t>20</w:t>
            </w:r>
          </w:hyperlink>
        </w:p>
        <w:p>
          <w:pPr>
            <w:pStyle w:val="Contents2"/>
            <w:tabs>
              <w:tab w:val="clear" w:pos="8743"/>
              <w:tab w:val="right" w:pos="9026" w:leader="dot"/>
            </w:tabs>
            <w:rPr/>
          </w:pPr>
          <w:hyperlink w:anchor="__RefHeading___Toc580276_774463916">
            <w:r>
              <w:rPr>
                <w:webHidden/>
                <w:rStyle w:val="IndexLink"/>
                <w:rtl w:val="true"/>
              </w:rPr>
              <w:t>مقدمة</w:t>
            </w:r>
            <w:r>
              <w:rPr>
                <w:rStyle w:val="IndexLink"/>
                <w:rtl w:val="true"/>
              </w:rPr>
              <w:tab/>
            </w:r>
            <w:r>
              <w:rPr>
                <w:rStyle w:val="IndexLink"/>
              </w:rPr>
              <w:t>39</w:t>
            </w:r>
          </w:hyperlink>
        </w:p>
        <w:p>
          <w:pPr>
            <w:pStyle w:val="Contents2"/>
            <w:tabs>
              <w:tab w:val="clear" w:pos="8743"/>
              <w:tab w:val="right" w:pos="9026" w:leader="dot"/>
            </w:tabs>
            <w:rPr/>
          </w:pPr>
          <w:hyperlink w:anchor="__RefHeading___Toc580278_774463916">
            <w:r>
              <w:rPr>
                <w:webHidden/>
                <w:rStyle w:val="IndexLink"/>
                <w:rtl w:val="true"/>
              </w:rPr>
              <w:t>القسم الأول</w:t>
            </w:r>
            <w:r>
              <w:rPr>
                <w:rStyle w:val="IndexLink"/>
                <w:rtl w:val="true"/>
              </w:rPr>
              <w:t xml:space="preserve">: </w:t>
            </w:r>
            <w:r>
              <w:rPr>
                <w:rStyle w:val="IndexLink"/>
                <w:rtl w:val="true"/>
              </w:rPr>
              <w:t>العبادات</w:t>
            </w:r>
            <w:r>
              <w:rPr>
                <w:rStyle w:val="IndexLink"/>
                <w:rtl w:val="true"/>
              </w:rPr>
              <w:tab/>
            </w:r>
            <w:r>
              <w:rPr>
                <w:rStyle w:val="IndexLink"/>
              </w:rPr>
              <w:t>44</w:t>
            </w:r>
          </w:hyperlink>
        </w:p>
        <w:p>
          <w:pPr>
            <w:pStyle w:val="Contents3"/>
            <w:tabs>
              <w:tab w:val="clear" w:pos="8459"/>
              <w:tab w:val="right" w:pos="9026" w:leader="dot"/>
            </w:tabs>
            <w:rPr/>
          </w:pPr>
          <w:hyperlink w:anchor="__RefHeading___Toc580280_774463916">
            <w:r>
              <w:rPr>
                <w:webHidden/>
                <w:rStyle w:val="IndexLink"/>
                <w:rtl w:val="true"/>
              </w:rPr>
              <w:t>اشارة</w:t>
            </w:r>
            <w:r>
              <w:rPr>
                <w:rStyle w:val="IndexLink"/>
                <w:rtl w:val="true"/>
              </w:rPr>
              <w:tab/>
            </w:r>
            <w:r>
              <w:rPr>
                <w:rStyle w:val="IndexLink"/>
              </w:rPr>
              <w:t>44</w:t>
            </w:r>
          </w:hyperlink>
        </w:p>
        <w:p>
          <w:pPr>
            <w:pStyle w:val="Contents3"/>
            <w:tabs>
              <w:tab w:val="clear" w:pos="8459"/>
              <w:tab w:val="right" w:pos="9026" w:leader="dot"/>
            </w:tabs>
            <w:rPr/>
          </w:pPr>
          <w:hyperlink w:anchor="__RefHeading___Toc580282_774463916">
            <w:r>
              <w:rPr>
                <w:webHidden/>
                <w:rStyle w:val="IndexLink"/>
                <w:rtl w:val="true"/>
              </w:rPr>
              <w:t>الدرس</w:t>
            </w:r>
            <w:r>
              <w:rPr>
                <w:rStyle w:val="IndexLink"/>
              </w:rPr>
              <w:t>1</w:t>
            </w:r>
            <w:r>
              <w:rPr>
                <w:rStyle w:val="IndexLink"/>
                <w:rtl w:val="true"/>
              </w:rPr>
              <w:t xml:space="preserve"> - </w:t>
            </w:r>
            <w:r>
              <w:rPr>
                <w:rStyle w:val="IndexLink"/>
                <w:rtl w:val="true"/>
              </w:rPr>
              <w:t>کتاب الطهارة</w:t>
            </w:r>
            <w:r>
              <w:rPr>
                <w:rStyle w:val="IndexLink"/>
                <w:rtl w:val="true"/>
              </w:rPr>
              <w:tab/>
            </w:r>
            <w:r>
              <w:rPr>
                <w:rStyle w:val="IndexLink"/>
              </w:rPr>
              <w:t>45</w:t>
            </w:r>
          </w:hyperlink>
        </w:p>
        <w:p>
          <w:pPr>
            <w:pStyle w:val="Contents4"/>
            <w:tabs>
              <w:tab w:val="clear" w:pos="8176"/>
              <w:tab w:val="right" w:pos="9026" w:leader="dot"/>
            </w:tabs>
            <w:rPr/>
          </w:pPr>
          <w:hyperlink w:anchor="__RefHeading___Toc580284_774463916">
            <w:r>
              <w:rPr>
                <w:webHidden/>
                <w:rStyle w:val="IndexLink"/>
                <w:rtl w:val="true"/>
              </w:rPr>
              <w:t>الإسلام دین الطهارة والنظافة</w:t>
            </w:r>
            <w:r>
              <w:rPr>
                <w:rStyle w:val="IndexLink"/>
                <w:rtl w:val="true"/>
              </w:rPr>
              <w:tab/>
            </w:r>
            <w:r>
              <w:rPr>
                <w:rStyle w:val="IndexLink"/>
              </w:rPr>
              <w:t>45</w:t>
            </w:r>
          </w:hyperlink>
        </w:p>
        <w:p>
          <w:pPr>
            <w:pStyle w:val="Contents4"/>
            <w:tabs>
              <w:tab w:val="clear" w:pos="8176"/>
              <w:tab w:val="right" w:pos="9026" w:leader="dot"/>
            </w:tabs>
            <w:rPr/>
          </w:pPr>
          <w:hyperlink w:anchor="__RefHeading___Toc580286_774463916">
            <w:r>
              <w:rPr>
                <w:webHidden/>
                <w:rStyle w:val="IndexLink"/>
                <w:rtl w:val="true"/>
              </w:rPr>
              <w:t>الطهارة والنظافة فی القرآن والأحادیث</w:t>
            </w:r>
            <w:r>
              <w:rPr>
                <w:rStyle w:val="IndexLink"/>
                <w:rtl w:val="true"/>
              </w:rPr>
              <w:tab/>
            </w:r>
            <w:r>
              <w:rPr>
                <w:rStyle w:val="IndexLink"/>
              </w:rPr>
              <w:t>45</w:t>
            </w:r>
          </w:hyperlink>
        </w:p>
        <w:p>
          <w:pPr>
            <w:pStyle w:val="Contents4"/>
            <w:tabs>
              <w:tab w:val="clear" w:pos="8176"/>
              <w:tab w:val="right" w:pos="9026" w:leader="dot"/>
            </w:tabs>
            <w:rPr/>
          </w:pPr>
          <w:hyperlink w:anchor="__RefHeading___Toc580288_774463916">
            <w:r>
              <w:rPr>
                <w:webHidden/>
                <w:rStyle w:val="IndexLink"/>
                <w:rtl w:val="true"/>
              </w:rPr>
              <w:t>الطهارات الواجبة من الحدث والخبث</w:t>
            </w:r>
            <w:r>
              <w:rPr>
                <w:rStyle w:val="IndexLink"/>
                <w:rtl w:val="true"/>
              </w:rPr>
              <w:tab/>
            </w:r>
            <w:r>
              <w:rPr>
                <w:rStyle w:val="IndexLink"/>
              </w:rPr>
              <w:t>46</w:t>
            </w:r>
          </w:hyperlink>
        </w:p>
        <w:p>
          <w:pPr>
            <w:pStyle w:val="Contents4"/>
            <w:tabs>
              <w:tab w:val="clear" w:pos="8176"/>
              <w:tab w:val="right" w:pos="9026" w:leader="dot"/>
            </w:tabs>
            <w:rPr/>
          </w:pPr>
          <w:hyperlink w:anchor="__RefHeading___Toc580290_774463916">
            <w:r>
              <w:rPr>
                <w:webHidden/>
                <w:rStyle w:val="IndexLink"/>
                <w:rtl w:val="true"/>
              </w:rPr>
              <w:t>الطهارات المستحبة من الحدث</w:t>
            </w:r>
            <w:r>
              <w:rPr>
                <w:rStyle w:val="IndexLink"/>
                <w:rtl w:val="true"/>
              </w:rPr>
              <w:tab/>
            </w:r>
            <w:r>
              <w:rPr>
                <w:rStyle w:val="IndexLink"/>
              </w:rPr>
              <w:t>47</w:t>
            </w:r>
          </w:hyperlink>
        </w:p>
        <w:p>
          <w:pPr>
            <w:pStyle w:val="Contents4"/>
            <w:tabs>
              <w:tab w:val="clear" w:pos="8176"/>
              <w:tab w:val="right" w:pos="9026" w:leader="dot"/>
            </w:tabs>
            <w:rPr/>
          </w:pPr>
          <w:hyperlink w:anchor="__RefHeading___Toc580292_774463916">
            <w:r>
              <w:rPr>
                <w:webHidden/>
                <w:rStyle w:val="IndexLink"/>
                <w:rtl w:val="true"/>
              </w:rPr>
              <w:t>الطهارات المستحبّة من الخبث</w:t>
            </w:r>
            <w:r>
              <w:rPr>
                <w:rStyle w:val="IndexLink"/>
                <w:rtl w:val="true"/>
              </w:rPr>
              <w:tab/>
            </w:r>
            <w:r>
              <w:rPr>
                <w:rStyle w:val="IndexLink"/>
              </w:rPr>
              <w:t>48</w:t>
            </w:r>
          </w:hyperlink>
        </w:p>
        <w:p>
          <w:pPr>
            <w:pStyle w:val="Contents3"/>
            <w:tabs>
              <w:tab w:val="clear" w:pos="8459"/>
              <w:tab w:val="right" w:pos="9026" w:leader="dot"/>
            </w:tabs>
            <w:rPr/>
          </w:pPr>
          <w:hyperlink w:anchor="__RefHeading___Toc580294_774463916">
            <w:r>
              <w:rPr>
                <w:webHidden/>
                <w:rStyle w:val="IndexLink"/>
                <w:rtl w:val="true"/>
              </w:rPr>
              <w:t>الدرس</w:t>
            </w:r>
            <w:r>
              <w:rPr>
                <w:rStyle w:val="IndexLink"/>
              </w:rPr>
              <w:t>2</w:t>
            </w:r>
            <w:r>
              <w:rPr>
                <w:rStyle w:val="IndexLink"/>
                <w:rtl w:val="true"/>
              </w:rPr>
              <w:t>-</w:t>
            </w:r>
            <w:r>
              <w:rPr>
                <w:rStyle w:val="IndexLink"/>
                <w:rtl w:val="true"/>
              </w:rPr>
              <w:t xml:space="preserve">کتاب الطهارة </w:t>
            </w:r>
            <w:r>
              <w:rPr>
                <w:rStyle w:val="IndexLink"/>
                <w:rtl w:val="true"/>
              </w:rPr>
              <w:t>(</w:t>
            </w:r>
            <w:r>
              <w:rPr>
                <w:rStyle w:val="IndexLink"/>
              </w:rPr>
              <w:t>2</w:t>
            </w:r>
            <w:r>
              <w:rPr>
                <w:rStyle w:val="IndexLink"/>
                <w:rtl w:val="true"/>
              </w:rPr>
              <w:t>)</w:t>
              <w:tab/>
            </w:r>
            <w:r>
              <w:rPr>
                <w:rStyle w:val="IndexLink"/>
              </w:rPr>
              <w:t>50</w:t>
            </w:r>
          </w:hyperlink>
        </w:p>
        <w:p>
          <w:pPr>
            <w:pStyle w:val="Contents4"/>
            <w:tabs>
              <w:tab w:val="clear" w:pos="8176"/>
              <w:tab w:val="right" w:pos="9026" w:leader="dot"/>
            </w:tabs>
            <w:rPr/>
          </w:pPr>
          <w:hyperlink w:anchor="__RefHeading___Toc580296_774463916">
            <w:r>
              <w:rPr>
                <w:webHidden/>
                <w:rStyle w:val="IndexLink"/>
                <w:rtl w:val="true"/>
              </w:rPr>
              <w:t>أقسام المیاه وأحکامها</w:t>
            </w:r>
            <w:r>
              <w:rPr>
                <w:rStyle w:val="IndexLink"/>
                <w:rtl w:val="true"/>
              </w:rPr>
              <w:tab/>
            </w:r>
            <w:r>
              <w:rPr>
                <w:rStyle w:val="IndexLink"/>
              </w:rPr>
              <w:t>50</w:t>
            </w:r>
          </w:hyperlink>
        </w:p>
        <w:p>
          <w:pPr>
            <w:pStyle w:val="Contents4"/>
            <w:tabs>
              <w:tab w:val="clear" w:pos="8176"/>
              <w:tab w:val="right" w:pos="9026" w:leader="dot"/>
            </w:tabs>
            <w:rPr/>
          </w:pPr>
          <w:hyperlink w:anchor="__RefHeading___Toc580298_774463916">
            <w:r>
              <w:rPr>
                <w:webHidden/>
                <w:rStyle w:val="IndexLink"/>
                <w:rtl w:val="true"/>
              </w:rPr>
              <w:t>أحکام التخلّی</w:t>
            </w:r>
            <w:r>
              <w:rPr>
                <w:rStyle w:val="IndexLink"/>
                <w:rtl w:val="true"/>
              </w:rPr>
              <w:tab/>
            </w:r>
            <w:r>
              <w:rPr>
                <w:rStyle w:val="IndexLink"/>
              </w:rPr>
              <w:t>52</w:t>
            </w:r>
          </w:hyperlink>
        </w:p>
        <w:p>
          <w:pPr>
            <w:pStyle w:val="Contents4"/>
            <w:tabs>
              <w:tab w:val="clear" w:pos="8176"/>
              <w:tab w:val="right" w:pos="9026" w:leader="dot"/>
            </w:tabs>
            <w:rPr/>
          </w:pPr>
          <w:hyperlink w:anchor="__RefHeading___Toc580300_774463916">
            <w:r>
              <w:rPr>
                <w:webHidden/>
                <w:rStyle w:val="IndexLink"/>
                <w:rtl w:val="true"/>
              </w:rPr>
              <w:t>آداب التخلّی</w:t>
            </w:r>
            <w:r>
              <w:rPr>
                <w:rStyle w:val="IndexLink"/>
                <w:rtl w:val="true"/>
              </w:rPr>
              <w:tab/>
            </w:r>
            <w:r>
              <w:rPr>
                <w:rStyle w:val="IndexLink"/>
              </w:rPr>
              <w:t>53</w:t>
            </w:r>
          </w:hyperlink>
        </w:p>
        <w:p>
          <w:pPr>
            <w:pStyle w:val="Contents3"/>
            <w:tabs>
              <w:tab w:val="clear" w:pos="8459"/>
              <w:tab w:val="right" w:pos="9026" w:leader="dot"/>
            </w:tabs>
            <w:rPr/>
          </w:pPr>
          <w:hyperlink w:anchor="__RefHeading___Toc580302_774463916">
            <w:r>
              <w:rPr>
                <w:webHidden/>
                <w:rStyle w:val="IndexLink"/>
                <w:rtl w:val="true"/>
              </w:rPr>
              <w:t>الدرس</w:t>
            </w:r>
            <w:r>
              <w:rPr>
                <w:rStyle w:val="IndexLink"/>
              </w:rPr>
              <w:t>3</w:t>
            </w:r>
            <w:r>
              <w:rPr>
                <w:rStyle w:val="IndexLink"/>
                <w:rtl w:val="true"/>
              </w:rPr>
              <w:t xml:space="preserve">- </w:t>
            </w:r>
            <w:r>
              <w:rPr>
                <w:rStyle w:val="IndexLink"/>
                <w:rtl w:val="true"/>
              </w:rPr>
              <w:t xml:space="preserve">کتاب الطهارة </w:t>
            </w:r>
            <w:r>
              <w:rPr>
                <w:rStyle w:val="IndexLink"/>
                <w:rtl w:val="true"/>
              </w:rPr>
              <w:t>(</w:t>
            </w:r>
            <w:r>
              <w:rPr>
                <w:rStyle w:val="IndexLink"/>
              </w:rPr>
              <w:t>3</w:t>
            </w:r>
            <w:r>
              <w:rPr>
                <w:rStyle w:val="IndexLink"/>
                <w:rtl w:val="true"/>
              </w:rPr>
              <w:t>)</w:t>
              <w:tab/>
            </w:r>
            <w:r>
              <w:rPr>
                <w:rStyle w:val="IndexLink"/>
              </w:rPr>
              <w:t>54</w:t>
            </w:r>
          </w:hyperlink>
        </w:p>
        <w:p>
          <w:pPr>
            <w:pStyle w:val="Contents4"/>
            <w:tabs>
              <w:tab w:val="clear" w:pos="8176"/>
              <w:tab w:val="right" w:pos="9026" w:leader="dot"/>
            </w:tabs>
            <w:rPr/>
          </w:pPr>
          <w:hyperlink w:anchor="__RefHeading___Toc580304_774463916">
            <w:r>
              <w:rPr>
                <w:webHidden/>
                <w:rStyle w:val="IndexLink"/>
                <w:rtl w:val="true"/>
              </w:rPr>
              <w:t>الوضوء</w:t>
            </w:r>
            <w:r>
              <w:rPr>
                <w:rStyle w:val="IndexLink"/>
                <w:rtl w:val="true"/>
              </w:rPr>
              <w:tab/>
            </w:r>
            <w:r>
              <w:rPr>
                <w:rStyle w:val="IndexLink"/>
              </w:rPr>
              <w:t>54</w:t>
            </w:r>
          </w:hyperlink>
        </w:p>
        <w:p>
          <w:pPr>
            <w:pStyle w:val="Contents4"/>
            <w:tabs>
              <w:tab w:val="clear" w:pos="8176"/>
              <w:tab w:val="right" w:pos="9026" w:leader="dot"/>
            </w:tabs>
            <w:rPr/>
          </w:pPr>
          <w:hyperlink w:anchor="__RefHeading___Toc580306_774463916">
            <w:r>
              <w:rPr>
                <w:webHidden/>
                <w:rStyle w:val="IndexLink"/>
                <w:rtl w:val="true"/>
              </w:rPr>
              <w:t>کیفیة الوضوء</w:t>
            </w:r>
            <w:r>
              <w:rPr>
                <w:rStyle w:val="IndexLink"/>
                <w:rtl w:val="true"/>
              </w:rPr>
              <w:tab/>
            </w:r>
            <w:r>
              <w:rPr>
                <w:rStyle w:val="IndexLink"/>
              </w:rPr>
              <w:t>54</w:t>
            </w:r>
          </w:hyperlink>
        </w:p>
        <w:p>
          <w:pPr>
            <w:pStyle w:val="Contents3"/>
            <w:tabs>
              <w:tab w:val="clear" w:pos="8459"/>
              <w:tab w:val="right" w:pos="9026" w:leader="dot"/>
            </w:tabs>
            <w:rPr/>
          </w:pPr>
          <w:hyperlink w:anchor="__RefHeading___Toc580308_774463916">
            <w:r>
              <w:rPr>
                <w:webHidden/>
                <w:rStyle w:val="IndexLink"/>
                <w:rtl w:val="true"/>
              </w:rPr>
              <w:t>الدرس</w:t>
            </w:r>
            <w:r>
              <w:rPr>
                <w:rStyle w:val="IndexLink"/>
              </w:rPr>
              <w:t>4</w:t>
            </w:r>
            <w:r>
              <w:rPr>
                <w:rStyle w:val="IndexLink"/>
                <w:rtl w:val="true"/>
              </w:rPr>
              <w:t xml:space="preserve"> - </w:t>
            </w:r>
            <w:r>
              <w:rPr>
                <w:rStyle w:val="IndexLink"/>
                <w:rtl w:val="true"/>
              </w:rPr>
              <w:t xml:space="preserve">کتاب الطهارة </w:t>
            </w:r>
            <w:r>
              <w:rPr>
                <w:rStyle w:val="IndexLink"/>
                <w:rtl w:val="true"/>
              </w:rPr>
              <w:t>(</w:t>
            </w:r>
            <w:r>
              <w:rPr>
                <w:rStyle w:val="IndexLink"/>
              </w:rPr>
              <w:t>4</w:t>
            </w:r>
            <w:r>
              <w:rPr>
                <w:rStyle w:val="IndexLink"/>
                <w:rtl w:val="true"/>
              </w:rPr>
              <w:t>)</w:t>
              <w:tab/>
            </w:r>
            <w:r>
              <w:rPr>
                <w:rStyle w:val="IndexLink"/>
              </w:rPr>
              <w:t>57</w:t>
            </w:r>
          </w:hyperlink>
        </w:p>
        <w:p>
          <w:pPr>
            <w:pStyle w:val="Contents4"/>
            <w:tabs>
              <w:tab w:val="clear" w:pos="8176"/>
              <w:tab w:val="right" w:pos="9026" w:leader="dot"/>
            </w:tabs>
            <w:rPr/>
          </w:pPr>
          <w:hyperlink w:anchor="__RefHeading___Toc580310_774463916">
            <w:r>
              <w:rPr>
                <w:webHidden/>
                <w:rStyle w:val="IndexLink"/>
                <w:rtl w:val="true"/>
              </w:rPr>
              <w:t>شرائط الوضوء</w:t>
            </w:r>
            <w:r>
              <w:rPr>
                <w:rStyle w:val="IndexLink"/>
                <w:rtl w:val="true"/>
              </w:rPr>
              <w:tab/>
            </w:r>
            <w:r>
              <w:rPr>
                <w:rStyle w:val="IndexLink"/>
              </w:rPr>
              <w:t>57</w:t>
            </w:r>
          </w:hyperlink>
        </w:p>
        <w:p>
          <w:pPr>
            <w:pStyle w:val="Contents4"/>
            <w:tabs>
              <w:tab w:val="clear" w:pos="8176"/>
              <w:tab w:val="right" w:pos="9026" w:leader="dot"/>
            </w:tabs>
            <w:rPr/>
          </w:pPr>
          <w:hyperlink w:anchor="__RefHeading___Toc580312_774463916">
            <w:r>
              <w:rPr>
                <w:webHidden/>
                <w:rStyle w:val="IndexLink"/>
                <w:rtl w:val="true"/>
              </w:rPr>
              <w:t>نواقض الوضوء</w:t>
            </w:r>
            <w:r>
              <w:rPr>
                <w:rStyle w:val="IndexLink"/>
                <w:rtl w:val="true"/>
              </w:rPr>
              <w:tab/>
            </w:r>
            <w:r>
              <w:rPr>
                <w:rStyle w:val="IndexLink"/>
              </w:rPr>
              <w:t>58</w:t>
            </w:r>
          </w:hyperlink>
        </w:p>
        <w:p>
          <w:pPr>
            <w:pStyle w:val="Contents4"/>
            <w:tabs>
              <w:tab w:val="clear" w:pos="8176"/>
              <w:tab w:val="right" w:pos="9026" w:leader="dot"/>
            </w:tabs>
            <w:rPr/>
          </w:pPr>
          <w:hyperlink w:anchor="__RefHeading___Toc580314_774463916">
            <w:r>
              <w:rPr>
                <w:webHidden/>
                <w:rStyle w:val="IndexLink"/>
                <w:rtl w:val="true"/>
              </w:rPr>
              <w:t>أحکام خاصّة بالوضوء</w:t>
            </w:r>
            <w:r>
              <w:rPr>
                <w:rStyle w:val="IndexLink"/>
                <w:rtl w:val="true"/>
              </w:rPr>
              <w:tab/>
            </w:r>
            <w:r>
              <w:rPr>
                <w:rStyle w:val="IndexLink"/>
              </w:rPr>
              <w:t>59</w:t>
            </w:r>
          </w:hyperlink>
        </w:p>
        <w:p>
          <w:pPr>
            <w:pStyle w:val="Contents4"/>
            <w:tabs>
              <w:tab w:val="clear" w:pos="8176"/>
              <w:tab w:val="right" w:pos="9026" w:leader="dot"/>
            </w:tabs>
            <w:rPr/>
          </w:pPr>
          <w:hyperlink w:anchor="__RefHeading___Toc580316_774463916">
            <w:r>
              <w:rPr>
                <w:webHidden/>
                <w:rStyle w:val="IndexLink"/>
                <w:rtl w:val="true"/>
              </w:rPr>
              <w:t>آداب الوضوء</w:t>
            </w:r>
            <w:r>
              <w:rPr>
                <w:rStyle w:val="IndexLink"/>
                <w:rtl w:val="true"/>
              </w:rPr>
              <w:tab/>
            </w:r>
            <w:r>
              <w:rPr>
                <w:rStyle w:val="IndexLink"/>
              </w:rPr>
              <w:t>59</w:t>
            </w:r>
          </w:hyperlink>
        </w:p>
        <w:p>
          <w:pPr>
            <w:pStyle w:val="Contents3"/>
            <w:tabs>
              <w:tab w:val="clear" w:pos="8459"/>
              <w:tab w:val="right" w:pos="9026" w:leader="dot"/>
            </w:tabs>
            <w:rPr/>
          </w:pPr>
          <w:hyperlink w:anchor="__RefHeading___Toc580318_774463916">
            <w:r>
              <w:rPr>
                <w:webHidden/>
                <w:rStyle w:val="IndexLink"/>
                <w:rtl w:val="true"/>
              </w:rPr>
              <w:t>الدرس</w:t>
            </w:r>
            <w:r>
              <w:rPr>
                <w:rStyle w:val="IndexLink"/>
              </w:rPr>
              <w:t>5</w:t>
            </w:r>
            <w:r>
              <w:rPr>
                <w:rStyle w:val="IndexLink"/>
                <w:rtl w:val="true"/>
              </w:rPr>
              <w:t xml:space="preserve"> - </w:t>
            </w:r>
            <w:r>
              <w:rPr>
                <w:rStyle w:val="IndexLink"/>
                <w:rtl w:val="true"/>
              </w:rPr>
              <w:t xml:space="preserve">کتاب الطهارة </w:t>
            </w:r>
            <w:r>
              <w:rPr>
                <w:rStyle w:val="IndexLink"/>
                <w:rtl w:val="true"/>
              </w:rPr>
              <w:t>(</w:t>
            </w:r>
            <w:r>
              <w:rPr>
                <w:rStyle w:val="IndexLink"/>
              </w:rPr>
              <w:t>5</w:t>
            </w:r>
            <w:r>
              <w:rPr>
                <w:rStyle w:val="IndexLink"/>
                <w:rtl w:val="true"/>
              </w:rPr>
              <w:t>)</w:t>
              <w:tab/>
            </w:r>
            <w:r>
              <w:rPr>
                <w:rStyle w:val="IndexLink"/>
              </w:rPr>
              <w:t>60</w:t>
            </w:r>
          </w:hyperlink>
        </w:p>
        <w:p>
          <w:pPr>
            <w:pStyle w:val="Contents4"/>
            <w:tabs>
              <w:tab w:val="clear" w:pos="8176"/>
              <w:tab w:val="right" w:pos="9026" w:leader="dot"/>
            </w:tabs>
            <w:rPr/>
          </w:pPr>
          <w:hyperlink w:anchor="__RefHeading___Toc580320_774463916">
            <w:r>
              <w:rPr>
                <w:webHidden/>
                <w:rStyle w:val="IndexLink"/>
                <w:rtl w:val="true"/>
              </w:rPr>
              <w:t>الأغسال</w:t>
            </w:r>
            <w:r>
              <w:rPr>
                <w:rStyle w:val="IndexLink"/>
                <w:rtl w:val="true"/>
              </w:rPr>
              <w:tab/>
            </w:r>
            <w:r>
              <w:rPr>
                <w:rStyle w:val="IndexLink"/>
              </w:rPr>
              <w:t>60</w:t>
            </w:r>
          </w:hyperlink>
        </w:p>
        <w:p>
          <w:pPr>
            <w:pStyle w:val="Contents4"/>
            <w:tabs>
              <w:tab w:val="clear" w:pos="8176"/>
              <w:tab w:val="right" w:pos="9026" w:leader="dot"/>
            </w:tabs>
            <w:rPr/>
          </w:pPr>
          <w:hyperlink w:anchor="__RefHeading___Toc580322_774463916">
            <w:r>
              <w:rPr>
                <w:webHidden/>
                <w:rStyle w:val="IndexLink"/>
                <w:rtl w:val="true"/>
              </w:rPr>
              <w:t>غسل الجنابة وبعض أحکامه</w:t>
            </w:r>
            <w:r>
              <w:rPr>
                <w:rStyle w:val="IndexLink"/>
                <w:rtl w:val="true"/>
              </w:rPr>
              <w:tab/>
            </w:r>
            <w:r>
              <w:rPr>
                <w:rStyle w:val="IndexLink"/>
              </w:rPr>
              <w:t>60</w:t>
            </w:r>
          </w:hyperlink>
        </w:p>
        <w:p>
          <w:pPr>
            <w:pStyle w:val="Contents4"/>
            <w:tabs>
              <w:tab w:val="clear" w:pos="8176"/>
              <w:tab w:val="right" w:pos="9026" w:leader="dot"/>
            </w:tabs>
            <w:rPr/>
          </w:pPr>
          <w:hyperlink w:anchor="__RefHeading___Toc580324_774463916">
            <w:r>
              <w:rPr>
                <w:webHidden/>
                <w:rStyle w:val="IndexLink"/>
                <w:rtl w:val="true"/>
              </w:rPr>
              <w:t>أحکام غسل الجنابة</w:t>
            </w:r>
            <w:r>
              <w:rPr>
                <w:rStyle w:val="IndexLink"/>
                <w:rtl w:val="true"/>
              </w:rPr>
              <w:tab/>
            </w:r>
            <w:r>
              <w:rPr>
                <w:rStyle w:val="IndexLink"/>
              </w:rPr>
              <w:t>61</w:t>
            </w:r>
          </w:hyperlink>
        </w:p>
        <w:p>
          <w:pPr>
            <w:pStyle w:val="Contents4"/>
            <w:tabs>
              <w:tab w:val="clear" w:pos="8176"/>
              <w:tab w:val="right" w:pos="9026" w:leader="dot"/>
            </w:tabs>
            <w:rPr/>
          </w:pPr>
          <w:hyperlink w:anchor="__RefHeading___Toc580326_774463916">
            <w:r>
              <w:rPr>
                <w:webHidden/>
                <w:rStyle w:val="IndexLink"/>
                <w:rtl w:val="true"/>
              </w:rPr>
              <w:t>المحرّمات علی الجنب</w:t>
            </w:r>
            <w:r>
              <w:rPr>
                <w:rStyle w:val="IndexLink"/>
                <w:rtl w:val="true"/>
              </w:rPr>
              <w:tab/>
            </w:r>
            <w:r>
              <w:rPr>
                <w:rStyle w:val="IndexLink"/>
              </w:rPr>
              <w:t>61</w:t>
            </w:r>
          </w:hyperlink>
        </w:p>
        <w:p>
          <w:pPr>
            <w:pStyle w:val="Contents3"/>
            <w:tabs>
              <w:tab w:val="clear" w:pos="8459"/>
              <w:tab w:val="right" w:pos="9026" w:leader="dot"/>
            </w:tabs>
            <w:rPr/>
          </w:pPr>
          <w:hyperlink w:anchor="__RefHeading___Toc580328_774463916">
            <w:r>
              <w:rPr>
                <w:webHidden/>
                <w:rStyle w:val="IndexLink"/>
                <w:rtl w:val="true"/>
              </w:rPr>
              <w:t>الدرس</w:t>
            </w:r>
            <w:r>
              <w:rPr>
                <w:rStyle w:val="IndexLink"/>
              </w:rPr>
              <w:t>6</w:t>
            </w:r>
            <w:r>
              <w:rPr>
                <w:rStyle w:val="IndexLink"/>
                <w:rtl w:val="true"/>
              </w:rPr>
              <w:t xml:space="preserve"> - </w:t>
            </w:r>
            <w:r>
              <w:rPr>
                <w:rStyle w:val="IndexLink"/>
                <w:rtl w:val="true"/>
              </w:rPr>
              <w:t xml:space="preserve">کتاب الطهارة </w:t>
            </w:r>
            <w:r>
              <w:rPr>
                <w:rStyle w:val="IndexLink"/>
                <w:rtl w:val="true"/>
              </w:rPr>
              <w:t>(</w:t>
            </w:r>
            <w:r>
              <w:rPr>
                <w:rStyle w:val="IndexLink"/>
              </w:rPr>
              <w:t>6</w:t>
            </w:r>
            <w:r>
              <w:rPr>
                <w:rStyle w:val="IndexLink"/>
                <w:rtl w:val="true"/>
              </w:rPr>
              <w:t>)</w:t>
              <w:tab/>
            </w:r>
            <w:r>
              <w:rPr>
                <w:rStyle w:val="IndexLink"/>
              </w:rPr>
              <w:t>64</w:t>
            </w:r>
          </w:hyperlink>
        </w:p>
        <w:p>
          <w:pPr>
            <w:pStyle w:val="Contents4"/>
            <w:tabs>
              <w:tab w:val="clear" w:pos="8176"/>
              <w:tab w:val="right" w:pos="9026" w:leader="dot"/>
            </w:tabs>
            <w:rPr/>
          </w:pPr>
          <w:hyperlink w:anchor="__RefHeading___Toc580330_774463916">
            <w:r>
              <w:rPr>
                <w:webHidden/>
                <w:rStyle w:val="IndexLink"/>
                <w:rtl w:val="true"/>
              </w:rPr>
              <w:t>الحیض وبعض أحکامه</w:t>
            </w:r>
            <w:r>
              <w:rPr>
                <w:rStyle w:val="IndexLink"/>
                <w:rtl w:val="true"/>
              </w:rPr>
              <w:tab/>
            </w:r>
            <w:r>
              <w:rPr>
                <w:rStyle w:val="IndexLink"/>
              </w:rPr>
              <w:t>64</w:t>
            </w:r>
          </w:hyperlink>
        </w:p>
        <w:p>
          <w:pPr>
            <w:pStyle w:val="Contents4"/>
            <w:tabs>
              <w:tab w:val="clear" w:pos="8176"/>
              <w:tab w:val="right" w:pos="9026" w:leader="dot"/>
            </w:tabs>
            <w:rPr/>
          </w:pPr>
          <w:hyperlink w:anchor="__RefHeading___Toc580332_774463916">
            <w:r>
              <w:rPr>
                <w:webHidden/>
                <w:rStyle w:val="IndexLink"/>
                <w:rtl w:val="true"/>
              </w:rPr>
              <w:t>الاستحاضة وبعض أحکامها</w:t>
            </w:r>
            <w:r>
              <w:rPr>
                <w:rStyle w:val="IndexLink"/>
                <w:rtl w:val="true"/>
              </w:rPr>
              <w:tab/>
            </w:r>
            <w:r>
              <w:rPr>
                <w:rStyle w:val="IndexLink"/>
              </w:rPr>
              <w:t>65</w:t>
            </w:r>
          </w:hyperlink>
        </w:p>
        <w:p>
          <w:pPr>
            <w:pStyle w:val="Contents4"/>
            <w:tabs>
              <w:tab w:val="clear" w:pos="8176"/>
              <w:tab w:val="right" w:pos="9026" w:leader="dot"/>
            </w:tabs>
            <w:rPr/>
          </w:pPr>
          <w:hyperlink w:anchor="__RefHeading___Toc580334_774463916">
            <w:r>
              <w:rPr>
                <w:webHidden/>
                <w:rStyle w:val="IndexLink"/>
                <w:rtl w:val="true"/>
              </w:rPr>
              <w:t>النفاس وبعض أحکامه</w:t>
            </w:r>
            <w:r>
              <w:rPr>
                <w:rStyle w:val="IndexLink"/>
                <w:rtl w:val="true"/>
              </w:rPr>
              <w:tab/>
            </w:r>
            <w:r>
              <w:rPr>
                <w:rStyle w:val="IndexLink"/>
              </w:rPr>
              <w:t>66</w:t>
            </w:r>
          </w:hyperlink>
        </w:p>
        <w:p>
          <w:pPr>
            <w:pStyle w:val="Contents3"/>
            <w:tabs>
              <w:tab w:val="clear" w:pos="8459"/>
              <w:tab w:val="right" w:pos="9026" w:leader="dot"/>
            </w:tabs>
            <w:rPr/>
          </w:pPr>
          <w:hyperlink w:anchor="__RefHeading___Toc580336_774463916">
            <w:r>
              <w:rPr>
                <w:webHidden/>
                <w:rStyle w:val="IndexLink"/>
                <w:rtl w:val="true"/>
              </w:rPr>
              <w:t>الدرس</w:t>
            </w:r>
            <w:r>
              <w:rPr>
                <w:rStyle w:val="IndexLink"/>
              </w:rPr>
              <w:t>7</w:t>
            </w:r>
            <w:r>
              <w:rPr>
                <w:rStyle w:val="IndexLink"/>
                <w:rtl w:val="true"/>
              </w:rPr>
              <w:t xml:space="preserve"> - </w:t>
            </w:r>
            <w:r>
              <w:rPr>
                <w:rStyle w:val="IndexLink"/>
                <w:rtl w:val="true"/>
              </w:rPr>
              <w:t xml:space="preserve">کتاب الطهارة </w:t>
            </w:r>
            <w:r>
              <w:rPr>
                <w:rStyle w:val="IndexLink"/>
                <w:rtl w:val="true"/>
              </w:rPr>
              <w:t>(</w:t>
            </w:r>
            <w:r>
              <w:rPr>
                <w:rStyle w:val="IndexLink"/>
              </w:rPr>
              <w:t>7</w:t>
            </w:r>
            <w:r>
              <w:rPr>
                <w:rStyle w:val="IndexLink"/>
                <w:rtl w:val="true"/>
              </w:rPr>
              <w:t>)</w:t>
              <w:tab/>
            </w:r>
            <w:r>
              <w:rPr>
                <w:rStyle w:val="IndexLink"/>
              </w:rPr>
              <w:t>68</w:t>
            </w:r>
          </w:hyperlink>
        </w:p>
        <w:p>
          <w:pPr>
            <w:pStyle w:val="Contents4"/>
            <w:tabs>
              <w:tab w:val="clear" w:pos="8176"/>
              <w:tab w:val="right" w:pos="9026" w:leader="dot"/>
            </w:tabs>
            <w:rPr/>
          </w:pPr>
          <w:hyperlink w:anchor="__RefHeading___Toc580338_774463916">
            <w:r>
              <w:rPr>
                <w:webHidden/>
                <w:rStyle w:val="IndexLink"/>
                <w:rtl w:val="true"/>
              </w:rPr>
              <w:t>الموت ومسّ المیت</w:t>
            </w:r>
            <w:r>
              <w:rPr>
                <w:rStyle w:val="IndexLink"/>
                <w:rtl w:val="true"/>
              </w:rPr>
              <w:tab/>
            </w:r>
            <w:r>
              <w:rPr>
                <w:rStyle w:val="IndexLink"/>
              </w:rPr>
              <w:t>68</w:t>
            </w:r>
          </w:hyperlink>
        </w:p>
        <w:p>
          <w:pPr>
            <w:pStyle w:val="Contents4"/>
            <w:tabs>
              <w:tab w:val="clear" w:pos="8176"/>
              <w:tab w:val="right" w:pos="9026" w:leader="dot"/>
            </w:tabs>
            <w:rPr/>
          </w:pPr>
          <w:hyperlink w:anchor="__RefHeading___Toc580340_774463916">
            <w:r>
              <w:rPr>
                <w:webHidden/>
                <w:rStyle w:val="IndexLink"/>
                <w:rtl w:val="true"/>
              </w:rPr>
              <w:t>التحنیط</w:t>
            </w:r>
            <w:r>
              <w:rPr>
                <w:rStyle w:val="IndexLink"/>
                <w:rtl w:val="true"/>
              </w:rPr>
              <w:tab/>
            </w:r>
            <w:r>
              <w:rPr>
                <w:rStyle w:val="IndexLink"/>
              </w:rPr>
              <w:t>69</w:t>
            </w:r>
          </w:hyperlink>
        </w:p>
        <w:p>
          <w:pPr>
            <w:pStyle w:val="Contents4"/>
            <w:tabs>
              <w:tab w:val="clear" w:pos="8176"/>
              <w:tab w:val="right" w:pos="9026" w:leader="dot"/>
            </w:tabs>
            <w:rPr/>
          </w:pPr>
          <w:hyperlink w:anchor="__RefHeading___Toc580342_774463916">
            <w:r>
              <w:rPr>
                <w:webHidden/>
                <w:rStyle w:val="IndexLink"/>
                <w:rtl w:val="true"/>
              </w:rPr>
              <w:t>التکفین</w:t>
            </w:r>
            <w:r>
              <w:rPr>
                <w:rStyle w:val="IndexLink"/>
                <w:rtl w:val="true"/>
              </w:rPr>
              <w:tab/>
            </w:r>
            <w:r>
              <w:rPr>
                <w:rStyle w:val="IndexLink"/>
              </w:rPr>
              <w:t>69</w:t>
            </w:r>
          </w:hyperlink>
        </w:p>
        <w:p>
          <w:pPr>
            <w:pStyle w:val="Contents4"/>
            <w:tabs>
              <w:tab w:val="clear" w:pos="8176"/>
              <w:tab w:val="right" w:pos="9026" w:leader="dot"/>
            </w:tabs>
            <w:rPr/>
          </w:pPr>
          <w:hyperlink w:anchor="__RefHeading___Toc580344_774463916">
            <w:r>
              <w:rPr>
                <w:webHidden/>
                <w:rStyle w:val="IndexLink"/>
                <w:rtl w:val="true"/>
              </w:rPr>
              <w:t>الصلاة علی المیت</w:t>
            </w:r>
            <w:r>
              <w:rPr>
                <w:rStyle w:val="IndexLink"/>
                <w:rtl w:val="true"/>
              </w:rPr>
              <w:tab/>
            </w:r>
            <w:r>
              <w:rPr>
                <w:rStyle w:val="IndexLink"/>
              </w:rPr>
              <w:t>70</w:t>
            </w:r>
          </w:hyperlink>
        </w:p>
        <w:p>
          <w:pPr>
            <w:pStyle w:val="Contents4"/>
            <w:tabs>
              <w:tab w:val="clear" w:pos="8176"/>
              <w:tab w:val="right" w:pos="9026" w:leader="dot"/>
            </w:tabs>
            <w:rPr/>
          </w:pPr>
          <w:hyperlink w:anchor="__RefHeading___Toc580346_774463916">
            <w:r>
              <w:rPr>
                <w:webHidden/>
                <w:rStyle w:val="IndexLink"/>
                <w:rtl w:val="true"/>
              </w:rPr>
              <w:t>الدفن</w:t>
            </w:r>
            <w:r>
              <w:rPr>
                <w:rStyle w:val="IndexLink"/>
                <w:rtl w:val="true"/>
              </w:rPr>
              <w:tab/>
            </w:r>
            <w:r>
              <w:rPr>
                <w:rStyle w:val="IndexLink"/>
              </w:rPr>
              <w:t>71</w:t>
            </w:r>
          </w:hyperlink>
        </w:p>
        <w:p>
          <w:pPr>
            <w:pStyle w:val="Contents4"/>
            <w:tabs>
              <w:tab w:val="clear" w:pos="8176"/>
              <w:tab w:val="right" w:pos="9026" w:leader="dot"/>
            </w:tabs>
            <w:rPr/>
          </w:pPr>
          <w:hyperlink w:anchor="__RefHeading___Toc580348_774463916">
            <w:r>
              <w:rPr>
                <w:webHidden/>
                <w:rStyle w:val="IndexLink"/>
                <w:rtl w:val="true"/>
              </w:rPr>
              <w:t>مسّ المیت</w:t>
            </w:r>
            <w:r>
              <w:rPr>
                <w:rStyle w:val="IndexLink"/>
                <w:rtl w:val="true"/>
              </w:rPr>
              <w:tab/>
            </w:r>
            <w:r>
              <w:rPr>
                <w:rStyle w:val="IndexLink"/>
              </w:rPr>
              <w:t>72</w:t>
            </w:r>
          </w:hyperlink>
        </w:p>
        <w:p>
          <w:pPr>
            <w:pStyle w:val="Contents3"/>
            <w:tabs>
              <w:tab w:val="clear" w:pos="8459"/>
              <w:tab w:val="right" w:pos="9026" w:leader="dot"/>
            </w:tabs>
            <w:rPr/>
          </w:pPr>
          <w:hyperlink w:anchor="__RefHeading___Toc580350_774463916">
            <w:r>
              <w:rPr>
                <w:webHidden/>
                <w:rStyle w:val="IndexLink"/>
                <w:rtl w:val="true"/>
              </w:rPr>
              <w:t>الدرس</w:t>
            </w:r>
            <w:r>
              <w:rPr>
                <w:rStyle w:val="IndexLink"/>
              </w:rPr>
              <w:t>8</w:t>
            </w:r>
            <w:r>
              <w:rPr>
                <w:rStyle w:val="IndexLink"/>
                <w:rtl w:val="true"/>
              </w:rPr>
              <w:t xml:space="preserve"> - </w:t>
            </w:r>
            <w:r>
              <w:rPr>
                <w:rStyle w:val="IndexLink"/>
                <w:rtl w:val="true"/>
              </w:rPr>
              <w:t xml:space="preserve">کتاب الطهارة </w:t>
            </w:r>
            <w:r>
              <w:rPr>
                <w:rStyle w:val="IndexLink"/>
                <w:rtl w:val="true"/>
              </w:rPr>
              <w:t>(</w:t>
            </w:r>
            <w:r>
              <w:rPr>
                <w:rStyle w:val="IndexLink"/>
              </w:rPr>
              <w:t>8</w:t>
            </w:r>
            <w:r>
              <w:rPr>
                <w:rStyle w:val="IndexLink"/>
                <w:rtl w:val="true"/>
              </w:rPr>
              <w:t>)</w:t>
              <w:tab/>
            </w:r>
            <w:r>
              <w:rPr>
                <w:rStyle w:val="IndexLink"/>
              </w:rPr>
              <w:t>73</w:t>
            </w:r>
          </w:hyperlink>
        </w:p>
        <w:p>
          <w:pPr>
            <w:pStyle w:val="Contents4"/>
            <w:tabs>
              <w:tab w:val="clear" w:pos="8176"/>
              <w:tab w:val="right" w:pos="9026" w:leader="dot"/>
            </w:tabs>
            <w:rPr/>
          </w:pPr>
          <w:hyperlink w:anchor="__RefHeading___Toc580352_774463916">
            <w:r>
              <w:rPr>
                <w:webHidden/>
                <w:rStyle w:val="IndexLink"/>
                <w:rtl w:val="true"/>
              </w:rPr>
              <w:t>التیمم</w:t>
            </w:r>
            <w:r>
              <w:rPr>
                <w:rStyle w:val="IndexLink"/>
                <w:rtl w:val="true"/>
              </w:rPr>
              <w:tab/>
            </w:r>
            <w:r>
              <w:rPr>
                <w:rStyle w:val="IndexLink"/>
              </w:rPr>
              <w:t>73</w:t>
            </w:r>
          </w:hyperlink>
        </w:p>
        <w:p>
          <w:pPr>
            <w:pStyle w:val="Contents4"/>
            <w:tabs>
              <w:tab w:val="clear" w:pos="8176"/>
              <w:tab w:val="right" w:pos="9026" w:leader="dot"/>
            </w:tabs>
            <w:rPr/>
          </w:pPr>
          <w:hyperlink w:anchor="__RefHeading___Toc580354_774463916">
            <w:r>
              <w:rPr>
                <w:webHidden/>
                <w:rStyle w:val="IndexLink"/>
                <w:rtl w:val="true"/>
              </w:rPr>
              <w:t>کیفیة التیمّم</w:t>
            </w:r>
            <w:r>
              <w:rPr>
                <w:rStyle w:val="IndexLink"/>
                <w:rtl w:val="true"/>
              </w:rPr>
              <w:tab/>
            </w:r>
            <w:r>
              <w:rPr>
                <w:rStyle w:val="IndexLink"/>
              </w:rPr>
              <w:t>73</w:t>
            </w:r>
          </w:hyperlink>
        </w:p>
        <w:p>
          <w:pPr>
            <w:pStyle w:val="Contents4"/>
            <w:tabs>
              <w:tab w:val="clear" w:pos="8176"/>
              <w:tab w:val="right" w:pos="9026" w:leader="dot"/>
            </w:tabs>
            <w:rPr/>
          </w:pPr>
          <w:hyperlink w:anchor="__RefHeading___Toc580356_774463916">
            <w:r>
              <w:rPr>
                <w:webHidden/>
                <w:rStyle w:val="IndexLink"/>
                <w:rtl w:val="true"/>
              </w:rPr>
              <w:t>مسوّغات التیمّم</w:t>
            </w:r>
            <w:r>
              <w:rPr>
                <w:rStyle w:val="IndexLink"/>
                <w:rtl w:val="true"/>
              </w:rPr>
              <w:tab/>
            </w:r>
            <w:r>
              <w:rPr>
                <w:rStyle w:val="IndexLink"/>
              </w:rPr>
              <w:t>74</w:t>
            </w:r>
          </w:hyperlink>
        </w:p>
        <w:p>
          <w:pPr>
            <w:pStyle w:val="Contents4"/>
            <w:tabs>
              <w:tab w:val="clear" w:pos="8176"/>
              <w:tab w:val="right" w:pos="9026" w:leader="dot"/>
            </w:tabs>
            <w:rPr/>
          </w:pPr>
          <w:hyperlink w:anchor="__RefHeading___Toc580358_774463916">
            <w:r>
              <w:rPr>
                <w:webHidden/>
                <w:rStyle w:val="IndexLink"/>
                <w:rtl w:val="true"/>
              </w:rPr>
              <w:t>وضوء الجبیرة</w:t>
            </w:r>
            <w:r>
              <w:rPr>
                <w:rStyle w:val="IndexLink"/>
                <w:rtl w:val="true"/>
              </w:rPr>
              <w:tab/>
            </w:r>
            <w:r>
              <w:rPr>
                <w:rStyle w:val="IndexLink"/>
              </w:rPr>
              <w:t>75</w:t>
            </w:r>
          </w:hyperlink>
        </w:p>
        <w:p>
          <w:pPr>
            <w:pStyle w:val="Contents3"/>
            <w:tabs>
              <w:tab w:val="clear" w:pos="8459"/>
              <w:tab w:val="right" w:pos="9026" w:leader="dot"/>
            </w:tabs>
            <w:rPr/>
          </w:pPr>
          <w:hyperlink w:anchor="__RefHeading___Toc580360_774463916">
            <w:r>
              <w:rPr>
                <w:webHidden/>
                <w:rStyle w:val="IndexLink"/>
                <w:rtl w:val="true"/>
              </w:rPr>
              <w:t>الدرس</w:t>
            </w:r>
            <w:r>
              <w:rPr>
                <w:rStyle w:val="IndexLink"/>
              </w:rPr>
              <w:t>9</w:t>
            </w:r>
            <w:r>
              <w:rPr>
                <w:rStyle w:val="IndexLink"/>
                <w:rtl w:val="true"/>
              </w:rPr>
              <w:t xml:space="preserve"> - </w:t>
            </w:r>
            <w:r>
              <w:rPr>
                <w:rStyle w:val="IndexLink"/>
                <w:rtl w:val="true"/>
              </w:rPr>
              <w:t xml:space="preserve">کتاب الطهارة </w:t>
            </w:r>
            <w:r>
              <w:rPr>
                <w:rStyle w:val="IndexLink"/>
                <w:rtl w:val="true"/>
              </w:rPr>
              <w:t>(</w:t>
            </w:r>
            <w:r>
              <w:rPr>
                <w:rStyle w:val="IndexLink"/>
              </w:rPr>
              <w:t>9</w:t>
            </w:r>
            <w:r>
              <w:rPr>
                <w:rStyle w:val="IndexLink"/>
                <w:rtl w:val="true"/>
              </w:rPr>
              <w:t>)</w:t>
              <w:tab/>
            </w:r>
            <w:r>
              <w:rPr>
                <w:rStyle w:val="IndexLink"/>
              </w:rPr>
              <w:t>76</w:t>
            </w:r>
          </w:hyperlink>
        </w:p>
        <w:p>
          <w:pPr>
            <w:pStyle w:val="Contents4"/>
            <w:tabs>
              <w:tab w:val="clear" w:pos="8176"/>
              <w:tab w:val="right" w:pos="9026" w:leader="dot"/>
            </w:tabs>
            <w:rPr/>
          </w:pPr>
          <w:hyperlink w:anchor="__RefHeading___Toc580362_774463916">
            <w:r>
              <w:rPr>
                <w:webHidden/>
                <w:rStyle w:val="IndexLink"/>
                <w:rtl w:val="true"/>
              </w:rPr>
              <w:t>النجاسات عشر</w:t>
            </w:r>
            <w:r>
              <w:rPr>
                <w:rStyle w:val="IndexLink"/>
                <w:rtl w:val="true"/>
              </w:rPr>
              <w:tab/>
            </w:r>
            <w:r>
              <w:rPr>
                <w:rStyle w:val="IndexLink"/>
              </w:rPr>
              <w:t>76</w:t>
            </w:r>
          </w:hyperlink>
        </w:p>
        <w:p>
          <w:pPr>
            <w:pStyle w:val="Contents4"/>
            <w:tabs>
              <w:tab w:val="clear" w:pos="8176"/>
              <w:tab w:val="right" w:pos="9026" w:leader="dot"/>
            </w:tabs>
            <w:rPr/>
          </w:pPr>
          <w:hyperlink w:anchor="__RefHeading___Toc580364_774463916">
            <w:r>
              <w:rPr>
                <w:webHidden/>
                <w:rStyle w:val="IndexLink"/>
                <w:rtl w:val="true"/>
              </w:rPr>
              <w:t>البول والغائط</w:t>
            </w:r>
            <w:r>
              <w:rPr>
                <w:rStyle w:val="IndexLink"/>
                <w:rtl w:val="true"/>
              </w:rPr>
              <w:tab/>
            </w:r>
            <w:r>
              <w:rPr>
                <w:rStyle w:val="IndexLink"/>
              </w:rPr>
              <w:t>76</w:t>
            </w:r>
          </w:hyperlink>
        </w:p>
        <w:p>
          <w:pPr>
            <w:pStyle w:val="Contents4"/>
            <w:tabs>
              <w:tab w:val="clear" w:pos="8176"/>
              <w:tab w:val="right" w:pos="9026" w:leader="dot"/>
            </w:tabs>
            <w:rPr/>
          </w:pPr>
          <w:hyperlink w:anchor="__RefHeading___Toc580366_774463916">
            <w:r>
              <w:rPr>
                <w:webHidden/>
                <w:rStyle w:val="IndexLink"/>
                <w:rtl w:val="true"/>
              </w:rPr>
              <w:t>المنیّ</w:t>
            </w:r>
            <w:r>
              <w:rPr>
                <w:rStyle w:val="IndexLink"/>
                <w:rtl w:val="true"/>
              </w:rPr>
              <w:tab/>
            </w:r>
            <w:r>
              <w:rPr>
                <w:rStyle w:val="IndexLink"/>
              </w:rPr>
              <w:t>76</w:t>
            </w:r>
          </w:hyperlink>
        </w:p>
        <w:p>
          <w:pPr>
            <w:pStyle w:val="Contents4"/>
            <w:tabs>
              <w:tab w:val="clear" w:pos="8176"/>
              <w:tab w:val="right" w:pos="9026" w:leader="dot"/>
            </w:tabs>
            <w:rPr/>
          </w:pPr>
          <w:hyperlink w:anchor="__RefHeading___Toc580368_774463916">
            <w:r>
              <w:rPr>
                <w:webHidden/>
                <w:rStyle w:val="IndexLink"/>
                <w:rtl w:val="true"/>
              </w:rPr>
              <w:t>المیتة</w:t>
            </w:r>
            <w:r>
              <w:rPr>
                <w:rStyle w:val="IndexLink"/>
                <w:rtl w:val="true"/>
              </w:rPr>
              <w:tab/>
            </w:r>
            <w:r>
              <w:rPr>
                <w:rStyle w:val="IndexLink"/>
              </w:rPr>
              <w:t>77</w:t>
            </w:r>
          </w:hyperlink>
        </w:p>
        <w:p>
          <w:pPr>
            <w:pStyle w:val="Contents4"/>
            <w:tabs>
              <w:tab w:val="clear" w:pos="8176"/>
              <w:tab w:val="right" w:pos="9026" w:leader="dot"/>
            </w:tabs>
            <w:rPr/>
          </w:pPr>
          <w:hyperlink w:anchor="__RefHeading___Toc580370_774463916">
            <w:r>
              <w:rPr>
                <w:webHidden/>
                <w:rStyle w:val="IndexLink"/>
                <w:rtl w:val="true"/>
              </w:rPr>
              <w:t>الدم</w:t>
            </w:r>
            <w:r>
              <w:rPr>
                <w:rStyle w:val="IndexLink"/>
                <w:rtl w:val="true"/>
              </w:rPr>
              <w:tab/>
            </w:r>
            <w:r>
              <w:rPr>
                <w:rStyle w:val="IndexLink"/>
              </w:rPr>
              <w:t>77</w:t>
            </w:r>
          </w:hyperlink>
        </w:p>
        <w:p>
          <w:pPr>
            <w:pStyle w:val="Contents3"/>
            <w:tabs>
              <w:tab w:val="clear" w:pos="8459"/>
              <w:tab w:val="right" w:pos="9026" w:leader="dot"/>
            </w:tabs>
            <w:rPr/>
          </w:pPr>
          <w:hyperlink w:anchor="__RefHeading___Toc580372_774463916">
            <w:r>
              <w:rPr>
                <w:webHidden/>
                <w:rStyle w:val="IndexLink"/>
                <w:rtl w:val="true"/>
              </w:rPr>
              <w:t>الدرس</w:t>
            </w:r>
            <w:r>
              <w:rPr>
                <w:rStyle w:val="IndexLink"/>
              </w:rPr>
              <w:t>10</w:t>
            </w:r>
            <w:r>
              <w:rPr>
                <w:rStyle w:val="IndexLink"/>
                <w:rtl w:val="true"/>
              </w:rPr>
              <w:t xml:space="preserve"> - </w:t>
            </w:r>
            <w:r>
              <w:rPr>
                <w:rStyle w:val="IndexLink"/>
                <w:rtl w:val="true"/>
              </w:rPr>
              <w:t xml:space="preserve">کتاب الطهارة </w:t>
            </w:r>
            <w:r>
              <w:rPr>
                <w:rStyle w:val="IndexLink"/>
                <w:rtl w:val="true"/>
              </w:rPr>
              <w:t>(</w:t>
            </w:r>
            <w:r>
              <w:rPr>
                <w:rStyle w:val="IndexLink"/>
              </w:rPr>
              <w:t>10</w:t>
            </w:r>
            <w:r>
              <w:rPr>
                <w:rStyle w:val="IndexLink"/>
                <w:rtl w:val="true"/>
              </w:rPr>
              <w:t>)</w:t>
              <w:tab/>
            </w:r>
            <w:r>
              <w:rPr>
                <w:rStyle w:val="IndexLink"/>
              </w:rPr>
              <w:t>79</w:t>
            </w:r>
          </w:hyperlink>
        </w:p>
        <w:p>
          <w:pPr>
            <w:pStyle w:val="Contents4"/>
            <w:tabs>
              <w:tab w:val="clear" w:pos="8176"/>
              <w:tab w:val="right" w:pos="9026" w:leader="dot"/>
            </w:tabs>
            <w:rPr/>
          </w:pPr>
          <w:hyperlink w:anchor="__RefHeading___Toc580374_774463916">
            <w:r>
              <w:rPr>
                <w:webHidden/>
                <w:rStyle w:val="IndexLink"/>
                <w:rtl w:val="true"/>
              </w:rPr>
              <w:t>الخمر والفقاع وکلّ مسکر</w:t>
            </w:r>
            <w:r>
              <w:rPr>
                <w:rStyle w:val="IndexLink"/>
                <w:rtl w:val="true"/>
              </w:rPr>
              <w:tab/>
            </w:r>
            <w:r>
              <w:rPr>
                <w:rStyle w:val="IndexLink"/>
              </w:rPr>
              <w:t>79</w:t>
            </w:r>
          </w:hyperlink>
        </w:p>
        <w:p>
          <w:pPr>
            <w:pStyle w:val="Contents4"/>
            <w:tabs>
              <w:tab w:val="clear" w:pos="8176"/>
              <w:tab w:val="right" w:pos="9026" w:leader="dot"/>
            </w:tabs>
            <w:rPr/>
          </w:pPr>
          <w:hyperlink w:anchor="__RefHeading___Toc580376_774463916">
            <w:r>
              <w:rPr>
                <w:webHidden/>
                <w:rStyle w:val="IndexLink"/>
                <w:rtl w:val="true"/>
              </w:rPr>
              <w:t>الکافر</w:t>
            </w:r>
            <w:r>
              <w:rPr>
                <w:rStyle w:val="IndexLink"/>
                <w:rtl w:val="true"/>
              </w:rPr>
              <w:tab/>
            </w:r>
            <w:r>
              <w:rPr>
                <w:rStyle w:val="IndexLink"/>
              </w:rPr>
              <w:t>80</w:t>
            </w:r>
          </w:hyperlink>
        </w:p>
        <w:p>
          <w:pPr>
            <w:pStyle w:val="Contents4"/>
            <w:tabs>
              <w:tab w:val="clear" w:pos="8176"/>
              <w:tab w:val="right" w:pos="9026" w:leader="dot"/>
            </w:tabs>
            <w:rPr/>
          </w:pPr>
          <w:hyperlink w:anchor="__RefHeading___Toc580378_774463916">
            <w:r>
              <w:rPr>
                <w:webHidden/>
                <w:rStyle w:val="IndexLink"/>
                <w:rtl w:val="true"/>
              </w:rPr>
              <w:t>الکلب والخنزیر البرّیان</w:t>
            </w:r>
            <w:r>
              <w:rPr>
                <w:rStyle w:val="IndexLink"/>
                <w:rtl w:val="true"/>
              </w:rPr>
              <w:tab/>
            </w:r>
            <w:r>
              <w:rPr>
                <w:rStyle w:val="IndexLink"/>
              </w:rPr>
              <w:t>80</w:t>
            </w:r>
          </w:hyperlink>
        </w:p>
        <w:p>
          <w:pPr>
            <w:pStyle w:val="Contents3"/>
            <w:tabs>
              <w:tab w:val="clear" w:pos="8459"/>
              <w:tab w:val="right" w:pos="9026" w:leader="dot"/>
            </w:tabs>
            <w:rPr/>
          </w:pPr>
          <w:hyperlink w:anchor="__RefHeading___Toc580380_774463916">
            <w:r>
              <w:rPr>
                <w:webHidden/>
                <w:rStyle w:val="IndexLink"/>
                <w:rtl w:val="true"/>
              </w:rPr>
              <w:t>الدرس</w:t>
            </w:r>
            <w:r>
              <w:rPr>
                <w:rStyle w:val="IndexLink"/>
              </w:rPr>
              <w:t>11</w:t>
            </w:r>
            <w:r>
              <w:rPr>
                <w:rStyle w:val="IndexLink"/>
                <w:rtl w:val="true"/>
              </w:rPr>
              <w:t xml:space="preserve"> - </w:t>
            </w:r>
            <w:r>
              <w:rPr>
                <w:rStyle w:val="IndexLink"/>
                <w:rtl w:val="true"/>
              </w:rPr>
              <w:t xml:space="preserve">کتاب الطهارة </w:t>
            </w:r>
            <w:r>
              <w:rPr>
                <w:rStyle w:val="IndexLink"/>
                <w:rtl w:val="true"/>
              </w:rPr>
              <w:t>(</w:t>
            </w:r>
            <w:r>
              <w:rPr>
                <w:rStyle w:val="IndexLink"/>
              </w:rPr>
              <w:t>11</w:t>
            </w:r>
            <w:r>
              <w:rPr>
                <w:rStyle w:val="IndexLink"/>
                <w:rtl w:val="true"/>
              </w:rPr>
              <w:t>)</w:t>
              <w:tab/>
            </w:r>
            <w:r>
              <w:rPr>
                <w:rStyle w:val="IndexLink"/>
              </w:rPr>
              <w:t>81</w:t>
            </w:r>
          </w:hyperlink>
        </w:p>
        <w:p>
          <w:pPr>
            <w:pStyle w:val="Contents4"/>
            <w:tabs>
              <w:tab w:val="clear" w:pos="8176"/>
              <w:tab w:val="right" w:pos="9026" w:leader="dot"/>
            </w:tabs>
            <w:rPr/>
          </w:pPr>
          <w:hyperlink w:anchor="__RefHeading___Toc580382_774463916">
            <w:r>
              <w:rPr>
                <w:webHidden/>
                <w:rStyle w:val="IndexLink"/>
                <w:rtl w:val="true"/>
              </w:rPr>
              <w:t>المطهّرات</w:t>
            </w:r>
            <w:r>
              <w:rPr>
                <w:rStyle w:val="IndexLink"/>
                <w:rtl w:val="true"/>
              </w:rPr>
              <w:tab/>
            </w:r>
            <w:r>
              <w:rPr>
                <w:rStyle w:val="IndexLink"/>
              </w:rPr>
              <w:t>81</w:t>
            </w:r>
          </w:hyperlink>
        </w:p>
        <w:p>
          <w:pPr>
            <w:pStyle w:val="Contents5"/>
            <w:tabs>
              <w:tab w:val="clear" w:pos="7892"/>
              <w:tab w:val="right" w:pos="9026" w:leader="dot"/>
            </w:tabs>
            <w:rPr/>
          </w:pPr>
          <w:hyperlink w:anchor="__RefHeading___Toc580384_774463916">
            <w:r>
              <w:rPr>
                <w:webHidden/>
                <w:rStyle w:val="IndexLink"/>
              </w:rPr>
              <w:t>1</w:t>
            </w:r>
            <w:r>
              <w:rPr>
                <w:rStyle w:val="IndexLink"/>
                <w:rtl w:val="true"/>
              </w:rPr>
              <w:t xml:space="preserve">- </w:t>
            </w:r>
            <w:r>
              <w:rPr>
                <w:rStyle w:val="IndexLink"/>
                <w:rtl w:val="true"/>
              </w:rPr>
              <w:t>الماء</w:t>
            </w:r>
            <w:r>
              <w:rPr>
                <w:rStyle w:val="IndexLink"/>
                <w:rtl w:val="true"/>
              </w:rPr>
              <w:tab/>
            </w:r>
            <w:r>
              <w:rPr>
                <w:rStyle w:val="IndexLink"/>
              </w:rPr>
              <w:t>81</w:t>
            </w:r>
          </w:hyperlink>
        </w:p>
        <w:p>
          <w:pPr>
            <w:pStyle w:val="Contents5"/>
            <w:tabs>
              <w:tab w:val="clear" w:pos="7892"/>
              <w:tab w:val="right" w:pos="9026" w:leader="dot"/>
            </w:tabs>
            <w:rPr/>
          </w:pPr>
          <w:hyperlink w:anchor="__RefHeading___Toc580386_774463916">
            <w:r>
              <w:rPr>
                <w:webHidden/>
                <w:rStyle w:val="IndexLink"/>
              </w:rPr>
              <w:t>2</w:t>
            </w:r>
            <w:r>
              <w:rPr>
                <w:rStyle w:val="IndexLink"/>
                <w:rtl w:val="true"/>
              </w:rPr>
              <w:t xml:space="preserve">- </w:t>
            </w:r>
            <w:r>
              <w:rPr>
                <w:rStyle w:val="IndexLink"/>
                <w:rtl w:val="true"/>
              </w:rPr>
              <w:t>الأرض</w:t>
            </w:r>
            <w:r>
              <w:rPr>
                <w:rStyle w:val="IndexLink"/>
                <w:rtl w:val="true"/>
              </w:rPr>
              <w:tab/>
            </w:r>
            <w:r>
              <w:rPr>
                <w:rStyle w:val="IndexLink"/>
              </w:rPr>
              <w:t>82</w:t>
            </w:r>
          </w:hyperlink>
        </w:p>
        <w:p>
          <w:pPr>
            <w:pStyle w:val="Contents5"/>
            <w:tabs>
              <w:tab w:val="clear" w:pos="7892"/>
              <w:tab w:val="right" w:pos="9026" w:leader="dot"/>
            </w:tabs>
            <w:rPr/>
          </w:pPr>
          <w:hyperlink w:anchor="__RefHeading___Toc580388_774463916">
            <w:r>
              <w:rPr>
                <w:webHidden/>
                <w:rStyle w:val="IndexLink"/>
              </w:rPr>
              <w:t>3</w:t>
            </w:r>
            <w:r>
              <w:rPr>
                <w:rStyle w:val="IndexLink"/>
                <w:rtl w:val="true"/>
              </w:rPr>
              <w:t xml:space="preserve">- </w:t>
            </w:r>
            <w:r>
              <w:rPr>
                <w:rStyle w:val="IndexLink"/>
                <w:rtl w:val="true"/>
              </w:rPr>
              <w:t>الشمس</w:t>
            </w:r>
            <w:r>
              <w:rPr>
                <w:rStyle w:val="IndexLink"/>
                <w:rtl w:val="true"/>
              </w:rPr>
              <w:tab/>
            </w:r>
            <w:r>
              <w:rPr>
                <w:rStyle w:val="IndexLink"/>
              </w:rPr>
              <w:t>82</w:t>
            </w:r>
          </w:hyperlink>
        </w:p>
        <w:p>
          <w:pPr>
            <w:pStyle w:val="Contents3"/>
            <w:tabs>
              <w:tab w:val="clear" w:pos="8459"/>
              <w:tab w:val="right" w:pos="9026" w:leader="dot"/>
            </w:tabs>
            <w:rPr/>
          </w:pPr>
          <w:hyperlink w:anchor="__RefHeading___Toc580390_774463916">
            <w:r>
              <w:rPr>
                <w:webHidden/>
                <w:rStyle w:val="IndexLink"/>
                <w:rtl w:val="true"/>
              </w:rPr>
              <w:t>الدرس</w:t>
            </w:r>
            <w:r>
              <w:rPr>
                <w:rStyle w:val="IndexLink"/>
              </w:rPr>
              <w:t>12</w:t>
            </w:r>
            <w:r>
              <w:rPr>
                <w:rStyle w:val="IndexLink"/>
                <w:rtl w:val="true"/>
              </w:rPr>
              <w:t xml:space="preserve"> - </w:t>
            </w:r>
            <w:r>
              <w:rPr>
                <w:rStyle w:val="IndexLink"/>
                <w:rtl w:val="true"/>
              </w:rPr>
              <w:t xml:space="preserve">کتاب الطهارة </w:t>
            </w:r>
            <w:r>
              <w:rPr>
                <w:rStyle w:val="IndexLink"/>
                <w:rtl w:val="true"/>
              </w:rPr>
              <w:t>(</w:t>
            </w:r>
            <w:r>
              <w:rPr>
                <w:rStyle w:val="IndexLink"/>
              </w:rPr>
              <w:t>12</w:t>
            </w:r>
            <w:r>
              <w:rPr>
                <w:rStyle w:val="IndexLink"/>
                <w:rtl w:val="true"/>
              </w:rPr>
              <w:t>)</w:t>
              <w:tab/>
            </w:r>
            <w:r>
              <w:rPr>
                <w:rStyle w:val="IndexLink"/>
              </w:rPr>
              <w:t>84</w:t>
            </w:r>
          </w:hyperlink>
        </w:p>
        <w:p>
          <w:pPr>
            <w:pStyle w:val="Contents4"/>
            <w:tabs>
              <w:tab w:val="clear" w:pos="8176"/>
              <w:tab w:val="right" w:pos="9026" w:leader="dot"/>
            </w:tabs>
            <w:rPr/>
          </w:pPr>
          <w:hyperlink w:anchor="__RefHeading___Toc580392_774463916">
            <w:r>
              <w:rPr>
                <w:webHidden/>
                <w:rStyle w:val="IndexLink"/>
              </w:rPr>
              <w:t>4</w:t>
            </w:r>
            <w:r>
              <w:rPr>
                <w:rStyle w:val="IndexLink"/>
                <w:rtl w:val="true"/>
              </w:rPr>
              <w:t xml:space="preserve">- </w:t>
            </w:r>
            <w:r>
              <w:rPr>
                <w:rStyle w:val="IndexLink"/>
                <w:rtl w:val="true"/>
              </w:rPr>
              <w:t>الاستحالة</w:t>
            </w:r>
            <w:r>
              <w:rPr>
                <w:rStyle w:val="IndexLink"/>
                <w:rtl w:val="true"/>
              </w:rPr>
              <w:tab/>
            </w:r>
            <w:r>
              <w:rPr>
                <w:rStyle w:val="IndexLink"/>
              </w:rPr>
              <w:t>84</w:t>
            </w:r>
          </w:hyperlink>
        </w:p>
        <w:p>
          <w:pPr>
            <w:pStyle w:val="Contents4"/>
            <w:tabs>
              <w:tab w:val="clear" w:pos="8176"/>
              <w:tab w:val="right" w:pos="9026" w:leader="dot"/>
            </w:tabs>
            <w:rPr/>
          </w:pPr>
          <w:hyperlink w:anchor="__RefHeading___Toc580394_774463916">
            <w:r>
              <w:rPr>
                <w:webHidden/>
                <w:rStyle w:val="IndexLink"/>
              </w:rPr>
              <w:t>5</w:t>
            </w:r>
            <w:r>
              <w:rPr>
                <w:rStyle w:val="IndexLink"/>
                <w:rtl w:val="true"/>
              </w:rPr>
              <w:t xml:space="preserve">- </w:t>
            </w:r>
            <w:r>
              <w:rPr>
                <w:rStyle w:val="IndexLink"/>
                <w:rtl w:val="true"/>
              </w:rPr>
              <w:t>الانقلاب</w:t>
            </w:r>
            <w:r>
              <w:rPr>
                <w:rStyle w:val="IndexLink"/>
                <w:rtl w:val="true"/>
              </w:rPr>
              <w:tab/>
            </w:r>
            <w:r>
              <w:rPr>
                <w:rStyle w:val="IndexLink"/>
              </w:rPr>
              <w:t>84</w:t>
            </w:r>
          </w:hyperlink>
        </w:p>
        <w:p>
          <w:pPr>
            <w:pStyle w:val="Contents4"/>
            <w:tabs>
              <w:tab w:val="clear" w:pos="8176"/>
              <w:tab w:val="right" w:pos="9026" w:leader="dot"/>
            </w:tabs>
            <w:rPr/>
          </w:pPr>
          <w:hyperlink w:anchor="__RefHeading___Toc580396_774463916">
            <w:r>
              <w:rPr>
                <w:webHidden/>
                <w:rStyle w:val="IndexLink"/>
              </w:rPr>
              <w:t>6</w:t>
            </w:r>
            <w:r>
              <w:rPr>
                <w:rStyle w:val="IndexLink"/>
                <w:rtl w:val="true"/>
              </w:rPr>
              <w:t xml:space="preserve">- </w:t>
            </w:r>
            <w:r>
              <w:rPr>
                <w:rStyle w:val="IndexLink"/>
                <w:rtl w:val="true"/>
              </w:rPr>
              <w:t>الانتقال</w:t>
            </w:r>
            <w:r>
              <w:rPr>
                <w:rStyle w:val="IndexLink"/>
                <w:rtl w:val="true"/>
              </w:rPr>
              <w:tab/>
            </w:r>
            <w:r>
              <w:rPr>
                <w:rStyle w:val="IndexLink"/>
              </w:rPr>
              <w:t>84</w:t>
            </w:r>
          </w:hyperlink>
        </w:p>
        <w:p>
          <w:pPr>
            <w:pStyle w:val="Contents4"/>
            <w:tabs>
              <w:tab w:val="clear" w:pos="8176"/>
              <w:tab w:val="right" w:pos="9026" w:leader="dot"/>
            </w:tabs>
            <w:rPr/>
          </w:pPr>
          <w:hyperlink w:anchor="__RefHeading___Toc580398_774463916">
            <w:r>
              <w:rPr>
                <w:webHidden/>
                <w:rStyle w:val="IndexLink"/>
              </w:rPr>
              <w:t>7</w:t>
            </w:r>
            <w:r>
              <w:rPr>
                <w:rStyle w:val="IndexLink"/>
                <w:rtl w:val="true"/>
              </w:rPr>
              <w:t xml:space="preserve">- </w:t>
            </w:r>
            <w:r>
              <w:rPr>
                <w:rStyle w:val="IndexLink"/>
                <w:rtl w:val="true"/>
              </w:rPr>
              <w:t>الإسلام</w:t>
            </w:r>
            <w:r>
              <w:rPr>
                <w:rStyle w:val="IndexLink"/>
                <w:rtl w:val="true"/>
              </w:rPr>
              <w:tab/>
            </w:r>
            <w:r>
              <w:rPr>
                <w:rStyle w:val="IndexLink"/>
              </w:rPr>
              <w:t>85</w:t>
            </w:r>
          </w:hyperlink>
        </w:p>
        <w:p>
          <w:pPr>
            <w:pStyle w:val="Contents3"/>
            <w:tabs>
              <w:tab w:val="clear" w:pos="8459"/>
              <w:tab w:val="right" w:pos="9026" w:leader="dot"/>
            </w:tabs>
            <w:rPr/>
          </w:pPr>
          <w:hyperlink w:anchor="__RefHeading___Toc580400_774463916">
            <w:r>
              <w:rPr>
                <w:webHidden/>
                <w:rStyle w:val="IndexLink"/>
                <w:rtl w:val="true"/>
              </w:rPr>
              <w:t>الدرس</w:t>
            </w:r>
            <w:r>
              <w:rPr>
                <w:rStyle w:val="IndexLink"/>
              </w:rPr>
              <w:t>13</w:t>
            </w:r>
            <w:r>
              <w:rPr>
                <w:rStyle w:val="IndexLink"/>
                <w:rtl w:val="true"/>
              </w:rPr>
              <w:t xml:space="preserve"> - </w:t>
            </w:r>
            <w:r>
              <w:rPr>
                <w:rStyle w:val="IndexLink"/>
                <w:rtl w:val="true"/>
              </w:rPr>
              <w:t xml:space="preserve">کتاب الطهارة </w:t>
            </w:r>
            <w:r>
              <w:rPr>
                <w:rStyle w:val="IndexLink"/>
                <w:rtl w:val="true"/>
              </w:rPr>
              <w:t>(</w:t>
            </w:r>
            <w:r>
              <w:rPr>
                <w:rStyle w:val="IndexLink"/>
              </w:rPr>
              <w:t>13</w:t>
            </w:r>
            <w:r>
              <w:rPr>
                <w:rStyle w:val="IndexLink"/>
                <w:rtl w:val="true"/>
              </w:rPr>
              <w:t>)</w:t>
              <w:tab/>
            </w:r>
            <w:r>
              <w:rPr>
                <w:rStyle w:val="IndexLink"/>
              </w:rPr>
              <w:t>86</w:t>
            </w:r>
          </w:hyperlink>
        </w:p>
        <w:p>
          <w:pPr>
            <w:pStyle w:val="Contents4"/>
            <w:tabs>
              <w:tab w:val="clear" w:pos="8176"/>
              <w:tab w:val="right" w:pos="9026" w:leader="dot"/>
            </w:tabs>
            <w:rPr/>
          </w:pPr>
          <w:hyperlink w:anchor="__RefHeading___Toc580402_774463916">
            <w:r>
              <w:rPr>
                <w:webHidden/>
                <w:rStyle w:val="IndexLink"/>
              </w:rPr>
              <w:t>8</w:t>
            </w:r>
            <w:r>
              <w:rPr>
                <w:rStyle w:val="IndexLink"/>
                <w:rtl w:val="true"/>
              </w:rPr>
              <w:t xml:space="preserve">- </w:t>
            </w:r>
            <w:r>
              <w:rPr>
                <w:rStyle w:val="IndexLink"/>
                <w:rtl w:val="true"/>
              </w:rPr>
              <w:t>التبعیة</w:t>
            </w:r>
            <w:r>
              <w:rPr>
                <w:rStyle w:val="IndexLink"/>
                <w:rtl w:val="true"/>
              </w:rPr>
              <w:tab/>
            </w:r>
            <w:r>
              <w:rPr>
                <w:rStyle w:val="IndexLink"/>
              </w:rPr>
              <w:t>86</w:t>
            </w:r>
          </w:hyperlink>
        </w:p>
        <w:p>
          <w:pPr>
            <w:pStyle w:val="Contents4"/>
            <w:tabs>
              <w:tab w:val="clear" w:pos="8176"/>
              <w:tab w:val="right" w:pos="9026" w:leader="dot"/>
            </w:tabs>
            <w:rPr/>
          </w:pPr>
          <w:hyperlink w:anchor="__RefHeading___Toc580404_774463916">
            <w:r>
              <w:rPr>
                <w:webHidden/>
                <w:rStyle w:val="IndexLink"/>
              </w:rPr>
              <w:t>9</w:t>
            </w:r>
            <w:r>
              <w:rPr>
                <w:rStyle w:val="IndexLink"/>
                <w:rtl w:val="true"/>
              </w:rPr>
              <w:t xml:space="preserve">- </w:t>
            </w:r>
            <w:r>
              <w:rPr>
                <w:rStyle w:val="IndexLink"/>
                <w:rtl w:val="true"/>
              </w:rPr>
              <w:t>زوال عین النجاسة</w:t>
            </w:r>
            <w:r>
              <w:rPr>
                <w:rStyle w:val="IndexLink"/>
                <w:rtl w:val="true"/>
              </w:rPr>
              <w:tab/>
            </w:r>
            <w:r>
              <w:rPr>
                <w:rStyle w:val="IndexLink"/>
              </w:rPr>
              <w:t>86</w:t>
            </w:r>
          </w:hyperlink>
        </w:p>
        <w:p>
          <w:pPr>
            <w:pStyle w:val="Contents4"/>
            <w:tabs>
              <w:tab w:val="clear" w:pos="8176"/>
              <w:tab w:val="right" w:pos="9026" w:leader="dot"/>
            </w:tabs>
            <w:rPr/>
          </w:pPr>
          <w:hyperlink w:anchor="__RefHeading___Toc580406_774463916">
            <w:r>
              <w:rPr>
                <w:webHidden/>
                <w:rStyle w:val="IndexLink"/>
              </w:rPr>
              <w:t>10</w:t>
            </w:r>
            <w:r>
              <w:rPr>
                <w:rStyle w:val="IndexLink"/>
                <w:rtl w:val="true"/>
              </w:rPr>
              <w:t xml:space="preserve">- </w:t>
            </w:r>
            <w:r>
              <w:rPr>
                <w:rStyle w:val="IndexLink"/>
                <w:rtl w:val="true"/>
              </w:rPr>
              <w:t>خروج الدم من الذبیحة</w:t>
            </w:r>
            <w:r>
              <w:rPr>
                <w:rStyle w:val="IndexLink"/>
                <w:rtl w:val="true"/>
              </w:rPr>
              <w:tab/>
            </w:r>
            <w:r>
              <w:rPr>
                <w:rStyle w:val="IndexLink"/>
              </w:rPr>
              <w:t>87</w:t>
            </w:r>
          </w:hyperlink>
        </w:p>
        <w:p>
          <w:pPr>
            <w:pStyle w:val="Contents4"/>
            <w:tabs>
              <w:tab w:val="clear" w:pos="8176"/>
              <w:tab w:val="right" w:pos="9026" w:leader="dot"/>
            </w:tabs>
            <w:rPr/>
          </w:pPr>
          <w:hyperlink w:anchor="__RefHeading___Toc580408_774463916">
            <w:r>
              <w:rPr>
                <w:webHidden/>
                <w:rStyle w:val="IndexLink"/>
              </w:rPr>
              <w:t>11</w:t>
            </w:r>
            <w:r>
              <w:rPr>
                <w:rStyle w:val="IndexLink"/>
                <w:rtl w:val="true"/>
              </w:rPr>
              <w:t xml:space="preserve">- </w:t>
            </w:r>
            <w:r>
              <w:rPr>
                <w:rStyle w:val="IndexLink"/>
                <w:rtl w:val="true"/>
              </w:rPr>
              <w:t>غیبة المسلم</w:t>
            </w:r>
            <w:r>
              <w:rPr>
                <w:rStyle w:val="IndexLink"/>
                <w:rtl w:val="true"/>
              </w:rPr>
              <w:tab/>
            </w:r>
            <w:r>
              <w:rPr>
                <w:rStyle w:val="IndexLink"/>
              </w:rPr>
              <w:t>87</w:t>
            </w:r>
          </w:hyperlink>
        </w:p>
        <w:p>
          <w:pPr>
            <w:pStyle w:val="Contents3"/>
            <w:tabs>
              <w:tab w:val="clear" w:pos="8459"/>
              <w:tab w:val="right" w:pos="9026" w:leader="dot"/>
            </w:tabs>
            <w:rPr/>
          </w:pPr>
          <w:hyperlink w:anchor="__RefHeading___Toc580410_774463916">
            <w:r>
              <w:rPr>
                <w:webHidden/>
                <w:rStyle w:val="IndexLink"/>
                <w:rtl w:val="true"/>
              </w:rPr>
              <w:t>الدرس</w:t>
            </w:r>
            <w:r>
              <w:rPr>
                <w:rStyle w:val="IndexLink"/>
              </w:rPr>
              <w:t>14</w:t>
            </w:r>
            <w:r>
              <w:rPr>
                <w:rStyle w:val="IndexLink"/>
                <w:rtl w:val="true"/>
              </w:rPr>
              <w:t xml:space="preserve"> - </w:t>
            </w:r>
            <w:r>
              <w:rPr>
                <w:rStyle w:val="IndexLink"/>
                <w:rtl w:val="true"/>
              </w:rPr>
              <w:t>کتاب الصلاة</w:t>
            </w:r>
            <w:r>
              <w:rPr>
                <w:rStyle w:val="IndexLink"/>
                <w:rtl w:val="true"/>
              </w:rPr>
              <w:tab/>
            </w:r>
            <w:r>
              <w:rPr>
                <w:rStyle w:val="IndexLink"/>
              </w:rPr>
              <w:t>88</w:t>
            </w:r>
          </w:hyperlink>
        </w:p>
        <w:p>
          <w:pPr>
            <w:pStyle w:val="Contents4"/>
            <w:tabs>
              <w:tab w:val="clear" w:pos="8176"/>
              <w:tab w:val="right" w:pos="9026" w:leader="dot"/>
            </w:tabs>
            <w:rPr/>
          </w:pPr>
          <w:hyperlink w:anchor="__RefHeading___Toc580412_774463916">
            <w:r>
              <w:rPr>
                <w:webHidden/>
                <w:rStyle w:val="IndexLink"/>
                <w:rtl w:val="true"/>
              </w:rPr>
              <w:t>الصلاة الواجبة</w:t>
            </w:r>
            <w:r>
              <w:rPr>
                <w:rStyle w:val="IndexLink"/>
                <w:rtl w:val="true"/>
              </w:rPr>
              <w:tab/>
            </w:r>
            <w:r>
              <w:rPr>
                <w:rStyle w:val="IndexLink"/>
              </w:rPr>
              <w:t>88</w:t>
            </w:r>
          </w:hyperlink>
        </w:p>
        <w:p>
          <w:pPr>
            <w:pStyle w:val="Contents4"/>
            <w:tabs>
              <w:tab w:val="clear" w:pos="8176"/>
              <w:tab w:val="right" w:pos="9026" w:leader="dot"/>
            </w:tabs>
            <w:rPr/>
          </w:pPr>
          <w:hyperlink w:anchor="__RefHeading___Toc580414_774463916">
            <w:r>
              <w:rPr>
                <w:webHidden/>
                <w:rStyle w:val="IndexLink"/>
                <w:rtl w:val="true"/>
              </w:rPr>
              <w:t>الصلاة الیومیة</w:t>
            </w:r>
            <w:r>
              <w:rPr>
                <w:rStyle w:val="IndexLink"/>
                <w:rtl w:val="true"/>
              </w:rPr>
              <w:tab/>
            </w:r>
            <w:r>
              <w:rPr>
                <w:rStyle w:val="IndexLink"/>
              </w:rPr>
              <w:t>88</w:t>
            </w:r>
          </w:hyperlink>
        </w:p>
        <w:p>
          <w:pPr>
            <w:pStyle w:val="Contents3"/>
            <w:tabs>
              <w:tab w:val="clear" w:pos="8459"/>
              <w:tab w:val="right" w:pos="9026" w:leader="dot"/>
            </w:tabs>
            <w:rPr/>
          </w:pPr>
          <w:hyperlink w:anchor="__RefHeading___Toc580416_774463916">
            <w:r>
              <w:rPr>
                <w:webHidden/>
                <w:rStyle w:val="IndexLink"/>
                <w:rtl w:val="true"/>
              </w:rPr>
              <w:t>الدرس</w:t>
            </w:r>
            <w:r>
              <w:rPr>
                <w:rStyle w:val="IndexLink"/>
              </w:rPr>
              <w:t>15</w:t>
            </w:r>
            <w:r>
              <w:rPr>
                <w:rStyle w:val="IndexLink"/>
                <w:rtl w:val="true"/>
              </w:rPr>
              <w:t xml:space="preserve"> - </w:t>
            </w:r>
            <w:r>
              <w:rPr>
                <w:rStyle w:val="IndexLink"/>
                <w:rtl w:val="true"/>
              </w:rPr>
              <w:t xml:space="preserve">کتاب الصلاة </w:t>
            </w:r>
            <w:r>
              <w:rPr>
                <w:rStyle w:val="IndexLink"/>
                <w:rtl w:val="true"/>
              </w:rPr>
              <w:t>(</w:t>
            </w:r>
            <w:r>
              <w:rPr>
                <w:rStyle w:val="IndexLink"/>
              </w:rPr>
              <w:t>2</w:t>
            </w:r>
            <w:r>
              <w:rPr>
                <w:rStyle w:val="IndexLink"/>
                <w:rtl w:val="true"/>
              </w:rPr>
              <w:t>)</w:t>
              <w:tab/>
            </w:r>
            <w:r>
              <w:rPr>
                <w:rStyle w:val="IndexLink"/>
              </w:rPr>
              <w:t>90</w:t>
            </w:r>
          </w:hyperlink>
        </w:p>
        <w:p>
          <w:pPr>
            <w:pStyle w:val="Contents4"/>
            <w:tabs>
              <w:tab w:val="clear" w:pos="8176"/>
              <w:tab w:val="right" w:pos="9026" w:leader="dot"/>
            </w:tabs>
            <w:rPr/>
          </w:pPr>
          <w:hyperlink w:anchor="__RefHeading___Toc580418_774463916">
            <w:r>
              <w:rPr>
                <w:webHidden/>
                <w:rStyle w:val="IndexLink"/>
                <w:rtl w:val="true"/>
              </w:rPr>
              <w:t xml:space="preserve">الصلاة الواجبة </w:t>
            </w:r>
            <w:r>
              <w:rPr>
                <w:rStyle w:val="IndexLink"/>
                <w:rtl w:val="true"/>
              </w:rPr>
              <w:t>(</w:t>
            </w:r>
            <w:r>
              <w:rPr>
                <w:rStyle w:val="IndexLink"/>
              </w:rPr>
              <w:t>2</w:t>
            </w:r>
            <w:r>
              <w:rPr>
                <w:rStyle w:val="IndexLink"/>
                <w:rtl w:val="true"/>
              </w:rPr>
              <w:t>)</w:t>
              <w:tab/>
            </w:r>
            <w:r>
              <w:rPr>
                <w:rStyle w:val="IndexLink"/>
              </w:rPr>
              <w:t>90</w:t>
            </w:r>
          </w:hyperlink>
        </w:p>
        <w:p>
          <w:pPr>
            <w:pStyle w:val="Contents4"/>
            <w:tabs>
              <w:tab w:val="clear" w:pos="8176"/>
              <w:tab w:val="right" w:pos="9026" w:leader="dot"/>
            </w:tabs>
            <w:rPr/>
          </w:pPr>
          <w:hyperlink w:anchor="__RefHeading___Toc580420_774463916">
            <w:r>
              <w:rPr>
                <w:webHidden/>
                <w:rStyle w:val="IndexLink"/>
                <w:rtl w:val="true"/>
              </w:rPr>
              <w:t>شرائط الصلاة</w:t>
            </w:r>
            <w:r>
              <w:rPr>
                <w:rStyle w:val="IndexLink"/>
                <w:rtl w:val="true"/>
              </w:rPr>
              <w:t xml:space="preserve">: </w:t>
            </w:r>
            <w:r>
              <w:rPr>
                <w:rStyle w:val="IndexLink"/>
                <w:rtl w:val="true"/>
              </w:rPr>
              <w:t>أوقات الصلاة الیومیة</w:t>
            </w:r>
            <w:r>
              <w:rPr>
                <w:rStyle w:val="IndexLink"/>
                <w:rtl w:val="true"/>
              </w:rPr>
              <w:tab/>
            </w:r>
            <w:r>
              <w:rPr>
                <w:rStyle w:val="IndexLink"/>
              </w:rPr>
              <w:t>90</w:t>
            </w:r>
          </w:hyperlink>
        </w:p>
        <w:p>
          <w:pPr>
            <w:pStyle w:val="Contents3"/>
            <w:tabs>
              <w:tab w:val="clear" w:pos="8459"/>
              <w:tab w:val="right" w:pos="9026" w:leader="dot"/>
            </w:tabs>
            <w:rPr/>
          </w:pPr>
          <w:hyperlink w:anchor="__RefHeading___Toc580422_774463916">
            <w:r>
              <w:rPr>
                <w:webHidden/>
                <w:rStyle w:val="IndexLink"/>
                <w:rtl w:val="true"/>
              </w:rPr>
              <w:t>الدرس</w:t>
            </w:r>
            <w:r>
              <w:rPr>
                <w:rStyle w:val="IndexLink"/>
              </w:rPr>
              <w:t>16</w:t>
            </w:r>
            <w:r>
              <w:rPr>
                <w:rStyle w:val="IndexLink"/>
                <w:rtl w:val="true"/>
              </w:rPr>
              <w:t xml:space="preserve"> - </w:t>
            </w:r>
            <w:r>
              <w:rPr>
                <w:rStyle w:val="IndexLink"/>
                <w:rtl w:val="true"/>
              </w:rPr>
              <w:t xml:space="preserve">کتاب الصلاة </w:t>
            </w:r>
            <w:r>
              <w:rPr>
                <w:rStyle w:val="IndexLink"/>
                <w:rtl w:val="true"/>
              </w:rPr>
              <w:t>(</w:t>
            </w:r>
            <w:r>
              <w:rPr>
                <w:rStyle w:val="IndexLink"/>
              </w:rPr>
              <w:t>3</w:t>
            </w:r>
            <w:r>
              <w:rPr>
                <w:rStyle w:val="IndexLink"/>
                <w:rtl w:val="true"/>
              </w:rPr>
              <w:t>)</w:t>
              <w:tab/>
            </w:r>
            <w:r>
              <w:rPr>
                <w:rStyle w:val="IndexLink"/>
              </w:rPr>
              <w:t>92</w:t>
            </w:r>
          </w:hyperlink>
        </w:p>
        <w:p>
          <w:pPr>
            <w:pStyle w:val="Contents4"/>
            <w:tabs>
              <w:tab w:val="clear" w:pos="8176"/>
              <w:tab w:val="right" w:pos="9026" w:leader="dot"/>
            </w:tabs>
            <w:rPr/>
          </w:pPr>
          <w:hyperlink w:anchor="__RefHeading___Toc580424_774463916">
            <w:r>
              <w:rPr>
                <w:webHidden/>
                <w:rStyle w:val="IndexLink"/>
                <w:rtl w:val="true"/>
              </w:rPr>
              <w:t xml:space="preserve">الصلاة الواجبة </w:t>
            </w:r>
            <w:r>
              <w:rPr>
                <w:rStyle w:val="IndexLink"/>
                <w:rtl w:val="true"/>
              </w:rPr>
              <w:t>(</w:t>
            </w:r>
            <w:r>
              <w:rPr>
                <w:rStyle w:val="IndexLink"/>
              </w:rPr>
              <w:t>3</w:t>
            </w:r>
            <w:r>
              <w:rPr>
                <w:rStyle w:val="IndexLink"/>
                <w:rtl w:val="true"/>
              </w:rPr>
              <w:t>)</w:t>
              <w:tab/>
            </w:r>
            <w:r>
              <w:rPr>
                <w:rStyle w:val="IndexLink"/>
              </w:rPr>
              <w:t>92</w:t>
            </w:r>
          </w:hyperlink>
        </w:p>
        <w:p>
          <w:pPr>
            <w:pStyle w:val="Contents3"/>
            <w:tabs>
              <w:tab w:val="clear" w:pos="8459"/>
              <w:tab w:val="right" w:pos="9026" w:leader="dot"/>
            </w:tabs>
            <w:rPr/>
          </w:pPr>
          <w:hyperlink w:anchor="__RefHeading___Toc580426_774463916">
            <w:r>
              <w:rPr>
                <w:webHidden/>
                <w:rStyle w:val="IndexLink"/>
                <w:rtl w:val="true"/>
              </w:rPr>
              <w:t>الدرس</w:t>
            </w:r>
            <w:r>
              <w:rPr>
                <w:rStyle w:val="IndexLink"/>
              </w:rPr>
              <w:t>17</w:t>
            </w:r>
            <w:r>
              <w:rPr>
                <w:rStyle w:val="IndexLink"/>
                <w:rtl w:val="true"/>
              </w:rPr>
              <w:t xml:space="preserve"> - </w:t>
            </w:r>
            <w:r>
              <w:rPr>
                <w:rStyle w:val="IndexLink"/>
                <w:rtl w:val="true"/>
              </w:rPr>
              <w:t xml:space="preserve">کتاب الصلاة </w:t>
            </w:r>
            <w:r>
              <w:rPr>
                <w:rStyle w:val="IndexLink"/>
                <w:rtl w:val="true"/>
              </w:rPr>
              <w:t>(</w:t>
            </w:r>
            <w:r>
              <w:rPr>
                <w:rStyle w:val="IndexLink"/>
              </w:rPr>
              <w:t>4</w:t>
            </w:r>
            <w:r>
              <w:rPr>
                <w:rStyle w:val="IndexLink"/>
                <w:rtl w:val="true"/>
              </w:rPr>
              <w:t>)</w:t>
              <w:tab/>
            </w:r>
            <w:r>
              <w:rPr>
                <w:rStyle w:val="IndexLink"/>
              </w:rPr>
              <w:t>95</w:t>
            </w:r>
          </w:hyperlink>
        </w:p>
        <w:p>
          <w:pPr>
            <w:pStyle w:val="Contents4"/>
            <w:tabs>
              <w:tab w:val="clear" w:pos="8176"/>
              <w:tab w:val="right" w:pos="9026" w:leader="dot"/>
            </w:tabs>
            <w:rPr/>
          </w:pPr>
          <w:hyperlink w:anchor="__RefHeading___Toc580428_774463916">
            <w:r>
              <w:rPr>
                <w:webHidden/>
                <w:rStyle w:val="IndexLink"/>
                <w:rtl w:val="true"/>
              </w:rPr>
              <w:t>فی مقدمات الصلاة</w:t>
            </w:r>
            <w:r>
              <w:rPr>
                <w:rStyle w:val="IndexLink"/>
                <w:rtl w:val="true"/>
              </w:rPr>
              <w:tab/>
            </w:r>
            <w:r>
              <w:rPr>
                <w:rStyle w:val="IndexLink"/>
              </w:rPr>
              <w:t>95</w:t>
            </w:r>
          </w:hyperlink>
        </w:p>
        <w:p>
          <w:pPr>
            <w:pStyle w:val="Contents5"/>
            <w:tabs>
              <w:tab w:val="clear" w:pos="7892"/>
              <w:tab w:val="right" w:pos="9026" w:leader="dot"/>
            </w:tabs>
            <w:rPr/>
          </w:pPr>
          <w:hyperlink w:anchor="__RefHeading___Toc580430_774463916">
            <w:r>
              <w:rPr>
                <w:webHidden/>
                <w:rStyle w:val="IndexLink"/>
              </w:rPr>
              <w:t>1</w:t>
            </w:r>
            <w:r>
              <w:rPr>
                <w:rStyle w:val="IndexLink"/>
                <w:rtl w:val="true"/>
              </w:rPr>
              <w:t xml:space="preserve">- </w:t>
            </w:r>
            <w:r>
              <w:rPr>
                <w:rStyle w:val="IndexLink"/>
                <w:rtl w:val="true"/>
              </w:rPr>
              <w:t>القبلة</w:t>
            </w:r>
            <w:r>
              <w:rPr>
                <w:rStyle w:val="IndexLink"/>
                <w:rtl w:val="true"/>
              </w:rPr>
              <w:tab/>
            </w:r>
            <w:r>
              <w:rPr>
                <w:rStyle w:val="IndexLink"/>
              </w:rPr>
              <w:t>95</w:t>
            </w:r>
          </w:hyperlink>
        </w:p>
        <w:p>
          <w:pPr>
            <w:pStyle w:val="Contents5"/>
            <w:tabs>
              <w:tab w:val="clear" w:pos="7892"/>
              <w:tab w:val="right" w:pos="9026" w:leader="dot"/>
            </w:tabs>
            <w:rPr/>
          </w:pPr>
          <w:hyperlink w:anchor="__RefHeading___Toc580432_774463916">
            <w:r>
              <w:rPr>
                <w:webHidden/>
                <w:rStyle w:val="IndexLink"/>
              </w:rPr>
              <w:t>2</w:t>
            </w:r>
            <w:r>
              <w:rPr>
                <w:rStyle w:val="IndexLink"/>
                <w:rtl w:val="true"/>
              </w:rPr>
              <w:t xml:space="preserve">- </w:t>
            </w:r>
            <w:r>
              <w:rPr>
                <w:rStyle w:val="IndexLink"/>
                <w:rtl w:val="true"/>
              </w:rPr>
              <w:t>الطهارة</w:t>
            </w:r>
            <w:r>
              <w:rPr>
                <w:rStyle w:val="IndexLink"/>
                <w:rtl w:val="true"/>
              </w:rPr>
              <w:tab/>
            </w:r>
            <w:r>
              <w:rPr>
                <w:rStyle w:val="IndexLink"/>
              </w:rPr>
              <w:t>95</w:t>
            </w:r>
          </w:hyperlink>
        </w:p>
        <w:p>
          <w:pPr>
            <w:pStyle w:val="Contents5"/>
            <w:tabs>
              <w:tab w:val="clear" w:pos="7892"/>
              <w:tab w:val="right" w:pos="9026" w:leader="dot"/>
            </w:tabs>
            <w:rPr/>
          </w:pPr>
          <w:hyperlink w:anchor="__RefHeading___Toc580434_774463916">
            <w:r>
              <w:rPr>
                <w:webHidden/>
                <w:rStyle w:val="IndexLink"/>
              </w:rPr>
              <w:t>3</w:t>
            </w:r>
            <w:r>
              <w:rPr>
                <w:rStyle w:val="IndexLink"/>
                <w:rtl w:val="true"/>
              </w:rPr>
              <w:t xml:space="preserve">- </w:t>
            </w:r>
            <w:r>
              <w:rPr>
                <w:rStyle w:val="IndexLink"/>
                <w:rtl w:val="true"/>
              </w:rPr>
              <w:t>ستر العورة</w:t>
            </w:r>
            <w:r>
              <w:rPr>
                <w:rStyle w:val="IndexLink"/>
                <w:rtl w:val="true"/>
              </w:rPr>
              <w:tab/>
            </w:r>
            <w:r>
              <w:rPr>
                <w:rStyle w:val="IndexLink"/>
              </w:rPr>
              <w:t>96</w:t>
            </w:r>
          </w:hyperlink>
        </w:p>
        <w:p>
          <w:pPr>
            <w:pStyle w:val="Contents3"/>
            <w:tabs>
              <w:tab w:val="clear" w:pos="8459"/>
              <w:tab w:val="right" w:pos="9026" w:leader="dot"/>
            </w:tabs>
            <w:rPr/>
          </w:pPr>
          <w:hyperlink w:anchor="__RefHeading___Toc580436_774463916">
            <w:r>
              <w:rPr>
                <w:webHidden/>
                <w:rStyle w:val="IndexLink"/>
                <w:rtl w:val="true"/>
              </w:rPr>
              <w:t>الدرس</w:t>
            </w:r>
            <w:r>
              <w:rPr>
                <w:rStyle w:val="IndexLink"/>
              </w:rPr>
              <w:t>18</w:t>
            </w:r>
            <w:r>
              <w:rPr>
                <w:rStyle w:val="IndexLink"/>
                <w:rtl w:val="true"/>
              </w:rPr>
              <w:t xml:space="preserve"> - </w:t>
            </w:r>
            <w:r>
              <w:rPr>
                <w:rStyle w:val="IndexLink"/>
                <w:rtl w:val="true"/>
              </w:rPr>
              <w:t xml:space="preserve">کتاب الصلاة </w:t>
            </w:r>
            <w:r>
              <w:rPr>
                <w:rStyle w:val="IndexLink"/>
                <w:rtl w:val="true"/>
              </w:rPr>
              <w:t>(</w:t>
            </w:r>
            <w:r>
              <w:rPr>
                <w:rStyle w:val="IndexLink"/>
              </w:rPr>
              <w:t>5</w:t>
            </w:r>
            <w:r>
              <w:rPr>
                <w:rStyle w:val="IndexLink"/>
                <w:rtl w:val="true"/>
              </w:rPr>
              <w:t>)</w:t>
              <w:tab/>
            </w:r>
            <w:r>
              <w:rPr>
                <w:rStyle w:val="IndexLink"/>
              </w:rPr>
              <w:t>97</w:t>
            </w:r>
          </w:hyperlink>
        </w:p>
        <w:p>
          <w:pPr>
            <w:pStyle w:val="Contents4"/>
            <w:tabs>
              <w:tab w:val="clear" w:pos="8176"/>
              <w:tab w:val="right" w:pos="9026" w:leader="dot"/>
            </w:tabs>
            <w:rPr/>
          </w:pPr>
          <w:hyperlink w:anchor="__RefHeading___Toc580438_774463916">
            <w:r>
              <w:rPr>
                <w:webHidden/>
                <w:rStyle w:val="IndexLink"/>
                <w:rtl w:val="true"/>
              </w:rPr>
              <w:t xml:space="preserve">فی مقدمات الصلاة </w:t>
            </w:r>
            <w:r>
              <w:rPr>
                <w:rStyle w:val="IndexLink"/>
                <w:rtl w:val="true"/>
              </w:rPr>
              <w:t>(</w:t>
            </w:r>
            <w:r>
              <w:rPr>
                <w:rStyle w:val="IndexLink"/>
              </w:rPr>
              <w:t>2</w:t>
            </w:r>
            <w:r>
              <w:rPr>
                <w:rStyle w:val="IndexLink"/>
                <w:rtl w:val="true"/>
              </w:rPr>
              <w:t>)</w:t>
              <w:tab/>
            </w:r>
            <w:r>
              <w:rPr>
                <w:rStyle w:val="IndexLink"/>
              </w:rPr>
              <w:t>97</w:t>
            </w:r>
          </w:hyperlink>
        </w:p>
        <w:p>
          <w:pPr>
            <w:pStyle w:val="Contents5"/>
            <w:tabs>
              <w:tab w:val="clear" w:pos="7892"/>
              <w:tab w:val="right" w:pos="9026" w:leader="dot"/>
            </w:tabs>
            <w:rPr/>
          </w:pPr>
          <w:hyperlink w:anchor="__RefHeading___Toc580440_774463916">
            <w:r>
              <w:rPr>
                <w:webHidden/>
                <w:rStyle w:val="IndexLink"/>
                <w:rtl w:val="true"/>
              </w:rPr>
              <w:t>اشارة</w:t>
            </w:r>
            <w:r>
              <w:rPr>
                <w:rStyle w:val="IndexLink"/>
                <w:rtl w:val="true"/>
              </w:rPr>
              <w:tab/>
            </w:r>
            <w:r>
              <w:rPr>
                <w:rStyle w:val="IndexLink"/>
              </w:rPr>
              <w:t>97</w:t>
            </w:r>
          </w:hyperlink>
        </w:p>
        <w:p>
          <w:pPr>
            <w:pStyle w:val="Contents5"/>
            <w:tabs>
              <w:tab w:val="clear" w:pos="7892"/>
              <w:tab w:val="right" w:pos="9026" w:leader="dot"/>
            </w:tabs>
            <w:rPr/>
          </w:pPr>
          <w:hyperlink w:anchor="__RefHeading___Toc580442_774463916">
            <w:r>
              <w:rPr>
                <w:webHidden/>
                <w:rStyle w:val="IndexLink"/>
              </w:rPr>
              <w:t>4</w:t>
            </w:r>
            <w:r>
              <w:rPr>
                <w:rStyle w:val="IndexLink"/>
                <w:rtl w:val="true"/>
              </w:rPr>
              <w:t xml:space="preserve">- </w:t>
            </w:r>
            <w:r>
              <w:rPr>
                <w:rStyle w:val="IndexLink"/>
                <w:rtl w:val="true"/>
              </w:rPr>
              <w:t>مکان المصلّی</w:t>
            </w:r>
            <w:r>
              <w:rPr>
                <w:rStyle w:val="IndexLink"/>
                <w:rtl w:val="true"/>
              </w:rPr>
              <w:tab/>
            </w:r>
            <w:r>
              <w:rPr>
                <w:rStyle w:val="IndexLink"/>
              </w:rPr>
              <w:t>98</w:t>
            </w:r>
          </w:hyperlink>
        </w:p>
        <w:p>
          <w:pPr>
            <w:pStyle w:val="Contents5"/>
            <w:tabs>
              <w:tab w:val="clear" w:pos="7892"/>
              <w:tab w:val="right" w:pos="9026" w:leader="dot"/>
            </w:tabs>
            <w:rPr/>
          </w:pPr>
          <w:hyperlink w:anchor="__RefHeading___Toc580444_774463916">
            <w:r>
              <w:rPr>
                <w:webHidden/>
                <w:rStyle w:val="IndexLink"/>
              </w:rPr>
              <w:t>5</w:t>
            </w:r>
            <w:r>
              <w:rPr>
                <w:rStyle w:val="IndexLink"/>
                <w:rtl w:val="true"/>
              </w:rPr>
              <w:t xml:space="preserve">- </w:t>
            </w:r>
            <w:r>
              <w:rPr>
                <w:rStyle w:val="IndexLink"/>
                <w:rtl w:val="true"/>
              </w:rPr>
              <w:t>الأذان والإقامة</w:t>
            </w:r>
            <w:r>
              <w:rPr>
                <w:rStyle w:val="IndexLink"/>
                <w:rtl w:val="true"/>
              </w:rPr>
              <w:tab/>
            </w:r>
            <w:r>
              <w:rPr>
                <w:rStyle w:val="IndexLink"/>
              </w:rPr>
              <w:t>98</w:t>
            </w:r>
          </w:hyperlink>
        </w:p>
        <w:p>
          <w:pPr>
            <w:pStyle w:val="Contents3"/>
            <w:tabs>
              <w:tab w:val="clear" w:pos="8459"/>
              <w:tab w:val="right" w:pos="9026" w:leader="dot"/>
            </w:tabs>
            <w:rPr/>
          </w:pPr>
          <w:hyperlink w:anchor="__RefHeading___Toc580446_774463916">
            <w:r>
              <w:rPr>
                <w:webHidden/>
                <w:rStyle w:val="IndexLink"/>
                <w:rtl w:val="true"/>
              </w:rPr>
              <w:t>الدرس</w:t>
            </w:r>
            <w:r>
              <w:rPr>
                <w:rStyle w:val="IndexLink"/>
              </w:rPr>
              <w:t>19</w:t>
            </w:r>
            <w:r>
              <w:rPr>
                <w:rStyle w:val="IndexLink"/>
                <w:rtl w:val="true"/>
              </w:rPr>
              <w:t xml:space="preserve"> - </w:t>
            </w:r>
            <w:r>
              <w:rPr>
                <w:rStyle w:val="IndexLink"/>
                <w:rtl w:val="true"/>
              </w:rPr>
              <w:t xml:space="preserve">کتاب الصلاة </w:t>
            </w:r>
            <w:r>
              <w:rPr>
                <w:rStyle w:val="IndexLink"/>
                <w:rtl w:val="true"/>
              </w:rPr>
              <w:t>(</w:t>
            </w:r>
            <w:r>
              <w:rPr>
                <w:rStyle w:val="IndexLink"/>
              </w:rPr>
              <w:t>6</w:t>
            </w:r>
            <w:r>
              <w:rPr>
                <w:rStyle w:val="IndexLink"/>
                <w:rtl w:val="true"/>
              </w:rPr>
              <w:t>)</w:t>
              <w:tab/>
            </w:r>
            <w:r>
              <w:rPr>
                <w:rStyle w:val="IndexLink"/>
              </w:rPr>
              <w:t>100</w:t>
            </w:r>
          </w:hyperlink>
        </w:p>
        <w:p>
          <w:pPr>
            <w:pStyle w:val="Contents4"/>
            <w:tabs>
              <w:tab w:val="clear" w:pos="8176"/>
              <w:tab w:val="right" w:pos="9026" w:leader="dot"/>
            </w:tabs>
            <w:rPr/>
          </w:pPr>
          <w:hyperlink w:anchor="__RefHeading___Toc580448_774463916">
            <w:r>
              <w:rPr>
                <w:webHidden/>
                <w:rStyle w:val="IndexLink"/>
                <w:rtl w:val="true"/>
              </w:rPr>
              <w:t>أجزاء الصلاة</w:t>
            </w:r>
            <w:r>
              <w:rPr>
                <w:rStyle w:val="IndexLink"/>
                <w:rtl w:val="true"/>
              </w:rPr>
              <w:tab/>
            </w:r>
            <w:r>
              <w:rPr>
                <w:rStyle w:val="IndexLink"/>
              </w:rPr>
              <w:t>100</w:t>
            </w:r>
          </w:hyperlink>
        </w:p>
        <w:p>
          <w:pPr>
            <w:pStyle w:val="Contents5"/>
            <w:tabs>
              <w:tab w:val="clear" w:pos="7892"/>
              <w:tab w:val="right" w:pos="9026" w:leader="dot"/>
            </w:tabs>
            <w:rPr/>
          </w:pPr>
          <w:hyperlink w:anchor="__RefHeading___Toc580450_774463916">
            <w:r>
              <w:rPr>
                <w:webHidden/>
                <w:rStyle w:val="IndexLink"/>
              </w:rPr>
              <w:t>1</w:t>
            </w:r>
            <w:r>
              <w:rPr>
                <w:rStyle w:val="IndexLink"/>
                <w:rtl w:val="true"/>
              </w:rPr>
              <w:t xml:space="preserve">- </w:t>
            </w:r>
            <w:r>
              <w:rPr>
                <w:rStyle w:val="IndexLink"/>
                <w:rtl w:val="true"/>
              </w:rPr>
              <w:t>النیّة</w:t>
            </w:r>
            <w:r>
              <w:rPr>
                <w:rStyle w:val="IndexLink"/>
                <w:rtl w:val="true"/>
              </w:rPr>
              <w:tab/>
            </w:r>
            <w:r>
              <w:rPr>
                <w:rStyle w:val="IndexLink"/>
              </w:rPr>
              <w:t>100</w:t>
            </w:r>
          </w:hyperlink>
        </w:p>
        <w:p>
          <w:pPr>
            <w:pStyle w:val="Contents5"/>
            <w:tabs>
              <w:tab w:val="clear" w:pos="7892"/>
              <w:tab w:val="right" w:pos="9026" w:leader="dot"/>
            </w:tabs>
            <w:rPr/>
          </w:pPr>
          <w:hyperlink w:anchor="__RefHeading___Toc580452_774463916">
            <w:r>
              <w:rPr>
                <w:webHidden/>
                <w:rStyle w:val="IndexLink"/>
              </w:rPr>
              <w:t>2</w:t>
            </w:r>
            <w:r>
              <w:rPr>
                <w:rStyle w:val="IndexLink"/>
                <w:rtl w:val="true"/>
              </w:rPr>
              <w:t xml:space="preserve">- </w:t>
            </w:r>
            <w:r>
              <w:rPr>
                <w:rStyle w:val="IndexLink"/>
                <w:rtl w:val="true"/>
              </w:rPr>
              <w:t>تکبیرة الإحرام</w:t>
            </w:r>
            <w:r>
              <w:rPr>
                <w:rStyle w:val="IndexLink"/>
                <w:rtl w:val="true"/>
              </w:rPr>
              <w:tab/>
            </w:r>
            <w:r>
              <w:rPr>
                <w:rStyle w:val="IndexLink"/>
              </w:rPr>
              <w:t>100</w:t>
            </w:r>
          </w:hyperlink>
        </w:p>
        <w:p>
          <w:pPr>
            <w:pStyle w:val="Contents5"/>
            <w:tabs>
              <w:tab w:val="clear" w:pos="7892"/>
              <w:tab w:val="right" w:pos="9026" w:leader="dot"/>
            </w:tabs>
            <w:rPr/>
          </w:pPr>
          <w:hyperlink w:anchor="__RefHeading___Toc580454_774463916">
            <w:r>
              <w:rPr>
                <w:webHidden/>
                <w:rStyle w:val="IndexLink"/>
              </w:rPr>
              <w:t>3</w:t>
            </w:r>
            <w:r>
              <w:rPr>
                <w:rStyle w:val="IndexLink"/>
                <w:rtl w:val="true"/>
              </w:rPr>
              <w:t xml:space="preserve">- </w:t>
            </w:r>
            <w:r>
              <w:rPr>
                <w:rStyle w:val="IndexLink"/>
                <w:rtl w:val="true"/>
              </w:rPr>
              <w:t>القیام</w:t>
            </w:r>
            <w:r>
              <w:rPr>
                <w:rStyle w:val="IndexLink"/>
                <w:rtl w:val="true"/>
              </w:rPr>
              <w:tab/>
            </w:r>
            <w:r>
              <w:rPr>
                <w:rStyle w:val="IndexLink"/>
              </w:rPr>
              <w:t>101</w:t>
            </w:r>
          </w:hyperlink>
        </w:p>
        <w:p>
          <w:pPr>
            <w:pStyle w:val="Contents5"/>
            <w:tabs>
              <w:tab w:val="clear" w:pos="7892"/>
              <w:tab w:val="right" w:pos="9026" w:leader="dot"/>
            </w:tabs>
            <w:rPr/>
          </w:pPr>
          <w:hyperlink w:anchor="__RefHeading___Toc580456_774463916">
            <w:r>
              <w:rPr>
                <w:webHidden/>
                <w:rStyle w:val="IndexLink"/>
              </w:rPr>
              <w:t>4</w:t>
            </w:r>
            <w:r>
              <w:rPr>
                <w:rStyle w:val="IndexLink"/>
                <w:rtl w:val="true"/>
              </w:rPr>
              <w:t xml:space="preserve">- </w:t>
            </w:r>
            <w:r>
              <w:rPr>
                <w:rStyle w:val="IndexLink"/>
                <w:rtl w:val="true"/>
              </w:rPr>
              <w:t>القراءة</w:t>
            </w:r>
            <w:r>
              <w:rPr>
                <w:rStyle w:val="IndexLink"/>
                <w:rtl w:val="true"/>
              </w:rPr>
              <w:tab/>
            </w:r>
            <w:r>
              <w:rPr>
                <w:rStyle w:val="IndexLink"/>
              </w:rPr>
              <w:t>101</w:t>
            </w:r>
          </w:hyperlink>
        </w:p>
        <w:p>
          <w:pPr>
            <w:pStyle w:val="Contents3"/>
            <w:tabs>
              <w:tab w:val="clear" w:pos="8459"/>
              <w:tab w:val="right" w:pos="9026" w:leader="dot"/>
            </w:tabs>
            <w:rPr/>
          </w:pPr>
          <w:hyperlink w:anchor="__RefHeading___Toc580458_774463916">
            <w:r>
              <w:rPr>
                <w:webHidden/>
                <w:rStyle w:val="IndexLink"/>
                <w:rtl w:val="true"/>
              </w:rPr>
              <w:t>الدرس</w:t>
            </w:r>
            <w:r>
              <w:rPr>
                <w:rStyle w:val="IndexLink"/>
              </w:rPr>
              <w:t>20</w:t>
            </w:r>
            <w:r>
              <w:rPr>
                <w:rStyle w:val="IndexLink"/>
                <w:rtl w:val="true"/>
              </w:rPr>
              <w:t xml:space="preserve"> - </w:t>
            </w:r>
            <w:r>
              <w:rPr>
                <w:rStyle w:val="IndexLink"/>
                <w:rtl w:val="true"/>
              </w:rPr>
              <w:t xml:space="preserve">کتاب الصلاة </w:t>
            </w:r>
            <w:r>
              <w:rPr>
                <w:rStyle w:val="IndexLink"/>
                <w:rtl w:val="true"/>
              </w:rPr>
              <w:t>(</w:t>
            </w:r>
            <w:r>
              <w:rPr>
                <w:rStyle w:val="IndexLink"/>
              </w:rPr>
              <w:t>7</w:t>
            </w:r>
            <w:r>
              <w:rPr>
                <w:rStyle w:val="IndexLink"/>
                <w:rtl w:val="true"/>
              </w:rPr>
              <w:t>)</w:t>
              <w:tab/>
            </w:r>
            <w:r>
              <w:rPr>
                <w:rStyle w:val="IndexLink"/>
              </w:rPr>
              <w:t>103</w:t>
            </w:r>
          </w:hyperlink>
        </w:p>
        <w:p>
          <w:pPr>
            <w:pStyle w:val="Contents4"/>
            <w:tabs>
              <w:tab w:val="clear" w:pos="8176"/>
              <w:tab w:val="right" w:pos="9026" w:leader="dot"/>
            </w:tabs>
            <w:rPr/>
          </w:pPr>
          <w:hyperlink w:anchor="__RefHeading___Toc580460_774463916">
            <w:r>
              <w:rPr>
                <w:webHidden/>
                <w:rStyle w:val="IndexLink"/>
                <w:rtl w:val="true"/>
              </w:rPr>
              <w:t xml:space="preserve">أجزاء الصلاة </w:t>
            </w:r>
            <w:r>
              <w:rPr>
                <w:rStyle w:val="IndexLink"/>
                <w:rtl w:val="true"/>
              </w:rPr>
              <w:t>(</w:t>
            </w:r>
            <w:r>
              <w:rPr>
                <w:rStyle w:val="IndexLink"/>
              </w:rPr>
              <w:t>2</w:t>
            </w:r>
            <w:r>
              <w:rPr>
                <w:rStyle w:val="IndexLink"/>
                <w:rtl w:val="true"/>
              </w:rPr>
              <w:t>)</w:t>
              <w:tab/>
            </w:r>
            <w:r>
              <w:rPr>
                <w:rStyle w:val="IndexLink"/>
              </w:rPr>
              <w:t>103</w:t>
            </w:r>
          </w:hyperlink>
        </w:p>
        <w:p>
          <w:pPr>
            <w:pStyle w:val="Contents4"/>
            <w:tabs>
              <w:tab w:val="clear" w:pos="8176"/>
              <w:tab w:val="right" w:pos="9026" w:leader="dot"/>
            </w:tabs>
            <w:rPr/>
          </w:pPr>
          <w:hyperlink w:anchor="__RefHeading___Toc580462_774463916">
            <w:r>
              <w:rPr>
                <w:webHidden/>
                <w:rStyle w:val="IndexLink"/>
                <w:rtl w:val="true"/>
              </w:rPr>
              <w:t>تابع القراءة</w:t>
            </w:r>
            <w:r>
              <w:rPr>
                <w:rStyle w:val="IndexLink"/>
                <w:rtl w:val="true"/>
              </w:rPr>
              <w:tab/>
            </w:r>
            <w:r>
              <w:rPr>
                <w:rStyle w:val="IndexLink"/>
              </w:rPr>
              <w:t>103</w:t>
            </w:r>
          </w:hyperlink>
        </w:p>
        <w:p>
          <w:pPr>
            <w:pStyle w:val="Contents4"/>
            <w:tabs>
              <w:tab w:val="clear" w:pos="8176"/>
              <w:tab w:val="right" w:pos="9026" w:leader="dot"/>
            </w:tabs>
            <w:rPr/>
          </w:pPr>
          <w:hyperlink w:anchor="__RefHeading___Toc580464_774463916">
            <w:r>
              <w:rPr>
                <w:webHidden/>
                <w:rStyle w:val="IndexLink"/>
                <w:rtl w:val="true"/>
              </w:rPr>
              <w:t>مستحبّات القرائة</w:t>
            </w:r>
            <w:r>
              <w:rPr>
                <w:rStyle w:val="IndexLink"/>
                <w:rtl w:val="true"/>
              </w:rPr>
              <w:tab/>
            </w:r>
            <w:r>
              <w:rPr>
                <w:rStyle w:val="IndexLink"/>
              </w:rPr>
              <w:t>104</w:t>
            </w:r>
          </w:hyperlink>
        </w:p>
        <w:p>
          <w:pPr>
            <w:pStyle w:val="Contents3"/>
            <w:tabs>
              <w:tab w:val="clear" w:pos="8459"/>
              <w:tab w:val="right" w:pos="9026" w:leader="dot"/>
            </w:tabs>
            <w:rPr/>
          </w:pPr>
          <w:hyperlink w:anchor="__RefHeading___Toc580466_774463916">
            <w:r>
              <w:rPr>
                <w:webHidden/>
                <w:rStyle w:val="IndexLink"/>
                <w:rtl w:val="true"/>
              </w:rPr>
              <w:t>الدرس</w:t>
            </w:r>
            <w:r>
              <w:rPr>
                <w:rStyle w:val="IndexLink"/>
              </w:rPr>
              <w:t>21</w:t>
            </w:r>
            <w:r>
              <w:rPr>
                <w:rStyle w:val="IndexLink"/>
                <w:rtl w:val="true"/>
              </w:rPr>
              <w:t xml:space="preserve"> - </w:t>
            </w:r>
            <w:r>
              <w:rPr>
                <w:rStyle w:val="IndexLink"/>
                <w:rtl w:val="true"/>
              </w:rPr>
              <w:t xml:space="preserve">کتاب الصلاة </w:t>
            </w:r>
            <w:r>
              <w:rPr>
                <w:rStyle w:val="IndexLink"/>
                <w:rtl w:val="true"/>
              </w:rPr>
              <w:t>(</w:t>
            </w:r>
            <w:r>
              <w:rPr>
                <w:rStyle w:val="IndexLink"/>
              </w:rPr>
              <w:t>8</w:t>
            </w:r>
            <w:r>
              <w:rPr>
                <w:rStyle w:val="IndexLink"/>
                <w:rtl w:val="true"/>
              </w:rPr>
              <w:t>)</w:t>
              <w:tab/>
            </w:r>
            <w:r>
              <w:rPr>
                <w:rStyle w:val="IndexLink"/>
              </w:rPr>
              <w:t>105</w:t>
            </w:r>
          </w:hyperlink>
        </w:p>
        <w:p>
          <w:pPr>
            <w:pStyle w:val="Contents4"/>
            <w:tabs>
              <w:tab w:val="clear" w:pos="8176"/>
              <w:tab w:val="right" w:pos="9026" w:leader="dot"/>
            </w:tabs>
            <w:rPr/>
          </w:pPr>
          <w:hyperlink w:anchor="__RefHeading___Toc580468_774463916">
            <w:r>
              <w:rPr>
                <w:webHidden/>
                <w:rStyle w:val="IndexLink"/>
                <w:rtl w:val="true"/>
              </w:rPr>
              <w:t xml:space="preserve">أجزاء الصلاة </w:t>
            </w:r>
            <w:r>
              <w:rPr>
                <w:rStyle w:val="IndexLink"/>
                <w:rtl w:val="true"/>
              </w:rPr>
              <w:t>(</w:t>
            </w:r>
            <w:r>
              <w:rPr>
                <w:rStyle w:val="IndexLink"/>
              </w:rPr>
              <w:t>3</w:t>
            </w:r>
            <w:r>
              <w:rPr>
                <w:rStyle w:val="IndexLink"/>
                <w:rtl w:val="true"/>
              </w:rPr>
              <w:t>)</w:t>
              <w:tab/>
            </w:r>
            <w:r>
              <w:rPr>
                <w:rStyle w:val="IndexLink"/>
              </w:rPr>
              <w:t>105</w:t>
            </w:r>
          </w:hyperlink>
        </w:p>
        <w:p>
          <w:pPr>
            <w:pStyle w:val="Contents5"/>
            <w:tabs>
              <w:tab w:val="clear" w:pos="7892"/>
              <w:tab w:val="right" w:pos="9026" w:leader="dot"/>
            </w:tabs>
            <w:rPr/>
          </w:pPr>
          <w:hyperlink w:anchor="__RefHeading___Toc580470_774463916">
            <w:r>
              <w:rPr>
                <w:webHidden/>
                <w:rStyle w:val="IndexLink"/>
              </w:rPr>
              <w:t>5</w:t>
            </w:r>
            <w:r>
              <w:rPr>
                <w:rStyle w:val="IndexLink"/>
                <w:rtl w:val="true"/>
              </w:rPr>
              <w:t xml:space="preserve">- </w:t>
            </w:r>
            <w:r>
              <w:rPr>
                <w:rStyle w:val="IndexLink"/>
                <w:rtl w:val="true"/>
              </w:rPr>
              <w:t>الرکوع</w:t>
            </w:r>
            <w:r>
              <w:rPr>
                <w:rStyle w:val="IndexLink"/>
                <w:rtl w:val="true"/>
              </w:rPr>
              <w:tab/>
            </w:r>
            <w:r>
              <w:rPr>
                <w:rStyle w:val="IndexLink"/>
              </w:rPr>
              <w:t>105</w:t>
            </w:r>
          </w:hyperlink>
        </w:p>
        <w:p>
          <w:pPr>
            <w:pStyle w:val="Contents4"/>
            <w:tabs>
              <w:tab w:val="clear" w:pos="8176"/>
              <w:tab w:val="right" w:pos="9026" w:leader="dot"/>
            </w:tabs>
            <w:rPr/>
          </w:pPr>
          <w:hyperlink w:anchor="__RefHeading___Toc580472_774463916">
            <w:r>
              <w:rPr>
                <w:webHidden/>
                <w:rStyle w:val="IndexLink"/>
                <w:rtl w:val="true"/>
              </w:rPr>
              <w:t>مستحبات الرکوع</w:t>
            </w:r>
            <w:r>
              <w:rPr>
                <w:rStyle w:val="IndexLink"/>
                <w:rtl w:val="true"/>
              </w:rPr>
              <w:tab/>
            </w:r>
            <w:r>
              <w:rPr>
                <w:rStyle w:val="IndexLink"/>
              </w:rPr>
              <w:t>106</w:t>
            </w:r>
          </w:hyperlink>
        </w:p>
        <w:p>
          <w:pPr>
            <w:pStyle w:val="Contents3"/>
            <w:tabs>
              <w:tab w:val="clear" w:pos="8459"/>
              <w:tab w:val="right" w:pos="9026" w:leader="dot"/>
            </w:tabs>
            <w:rPr/>
          </w:pPr>
          <w:hyperlink w:anchor="__RefHeading___Toc580474_774463916">
            <w:r>
              <w:rPr>
                <w:webHidden/>
                <w:rStyle w:val="IndexLink"/>
                <w:rtl w:val="true"/>
              </w:rPr>
              <w:t>الدرس</w:t>
            </w:r>
            <w:r>
              <w:rPr>
                <w:rStyle w:val="IndexLink"/>
              </w:rPr>
              <w:t>22</w:t>
            </w:r>
            <w:r>
              <w:rPr>
                <w:rStyle w:val="IndexLink"/>
                <w:rtl w:val="true"/>
              </w:rPr>
              <w:t xml:space="preserve"> - </w:t>
            </w:r>
            <w:r>
              <w:rPr>
                <w:rStyle w:val="IndexLink"/>
                <w:rtl w:val="true"/>
              </w:rPr>
              <w:t xml:space="preserve">کتاب الصلاة </w:t>
            </w:r>
            <w:r>
              <w:rPr>
                <w:rStyle w:val="IndexLink"/>
                <w:rtl w:val="true"/>
              </w:rPr>
              <w:t>(</w:t>
            </w:r>
            <w:r>
              <w:rPr>
                <w:rStyle w:val="IndexLink"/>
              </w:rPr>
              <w:t>9</w:t>
            </w:r>
            <w:r>
              <w:rPr>
                <w:rStyle w:val="IndexLink"/>
                <w:rtl w:val="true"/>
              </w:rPr>
              <w:t>)</w:t>
              <w:tab/>
            </w:r>
            <w:r>
              <w:rPr>
                <w:rStyle w:val="IndexLink"/>
              </w:rPr>
              <w:t>108</w:t>
            </w:r>
          </w:hyperlink>
        </w:p>
        <w:p>
          <w:pPr>
            <w:pStyle w:val="Contents4"/>
            <w:tabs>
              <w:tab w:val="clear" w:pos="8176"/>
              <w:tab w:val="right" w:pos="9026" w:leader="dot"/>
            </w:tabs>
            <w:rPr/>
          </w:pPr>
          <w:hyperlink w:anchor="__RefHeading___Toc580476_774463916">
            <w:r>
              <w:rPr>
                <w:webHidden/>
                <w:rStyle w:val="IndexLink"/>
                <w:rtl w:val="true"/>
              </w:rPr>
              <w:t xml:space="preserve">أجزاء الصلاة </w:t>
            </w:r>
            <w:r>
              <w:rPr>
                <w:rStyle w:val="IndexLink"/>
                <w:rtl w:val="true"/>
              </w:rPr>
              <w:t>(</w:t>
            </w:r>
            <w:r>
              <w:rPr>
                <w:rStyle w:val="IndexLink"/>
              </w:rPr>
              <w:t>4</w:t>
            </w:r>
            <w:r>
              <w:rPr>
                <w:rStyle w:val="IndexLink"/>
                <w:rtl w:val="true"/>
              </w:rPr>
              <w:t>)</w:t>
              <w:tab/>
            </w:r>
            <w:r>
              <w:rPr>
                <w:rStyle w:val="IndexLink"/>
              </w:rPr>
              <w:t>108</w:t>
            </w:r>
          </w:hyperlink>
        </w:p>
        <w:p>
          <w:pPr>
            <w:pStyle w:val="Contents5"/>
            <w:tabs>
              <w:tab w:val="clear" w:pos="7892"/>
              <w:tab w:val="right" w:pos="9026" w:leader="dot"/>
            </w:tabs>
            <w:rPr/>
          </w:pPr>
          <w:hyperlink w:anchor="__RefHeading___Toc580478_774463916">
            <w:r>
              <w:rPr>
                <w:webHidden/>
                <w:rStyle w:val="IndexLink"/>
              </w:rPr>
              <w:t>6</w:t>
            </w:r>
            <w:r>
              <w:rPr>
                <w:rStyle w:val="IndexLink"/>
                <w:rtl w:val="true"/>
              </w:rPr>
              <w:t xml:space="preserve">- </w:t>
            </w:r>
            <w:r>
              <w:rPr>
                <w:rStyle w:val="IndexLink"/>
                <w:rtl w:val="true"/>
              </w:rPr>
              <w:t>السجود</w:t>
            </w:r>
            <w:r>
              <w:rPr>
                <w:rStyle w:val="IndexLink"/>
                <w:rtl w:val="true"/>
              </w:rPr>
              <w:tab/>
            </w:r>
            <w:r>
              <w:rPr>
                <w:rStyle w:val="IndexLink"/>
              </w:rPr>
              <w:t>108</w:t>
            </w:r>
          </w:hyperlink>
        </w:p>
        <w:p>
          <w:pPr>
            <w:pStyle w:val="Contents4"/>
            <w:tabs>
              <w:tab w:val="clear" w:pos="8176"/>
              <w:tab w:val="right" w:pos="9026" w:leader="dot"/>
            </w:tabs>
            <w:rPr/>
          </w:pPr>
          <w:hyperlink w:anchor="__RefHeading___Toc580480_774463916">
            <w:r>
              <w:rPr>
                <w:webHidden/>
                <w:rStyle w:val="IndexLink"/>
                <w:rtl w:val="true"/>
              </w:rPr>
              <w:t>واجبات السجود</w:t>
            </w:r>
            <w:r>
              <w:rPr>
                <w:rStyle w:val="IndexLink"/>
                <w:rtl w:val="true"/>
              </w:rPr>
              <w:tab/>
            </w:r>
            <w:r>
              <w:rPr>
                <w:rStyle w:val="IndexLink"/>
              </w:rPr>
              <w:t>108</w:t>
            </w:r>
          </w:hyperlink>
        </w:p>
        <w:p>
          <w:pPr>
            <w:pStyle w:val="Contents3"/>
            <w:tabs>
              <w:tab w:val="clear" w:pos="8459"/>
              <w:tab w:val="right" w:pos="9026" w:leader="dot"/>
            </w:tabs>
            <w:rPr/>
          </w:pPr>
          <w:hyperlink w:anchor="__RefHeading___Toc580482_774463916">
            <w:r>
              <w:rPr>
                <w:webHidden/>
                <w:rStyle w:val="IndexLink"/>
                <w:rtl w:val="true"/>
              </w:rPr>
              <w:t>الدرس</w:t>
            </w:r>
            <w:r>
              <w:rPr>
                <w:rStyle w:val="IndexLink"/>
              </w:rPr>
              <w:t>23</w:t>
            </w:r>
            <w:r>
              <w:rPr>
                <w:rStyle w:val="IndexLink"/>
                <w:rtl w:val="true"/>
              </w:rPr>
              <w:t xml:space="preserve"> - </w:t>
            </w:r>
            <w:r>
              <w:rPr>
                <w:rStyle w:val="IndexLink"/>
                <w:rtl w:val="true"/>
              </w:rPr>
              <w:t xml:space="preserve">کتاب الصلاة </w:t>
            </w:r>
            <w:r>
              <w:rPr>
                <w:rStyle w:val="IndexLink"/>
                <w:rtl w:val="true"/>
              </w:rPr>
              <w:t>(</w:t>
            </w:r>
            <w:r>
              <w:rPr>
                <w:rStyle w:val="IndexLink"/>
              </w:rPr>
              <w:t>10</w:t>
            </w:r>
            <w:r>
              <w:rPr>
                <w:rStyle w:val="IndexLink"/>
                <w:rtl w:val="true"/>
              </w:rPr>
              <w:t>)</w:t>
              <w:tab/>
            </w:r>
            <w:r>
              <w:rPr>
                <w:rStyle w:val="IndexLink"/>
              </w:rPr>
              <w:t>111</w:t>
            </w:r>
          </w:hyperlink>
        </w:p>
        <w:p>
          <w:pPr>
            <w:pStyle w:val="Contents4"/>
            <w:tabs>
              <w:tab w:val="clear" w:pos="8176"/>
              <w:tab w:val="right" w:pos="9026" w:leader="dot"/>
            </w:tabs>
            <w:rPr/>
          </w:pPr>
          <w:hyperlink w:anchor="__RefHeading___Toc580484_774463916">
            <w:r>
              <w:rPr>
                <w:webHidden/>
                <w:rStyle w:val="IndexLink"/>
                <w:rtl w:val="true"/>
              </w:rPr>
              <w:t xml:space="preserve">أجزاء الصلاة </w:t>
            </w:r>
            <w:r>
              <w:rPr>
                <w:rStyle w:val="IndexLink"/>
                <w:rtl w:val="true"/>
              </w:rPr>
              <w:t>(</w:t>
            </w:r>
            <w:r>
              <w:rPr>
                <w:rStyle w:val="IndexLink"/>
              </w:rPr>
              <w:t>5</w:t>
            </w:r>
            <w:r>
              <w:rPr>
                <w:rStyle w:val="IndexLink"/>
                <w:rtl w:val="true"/>
              </w:rPr>
              <w:t>)</w:t>
              <w:tab/>
            </w:r>
            <w:r>
              <w:rPr>
                <w:rStyle w:val="IndexLink"/>
              </w:rPr>
              <w:t>111</w:t>
            </w:r>
          </w:hyperlink>
        </w:p>
        <w:p>
          <w:pPr>
            <w:pStyle w:val="Contents4"/>
            <w:tabs>
              <w:tab w:val="clear" w:pos="8176"/>
              <w:tab w:val="right" w:pos="9026" w:leader="dot"/>
            </w:tabs>
            <w:rPr/>
          </w:pPr>
          <w:hyperlink w:anchor="__RefHeading___Toc580486_774463916">
            <w:r>
              <w:rPr>
                <w:webHidden/>
                <w:rStyle w:val="IndexLink"/>
                <w:rtl w:val="true"/>
              </w:rPr>
              <w:t>سنن السجود</w:t>
            </w:r>
            <w:r>
              <w:rPr>
                <w:rStyle w:val="IndexLink"/>
                <w:rtl w:val="true"/>
              </w:rPr>
              <w:tab/>
            </w:r>
            <w:r>
              <w:rPr>
                <w:rStyle w:val="IndexLink"/>
              </w:rPr>
              <w:t>111</w:t>
            </w:r>
          </w:hyperlink>
        </w:p>
        <w:p>
          <w:pPr>
            <w:pStyle w:val="Contents5"/>
            <w:tabs>
              <w:tab w:val="clear" w:pos="7892"/>
              <w:tab w:val="right" w:pos="9026" w:leader="dot"/>
            </w:tabs>
            <w:rPr/>
          </w:pPr>
          <w:hyperlink w:anchor="__RefHeading___Toc580488_774463916">
            <w:r>
              <w:rPr>
                <w:webHidden/>
                <w:rStyle w:val="IndexLink"/>
                <w:rtl w:val="true"/>
              </w:rPr>
              <w:t>اشارة</w:t>
            </w:r>
            <w:r>
              <w:rPr>
                <w:rStyle w:val="IndexLink"/>
                <w:rtl w:val="true"/>
              </w:rPr>
              <w:tab/>
            </w:r>
            <w:r>
              <w:rPr>
                <w:rStyle w:val="IndexLink"/>
              </w:rPr>
              <w:t>111</w:t>
            </w:r>
          </w:hyperlink>
        </w:p>
        <w:p>
          <w:pPr>
            <w:pStyle w:val="Contents5"/>
            <w:tabs>
              <w:tab w:val="clear" w:pos="7892"/>
              <w:tab w:val="right" w:pos="9026" w:leader="dot"/>
            </w:tabs>
            <w:rPr/>
          </w:pPr>
          <w:hyperlink w:anchor="__RefHeading___Toc580490_774463916">
            <w:r>
              <w:rPr>
                <w:webHidden/>
                <w:rStyle w:val="IndexLink"/>
              </w:rPr>
              <w:t>7</w:t>
            </w:r>
            <w:r>
              <w:rPr>
                <w:rStyle w:val="IndexLink"/>
                <w:rtl w:val="true"/>
              </w:rPr>
              <w:t xml:space="preserve">- </w:t>
            </w:r>
            <w:r>
              <w:rPr>
                <w:rStyle w:val="IndexLink"/>
                <w:rtl w:val="true"/>
              </w:rPr>
              <w:t>التشهد</w:t>
            </w:r>
            <w:r>
              <w:rPr>
                <w:rStyle w:val="IndexLink"/>
                <w:rtl w:val="true"/>
              </w:rPr>
              <w:tab/>
            </w:r>
            <w:r>
              <w:rPr>
                <w:rStyle w:val="IndexLink"/>
              </w:rPr>
              <w:t>112</w:t>
            </w:r>
          </w:hyperlink>
        </w:p>
        <w:p>
          <w:pPr>
            <w:pStyle w:val="Contents3"/>
            <w:tabs>
              <w:tab w:val="clear" w:pos="8459"/>
              <w:tab w:val="right" w:pos="9026" w:leader="dot"/>
            </w:tabs>
            <w:rPr/>
          </w:pPr>
          <w:hyperlink w:anchor="__RefHeading___Toc580492_774463916">
            <w:r>
              <w:rPr>
                <w:webHidden/>
                <w:rStyle w:val="IndexLink"/>
                <w:rtl w:val="true"/>
              </w:rPr>
              <w:t>الدرس</w:t>
            </w:r>
            <w:r>
              <w:rPr>
                <w:rStyle w:val="IndexLink"/>
              </w:rPr>
              <w:t>24</w:t>
            </w:r>
            <w:r>
              <w:rPr>
                <w:rStyle w:val="IndexLink"/>
                <w:rtl w:val="true"/>
              </w:rPr>
              <w:t xml:space="preserve"> - </w:t>
            </w:r>
            <w:r>
              <w:rPr>
                <w:rStyle w:val="IndexLink"/>
                <w:rtl w:val="true"/>
              </w:rPr>
              <w:t xml:space="preserve">کتاب الصلاة </w:t>
            </w:r>
            <w:r>
              <w:rPr>
                <w:rStyle w:val="IndexLink"/>
                <w:rtl w:val="true"/>
              </w:rPr>
              <w:t>(</w:t>
            </w:r>
            <w:r>
              <w:rPr>
                <w:rStyle w:val="IndexLink"/>
              </w:rPr>
              <w:t>11</w:t>
            </w:r>
            <w:r>
              <w:rPr>
                <w:rStyle w:val="IndexLink"/>
                <w:rtl w:val="true"/>
              </w:rPr>
              <w:t>)</w:t>
              <w:tab/>
            </w:r>
            <w:r>
              <w:rPr>
                <w:rStyle w:val="IndexLink"/>
              </w:rPr>
              <w:t>114</w:t>
            </w:r>
          </w:hyperlink>
        </w:p>
        <w:p>
          <w:pPr>
            <w:pStyle w:val="Contents4"/>
            <w:tabs>
              <w:tab w:val="clear" w:pos="8176"/>
              <w:tab w:val="right" w:pos="9026" w:leader="dot"/>
            </w:tabs>
            <w:rPr/>
          </w:pPr>
          <w:hyperlink w:anchor="__RefHeading___Toc580494_774463916">
            <w:r>
              <w:rPr>
                <w:webHidden/>
                <w:rStyle w:val="IndexLink"/>
                <w:rtl w:val="true"/>
              </w:rPr>
              <w:t xml:space="preserve">أجزاء الصلاة </w:t>
            </w:r>
            <w:r>
              <w:rPr>
                <w:rStyle w:val="IndexLink"/>
                <w:rtl w:val="true"/>
              </w:rPr>
              <w:t>(</w:t>
            </w:r>
            <w:r>
              <w:rPr>
                <w:rStyle w:val="IndexLink"/>
              </w:rPr>
              <w:t>6</w:t>
            </w:r>
            <w:r>
              <w:rPr>
                <w:rStyle w:val="IndexLink"/>
                <w:rtl w:val="true"/>
              </w:rPr>
              <w:t>)</w:t>
              <w:tab/>
            </w:r>
            <w:r>
              <w:rPr>
                <w:rStyle w:val="IndexLink"/>
              </w:rPr>
              <w:t>114</w:t>
            </w:r>
          </w:hyperlink>
        </w:p>
        <w:p>
          <w:pPr>
            <w:pStyle w:val="Contents4"/>
            <w:tabs>
              <w:tab w:val="clear" w:pos="8176"/>
              <w:tab w:val="right" w:pos="9026" w:leader="dot"/>
            </w:tabs>
            <w:rPr/>
          </w:pPr>
          <w:hyperlink w:anchor="__RefHeading___Toc580496_774463916">
            <w:r>
              <w:rPr>
                <w:webHidden/>
                <w:rStyle w:val="IndexLink"/>
                <w:rtl w:val="true"/>
              </w:rPr>
              <w:t>کیفیة التشهّد</w:t>
            </w:r>
            <w:r>
              <w:rPr>
                <w:rStyle w:val="IndexLink"/>
                <w:rtl w:val="true"/>
              </w:rPr>
              <w:tab/>
            </w:r>
            <w:r>
              <w:rPr>
                <w:rStyle w:val="IndexLink"/>
              </w:rPr>
              <w:t>114</w:t>
            </w:r>
          </w:hyperlink>
        </w:p>
        <w:p>
          <w:pPr>
            <w:pStyle w:val="Contents3"/>
            <w:tabs>
              <w:tab w:val="clear" w:pos="8459"/>
              <w:tab w:val="right" w:pos="9026" w:leader="dot"/>
            </w:tabs>
            <w:rPr/>
          </w:pPr>
          <w:hyperlink w:anchor="__RefHeading___Toc580498_774463916">
            <w:r>
              <w:rPr>
                <w:webHidden/>
                <w:rStyle w:val="IndexLink"/>
                <w:rtl w:val="true"/>
              </w:rPr>
              <w:t>الدرس</w:t>
            </w:r>
            <w:r>
              <w:rPr>
                <w:rStyle w:val="IndexLink"/>
              </w:rPr>
              <w:t>25</w:t>
            </w:r>
            <w:r>
              <w:rPr>
                <w:rStyle w:val="IndexLink"/>
                <w:rtl w:val="true"/>
              </w:rPr>
              <w:t xml:space="preserve"> - </w:t>
            </w:r>
            <w:r>
              <w:rPr>
                <w:rStyle w:val="IndexLink"/>
                <w:rtl w:val="true"/>
              </w:rPr>
              <w:t xml:space="preserve">کتاب الصلاة </w:t>
            </w:r>
            <w:r>
              <w:rPr>
                <w:rStyle w:val="IndexLink"/>
                <w:rtl w:val="true"/>
              </w:rPr>
              <w:t>(</w:t>
            </w:r>
            <w:r>
              <w:rPr>
                <w:rStyle w:val="IndexLink"/>
              </w:rPr>
              <w:t>12</w:t>
            </w:r>
            <w:r>
              <w:rPr>
                <w:rStyle w:val="IndexLink"/>
                <w:rtl w:val="true"/>
              </w:rPr>
              <w:t>)</w:t>
              <w:tab/>
            </w:r>
            <w:r>
              <w:rPr>
                <w:rStyle w:val="IndexLink"/>
              </w:rPr>
              <w:t>117</w:t>
            </w:r>
          </w:hyperlink>
        </w:p>
        <w:p>
          <w:pPr>
            <w:pStyle w:val="Contents4"/>
            <w:tabs>
              <w:tab w:val="clear" w:pos="8176"/>
              <w:tab w:val="right" w:pos="9026" w:leader="dot"/>
            </w:tabs>
            <w:rPr/>
          </w:pPr>
          <w:hyperlink w:anchor="__RefHeading___Toc580500_774463916">
            <w:r>
              <w:rPr>
                <w:webHidden/>
                <w:rStyle w:val="IndexLink"/>
                <w:rtl w:val="true"/>
              </w:rPr>
              <w:t xml:space="preserve">أجزاء الصلاة </w:t>
            </w:r>
            <w:r>
              <w:rPr>
                <w:rStyle w:val="IndexLink"/>
                <w:rtl w:val="true"/>
              </w:rPr>
              <w:t>(</w:t>
            </w:r>
            <w:r>
              <w:rPr>
                <w:rStyle w:val="IndexLink"/>
              </w:rPr>
              <w:t>7</w:t>
            </w:r>
            <w:r>
              <w:rPr>
                <w:rStyle w:val="IndexLink"/>
                <w:rtl w:val="true"/>
              </w:rPr>
              <w:t>)</w:t>
              <w:tab/>
            </w:r>
            <w:r>
              <w:rPr>
                <w:rStyle w:val="IndexLink"/>
              </w:rPr>
              <w:t>117</w:t>
            </w:r>
          </w:hyperlink>
        </w:p>
        <w:p>
          <w:pPr>
            <w:pStyle w:val="Contents4"/>
            <w:tabs>
              <w:tab w:val="clear" w:pos="8176"/>
              <w:tab w:val="right" w:pos="9026" w:leader="dot"/>
            </w:tabs>
            <w:rPr/>
          </w:pPr>
          <w:hyperlink w:anchor="__RefHeading___Toc580502_774463916">
            <w:r>
              <w:rPr>
                <w:webHidden/>
                <w:rStyle w:val="IndexLink"/>
                <w:rtl w:val="true"/>
              </w:rPr>
              <w:t>فضل الصلاة علی النبیّ وآله صلی الله علیه و آله</w:t>
            </w:r>
            <w:r>
              <w:rPr>
                <w:rStyle w:val="IndexLink"/>
                <w:rtl w:val="true"/>
              </w:rPr>
              <w:tab/>
            </w:r>
            <w:r>
              <w:rPr>
                <w:rStyle w:val="IndexLink"/>
              </w:rPr>
              <w:t>117</w:t>
            </w:r>
          </w:hyperlink>
        </w:p>
        <w:p>
          <w:pPr>
            <w:pStyle w:val="Contents5"/>
            <w:tabs>
              <w:tab w:val="clear" w:pos="7892"/>
              <w:tab w:val="right" w:pos="9026" w:leader="dot"/>
            </w:tabs>
            <w:rPr/>
          </w:pPr>
          <w:hyperlink w:anchor="__RefHeading___Toc580504_774463916">
            <w:r>
              <w:rPr>
                <w:webHidden/>
                <w:rStyle w:val="IndexLink"/>
                <w:rtl w:val="true"/>
              </w:rPr>
              <w:t>اشارة</w:t>
            </w:r>
            <w:r>
              <w:rPr>
                <w:rStyle w:val="IndexLink"/>
                <w:rtl w:val="true"/>
              </w:rPr>
              <w:tab/>
            </w:r>
            <w:r>
              <w:rPr>
                <w:rStyle w:val="IndexLink"/>
              </w:rPr>
              <w:t>117</w:t>
            </w:r>
          </w:hyperlink>
        </w:p>
        <w:p>
          <w:pPr>
            <w:pStyle w:val="Contents5"/>
            <w:tabs>
              <w:tab w:val="clear" w:pos="7892"/>
              <w:tab w:val="right" w:pos="9026" w:leader="dot"/>
            </w:tabs>
            <w:rPr/>
          </w:pPr>
          <w:hyperlink w:anchor="__RefHeading___Toc580506_774463916">
            <w:r>
              <w:rPr>
                <w:webHidden/>
                <w:rStyle w:val="IndexLink"/>
              </w:rPr>
              <w:t>8</w:t>
            </w:r>
            <w:r>
              <w:rPr>
                <w:rStyle w:val="IndexLink"/>
                <w:rtl w:val="true"/>
              </w:rPr>
              <w:t xml:space="preserve">- </w:t>
            </w:r>
            <w:r>
              <w:rPr>
                <w:rStyle w:val="IndexLink"/>
                <w:rtl w:val="true"/>
              </w:rPr>
              <w:t>التسلیم</w:t>
            </w:r>
            <w:r>
              <w:rPr>
                <w:rStyle w:val="IndexLink"/>
                <w:rtl w:val="true"/>
              </w:rPr>
              <w:tab/>
            </w:r>
            <w:r>
              <w:rPr>
                <w:rStyle w:val="IndexLink"/>
              </w:rPr>
              <w:t>118</w:t>
            </w:r>
          </w:hyperlink>
        </w:p>
        <w:p>
          <w:pPr>
            <w:pStyle w:val="Contents4"/>
            <w:tabs>
              <w:tab w:val="clear" w:pos="8176"/>
              <w:tab w:val="right" w:pos="9026" w:leader="dot"/>
            </w:tabs>
            <w:rPr/>
          </w:pPr>
          <w:hyperlink w:anchor="__RefHeading___Toc580508_774463916">
            <w:r>
              <w:rPr>
                <w:webHidden/>
                <w:rStyle w:val="IndexLink"/>
                <w:rtl w:val="true"/>
              </w:rPr>
              <w:t>سنن التشهد</w:t>
            </w:r>
            <w:r>
              <w:rPr>
                <w:rStyle w:val="IndexLink"/>
                <w:rtl w:val="true"/>
              </w:rPr>
              <w:tab/>
            </w:r>
            <w:r>
              <w:rPr>
                <w:rStyle w:val="IndexLink"/>
              </w:rPr>
              <w:t>118</w:t>
            </w:r>
          </w:hyperlink>
        </w:p>
        <w:p>
          <w:pPr>
            <w:pStyle w:val="Contents4"/>
            <w:tabs>
              <w:tab w:val="clear" w:pos="8176"/>
              <w:tab w:val="right" w:pos="9026" w:leader="dot"/>
            </w:tabs>
            <w:rPr/>
          </w:pPr>
          <w:hyperlink w:anchor="__RefHeading___Toc580510_774463916">
            <w:r>
              <w:rPr>
                <w:webHidden/>
                <w:rStyle w:val="IndexLink"/>
                <w:rtl w:val="true"/>
              </w:rPr>
              <w:t>الذکر فی الرکعة الثالثة والرابعة</w:t>
            </w:r>
            <w:r>
              <w:rPr>
                <w:rStyle w:val="IndexLink"/>
                <w:rtl w:val="true"/>
              </w:rPr>
              <w:tab/>
            </w:r>
            <w:r>
              <w:rPr>
                <w:rStyle w:val="IndexLink"/>
              </w:rPr>
              <w:t>118</w:t>
            </w:r>
          </w:hyperlink>
        </w:p>
        <w:p>
          <w:pPr>
            <w:pStyle w:val="Contents3"/>
            <w:tabs>
              <w:tab w:val="clear" w:pos="8459"/>
              <w:tab w:val="right" w:pos="9026" w:leader="dot"/>
            </w:tabs>
            <w:rPr/>
          </w:pPr>
          <w:hyperlink w:anchor="__RefHeading___Toc580512_774463916">
            <w:r>
              <w:rPr>
                <w:webHidden/>
                <w:rStyle w:val="IndexLink"/>
                <w:rtl w:val="true"/>
              </w:rPr>
              <w:t>الدرس</w:t>
            </w:r>
            <w:r>
              <w:rPr>
                <w:rStyle w:val="IndexLink"/>
              </w:rPr>
              <w:t>26</w:t>
            </w:r>
            <w:r>
              <w:rPr>
                <w:rStyle w:val="IndexLink"/>
                <w:rtl w:val="true"/>
              </w:rPr>
              <w:t xml:space="preserve"> - </w:t>
            </w:r>
            <w:r>
              <w:rPr>
                <w:rStyle w:val="IndexLink"/>
                <w:rtl w:val="true"/>
              </w:rPr>
              <w:t xml:space="preserve">کتاب الصلاة </w:t>
            </w:r>
            <w:r>
              <w:rPr>
                <w:rStyle w:val="IndexLink"/>
                <w:rtl w:val="true"/>
              </w:rPr>
              <w:t>(</w:t>
            </w:r>
            <w:r>
              <w:rPr>
                <w:rStyle w:val="IndexLink"/>
              </w:rPr>
              <w:t>13</w:t>
            </w:r>
            <w:r>
              <w:rPr>
                <w:rStyle w:val="IndexLink"/>
                <w:rtl w:val="true"/>
              </w:rPr>
              <w:t>)</w:t>
              <w:tab/>
            </w:r>
            <w:r>
              <w:rPr>
                <w:rStyle w:val="IndexLink"/>
              </w:rPr>
              <w:t>120</w:t>
            </w:r>
          </w:hyperlink>
        </w:p>
        <w:p>
          <w:pPr>
            <w:pStyle w:val="Contents4"/>
            <w:tabs>
              <w:tab w:val="clear" w:pos="8176"/>
              <w:tab w:val="right" w:pos="9026" w:leader="dot"/>
            </w:tabs>
            <w:rPr/>
          </w:pPr>
          <w:hyperlink w:anchor="__RefHeading___Toc580514_774463916">
            <w:r>
              <w:rPr>
                <w:webHidden/>
                <w:rStyle w:val="IndexLink"/>
                <w:rtl w:val="true"/>
              </w:rPr>
              <w:t>مندوبات الصلاة</w:t>
            </w:r>
            <w:r>
              <w:rPr>
                <w:rStyle w:val="IndexLink"/>
                <w:rtl w:val="true"/>
              </w:rPr>
              <w:tab/>
            </w:r>
            <w:r>
              <w:rPr>
                <w:rStyle w:val="IndexLink"/>
              </w:rPr>
              <w:t>120</w:t>
            </w:r>
          </w:hyperlink>
        </w:p>
        <w:p>
          <w:pPr>
            <w:pStyle w:val="Contents3"/>
            <w:tabs>
              <w:tab w:val="clear" w:pos="8459"/>
              <w:tab w:val="right" w:pos="9026" w:leader="dot"/>
            </w:tabs>
            <w:rPr/>
          </w:pPr>
          <w:hyperlink w:anchor="__RefHeading___Toc580516_774463916">
            <w:r>
              <w:rPr>
                <w:webHidden/>
                <w:rStyle w:val="IndexLink"/>
                <w:rtl w:val="true"/>
              </w:rPr>
              <w:t>الدرس</w:t>
            </w:r>
            <w:r>
              <w:rPr>
                <w:rStyle w:val="IndexLink"/>
              </w:rPr>
              <w:t>27</w:t>
            </w:r>
            <w:r>
              <w:rPr>
                <w:rStyle w:val="IndexLink"/>
                <w:rtl w:val="true"/>
              </w:rPr>
              <w:t xml:space="preserve"> - </w:t>
            </w:r>
            <w:r>
              <w:rPr>
                <w:rStyle w:val="IndexLink"/>
                <w:rtl w:val="true"/>
              </w:rPr>
              <w:t xml:space="preserve">کتاب الصلاة </w:t>
            </w:r>
            <w:r>
              <w:rPr>
                <w:rStyle w:val="IndexLink"/>
                <w:rtl w:val="true"/>
              </w:rPr>
              <w:t>(</w:t>
            </w:r>
            <w:r>
              <w:rPr>
                <w:rStyle w:val="IndexLink"/>
              </w:rPr>
              <w:t>14</w:t>
            </w:r>
            <w:r>
              <w:rPr>
                <w:rStyle w:val="IndexLink"/>
                <w:rtl w:val="true"/>
              </w:rPr>
              <w:t>)</w:t>
              <w:tab/>
            </w:r>
            <w:r>
              <w:rPr>
                <w:rStyle w:val="IndexLink"/>
              </w:rPr>
              <w:t>123</w:t>
            </w:r>
          </w:hyperlink>
        </w:p>
        <w:p>
          <w:pPr>
            <w:pStyle w:val="Contents4"/>
            <w:tabs>
              <w:tab w:val="clear" w:pos="8176"/>
              <w:tab w:val="right" w:pos="9026" w:leader="dot"/>
            </w:tabs>
            <w:rPr/>
          </w:pPr>
          <w:hyperlink w:anchor="__RefHeading___Toc580518_774463916">
            <w:r>
              <w:rPr>
                <w:webHidden/>
                <w:rStyle w:val="IndexLink"/>
                <w:rtl w:val="true"/>
              </w:rPr>
              <w:t>أحکام الشکوک</w:t>
            </w:r>
            <w:r>
              <w:rPr>
                <w:rStyle w:val="IndexLink"/>
                <w:rtl w:val="true"/>
              </w:rPr>
              <w:tab/>
            </w:r>
            <w:r>
              <w:rPr>
                <w:rStyle w:val="IndexLink"/>
              </w:rPr>
              <w:t>123</w:t>
            </w:r>
          </w:hyperlink>
        </w:p>
        <w:p>
          <w:pPr>
            <w:pStyle w:val="Contents3"/>
            <w:tabs>
              <w:tab w:val="clear" w:pos="8459"/>
              <w:tab w:val="right" w:pos="9026" w:leader="dot"/>
            </w:tabs>
            <w:rPr/>
          </w:pPr>
          <w:hyperlink w:anchor="__RefHeading___Toc580520_774463916">
            <w:r>
              <w:rPr>
                <w:webHidden/>
                <w:rStyle w:val="IndexLink"/>
                <w:rtl w:val="true"/>
              </w:rPr>
              <w:t>الدرس</w:t>
            </w:r>
            <w:r>
              <w:rPr>
                <w:rStyle w:val="IndexLink"/>
              </w:rPr>
              <w:t>28</w:t>
            </w:r>
            <w:r>
              <w:rPr>
                <w:rStyle w:val="IndexLink"/>
                <w:rtl w:val="true"/>
              </w:rPr>
              <w:t xml:space="preserve"> - </w:t>
            </w:r>
            <w:r>
              <w:rPr>
                <w:rStyle w:val="IndexLink"/>
                <w:rtl w:val="true"/>
              </w:rPr>
              <w:t xml:space="preserve">کتاب الصلاة </w:t>
            </w:r>
            <w:r>
              <w:rPr>
                <w:rStyle w:val="IndexLink"/>
                <w:rtl w:val="true"/>
              </w:rPr>
              <w:t>(</w:t>
            </w:r>
            <w:r>
              <w:rPr>
                <w:rStyle w:val="IndexLink"/>
              </w:rPr>
              <w:t>15</w:t>
            </w:r>
            <w:r>
              <w:rPr>
                <w:rStyle w:val="IndexLink"/>
                <w:rtl w:val="true"/>
              </w:rPr>
              <w:t>)</w:t>
              <w:tab/>
            </w:r>
            <w:r>
              <w:rPr>
                <w:rStyle w:val="IndexLink"/>
              </w:rPr>
              <w:t>125</w:t>
            </w:r>
          </w:hyperlink>
        </w:p>
        <w:p>
          <w:pPr>
            <w:pStyle w:val="Contents4"/>
            <w:tabs>
              <w:tab w:val="clear" w:pos="8176"/>
              <w:tab w:val="right" w:pos="9026" w:leader="dot"/>
            </w:tabs>
            <w:rPr/>
          </w:pPr>
          <w:hyperlink w:anchor="__RefHeading___Toc580522_774463916">
            <w:r>
              <w:rPr>
                <w:webHidden/>
                <w:rStyle w:val="IndexLink"/>
                <w:rtl w:val="true"/>
              </w:rPr>
              <w:t>مبطلات الصلاة</w:t>
            </w:r>
            <w:r>
              <w:rPr>
                <w:rStyle w:val="IndexLink"/>
                <w:rtl w:val="true"/>
              </w:rPr>
              <w:tab/>
            </w:r>
            <w:r>
              <w:rPr>
                <w:rStyle w:val="IndexLink"/>
              </w:rPr>
              <w:t>125</w:t>
            </w:r>
          </w:hyperlink>
        </w:p>
        <w:p>
          <w:pPr>
            <w:pStyle w:val="Contents4"/>
            <w:tabs>
              <w:tab w:val="clear" w:pos="8176"/>
              <w:tab w:val="right" w:pos="9026" w:leader="dot"/>
            </w:tabs>
            <w:rPr/>
          </w:pPr>
          <w:hyperlink w:anchor="__RefHeading___Toc580524_774463916">
            <w:r>
              <w:rPr>
                <w:webHidden/>
                <w:rStyle w:val="IndexLink"/>
                <w:rtl w:val="true"/>
              </w:rPr>
              <w:t>مکروهات الصلاة</w:t>
            </w:r>
            <w:r>
              <w:rPr>
                <w:rStyle w:val="IndexLink"/>
                <w:rtl w:val="true"/>
              </w:rPr>
              <w:tab/>
            </w:r>
            <w:r>
              <w:rPr>
                <w:rStyle w:val="IndexLink"/>
              </w:rPr>
              <w:t>126</w:t>
            </w:r>
          </w:hyperlink>
        </w:p>
        <w:p>
          <w:pPr>
            <w:pStyle w:val="Contents3"/>
            <w:tabs>
              <w:tab w:val="clear" w:pos="8459"/>
              <w:tab w:val="right" w:pos="9026" w:leader="dot"/>
            </w:tabs>
            <w:rPr/>
          </w:pPr>
          <w:hyperlink w:anchor="__RefHeading___Toc580526_774463916">
            <w:r>
              <w:rPr>
                <w:webHidden/>
                <w:rStyle w:val="IndexLink"/>
                <w:rtl w:val="true"/>
              </w:rPr>
              <w:t>الدرس</w:t>
            </w:r>
            <w:r>
              <w:rPr>
                <w:rStyle w:val="IndexLink"/>
              </w:rPr>
              <w:t>29</w:t>
            </w:r>
            <w:r>
              <w:rPr>
                <w:rStyle w:val="IndexLink"/>
                <w:rtl w:val="true"/>
              </w:rPr>
              <w:t xml:space="preserve"> - </w:t>
            </w:r>
            <w:r>
              <w:rPr>
                <w:rStyle w:val="IndexLink"/>
                <w:rtl w:val="true"/>
              </w:rPr>
              <w:t xml:space="preserve">کتاب الصلاة </w:t>
            </w:r>
            <w:r>
              <w:rPr>
                <w:rStyle w:val="IndexLink"/>
                <w:rtl w:val="true"/>
              </w:rPr>
              <w:t>(</w:t>
            </w:r>
            <w:r>
              <w:rPr>
                <w:rStyle w:val="IndexLink"/>
              </w:rPr>
              <w:t>16</w:t>
            </w:r>
            <w:r>
              <w:rPr>
                <w:rStyle w:val="IndexLink"/>
                <w:rtl w:val="true"/>
              </w:rPr>
              <w:t>)</w:t>
              <w:tab/>
            </w:r>
            <w:r>
              <w:rPr>
                <w:rStyle w:val="IndexLink"/>
              </w:rPr>
              <w:t>128</w:t>
            </w:r>
          </w:hyperlink>
        </w:p>
        <w:p>
          <w:pPr>
            <w:pStyle w:val="Contents4"/>
            <w:tabs>
              <w:tab w:val="clear" w:pos="8176"/>
              <w:tab w:val="right" w:pos="9026" w:leader="dot"/>
            </w:tabs>
            <w:rPr/>
          </w:pPr>
          <w:hyperlink w:anchor="__RefHeading___Toc580528_774463916">
            <w:r>
              <w:rPr>
                <w:webHidden/>
                <w:rStyle w:val="IndexLink"/>
                <w:rtl w:val="true"/>
              </w:rPr>
              <w:t>صلاة المسافر</w:t>
            </w:r>
            <w:r>
              <w:rPr>
                <w:rStyle w:val="IndexLink"/>
                <w:rtl w:val="true"/>
              </w:rPr>
              <w:tab/>
            </w:r>
            <w:r>
              <w:rPr>
                <w:rStyle w:val="IndexLink"/>
              </w:rPr>
              <w:t>128</w:t>
            </w:r>
          </w:hyperlink>
        </w:p>
        <w:p>
          <w:pPr>
            <w:pStyle w:val="Contents4"/>
            <w:tabs>
              <w:tab w:val="clear" w:pos="8176"/>
              <w:tab w:val="right" w:pos="9026" w:leader="dot"/>
            </w:tabs>
            <w:rPr/>
          </w:pPr>
          <w:hyperlink w:anchor="__RefHeading___Toc580530_774463916">
            <w:r>
              <w:rPr>
                <w:webHidden/>
                <w:rStyle w:val="IndexLink"/>
                <w:rtl w:val="true"/>
              </w:rPr>
              <w:t>شرائط القصر</w:t>
            </w:r>
            <w:r>
              <w:rPr>
                <w:rStyle w:val="IndexLink"/>
                <w:rtl w:val="true"/>
              </w:rPr>
              <w:tab/>
            </w:r>
            <w:r>
              <w:rPr>
                <w:rStyle w:val="IndexLink"/>
              </w:rPr>
              <w:t>128</w:t>
            </w:r>
          </w:hyperlink>
        </w:p>
        <w:p>
          <w:pPr>
            <w:pStyle w:val="Contents3"/>
            <w:tabs>
              <w:tab w:val="clear" w:pos="8459"/>
              <w:tab w:val="right" w:pos="9026" w:leader="dot"/>
            </w:tabs>
            <w:rPr/>
          </w:pPr>
          <w:hyperlink w:anchor="__RefHeading___Toc580532_774463916">
            <w:r>
              <w:rPr>
                <w:webHidden/>
                <w:rStyle w:val="IndexLink"/>
                <w:rtl w:val="true"/>
              </w:rPr>
              <w:t>الدرس</w:t>
            </w:r>
            <w:r>
              <w:rPr>
                <w:rStyle w:val="IndexLink"/>
              </w:rPr>
              <w:t>30</w:t>
            </w:r>
            <w:r>
              <w:rPr>
                <w:rStyle w:val="IndexLink"/>
                <w:rtl w:val="true"/>
              </w:rPr>
              <w:t xml:space="preserve"> - </w:t>
            </w:r>
            <w:r>
              <w:rPr>
                <w:rStyle w:val="IndexLink"/>
                <w:rtl w:val="true"/>
              </w:rPr>
              <w:t xml:space="preserve">کتاب الصلاة </w:t>
            </w:r>
            <w:r>
              <w:rPr>
                <w:rStyle w:val="IndexLink"/>
                <w:rtl w:val="true"/>
              </w:rPr>
              <w:t>(</w:t>
            </w:r>
            <w:r>
              <w:rPr>
                <w:rStyle w:val="IndexLink"/>
              </w:rPr>
              <w:t>17</w:t>
            </w:r>
            <w:r>
              <w:rPr>
                <w:rStyle w:val="IndexLink"/>
                <w:rtl w:val="true"/>
              </w:rPr>
              <w:t>)</w:t>
              <w:tab/>
            </w:r>
            <w:r>
              <w:rPr>
                <w:rStyle w:val="IndexLink"/>
              </w:rPr>
              <w:t>130</w:t>
            </w:r>
          </w:hyperlink>
        </w:p>
        <w:p>
          <w:pPr>
            <w:pStyle w:val="Contents4"/>
            <w:tabs>
              <w:tab w:val="clear" w:pos="8176"/>
              <w:tab w:val="right" w:pos="9026" w:leader="dot"/>
            </w:tabs>
            <w:rPr/>
          </w:pPr>
          <w:hyperlink w:anchor="__RefHeading___Toc580534_774463916">
            <w:r>
              <w:rPr>
                <w:webHidden/>
                <w:rStyle w:val="IndexLink"/>
                <w:rtl w:val="true"/>
              </w:rPr>
              <w:t xml:space="preserve">صلاة المسافر </w:t>
            </w:r>
            <w:r>
              <w:rPr>
                <w:rStyle w:val="IndexLink"/>
                <w:rtl w:val="true"/>
              </w:rPr>
              <w:t>(</w:t>
            </w:r>
            <w:r>
              <w:rPr>
                <w:rStyle w:val="IndexLink"/>
              </w:rPr>
              <w:t>2</w:t>
            </w:r>
            <w:r>
              <w:rPr>
                <w:rStyle w:val="IndexLink"/>
                <w:rtl w:val="true"/>
              </w:rPr>
              <w:t>)</w:t>
              <w:tab/>
            </w:r>
            <w:r>
              <w:rPr>
                <w:rStyle w:val="IndexLink"/>
              </w:rPr>
              <w:t>130</w:t>
            </w:r>
          </w:hyperlink>
        </w:p>
        <w:p>
          <w:pPr>
            <w:pStyle w:val="Contents5"/>
            <w:tabs>
              <w:tab w:val="clear" w:pos="7892"/>
              <w:tab w:val="right" w:pos="9026" w:leader="dot"/>
            </w:tabs>
            <w:rPr/>
          </w:pPr>
          <w:hyperlink w:anchor="__RefHeading___Toc580536_774463916">
            <w:r>
              <w:rPr>
                <w:webHidden/>
                <w:rStyle w:val="IndexLink"/>
                <w:rtl w:val="true"/>
              </w:rPr>
              <w:t>قواطع السفر</w:t>
            </w:r>
            <w:r>
              <w:rPr>
                <w:rStyle w:val="IndexLink"/>
                <w:rtl w:val="true"/>
              </w:rPr>
              <w:tab/>
            </w:r>
            <w:r>
              <w:rPr>
                <w:rStyle w:val="IndexLink"/>
              </w:rPr>
              <w:t>130</w:t>
            </w:r>
          </w:hyperlink>
        </w:p>
        <w:p>
          <w:pPr>
            <w:pStyle w:val="Contents3"/>
            <w:tabs>
              <w:tab w:val="clear" w:pos="8459"/>
              <w:tab w:val="right" w:pos="9026" w:leader="dot"/>
            </w:tabs>
            <w:rPr/>
          </w:pPr>
          <w:hyperlink w:anchor="__RefHeading___Toc580538_774463916">
            <w:r>
              <w:rPr>
                <w:webHidden/>
                <w:rStyle w:val="IndexLink"/>
                <w:rtl w:val="true"/>
              </w:rPr>
              <w:t>الدرس</w:t>
            </w:r>
            <w:r>
              <w:rPr>
                <w:rStyle w:val="IndexLink"/>
              </w:rPr>
              <w:t>31</w:t>
            </w:r>
            <w:r>
              <w:rPr>
                <w:rStyle w:val="IndexLink"/>
                <w:rtl w:val="true"/>
              </w:rPr>
              <w:t xml:space="preserve"> - </w:t>
            </w:r>
            <w:r>
              <w:rPr>
                <w:rStyle w:val="IndexLink"/>
                <w:rtl w:val="true"/>
              </w:rPr>
              <w:t xml:space="preserve">کتاب الصلاة </w:t>
            </w:r>
            <w:r>
              <w:rPr>
                <w:rStyle w:val="IndexLink"/>
                <w:rtl w:val="true"/>
              </w:rPr>
              <w:t>(</w:t>
            </w:r>
            <w:r>
              <w:rPr>
                <w:rStyle w:val="IndexLink"/>
              </w:rPr>
              <w:t>18</w:t>
            </w:r>
            <w:r>
              <w:rPr>
                <w:rStyle w:val="IndexLink"/>
                <w:rtl w:val="true"/>
              </w:rPr>
              <w:t>)</w:t>
              <w:tab/>
            </w:r>
            <w:r>
              <w:rPr>
                <w:rStyle w:val="IndexLink"/>
              </w:rPr>
              <w:t>131</w:t>
            </w:r>
          </w:hyperlink>
        </w:p>
        <w:p>
          <w:pPr>
            <w:pStyle w:val="Contents4"/>
            <w:tabs>
              <w:tab w:val="clear" w:pos="8176"/>
              <w:tab w:val="right" w:pos="9026" w:leader="dot"/>
            </w:tabs>
            <w:rPr/>
          </w:pPr>
          <w:hyperlink w:anchor="__RefHeading___Toc580540_774463916">
            <w:r>
              <w:rPr>
                <w:webHidden/>
                <w:rStyle w:val="IndexLink"/>
                <w:rtl w:val="true"/>
              </w:rPr>
              <w:t>صلاة الجماعة</w:t>
            </w:r>
            <w:r>
              <w:rPr>
                <w:rStyle w:val="IndexLink"/>
                <w:rtl w:val="true"/>
              </w:rPr>
              <w:tab/>
            </w:r>
            <w:r>
              <w:rPr>
                <w:rStyle w:val="IndexLink"/>
              </w:rPr>
              <w:t>131</w:t>
            </w:r>
          </w:hyperlink>
        </w:p>
        <w:p>
          <w:pPr>
            <w:pStyle w:val="Contents3"/>
            <w:tabs>
              <w:tab w:val="clear" w:pos="8459"/>
              <w:tab w:val="right" w:pos="9026" w:leader="dot"/>
            </w:tabs>
            <w:rPr/>
          </w:pPr>
          <w:hyperlink w:anchor="__RefHeading___Toc580542_774463916">
            <w:r>
              <w:rPr>
                <w:webHidden/>
                <w:rStyle w:val="IndexLink"/>
                <w:rtl w:val="true"/>
              </w:rPr>
              <w:t>الدرس</w:t>
            </w:r>
            <w:r>
              <w:rPr>
                <w:rStyle w:val="IndexLink"/>
              </w:rPr>
              <w:t>32</w:t>
            </w:r>
            <w:r>
              <w:rPr>
                <w:rStyle w:val="IndexLink"/>
                <w:rtl w:val="true"/>
              </w:rPr>
              <w:t xml:space="preserve"> - </w:t>
            </w:r>
            <w:r>
              <w:rPr>
                <w:rStyle w:val="IndexLink"/>
                <w:rtl w:val="true"/>
              </w:rPr>
              <w:t xml:space="preserve">کتاب الصلاة </w:t>
            </w:r>
            <w:r>
              <w:rPr>
                <w:rStyle w:val="IndexLink"/>
                <w:rtl w:val="true"/>
              </w:rPr>
              <w:t>(</w:t>
            </w:r>
            <w:r>
              <w:rPr>
                <w:rStyle w:val="IndexLink"/>
              </w:rPr>
              <w:t>19</w:t>
            </w:r>
            <w:r>
              <w:rPr>
                <w:rStyle w:val="IndexLink"/>
                <w:rtl w:val="true"/>
              </w:rPr>
              <w:t>)</w:t>
              <w:tab/>
            </w:r>
            <w:r>
              <w:rPr>
                <w:rStyle w:val="IndexLink"/>
              </w:rPr>
              <w:t>133</w:t>
            </w:r>
          </w:hyperlink>
        </w:p>
        <w:p>
          <w:pPr>
            <w:pStyle w:val="Contents4"/>
            <w:tabs>
              <w:tab w:val="clear" w:pos="8176"/>
              <w:tab w:val="right" w:pos="9026" w:leader="dot"/>
            </w:tabs>
            <w:rPr/>
          </w:pPr>
          <w:hyperlink w:anchor="__RefHeading___Toc580544_774463916">
            <w:r>
              <w:rPr>
                <w:webHidden/>
                <w:rStyle w:val="IndexLink"/>
                <w:rtl w:val="true"/>
              </w:rPr>
              <w:t xml:space="preserve">صلاة الجماعة </w:t>
            </w:r>
            <w:r>
              <w:rPr>
                <w:rStyle w:val="IndexLink"/>
                <w:rtl w:val="true"/>
              </w:rPr>
              <w:t>(</w:t>
            </w:r>
            <w:r>
              <w:rPr>
                <w:rStyle w:val="IndexLink"/>
              </w:rPr>
              <w:t>2</w:t>
            </w:r>
            <w:r>
              <w:rPr>
                <w:rStyle w:val="IndexLink"/>
                <w:rtl w:val="true"/>
              </w:rPr>
              <w:t>)</w:t>
              <w:tab/>
            </w:r>
            <w:r>
              <w:rPr>
                <w:rStyle w:val="IndexLink"/>
              </w:rPr>
              <w:t>133</w:t>
            </w:r>
          </w:hyperlink>
        </w:p>
        <w:p>
          <w:pPr>
            <w:pStyle w:val="Contents4"/>
            <w:tabs>
              <w:tab w:val="clear" w:pos="8176"/>
              <w:tab w:val="right" w:pos="9026" w:leader="dot"/>
            </w:tabs>
            <w:rPr/>
          </w:pPr>
          <w:hyperlink w:anchor="__RefHeading___Toc580546_774463916">
            <w:r>
              <w:rPr>
                <w:webHidden/>
                <w:rStyle w:val="IndexLink"/>
                <w:rtl w:val="true"/>
              </w:rPr>
              <w:t>الجماعة فی النوافل بدعة</w:t>
            </w:r>
            <w:r>
              <w:rPr>
                <w:rStyle w:val="IndexLink"/>
                <w:rtl w:val="true"/>
              </w:rPr>
              <w:tab/>
            </w:r>
            <w:r>
              <w:rPr>
                <w:rStyle w:val="IndexLink"/>
              </w:rPr>
              <w:t>133</w:t>
            </w:r>
          </w:hyperlink>
        </w:p>
        <w:p>
          <w:pPr>
            <w:pStyle w:val="Contents3"/>
            <w:tabs>
              <w:tab w:val="clear" w:pos="8459"/>
              <w:tab w:val="right" w:pos="9026" w:leader="dot"/>
            </w:tabs>
            <w:rPr/>
          </w:pPr>
          <w:hyperlink w:anchor="__RefHeading___Toc580548_774463916">
            <w:r>
              <w:rPr>
                <w:webHidden/>
                <w:rStyle w:val="IndexLink"/>
                <w:rtl w:val="true"/>
              </w:rPr>
              <w:t>الدرس</w:t>
            </w:r>
            <w:r>
              <w:rPr>
                <w:rStyle w:val="IndexLink"/>
              </w:rPr>
              <w:t>33</w:t>
            </w:r>
            <w:r>
              <w:rPr>
                <w:rStyle w:val="IndexLink"/>
                <w:rtl w:val="true"/>
              </w:rPr>
              <w:t xml:space="preserve"> - </w:t>
            </w:r>
            <w:r>
              <w:rPr>
                <w:rStyle w:val="IndexLink"/>
                <w:rtl w:val="true"/>
              </w:rPr>
              <w:t xml:space="preserve">کتاب الصلاة </w:t>
            </w:r>
            <w:r>
              <w:rPr>
                <w:rStyle w:val="IndexLink"/>
                <w:rtl w:val="true"/>
              </w:rPr>
              <w:t>(</w:t>
            </w:r>
            <w:r>
              <w:rPr>
                <w:rStyle w:val="IndexLink"/>
              </w:rPr>
              <w:t>20</w:t>
            </w:r>
            <w:r>
              <w:rPr>
                <w:rStyle w:val="IndexLink"/>
                <w:rtl w:val="true"/>
              </w:rPr>
              <w:t>)</w:t>
              <w:tab/>
            </w:r>
            <w:r>
              <w:rPr>
                <w:rStyle w:val="IndexLink"/>
              </w:rPr>
              <w:t>136</w:t>
            </w:r>
          </w:hyperlink>
        </w:p>
        <w:p>
          <w:pPr>
            <w:pStyle w:val="Contents4"/>
            <w:tabs>
              <w:tab w:val="clear" w:pos="8176"/>
              <w:tab w:val="right" w:pos="9026" w:leader="dot"/>
            </w:tabs>
            <w:rPr/>
          </w:pPr>
          <w:hyperlink w:anchor="__RefHeading___Toc580550_774463916">
            <w:r>
              <w:rPr>
                <w:webHidden/>
                <w:rStyle w:val="IndexLink"/>
                <w:rtl w:val="true"/>
              </w:rPr>
              <w:t xml:space="preserve">صلاة الجماعة </w:t>
            </w:r>
            <w:r>
              <w:rPr>
                <w:rStyle w:val="IndexLink"/>
                <w:rtl w:val="true"/>
              </w:rPr>
              <w:t>(</w:t>
            </w:r>
            <w:r>
              <w:rPr>
                <w:rStyle w:val="IndexLink"/>
              </w:rPr>
              <w:t>3</w:t>
            </w:r>
            <w:r>
              <w:rPr>
                <w:rStyle w:val="IndexLink"/>
                <w:rtl w:val="true"/>
              </w:rPr>
              <w:t>)</w:t>
              <w:tab/>
            </w:r>
            <w:r>
              <w:rPr>
                <w:rStyle w:val="IndexLink"/>
              </w:rPr>
              <w:t>136</w:t>
            </w:r>
          </w:hyperlink>
        </w:p>
        <w:p>
          <w:pPr>
            <w:pStyle w:val="Contents4"/>
            <w:tabs>
              <w:tab w:val="clear" w:pos="8176"/>
              <w:tab w:val="right" w:pos="9026" w:leader="dot"/>
            </w:tabs>
            <w:rPr/>
          </w:pPr>
          <w:hyperlink w:anchor="__RefHeading___Toc580552_774463916">
            <w:r>
              <w:rPr>
                <w:webHidden/>
                <w:rStyle w:val="IndexLink"/>
                <w:rtl w:val="true"/>
              </w:rPr>
              <w:t>یشترط فی الجماعة أمور</w:t>
            </w:r>
            <w:r>
              <w:rPr>
                <w:rStyle w:val="IndexLink"/>
                <w:rtl w:val="true"/>
              </w:rPr>
              <w:tab/>
            </w:r>
            <w:r>
              <w:rPr>
                <w:rStyle w:val="IndexLink"/>
              </w:rPr>
              <w:t>136</w:t>
            </w:r>
          </w:hyperlink>
        </w:p>
        <w:p>
          <w:pPr>
            <w:pStyle w:val="Contents4"/>
            <w:tabs>
              <w:tab w:val="clear" w:pos="8176"/>
              <w:tab w:val="right" w:pos="9026" w:leader="dot"/>
            </w:tabs>
            <w:rPr/>
          </w:pPr>
          <w:hyperlink w:anchor="__RefHeading___Toc580554_774463916">
            <w:r>
              <w:rPr>
                <w:webHidden/>
                <w:rStyle w:val="IndexLink"/>
                <w:rtl w:val="true"/>
              </w:rPr>
              <w:t>یشترط فی إمام الجماعة أمور</w:t>
            </w:r>
            <w:r>
              <w:rPr>
                <w:rStyle w:val="IndexLink"/>
                <w:rtl w:val="true"/>
              </w:rPr>
              <w:tab/>
            </w:r>
            <w:r>
              <w:rPr>
                <w:rStyle w:val="IndexLink"/>
              </w:rPr>
              <w:t>137</w:t>
            </w:r>
          </w:hyperlink>
        </w:p>
        <w:p>
          <w:pPr>
            <w:pStyle w:val="Contents3"/>
            <w:tabs>
              <w:tab w:val="clear" w:pos="8459"/>
              <w:tab w:val="right" w:pos="9026" w:leader="dot"/>
            </w:tabs>
            <w:rPr/>
          </w:pPr>
          <w:hyperlink w:anchor="__RefHeading___Toc580556_774463916">
            <w:r>
              <w:rPr>
                <w:webHidden/>
                <w:rStyle w:val="IndexLink"/>
                <w:rtl w:val="true"/>
              </w:rPr>
              <w:t>الدرس</w:t>
            </w:r>
            <w:r>
              <w:rPr>
                <w:rStyle w:val="IndexLink"/>
              </w:rPr>
              <w:t>34</w:t>
            </w:r>
            <w:r>
              <w:rPr>
                <w:rStyle w:val="IndexLink"/>
                <w:rtl w:val="true"/>
              </w:rPr>
              <w:t xml:space="preserve"> - </w:t>
            </w:r>
            <w:r>
              <w:rPr>
                <w:rStyle w:val="IndexLink"/>
                <w:rtl w:val="true"/>
              </w:rPr>
              <w:t xml:space="preserve">کتاب الصلاة </w:t>
            </w:r>
            <w:r>
              <w:rPr>
                <w:rStyle w:val="IndexLink"/>
                <w:rtl w:val="true"/>
              </w:rPr>
              <w:t>(</w:t>
            </w:r>
            <w:r>
              <w:rPr>
                <w:rStyle w:val="IndexLink"/>
              </w:rPr>
              <w:t>21</w:t>
            </w:r>
            <w:r>
              <w:rPr>
                <w:rStyle w:val="IndexLink"/>
                <w:rtl w:val="true"/>
              </w:rPr>
              <w:t>)</w:t>
              <w:tab/>
            </w:r>
            <w:r>
              <w:rPr>
                <w:rStyle w:val="IndexLink"/>
              </w:rPr>
              <w:t>138</w:t>
            </w:r>
          </w:hyperlink>
        </w:p>
        <w:p>
          <w:pPr>
            <w:pStyle w:val="Contents4"/>
            <w:tabs>
              <w:tab w:val="clear" w:pos="8176"/>
              <w:tab w:val="right" w:pos="9026" w:leader="dot"/>
            </w:tabs>
            <w:rPr/>
          </w:pPr>
          <w:hyperlink w:anchor="__RefHeading___Toc580558_774463916">
            <w:r>
              <w:rPr>
                <w:webHidden/>
                <w:rStyle w:val="IndexLink"/>
                <w:rtl w:val="true"/>
              </w:rPr>
              <w:t xml:space="preserve">صلاة الجماعة </w:t>
            </w:r>
            <w:r>
              <w:rPr>
                <w:rStyle w:val="IndexLink"/>
                <w:rtl w:val="true"/>
              </w:rPr>
              <w:t>(</w:t>
            </w:r>
            <w:r>
              <w:rPr>
                <w:rStyle w:val="IndexLink"/>
              </w:rPr>
              <w:t>4</w:t>
            </w:r>
            <w:r>
              <w:rPr>
                <w:rStyle w:val="IndexLink"/>
                <w:rtl w:val="true"/>
              </w:rPr>
              <w:t xml:space="preserve">) </w:t>
            </w:r>
            <w:r>
              <w:rPr>
                <w:rStyle w:val="IndexLink"/>
                <w:rtl w:val="true"/>
              </w:rPr>
              <w:t>والجمعة</w:t>
            </w:r>
            <w:r>
              <w:rPr>
                <w:rStyle w:val="IndexLink"/>
                <w:rtl w:val="true"/>
              </w:rPr>
              <w:tab/>
            </w:r>
            <w:r>
              <w:rPr>
                <w:rStyle w:val="IndexLink"/>
              </w:rPr>
              <w:t>138</w:t>
            </w:r>
          </w:hyperlink>
        </w:p>
        <w:p>
          <w:pPr>
            <w:pStyle w:val="Contents4"/>
            <w:tabs>
              <w:tab w:val="clear" w:pos="8176"/>
              <w:tab w:val="right" w:pos="9026" w:leader="dot"/>
            </w:tabs>
            <w:rPr/>
          </w:pPr>
          <w:hyperlink w:anchor="__RefHeading___Toc580560_774463916">
            <w:r>
              <w:rPr>
                <w:webHidden/>
                <w:rStyle w:val="IndexLink"/>
                <w:rtl w:val="true"/>
              </w:rPr>
              <w:t>مستحبات الجماعة</w:t>
            </w:r>
            <w:r>
              <w:rPr>
                <w:rStyle w:val="IndexLink"/>
                <w:rtl w:val="true"/>
              </w:rPr>
              <w:tab/>
            </w:r>
            <w:r>
              <w:rPr>
                <w:rStyle w:val="IndexLink"/>
              </w:rPr>
              <w:t>138</w:t>
            </w:r>
          </w:hyperlink>
        </w:p>
        <w:p>
          <w:pPr>
            <w:pStyle w:val="Contents4"/>
            <w:tabs>
              <w:tab w:val="clear" w:pos="8176"/>
              <w:tab w:val="right" w:pos="9026" w:leader="dot"/>
            </w:tabs>
            <w:rPr/>
          </w:pPr>
          <w:hyperlink w:anchor="__RefHeading___Toc580562_774463916">
            <w:r>
              <w:rPr>
                <w:webHidden/>
                <w:rStyle w:val="IndexLink"/>
                <w:rtl w:val="true"/>
              </w:rPr>
              <w:t>صلاة الجمعة</w:t>
            </w:r>
            <w:r>
              <w:rPr>
                <w:rStyle w:val="IndexLink"/>
                <w:rtl w:val="true"/>
              </w:rPr>
              <w:tab/>
            </w:r>
            <w:r>
              <w:rPr>
                <w:rStyle w:val="IndexLink"/>
              </w:rPr>
              <w:t>139</w:t>
            </w:r>
          </w:hyperlink>
        </w:p>
        <w:p>
          <w:pPr>
            <w:pStyle w:val="Contents3"/>
            <w:tabs>
              <w:tab w:val="clear" w:pos="8459"/>
              <w:tab w:val="right" w:pos="9026" w:leader="dot"/>
            </w:tabs>
            <w:rPr/>
          </w:pPr>
          <w:hyperlink w:anchor="__RefHeading___Toc580564_774463916">
            <w:r>
              <w:rPr>
                <w:webHidden/>
                <w:rStyle w:val="IndexLink"/>
                <w:rtl w:val="true"/>
              </w:rPr>
              <w:t>الدرس</w:t>
            </w:r>
            <w:r>
              <w:rPr>
                <w:rStyle w:val="IndexLink"/>
              </w:rPr>
              <w:t>35</w:t>
            </w:r>
            <w:r>
              <w:rPr>
                <w:rStyle w:val="IndexLink"/>
                <w:rtl w:val="true"/>
              </w:rPr>
              <w:t xml:space="preserve"> - </w:t>
            </w:r>
            <w:r>
              <w:rPr>
                <w:rStyle w:val="IndexLink"/>
                <w:rtl w:val="true"/>
              </w:rPr>
              <w:t>کتاب الصوم</w:t>
            </w:r>
            <w:r>
              <w:rPr>
                <w:rStyle w:val="IndexLink"/>
                <w:rtl w:val="true"/>
              </w:rPr>
              <w:tab/>
            </w:r>
            <w:r>
              <w:rPr>
                <w:rStyle w:val="IndexLink"/>
              </w:rPr>
              <w:t>141</w:t>
            </w:r>
          </w:hyperlink>
        </w:p>
        <w:p>
          <w:pPr>
            <w:pStyle w:val="Contents4"/>
            <w:tabs>
              <w:tab w:val="clear" w:pos="8176"/>
              <w:tab w:val="right" w:pos="9026" w:leader="dot"/>
            </w:tabs>
            <w:rPr/>
          </w:pPr>
          <w:hyperlink w:anchor="__RefHeading___Toc580566_774463916">
            <w:r>
              <w:rPr>
                <w:webHidden/>
                <w:rStyle w:val="IndexLink"/>
                <w:rtl w:val="true"/>
              </w:rPr>
              <w:t>مفطّرات الصوم</w:t>
            </w:r>
            <w:r>
              <w:rPr>
                <w:rStyle w:val="IndexLink"/>
                <w:rtl w:val="true"/>
              </w:rPr>
              <w:tab/>
            </w:r>
            <w:r>
              <w:rPr>
                <w:rStyle w:val="IndexLink"/>
              </w:rPr>
              <w:t>141</w:t>
            </w:r>
          </w:hyperlink>
        </w:p>
        <w:p>
          <w:pPr>
            <w:pStyle w:val="Contents3"/>
            <w:tabs>
              <w:tab w:val="clear" w:pos="8459"/>
              <w:tab w:val="right" w:pos="9026" w:leader="dot"/>
            </w:tabs>
            <w:rPr/>
          </w:pPr>
          <w:hyperlink w:anchor="__RefHeading___Toc580568_774463916">
            <w:r>
              <w:rPr>
                <w:webHidden/>
                <w:rStyle w:val="IndexLink"/>
                <w:rtl w:val="true"/>
              </w:rPr>
              <w:t>الدرس</w:t>
            </w:r>
            <w:r>
              <w:rPr>
                <w:rStyle w:val="IndexLink"/>
              </w:rPr>
              <w:t>36</w:t>
            </w:r>
            <w:r>
              <w:rPr>
                <w:rStyle w:val="IndexLink"/>
                <w:rtl w:val="true"/>
              </w:rPr>
              <w:t xml:space="preserve"> - </w:t>
            </w:r>
            <w:r>
              <w:rPr>
                <w:rStyle w:val="IndexLink"/>
                <w:rtl w:val="true"/>
              </w:rPr>
              <w:t xml:space="preserve">کتاب الصوم </w:t>
            </w:r>
            <w:r>
              <w:rPr>
                <w:rStyle w:val="IndexLink"/>
                <w:rtl w:val="true"/>
              </w:rPr>
              <w:t>(</w:t>
            </w:r>
            <w:r>
              <w:rPr>
                <w:rStyle w:val="IndexLink"/>
              </w:rPr>
              <w:t>2</w:t>
            </w:r>
            <w:r>
              <w:rPr>
                <w:rStyle w:val="IndexLink"/>
                <w:rtl w:val="true"/>
              </w:rPr>
              <w:t>)</w:t>
              <w:tab/>
            </w:r>
            <w:r>
              <w:rPr>
                <w:rStyle w:val="IndexLink"/>
              </w:rPr>
              <w:t>144</w:t>
            </w:r>
          </w:hyperlink>
        </w:p>
        <w:p>
          <w:pPr>
            <w:pStyle w:val="Contents4"/>
            <w:tabs>
              <w:tab w:val="clear" w:pos="8176"/>
              <w:tab w:val="right" w:pos="9026" w:leader="dot"/>
            </w:tabs>
            <w:rPr/>
          </w:pPr>
          <w:hyperlink w:anchor="__RefHeading___Toc580570_774463916">
            <w:r>
              <w:rPr>
                <w:webHidden/>
                <w:rStyle w:val="IndexLink"/>
                <w:rtl w:val="true"/>
              </w:rPr>
              <w:t>شرائط صحّة الصوم</w:t>
            </w:r>
            <w:r>
              <w:rPr>
                <w:rStyle w:val="IndexLink"/>
                <w:rtl w:val="true"/>
              </w:rPr>
              <w:tab/>
            </w:r>
            <w:r>
              <w:rPr>
                <w:rStyle w:val="IndexLink"/>
              </w:rPr>
              <w:t>144</w:t>
            </w:r>
          </w:hyperlink>
        </w:p>
        <w:p>
          <w:pPr>
            <w:pStyle w:val="Contents3"/>
            <w:tabs>
              <w:tab w:val="clear" w:pos="8459"/>
              <w:tab w:val="right" w:pos="9026" w:leader="dot"/>
            </w:tabs>
            <w:rPr/>
          </w:pPr>
          <w:hyperlink w:anchor="__RefHeading___Toc580572_774463916">
            <w:r>
              <w:rPr>
                <w:webHidden/>
                <w:rStyle w:val="IndexLink"/>
                <w:rtl w:val="true"/>
              </w:rPr>
              <w:t>الدرس</w:t>
            </w:r>
            <w:r>
              <w:rPr>
                <w:rStyle w:val="IndexLink"/>
              </w:rPr>
              <w:t>37</w:t>
            </w:r>
            <w:r>
              <w:rPr>
                <w:rStyle w:val="IndexLink"/>
                <w:rtl w:val="true"/>
              </w:rPr>
              <w:t xml:space="preserve"> - </w:t>
            </w:r>
            <w:r>
              <w:rPr>
                <w:rStyle w:val="IndexLink"/>
                <w:rtl w:val="true"/>
              </w:rPr>
              <w:t xml:space="preserve">کتاب الصوم </w:t>
            </w:r>
            <w:r>
              <w:rPr>
                <w:rStyle w:val="IndexLink"/>
                <w:rtl w:val="true"/>
              </w:rPr>
              <w:t>(</w:t>
            </w:r>
            <w:r>
              <w:rPr>
                <w:rStyle w:val="IndexLink"/>
              </w:rPr>
              <w:t>3</w:t>
            </w:r>
            <w:r>
              <w:rPr>
                <w:rStyle w:val="IndexLink"/>
                <w:rtl w:val="true"/>
              </w:rPr>
              <w:t>)</w:t>
              <w:tab/>
            </w:r>
            <w:r>
              <w:rPr>
                <w:rStyle w:val="IndexLink"/>
              </w:rPr>
              <w:t>147</w:t>
            </w:r>
          </w:hyperlink>
        </w:p>
        <w:p>
          <w:pPr>
            <w:pStyle w:val="Contents4"/>
            <w:tabs>
              <w:tab w:val="clear" w:pos="8176"/>
              <w:tab w:val="right" w:pos="9026" w:leader="dot"/>
            </w:tabs>
            <w:rPr/>
          </w:pPr>
          <w:hyperlink w:anchor="__RefHeading___Toc580574_774463916">
            <w:r>
              <w:rPr>
                <w:webHidden/>
                <w:rStyle w:val="IndexLink"/>
                <w:rtl w:val="true"/>
              </w:rPr>
              <w:t>أحکام عامّة للصوم</w:t>
            </w:r>
            <w:r>
              <w:rPr>
                <w:rStyle w:val="IndexLink"/>
                <w:rtl w:val="true"/>
              </w:rPr>
              <w:tab/>
            </w:r>
            <w:r>
              <w:rPr>
                <w:rStyle w:val="IndexLink"/>
              </w:rPr>
              <w:t>147</w:t>
            </w:r>
          </w:hyperlink>
        </w:p>
        <w:p>
          <w:pPr>
            <w:pStyle w:val="Contents3"/>
            <w:tabs>
              <w:tab w:val="clear" w:pos="8459"/>
              <w:tab w:val="right" w:pos="9026" w:leader="dot"/>
            </w:tabs>
            <w:rPr/>
          </w:pPr>
          <w:hyperlink w:anchor="__RefHeading___Toc580576_774463916">
            <w:r>
              <w:rPr>
                <w:webHidden/>
                <w:rStyle w:val="IndexLink"/>
                <w:rtl w:val="true"/>
              </w:rPr>
              <w:t>الدرس</w:t>
            </w:r>
            <w:r>
              <w:rPr>
                <w:rStyle w:val="IndexLink"/>
              </w:rPr>
              <w:t>38</w:t>
            </w:r>
            <w:r>
              <w:rPr>
                <w:rStyle w:val="IndexLink"/>
                <w:rtl w:val="true"/>
              </w:rPr>
              <w:t xml:space="preserve"> - </w:t>
            </w:r>
            <w:r>
              <w:rPr>
                <w:rStyle w:val="IndexLink"/>
                <w:rtl w:val="true"/>
              </w:rPr>
              <w:t>کتاب الاعتکاف</w:t>
            </w:r>
            <w:r>
              <w:rPr>
                <w:rStyle w:val="IndexLink"/>
                <w:rtl w:val="true"/>
              </w:rPr>
              <w:tab/>
            </w:r>
            <w:r>
              <w:rPr>
                <w:rStyle w:val="IndexLink"/>
              </w:rPr>
              <w:t>149</w:t>
            </w:r>
          </w:hyperlink>
        </w:p>
        <w:p>
          <w:pPr>
            <w:pStyle w:val="Contents4"/>
            <w:tabs>
              <w:tab w:val="clear" w:pos="8176"/>
              <w:tab w:val="right" w:pos="9026" w:leader="dot"/>
            </w:tabs>
            <w:rPr/>
          </w:pPr>
          <w:hyperlink w:anchor="__RefHeading___Toc580578_774463916">
            <w:r>
              <w:rPr>
                <w:webHidden/>
                <w:rStyle w:val="IndexLink"/>
                <w:rtl w:val="true"/>
              </w:rPr>
              <w:t>حقیقة الاعتکاف</w:t>
            </w:r>
            <w:r>
              <w:rPr>
                <w:rStyle w:val="IndexLink"/>
                <w:rtl w:val="true"/>
              </w:rPr>
              <w:tab/>
            </w:r>
            <w:r>
              <w:rPr>
                <w:rStyle w:val="IndexLink"/>
              </w:rPr>
              <w:t>149</w:t>
            </w:r>
          </w:hyperlink>
        </w:p>
        <w:p>
          <w:pPr>
            <w:pStyle w:val="Contents3"/>
            <w:tabs>
              <w:tab w:val="clear" w:pos="8459"/>
              <w:tab w:val="right" w:pos="9026" w:leader="dot"/>
            </w:tabs>
            <w:rPr/>
          </w:pPr>
          <w:hyperlink w:anchor="__RefHeading___Toc580580_774463916">
            <w:r>
              <w:rPr>
                <w:webHidden/>
                <w:rStyle w:val="IndexLink"/>
                <w:rtl w:val="true"/>
              </w:rPr>
              <w:t>الدرس</w:t>
            </w:r>
            <w:r>
              <w:rPr>
                <w:rStyle w:val="IndexLink"/>
              </w:rPr>
              <w:t>39</w:t>
            </w:r>
            <w:r>
              <w:rPr>
                <w:rStyle w:val="IndexLink"/>
                <w:rtl w:val="true"/>
              </w:rPr>
              <w:t xml:space="preserve"> - </w:t>
            </w:r>
            <w:r>
              <w:rPr>
                <w:rStyle w:val="IndexLink"/>
                <w:rtl w:val="true"/>
              </w:rPr>
              <w:t>کتاب الزکاة</w:t>
            </w:r>
            <w:r>
              <w:rPr>
                <w:rStyle w:val="IndexLink"/>
                <w:rtl w:val="true"/>
              </w:rPr>
              <w:tab/>
            </w:r>
            <w:r>
              <w:rPr>
                <w:rStyle w:val="IndexLink"/>
              </w:rPr>
              <w:t>151</w:t>
            </w:r>
          </w:hyperlink>
        </w:p>
        <w:p>
          <w:pPr>
            <w:pStyle w:val="Contents4"/>
            <w:tabs>
              <w:tab w:val="clear" w:pos="8176"/>
              <w:tab w:val="right" w:pos="9026" w:leader="dot"/>
            </w:tabs>
            <w:rPr/>
          </w:pPr>
          <w:hyperlink w:anchor="__RefHeading___Toc580582_774463916">
            <w:r>
              <w:rPr>
                <w:webHidden/>
                <w:rStyle w:val="IndexLink"/>
                <w:rtl w:val="true"/>
              </w:rPr>
              <w:t>حقیقة الزکاة وأهمیتها</w:t>
            </w:r>
            <w:r>
              <w:rPr>
                <w:rStyle w:val="IndexLink"/>
                <w:rtl w:val="true"/>
              </w:rPr>
              <w:tab/>
            </w:r>
            <w:r>
              <w:rPr>
                <w:rStyle w:val="IndexLink"/>
              </w:rPr>
              <w:t>151</w:t>
            </w:r>
          </w:hyperlink>
        </w:p>
        <w:p>
          <w:pPr>
            <w:pStyle w:val="Contents4"/>
            <w:tabs>
              <w:tab w:val="clear" w:pos="8176"/>
              <w:tab w:val="right" w:pos="9026" w:leader="dot"/>
            </w:tabs>
            <w:rPr/>
          </w:pPr>
          <w:hyperlink w:anchor="__RefHeading___Toc580584_774463916">
            <w:r>
              <w:rPr>
                <w:webHidden/>
                <w:rStyle w:val="IndexLink"/>
                <w:rtl w:val="true"/>
              </w:rPr>
              <w:t>الأشیاء التی تجب فیها الزکاة</w:t>
            </w:r>
            <w:r>
              <w:rPr>
                <w:rStyle w:val="IndexLink"/>
                <w:rtl w:val="true"/>
              </w:rPr>
              <w:tab/>
            </w:r>
            <w:r>
              <w:rPr>
                <w:rStyle w:val="IndexLink"/>
              </w:rPr>
              <w:t>151</w:t>
            </w:r>
          </w:hyperlink>
        </w:p>
        <w:p>
          <w:pPr>
            <w:pStyle w:val="Contents4"/>
            <w:tabs>
              <w:tab w:val="clear" w:pos="8176"/>
              <w:tab w:val="right" w:pos="9026" w:leader="dot"/>
            </w:tabs>
            <w:rPr/>
          </w:pPr>
          <w:hyperlink w:anchor="__RefHeading___Toc580586_774463916">
            <w:r>
              <w:rPr>
                <w:webHidden/>
                <w:rStyle w:val="IndexLink"/>
                <w:rtl w:val="true"/>
              </w:rPr>
              <w:t>شرائط عامّة</w:t>
            </w:r>
            <w:r>
              <w:rPr>
                <w:rStyle w:val="IndexLink"/>
                <w:rtl w:val="true"/>
              </w:rPr>
              <w:tab/>
            </w:r>
            <w:r>
              <w:rPr>
                <w:rStyle w:val="IndexLink"/>
              </w:rPr>
              <w:t>152</w:t>
            </w:r>
          </w:hyperlink>
        </w:p>
        <w:p>
          <w:pPr>
            <w:pStyle w:val="Contents3"/>
            <w:tabs>
              <w:tab w:val="clear" w:pos="8459"/>
              <w:tab w:val="right" w:pos="9026" w:leader="dot"/>
            </w:tabs>
            <w:rPr/>
          </w:pPr>
          <w:hyperlink w:anchor="__RefHeading___Toc580588_774463916">
            <w:r>
              <w:rPr>
                <w:webHidden/>
                <w:rStyle w:val="IndexLink"/>
                <w:rtl w:val="true"/>
              </w:rPr>
              <w:t>الدرس</w:t>
            </w:r>
            <w:r>
              <w:rPr>
                <w:rStyle w:val="IndexLink"/>
              </w:rPr>
              <w:t>40</w:t>
            </w:r>
            <w:r>
              <w:rPr>
                <w:rStyle w:val="IndexLink"/>
                <w:rtl w:val="true"/>
              </w:rPr>
              <w:t xml:space="preserve"> - </w:t>
            </w:r>
            <w:r>
              <w:rPr>
                <w:rStyle w:val="IndexLink"/>
                <w:rtl w:val="true"/>
              </w:rPr>
              <w:t xml:space="preserve">کتاب الزکاة </w:t>
            </w:r>
            <w:r>
              <w:rPr>
                <w:rStyle w:val="IndexLink"/>
                <w:rtl w:val="true"/>
              </w:rPr>
              <w:t>(</w:t>
            </w:r>
            <w:r>
              <w:rPr>
                <w:rStyle w:val="IndexLink"/>
              </w:rPr>
              <w:t>2</w:t>
            </w:r>
            <w:r>
              <w:rPr>
                <w:rStyle w:val="IndexLink"/>
                <w:rtl w:val="true"/>
              </w:rPr>
              <w:t>)</w:t>
              <w:tab/>
            </w:r>
            <w:r>
              <w:rPr>
                <w:rStyle w:val="IndexLink"/>
              </w:rPr>
              <w:t>153</w:t>
            </w:r>
          </w:hyperlink>
        </w:p>
        <w:p>
          <w:pPr>
            <w:pStyle w:val="Contents4"/>
            <w:tabs>
              <w:tab w:val="clear" w:pos="8176"/>
              <w:tab w:val="right" w:pos="9026" w:leader="dot"/>
            </w:tabs>
            <w:rPr/>
          </w:pPr>
          <w:hyperlink w:anchor="__RefHeading___Toc580590_774463916">
            <w:r>
              <w:rPr>
                <w:webHidden/>
                <w:rStyle w:val="IndexLink"/>
                <w:rtl w:val="true"/>
              </w:rPr>
              <w:t>شرائط الوجوب فی الأنعام</w:t>
            </w:r>
            <w:r>
              <w:rPr>
                <w:rStyle w:val="IndexLink"/>
                <w:rtl w:val="true"/>
              </w:rPr>
              <w:tab/>
            </w:r>
            <w:r>
              <w:rPr>
                <w:rStyle w:val="IndexLink"/>
              </w:rPr>
              <w:t>153</w:t>
            </w:r>
          </w:hyperlink>
        </w:p>
        <w:p>
          <w:pPr>
            <w:pStyle w:val="Contents3"/>
            <w:tabs>
              <w:tab w:val="clear" w:pos="8459"/>
              <w:tab w:val="right" w:pos="9026" w:leader="dot"/>
            </w:tabs>
            <w:rPr/>
          </w:pPr>
          <w:hyperlink w:anchor="__RefHeading___Toc580592_774463916">
            <w:r>
              <w:rPr>
                <w:webHidden/>
                <w:rStyle w:val="IndexLink"/>
                <w:rtl w:val="true"/>
              </w:rPr>
              <w:t>الدرس</w:t>
            </w:r>
            <w:r>
              <w:rPr>
                <w:rStyle w:val="IndexLink"/>
              </w:rPr>
              <w:t>41</w:t>
            </w:r>
            <w:r>
              <w:rPr>
                <w:rStyle w:val="IndexLink"/>
                <w:rtl w:val="true"/>
              </w:rPr>
              <w:t xml:space="preserve"> - </w:t>
            </w:r>
            <w:r>
              <w:rPr>
                <w:rStyle w:val="IndexLink"/>
                <w:rtl w:val="true"/>
              </w:rPr>
              <w:t xml:space="preserve">کتاب الزکاة </w:t>
            </w:r>
            <w:r>
              <w:rPr>
                <w:rStyle w:val="IndexLink"/>
                <w:rtl w:val="true"/>
              </w:rPr>
              <w:t>(</w:t>
            </w:r>
            <w:r>
              <w:rPr>
                <w:rStyle w:val="IndexLink"/>
              </w:rPr>
              <w:t>3</w:t>
            </w:r>
            <w:r>
              <w:rPr>
                <w:rStyle w:val="IndexLink"/>
                <w:rtl w:val="true"/>
              </w:rPr>
              <w:t>)</w:t>
              <w:tab/>
            </w:r>
            <w:r>
              <w:rPr>
                <w:rStyle w:val="IndexLink"/>
              </w:rPr>
              <w:t>155</w:t>
            </w:r>
          </w:hyperlink>
        </w:p>
        <w:p>
          <w:pPr>
            <w:pStyle w:val="Contents4"/>
            <w:tabs>
              <w:tab w:val="clear" w:pos="8176"/>
              <w:tab w:val="right" w:pos="9026" w:leader="dot"/>
            </w:tabs>
            <w:rPr/>
          </w:pPr>
          <w:hyperlink w:anchor="__RefHeading___Toc580594_774463916">
            <w:r>
              <w:rPr>
                <w:webHidden/>
                <w:rStyle w:val="IndexLink"/>
                <w:rtl w:val="true"/>
              </w:rPr>
              <w:t>شرائط الوجوب فی النقدین</w:t>
            </w:r>
            <w:r>
              <w:rPr>
                <w:rStyle w:val="IndexLink"/>
                <w:rtl w:val="true"/>
              </w:rPr>
              <w:tab/>
            </w:r>
            <w:r>
              <w:rPr>
                <w:rStyle w:val="IndexLink"/>
              </w:rPr>
              <w:t>155</w:t>
            </w:r>
          </w:hyperlink>
        </w:p>
        <w:p>
          <w:pPr>
            <w:pStyle w:val="Contents4"/>
            <w:tabs>
              <w:tab w:val="clear" w:pos="8176"/>
              <w:tab w:val="right" w:pos="9026" w:leader="dot"/>
            </w:tabs>
            <w:rPr/>
          </w:pPr>
          <w:hyperlink w:anchor="__RefHeading___Toc580596_774463916">
            <w:r>
              <w:rPr>
                <w:webHidden/>
                <w:rStyle w:val="IndexLink"/>
                <w:rtl w:val="true"/>
              </w:rPr>
              <w:t>المستحقّون للزکاة</w:t>
            </w:r>
            <w:r>
              <w:rPr>
                <w:rStyle w:val="IndexLink"/>
                <w:rtl w:val="true"/>
              </w:rPr>
              <w:tab/>
            </w:r>
            <w:r>
              <w:rPr>
                <w:rStyle w:val="IndexLink"/>
              </w:rPr>
              <w:t>156</w:t>
            </w:r>
          </w:hyperlink>
        </w:p>
        <w:p>
          <w:pPr>
            <w:pStyle w:val="Contents3"/>
            <w:tabs>
              <w:tab w:val="clear" w:pos="8459"/>
              <w:tab w:val="right" w:pos="9026" w:leader="dot"/>
            </w:tabs>
            <w:rPr/>
          </w:pPr>
          <w:hyperlink w:anchor="__RefHeading___Toc580598_774463916">
            <w:r>
              <w:rPr>
                <w:webHidden/>
                <w:rStyle w:val="IndexLink"/>
                <w:rtl w:val="true"/>
              </w:rPr>
              <w:t>الدرس</w:t>
            </w:r>
            <w:r>
              <w:rPr>
                <w:rStyle w:val="IndexLink"/>
              </w:rPr>
              <w:t>42</w:t>
            </w:r>
            <w:r>
              <w:rPr>
                <w:rStyle w:val="IndexLink"/>
                <w:rtl w:val="true"/>
              </w:rPr>
              <w:t xml:space="preserve"> - </w:t>
            </w:r>
            <w:r>
              <w:rPr>
                <w:rStyle w:val="IndexLink"/>
                <w:rtl w:val="true"/>
              </w:rPr>
              <w:t xml:space="preserve">کتاب الزکاة </w:t>
            </w:r>
            <w:r>
              <w:rPr>
                <w:rStyle w:val="IndexLink"/>
                <w:rtl w:val="true"/>
              </w:rPr>
              <w:t>(</w:t>
            </w:r>
            <w:r>
              <w:rPr>
                <w:rStyle w:val="IndexLink"/>
              </w:rPr>
              <w:t>4</w:t>
            </w:r>
            <w:r>
              <w:rPr>
                <w:rStyle w:val="IndexLink"/>
                <w:rtl w:val="true"/>
              </w:rPr>
              <w:t>)</w:t>
              <w:tab/>
            </w:r>
            <w:r>
              <w:rPr>
                <w:rStyle w:val="IndexLink"/>
              </w:rPr>
              <w:t>158</w:t>
            </w:r>
          </w:hyperlink>
        </w:p>
        <w:p>
          <w:pPr>
            <w:pStyle w:val="Contents4"/>
            <w:tabs>
              <w:tab w:val="clear" w:pos="8176"/>
              <w:tab w:val="right" w:pos="9026" w:leader="dot"/>
            </w:tabs>
            <w:rPr/>
          </w:pPr>
          <w:hyperlink w:anchor="__RefHeading___Toc580600_774463916">
            <w:r>
              <w:rPr>
                <w:webHidden/>
                <w:rStyle w:val="IndexLink"/>
                <w:rtl w:val="true"/>
              </w:rPr>
              <w:t>أوصاف المستحقّین</w:t>
            </w:r>
            <w:r>
              <w:rPr>
                <w:rStyle w:val="IndexLink"/>
                <w:rtl w:val="true"/>
              </w:rPr>
              <w:tab/>
            </w:r>
            <w:r>
              <w:rPr>
                <w:rStyle w:val="IndexLink"/>
              </w:rPr>
              <w:t>158</w:t>
            </w:r>
          </w:hyperlink>
        </w:p>
        <w:p>
          <w:pPr>
            <w:pStyle w:val="Contents3"/>
            <w:tabs>
              <w:tab w:val="clear" w:pos="8459"/>
              <w:tab w:val="right" w:pos="9026" w:leader="dot"/>
            </w:tabs>
            <w:rPr/>
          </w:pPr>
          <w:hyperlink w:anchor="__RefHeading___Toc580602_774463916">
            <w:r>
              <w:rPr>
                <w:webHidden/>
                <w:rStyle w:val="IndexLink"/>
                <w:rtl w:val="true"/>
              </w:rPr>
              <w:t>الدرس</w:t>
            </w:r>
            <w:r>
              <w:rPr>
                <w:rStyle w:val="IndexLink"/>
              </w:rPr>
              <w:t>43</w:t>
            </w:r>
            <w:r>
              <w:rPr>
                <w:rStyle w:val="IndexLink"/>
                <w:rtl w:val="true"/>
              </w:rPr>
              <w:t xml:space="preserve"> - </w:t>
            </w:r>
            <w:r>
              <w:rPr>
                <w:rStyle w:val="IndexLink"/>
                <w:rtl w:val="true"/>
              </w:rPr>
              <w:t xml:space="preserve">کتاب الزکاة </w:t>
            </w:r>
            <w:r>
              <w:rPr>
                <w:rStyle w:val="IndexLink"/>
                <w:rtl w:val="true"/>
              </w:rPr>
              <w:t>(</w:t>
            </w:r>
            <w:r>
              <w:rPr>
                <w:rStyle w:val="IndexLink"/>
              </w:rPr>
              <w:t>5</w:t>
            </w:r>
            <w:r>
              <w:rPr>
                <w:rStyle w:val="IndexLink"/>
                <w:rtl w:val="true"/>
              </w:rPr>
              <w:t>)</w:t>
              <w:tab/>
            </w:r>
            <w:r>
              <w:rPr>
                <w:rStyle w:val="IndexLink"/>
              </w:rPr>
              <w:t>160</w:t>
            </w:r>
          </w:hyperlink>
        </w:p>
        <w:p>
          <w:pPr>
            <w:pStyle w:val="Contents4"/>
            <w:tabs>
              <w:tab w:val="clear" w:pos="8176"/>
              <w:tab w:val="right" w:pos="9026" w:leader="dot"/>
            </w:tabs>
            <w:rPr/>
          </w:pPr>
          <w:hyperlink w:anchor="__RefHeading___Toc580604_774463916">
            <w:r>
              <w:rPr>
                <w:webHidden/>
                <w:rStyle w:val="IndexLink"/>
                <w:rtl w:val="true"/>
              </w:rPr>
              <w:t>زکاة الفطرة</w:t>
            </w:r>
            <w:r>
              <w:rPr>
                <w:rStyle w:val="IndexLink"/>
                <w:rtl w:val="true"/>
              </w:rPr>
              <w:tab/>
            </w:r>
            <w:r>
              <w:rPr>
                <w:rStyle w:val="IndexLink"/>
              </w:rPr>
              <w:t>160</w:t>
            </w:r>
          </w:hyperlink>
        </w:p>
        <w:p>
          <w:pPr>
            <w:pStyle w:val="Contents4"/>
            <w:tabs>
              <w:tab w:val="clear" w:pos="8176"/>
              <w:tab w:val="right" w:pos="9026" w:leader="dot"/>
            </w:tabs>
            <w:rPr/>
          </w:pPr>
          <w:hyperlink w:anchor="__RefHeading___Toc580606_774463916">
            <w:r>
              <w:rPr>
                <w:webHidden/>
                <w:rStyle w:val="IndexLink"/>
                <w:rtl w:val="true"/>
              </w:rPr>
              <w:t>شرائط وجوبها</w:t>
            </w:r>
            <w:r>
              <w:rPr>
                <w:rStyle w:val="IndexLink"/>
                <w:rtl w:val="true"/>
              </w:rPr>
              <w:tab/>
            </w:r>
            <w:r>
              <w:rPr>
                <w:rStyle w:val="IndexLink"/>
              </w:rPr>
              <w:t>160</w:t>
            </w:r>
          </w:hyperlink>
        </w:p>
        <w:p>
          <w:pPr>
            <w:pStyle w:val="Contents4"/>
            <w:tabs>
              <w:tab w:val="clear" w:pos="8176"/>
              <w:tab w:val="right" w:pos="9026" w:leader="dot"/>
            </w:tabs>
            <w:rPr/>
          </w:pPr>
          <w:hyperlink w:anchor="__RefHeading___Toc580608_774463916">
            <w:r>
              <w:rPr>
                <w:webHidden/>
                <w:rStyle w:val="IndexLink"/>
                <w:rtl w:val="true"/>
              </w:rPr>
              <w:t>لو وقت الوجوب بدایة ونهایة</w:t>
            </w:r>
            <w:r>
              <w:rPr>
                <w:rStyle w:val="IndexLink"/>
                <w:rtl w:val="true"/>
              </w:rPr>
              <w:tab/>
            </w:r>
            <w:r>
              <w:rPr>
                <w:rStyle w:val="IndexLink"/>
              </w:rPr>
              <w:t>161</w:t>
            </w:r>
          </w:hyperlink>
        </w:p>
        <w:p>
          <w:pPr>
            <w:pStyle w:val="Contents4"/>
            <w:tabs>
              <w:tab w:val="clear" w:pos="8176"/>
              <w:tab w:val="right" w:pos="9026" w:leader="dot"/>
            </w:tabs>
            <w:rPr/>
          </w:pPr>
          <w:hyperlink w:anchor="__RefHeading___Toc580610_774463916">
            <w:r>
              <w:rPr>
                <w:webHidden/>
                <w:rStyle w:val="IndexLink"/>
                <w:rtl w:val="true"/>
              </w:rPr>
              <w:t>المقدار الواجب</w:t>
            </w:r>
            <w:r>
              <w:rPr>
                <w:rStyle w:val="IndexLink"/>
                <w:rtl w:val="true"/>
              </w:rPr>
              <w:tab/>
            </w:r>
            <w:r>
              <w:rPr>
                <w:rStyle w:val="IndexLink"/>
              </w:rPr>
              <w:t>162</w:t>
            </w:r>
          </w:hyperlink>
        </w:p>
        <w:p>
          <w:pPr>
            <w:pStyle w:val="Contents3"/>
            <w:tabs>
              <w:tab w:val="clear" w:pos="8459"/>
              <w:tab w:val="right" w:pos="9026" w:leader="dot"/>
            </w:tabs>
            <w:rPr/>
          </w:pPr>
          <w:hyperlink w:anchor="__RefHeading___Toc580612_774463916">
            <w:r>
              <w:rPr>
                <w:webHidden/>
                <w:rStyle w:val="IndexLink"/>
                <w:rtl w:val="true"/>
              </w:rPr>
              <w:t>الدرس</w:t>
            </w:r>
            <w:r>
              <w:rPr>
                <w:rStyle w:val="IndexLink"/>
              </w:rPr>
              <w:t>44</w:t>
            </w:r>
            <w:r>
              <w:rPr>
                <w:rStyle w:val="IndexLink"/>
                <w:rtl w:val="true"/>
              </w:rPr>
              <w:t xml:space="preserve"> - </w:t>
            </w:r>
            <w:r>
              <w:rPr>
                <w:rStyle w:val="IndexLink"/>
                <w:rtl w:val="true"/>
              </w:rPr>
              <w:t>کتاب الخمس</w:t>
            </w:r>
            <w:r>
              <w:rPr>
                <w:rStyle w:val="IndexLink"/>
                <w:rtl w:val="true"/>
              </w:rPr>
              <w:tab/>
            </w:r>
            <w:r>
              <w:rPr>
                <w:rStyle w:val="IndexLink"/>
              </w:rPr>
              <w:t>164</w:t>
            </w:r>
          </w:hyperlink>
        </w:p>
        <w:p>
          <w:pPr>
            <w:pStyle w:val="Contents4"/>
            <w:tabs>
              <w:tab w:val="clear" w:pos="8176"/>
              <w:tab w:val="right" w:pos="9026" w:leader="dot"/>
            </w:tabs>
            <w:rPr/>
          </w:pPr>
          <w:hyperlink w:anchor="__RefHeading___Toc580614_774463916">
            <w:r>
              <w:rPr>
                <w:webHidden/>
                <w:rStyle w:val="IndexLink"/>
                <w:rtl w:val="true"/>
              </w:rPr>
              <w:t>الخمس فی مذهب أهل البیت</w:t>
            </w:r>
            <w:r>
              <w:rPr>
                <w:rStyle w:val="IndexLink"/>
                <w:rtl w:val="true"/>
              </w:rPr>
              <w:t>(</w:t>
            </w:r>
            <w:r>
              <w:rPr>
                <w:rStyle w:val="IndexLink"/>
                <w:rtl w:val="true"/>
              </w:rPr>
              <w:t>علیهم السلام</w:t>
            </w:r>
            <w:r>
              <w:rPr>
                <w:rStyle w:val="IndexLink"/>
                <w:rtl w:val="true"/>
              </w:rPr>
              <w:t>)</w:t>
              <w:tab/>
            </w:r>
            <w:r>
              <w:rPr>
                <w:rStyle w:val="IndexLink"/>
              </w:rPr>
              <w:t>164</w:t>
            </w:r>
          </w:hyperlink>
        </w:p>
        <w:p>
          <w:pPr>
            <w:pStyle w:val="Contents3"/>
            <w:tabs>
              <w:tab w:val="clear" w:pos="8459"/>
              <w:tab w:val="right" w:pos="9026" w:leader="dot"/>
            </w:tabs>
            <w:rPr/>
          </w:pPr>
          <w:hyperlink w:anchor="__RefHeading___Toc580616_774463916">
            <w:r>
              <w:rPr>
                <w:webHidden/>
                <w:rStyle w:val="IndexLink"/>
                <w:rtl w:val="true"/>
              </w:rPr>
              <w:t>الدرس</w:t>
            </w:r>
            <w:r>
              <w:rPr>
                <w:rStyle w:val="IndexLink"/>
              </w:rPr>
              <w:t>45</w:t>
            </w:r>
            <w:r>
              <w:rPr>
                <w:rStyle w:val="IndexLink"/>
                <w:rtl w:val="true"/>
              </w:rPr>
              <w:t xml:space="preserve"> - </w:t>
            </w:r>
            <w:r>
              <w:rPr>
                <w:rStyle w:val="IndexLink"/>
                <w:rtl w:val="true"/>
              </w:rPr>
              <w:t xml:space="preserve">کتاب الخمس </w:t>
            </w:r>
            <w:r>
              <w:rPr>
                <w:rStyle w:val="IndexLink"/>
                <w:rtl w:val="true"/>
              </w:rPr>
              <w:t>(</w:t>
            </w:r>
            <w:r>
              <w:rPr>
                <w:rStyle w:val="IndexLink"/>
              </w:rPr>
              <w:t>2</w:t>
            </w:r>
            <w:r>
              <w:rPr>
                <w:rStyle w:val="IndexLink"/>
                <w:rtl w:val="true"/>
              </w:rPr>
              <w:t>)</w:t>
              <w:tab/>
            </w:r>
            <w:r>
              <w:rPr>
                <w:rStyle w:val="IndexLink"/>
              </w:rPr>
              <w:t>166</w:t>
            </w:r>
          </w:hyperlink>
        </w:p>
        <w:p>
          <w:pPr>
            <w:pStyle w:val="Contents4"/>
            <w:tabs>
              <w:tab w:val="clear" w:pos="8176"/>
              <w:tab w:val="right" w:pos="9026" w:leader="dot"/>
            </w:tabs>
            <w:rPr/>
          </w:pPr>
          <w:hyperlink w:anchor="__RefHeading___Toc580618_774463916">
            <w:r>
              <w:rPr>
                <w:webHidden/>
                <w:rStyle w:val="IndexLink"/>
                <w:rtl w:val="true"/>
              </w:rPr>
              <w:t>ما یجب فیه الخمس</w:t>
            </w:r>
            <w:r>
              <w:rPr>
                <w:rStyle w:val="IndexLink"/>
                <w:rtl w:val="true"/>
              </w:rPr>
              <w:tab/>
            </w:r>
            <w:r>
              <w:rPr>
                <w:rStyle w:val="IndexLink"/>
              </w:rPr>
              <w:t>166</w:t>
            </w:r>
          </w:hyperlink>
        </w:p>
        <w:p>
          <w:pPr>
            <w:pStyle w:val="Contents3"/>
            <w:tabs>
              <w:tab w:val="clear" w:pos="8459"/>
              <w:tab w:val="right" w:pos="9026" w:leader="dot"/>
            </w:tabs>
            <w:rPr/>
          </w:pPr>
          <w:hyperlink w:anchor="__RefHeading___Toc580620_774463916">
            <w:r>
              <w:rPr>
                <w:webHidden/>
                <w:rStyle w:val="IndexLink"/>
                <w:rtl w:val="true"/>
              </w:rPr>
              <w:t>الدرس</w:t>
            </w:r>
            <w:r>
              <w:rPr>
                <w:rStyle w:val="IndexLink"/>
              </w:rPr>
              <w:t>46</w:t>
            </w:r>
            <w:r>
              <w:rPr>
                <w:rStyle w:val="IndexLink"/>
                <w:rtl w:val="true"/>
              </w:rPr>
              <w:t xml:space="preserve"> - </w:t>
            </w:r>
            <w:r>
              <w:rPr>
                <w:rStyle w:val="IndexLink"/>
                <w:rtl w:val="true"/>
              </w:rPr>
              <w:t xml:space="preserve">کتاب الخمس </w:t>
            </w:r>
            <w:r>
              <w:rPr>
                <w:rStyle w:val="IndexLink"/>
                <w:rtl w:val="true"/>
              </w:rPr>
              <w:t>(</w:t>
            </w:r>
            <w:r>
              <w:rPr>
                <w:rStyle w:val="IndexLink"/>
              </w:rPr>
              <w:t>3</w:t>
            </w:r>
            <w:r>
              <w:rPr>
                <w:rStyle w:val="IndexLink"/>
                <w:rtl w:val="true"/>
              </w:rPr>
              <w:t>)</w:t>
              <w:tab/>
            </w:r>
            <w:r>
              <w:rPr>
                <w:rStyle w:val="IndexLink"/>
              </w:rPr>
              <w:t>169</w:t>
            </w:r>
          </w:hyperlink>
        </w:p>
        <w:p>
          <w:pPr>
            <w:pStyle w:val="Contents4"/>
            <w:tabs>
              <w:tab w:val="clear" w:pos="8176"/>
              <w:tab w:val="right" w:pos="9026" w:leader="dot"/>
            </w:tabs>
            <w:rPr/>
          </w:pPr>
          <w:hyperlink w:anchor="__RefHeading___Toc580622_774463916">
            <w:r>
              <w:rPr>
                <w:webHidden/>
                <w:rStyle w:val="IndexLink"/>
                <w:rtl w:val="true"/>
              </w:rPr>
              <w:t xml:space="preserve">ما یجب فیه الخمس </w:t>
            </w:r>
            <w:r>
              <w:rPr>
                <w:rStyle w:val="IndexLink"/>
                <w:rtl w:val="true"/>
              </w:rPr>
              <w:t>(</w:t>
            </w:r>
            <w:r>
              <w:rPr>
                <w:rStyle w:val="IndexLink"/>
              </w:rPr>
              <w:t>2</w:t>
            </w:r>
            <w:r>
              <w:rPr>
                <w:rStyle w:val="IndexLink"/>
                <w:rtl w:val="true"/>
              </w:rPr>
              <w:t>)</w:t>
              <w:tab/>
            </w:r>
            <w:r>
              <w:rPr>
                <w:rStyle w:val="IndexLink"/>
              </w:rPr>
              <w:t>169</w:t>
            </w:r>
          </w:hyperlink>
        </w:p>
        <w:p>
          <w:pPr>
            <w:pStyle w:val="Contents4"/>
            <w:tabs>
              <w:tab w:val="clear" w:pos="8176"/>
              <w:tab w:val="right" w:pos="9026" w:leader="dot"/>
            </w:tabs>
            <w:rPr/>
          </w:pPr>
          <w:hyperlink w:anchor="__RefHeading___Toc580624_774463916">
            <w:r>
              <w:rPr>
                <w:webHidden/>
                <w:rStyle w:val="IndexLink"/>
                <w:rtl w:val="true"/>
              </w:rPr>
              <w:t>قسمة الخمس</w:t>
            </w:r>
            <w:r>
              <w:rPr>
                <w:rStyle w:val="IndexLink"/>
                <w:rtl w:val="true"/>
              </w:rPr>
              <w:tab/>
            </w:r>
            <w:r>
              <w:rPr>
                <w:rStyle w:val="IndexLink"/>
              </w:rPr>
              <w:t>171</w:t>
            </w:r>
          </w:hyperlink>
        </w:p>
        <w:p>
          <w:pPr>
            <w:pStyle w:val="Contents3"/>
            <w:tabs>
              <w:tab w:val="clear" w:pos="8459"/>
              <w:tab w:val="right" w:pos="9026" w:leader="dot"/>
            </w:tabs>
            <w:rPr/>
          </w:pPr>
          <w:hyperlink w:anchor="__RefHeading___Toc580626_774463916">
            <w:r>
              <w:rPr>
                <w:webHidden/>
                <w:rStyle w:val="IndexLink"/>
                <w:rtl w:val="true"/>
              </w:rPr>
              <w:t>الدرس</w:t>
            </w:r>
            <w:r>
              <w:rPr>
                <w:rStyle w:val="IndexLink"/>
              </w:rPr>
              <w:t>47</w:t>
            </w:r>
            <w:r>
              <w:rPr>
                <w:rStyle w:val="IndexLink"/>
                <w:rtl w:val="true"/>
              </w:rPr>
              <w:t xml:space="preserve"> - </w:t>
            </w:r>
            <w:r>
              <w:rPr>
                <w:rStyle w:val="IndexLink"/>
                <w:rtl w:val="true"/>
              </w:rPr>
              <w:t>کتاب الحجّ</w:t>
            </w:r>
            <w:r>
              <w:rPr>
                <w:rStyle w:val="IndexLink"/>
                <w:rtl w:val="true"/>
              </w:rPr>
              <w:tab/>
            </w:r>
            <w:r>
              <w:rPr>
                <w:rStyle w:val="IndexLink"/>
              </w:rPr>
              <w:t>172</w:t>
            </w:r>
          </w:hyperlink>
        </w:p>
        <w:p>
          <w:pPr>
            <w:pStyle w:val="Contents4"/>
            <w:tabs>
              <w:tab w:val="clear" w:pos="8176"/>
              <w:tab w:val="right" w:pos="9026" w:leader="dot"/>
            </w:tabs>
            <w:rPr/>
          </w:pPr>
          <w:hyperlink w:anchor="__RefHeading___Toc580628_774463916">
            <w:r>
              <w:rPr>
                <w:webHidden/>
                <w:rStyle w:val="IndexLink"/>
                <w:rtl w:val="true"/>
              </w:rPr>
              <w:t>أحکام الحجّ</w:t>
            </w:r>
            <w:r>
              <w:rPr>
                <w:rStyle w:val="IndexLink"/>
                <w:rtl w:val="true"/>
              </w:rPr>
              <w:tab/>
            </w:r>
            <w:r>
              <w:rPr>
                <w:rStyle w:val="IndexLink"/>
              </w:rPr>
              <w:t>172</w:t>
            </w:r>
          </w:hyperlink>
        </w:p>
        <w:p>
          <w:pPr>
            <w:pStyle w:val="Contents4"/>
            <w:tabs>
              <w:tab w:val="clear" w:pos="8176"/>
              <w:tab w:val="right" w:pos="9026" w:leader="dot"/>
            </w:tabs>
            <w:rPr/>
          </w:pPr>
          <w:hyperlink w:anchor="__RefHeading___Toc580630_774463916">
            <w:r>
              <w:rPr>
                <w:webHidden/>
                <w:rStyle w:val="IndexLink"/>
                <w:rtl w:val="true"/>
              </w:rPr>
              <w:t>أحکام وجوبه</w:t>
            </w:r>
            <w:r>
              <w:rPr>
                <w:rStyle w:val="IndexLink"/>
                <w:rtl w:val="true"/>
              </w:rPr>
              <w:tab/>
            </w:r>
            <w:r>
              <w:rPr>
                <w:rStyle w:val="IndexLink"/>
              </w:rPr>
              <w:t>173</w:t>
            </w:r>
          </w:hyperlink>
        </w:p>
        <w:p>
          <w:pPr>
            <w:pStyle w:val="Contents4"/>
            <w:tabs>
              <w:tab w:val="clear" w:pos="8176"/>
              <w:tab w:val="right" w:pos="9026" w:leader="dot"/>
            </w:tabs>
            <w:rPr/>
          </w:pPr>
          <w:hyperlink w:anchor="__RefHeading___Toc580632_774463916">
            <w:r>
              <w:rPr>
                <w:webHidden/>
                <w:rStyle w:val="IndexLink"/>
                <w:rtl w:val="true"/>
              </w:rPr>
              <w:t>شرائط وجوب حجّة الإسلام</w:t>
            </w:r>
            <w:r>
              <w:rPr>
                <w:rStyle w:val="IndexLink"/>
                <w:rtl w:val="true"/>
              </w:rPr>
              <w:tab/>
            </w:r>
            <w:r>
              <w:rPr>
                <w:rStyle w:val="IndexLink"/>
              </w:rPr>
              <w:t>173</w:t>
            </w:r>
          </w:hyperlink>
        </w:p>
        <w:p>
          <w:pPr>
            <w:pStyle w:val="Contents3"/>
            <w:tabs>
              <w:tab w:val="clear" w:pos="8459"/>
              <w:tab w:val="right" w:pos="9026" w:leader="dot"/>
            </w:tabs>
            <w:rPr/>
          </w:pPr>
          <w:hyperlink w:anchor="__RefHeading___Toc580634_774463916">
            <w:r>
              <w:rPr>
                <w:webHidden/>
                <w:rStyle w:val="IndexLink"/>
                <w:rtl w:val="true"/>
              </w:rPr>
              <w:t>الدرس</w:t>
            </w:r>
            <w:r>
              <w:rPr>
                <w:rStyle w:val="IndexLink"/>
              </w:rPr>
              <w:t>48</w:t>
            </w:r>
            <w:r>
              <w:rPr>
                <w:rStyle w:val="IndexLink"/>
                <w:rtl w:val="true"/>
              </w:rPr>
              <w:t xml:space="preserve"> - </w:t>
            </w:r>
            <w:r>
              <w:rPr>
                <w:rStyle w:val="IndexLink"/>
                <w:rtl w:val="true"/>
              </w:rPr>
              <w:t xml:space="preserve">کتاب الحج </w:t>
            </w:r>
            <w:r>
              <w:rPr>
                <w:rStyle w:val="IndexLink"/>
                <w:rtl w:val="true"/>
              </w:rPr>
              <w:t>(</w:t>
            </w:r>
            <w:r>
              <w:rPr>
                <w:rStyle w:val="IndexLink"/>
              </w:rPr>
              <w:t>2</w:t>
            </w:r>
            <w:r>
              <w:rPr>
                <w:rStyle w:val="IndexLink"/>
                <w:rtl w:val="true"/>
              </w:rPr>
              <w:t>)</w:t>
              <w:tab/>
            </w:r>
            <w:r>
              <w:rPr>
                <w:rStyle w:val="IndexLink"/>
              </w:rPr>
              <w:t>175</w:t>
            </w:r>
          </w:hyperlink>
        </w:p>
        <w:p>
          <w:pPr>
            <w:pStyle w:val="Contents4"/>
            <w:tabs>
              <w:tab w:val="clear" w:pos="8176"/>
              <w:tab w:val="right" w:pos="9026" w:leader="dot"/>
            </w:tabs>
            <w:rPr/>
          </w:pPr>
          <w:hyperlink w:anchor="__RefHeading___Toc580636_774463916">
            <w:r>
              <w:rPr>
                <w:webHidden/>
                <w:rStyle w:val="IndexLink"/>
                <w:rtl w:val="true"/>
              </w:rPr>
              <w:t>تحصیل الاستطاعة</w:t>
            </w:r>
            <w:r>
              <w:rPr>
                <w:rStyle w:val="IndexLink"/>
                <w:rtl w:val="true"/>
              </w:rPr>
              <w:tab/>
            </w:r>
            <w:r>
              <w:rPr>
                <w:rStyle w:val="IndexLink"/>
              </w:rPr>
              <w:t>175</w:t>
            </w:r>
          </w:hyperlink>
        </w:p>
        <w:p>
          <w:pPr>
            <w:pStyle w:val="Contents4"/>
            <w:tabs>
              <w:tab w:val="clear" w:pos="8176"/>
              <w:tab w:val="right" w:pos="9026" w:leader="dot"/>
            </w:tabs>
            <w:rPr/>
          </w:pPr>
          <w:hyperlink w:anchor="__RefHeading___Toc580638_774463916">
            <w:r>
              <w:rPr>
                <w:webHidden/>
                <w:rStyle w:val="IndexLink"/>
                <w:rtl w:val="true"/>
              </w:rPr>
              <w:t>الصورة الإجمالیة للحجّ</w:t>
            </w:r>
            <w:r>
              <w:rPr>
                <w:rStyle w:val="IndexLink"/>
                <w:rtl w:val="true"/>
              </w:rPr>
              <w:tab/>
            </w:r>
            <w:r>
              <w:rPr>
                <w:rStyle w:val="IndexLink"/>
              </w:rPr>
              <w:t>176</w:t>
            </w:r>
          </w:hyperlink>
        </w:p>
        <w:p>
          <w:pPr>
            <w:pStyle w:val="Contents3"/>
            <w:tabs>
              <w:tab w:val="clear" w:pos="8459"/>
              <w:tab w:val="right" w:pos="9026" w:leader="dot"/>
            </w:tabs>
            <w:rPr/>
          </w:pPr>
          <w:hyperlink w:anchor="__RefHeading___Toc580640_774463916">
            <w:r>
              <w:rPr>
                <w:webHidden/>
                <w:rStyle w:val="IndexLink"/>
                <w:rtl w:val="true"/>
              </w:rPr>
              <w:t>الدرس</w:t>
            </w:r>
            <w:r>
              <w:rPr>
                <w:rStyle w:val="IndexLink"/>
              </w:rPr>
              <w:t>49</w:t>
            </w:r>
            <w:r>
              <w:rPr>
                <w:rStyle w:val="IndexLink"/>
                <w:rtl w:val="true"/>
              </w:rPr>
              <w:t xml:space="preserve"> - </w:t>
            </w:r>
            <w:r>
              <w:rPr>
                <w:rStyle w:val="IndexLink"/>
                <w:rtl w:val="true"/>
              </w:rPr>
              <w:t xml:space="preserve">کتاب الحج </w:t>
            </w:r>
            <w:r>
              <w:rPr>
                <w:rStyle w:val="IndexLink"/>
                <w:rtl w:val="true"/>
              </w:rPr>
              <w:t>(</w:t>
            </w:r>
            <w:r>
              <w:rPr>
                <w:rStyle w:val="IndexLink"/>
              </w:rPr>
              <w:t>3</w:t>
            </w:r>
            <w:r>
              <w:rPr>
                <w:rStyle w:val="IndexLink"/>
                <w:rtl w:val="true"/>
              </w:rPr>
              <w:t>)</w:t>
              <w:tab/>
            </w:r>
            <w:r>
              <w:rPr>
                <w:rStyle w:val="IndexLink"/>
              </w:rPr>
              <w:t>178</w:t>
            </w:r>
          </w:hyperlink>
        </w:p>
        <w:p>
          <w:pPr>
            <w:pStyle w:val="Contents4"/>
            <w:tabs>
              <w:tab w:val="clear" w:pos="8176"/>
              <w:tab w:val="right" w:pos="9026" w:leader="dot"/>
            </w:tabs>
            <w:rPr/>
          </w:pPr>
          <w:hyperlink w:anchor="__RefHeading___Toc580642_774463916">
            <w:r>
              <w:rPr>
                <w:webHidden/>
                <w:rStyle w:val="IndexLink"/>
                <w:rtl w:val="true"/>
              </w:rPr>
              <w:t>کیفیة حجّ التمتّع وبعض أحکامه</w:t>
            </w:r>
            <w:r>
              <w:rPr>
                <w:rStyle w:val="IndexLink"/>
                <w:rtl w:val="true"/>
              </w:rPr>
              <w:tab/>
            </w:r>
            <w:r>
              <w:rPr>
                <w:rStyle w:val="IndexLink"/>
              </w:rPr>
              <w:t>178</w:t>
            </w:r>
          </w:hyperlink>
        </w:p>
        <w:p>
          <w:pPr>
            <w:pStyle w:val="Contents3"/>
            <w:tabs>
              <w:tab w:val="clear" w:pos="8459"/>
              <w:tab w:val="right" w:pos="9026" w:leader="dot"/>
            </w:tabs>
            <w:rPr/>
          </w:pPr>
          <w:hyperlink w:anchor="__RefHeading___Toc580644_774463916">
            <w:r>
              <w:rPr>
                <w:webHidden/>
                <w:rStyle w:val="IndexLink"/>
                <w:rtl w:val="true"/>
              </w:rPr>
              <w:t>الدرس</w:t>
            </w:r>
            <w:r>
              <w:rPr>
                <w:rStyle w:val="IndexLink"/>
              </w:rPr>
              <w:t>50</w:t>
            </w:r>
            <w:r>
              <w:rPr>
                <w:rStyle w:val="IndexLink"/>
                <w:rtl w:val="true"/>
              </w:rPr>
              <w:t xml:space="preserve"> - </w:t>
            </w:r>
            <w:r>
              <w:rPr>
                <w:rStyle w:val="IndexLink"/>
                <w:rtl w:val="true"/>
              </w:rPr>
              <w:t xml:space="preserve">کتاب الحجّ </w:t>
            </w:r>
            <w:r>
              <w:rPr>
                <w:rStyle w:val="IndexLink"/>
                <w:rtl w:val="true"/>
              </w:rPr>
              <w:t>(</w:t>
            </w:r>
            <w:r>
              <w:rPr>
                <w:rStyle w:val="IndexLink"/>
              </w:rPr>
              <w:t>4</w:t>
            </w:r>
            <w:r>
              <w:rPr>
                <w:rStyle w:val="IndexLink"/>
                <w:rtl w:val="true"/>
              </w:rPr>
              <w:t>)</w:t>
              <w:tab/>
            </w:r>
            <w:r>
              <w:rPr>
                <w:rStyle w:val="IndexLink"/>
              </w:rPr>
              <w:t>180</w:t>
            </w:r>
          </w:hyperlink>
        </w:p>
        <w:p>
          <w:pPr>
            <w:pStyle w:val="Contents4"/>
            <w:tabs>
              <w:tab w:val="clear" w:pos="8176"/>
              <w:tab w:val="right" w:pos="9026" w:leader="dot"/>
            </w:tabs>
            <w:rPr/>
          </w:pPr>
          <w:hyperlink w:anchor="__RefHeading___Toc580646_774463916">
            <w:r>
              <w:rPr>
                <w:webHidden/>
                <w:rStyle w:val="IndexLink"/>
                <w:rtl w:val="true"/>
              </w:rPr>
              <w:t>المواقیت</w:t>
            </w:r>
            <w:r>
              <w:rPr>
                <w:rStyle w:val="IndexLink"/>
                <w:rtl w:val="true"/>
              </w:rPr>
              <w:tab/>
            </w:r>
            <w:r>
              <w:rPr>
                <w:rStyle w:val="IndexLink"/>
              </w:rPr>
              <w:t>180</w:t>
            </w:r>
          </w:hyperlink>
        </w:p>
        <w:p>
          <w:pPr>
            <w:pStyle w:val="Contents5"/>
            <w:tabs>
              <w:tab w:val="clear" w:pos="7892"/>
              <w:tab w:val="right" w:pos="9026" w:leader="dot"/>
            </w:tabs>
            <w:rPr/>
          </w:pPr>
          <w:hyperlink w:anchor="__RefHeading___Toc580648_774463916">
            <w:r>
              <w:rPr>
                <w:webHidden/>
                <w:rStyle w:val="IndexLink"/>
                <w:rtl w:val="true"/>
              </w:rPr>
              <w:t>مواقیت الإحرام</w:t>
            </w:r>
            <w:r>
              <w:rPr>
                <w:rStyle w:val="IndexLink"/>
                <w:rtl w:val="true"/>
              </w:rPr>
              <w:tab/>
            </w:r>
            <w:r>
              <w:rPr>
                <w:rStyle w:val="IndexLink"/>
              </w:rPr>
              <w:t>180</w:t>
            </w:r>
          </w:hyperlink>
        </w:p>
        <w:p>
          <w:pPr>
            <w:pStyle w:val="Contents3"/>
            <w:tabs>
              <w:tab w:val="clear" w:pos="8459"/>
              <w:tab w:val="right" w:pos="9026" w:leader="dot"/>
            </w:tabs>
            <w:rPr/>
          </w:pPr>
          <w:hyperlink w:anchor="__RefHeading___Toc580650_774463916">
            <w:r>
              <w:rPr>
                <w:webHidden/>
                <w:rStyle w:val="IndexLink"/>
                <w:rtl w:val="true"/>
              </w:rPr>
              <w:t>الدرس</w:t>
            </w:r>
            <w:r>
              <w:rPr>
                <w:rStyle w:val="IndexLink"/>
              </w:rPr>
              <w:t>51</w:t>
            </w:r>
            <w:r>
              <w:rPr>
                <w:rStyle w:val="IndexLink"/>
                <w:rtl w:val="true"/>
              </w:rPr>
              <w:t xml:space="preserve"> - </w:t>
            </w:r>
            <w:r>
              <w:rPr>
                <w:rStyle w:val="IndexLink"/>
                <w:rtl w:val="true"/>
              </w:rPr>
              <w:t xml:space="preserve">کتاب الحجّ </w:t>
            </w:r>
            <w:r>
              <w:rPr>
                <w:rStyle w:val="IndexLink"/>
                <w:rtl w:val="true"/>
              </w:rPr>
              <w:t>(</w:t>
            </w:r>
            <w:r>
              <w:rPr>
                <w:rStyle w:val="IndexLink"/>
              </w:rPr>
              <w:t>5</w:t>
            </w:r>
            <w:r>
              <w:rPr>
                <w:rStyle w:val="IndexLink"/>
                <w:rtl w:val="true"/>
              </w:rPr>
              <w:t>)</w:t>
              <w:tab/>
            </w:r>
            <w:r>
              <w:rPr>
                <w:rStyle w:val="IndexLink"/>
              </w:rPr>
              <w:t>182</w:t>
            </w:r>
          </w:hyperlink>
        </w:p>
        <w:p>
          <w:pPr>
            <w:pStyle w:val="Contents4"/>
            <w:tabs>
              <w:tab w:val="clear" w:pos="8176"/>
              <w:tab w:val="right" w:pos="9026" w:leader="dot"/>
            </w:tabs>
            <w:rPr/>
          </w:pPr>
          <w:hyperlink w:anchor="__RefHeading___Toc580652_774463916">
            <w:r>
              <w:rPr>
                <w:webHidden/>
                <w:rStyle w:val="IndexLink"/>
                <w:rtl w:val="true"/>
              </w:rPr>
              <w:t>أعمال عمرة التمتّع</w:t>
            </w:r>
            <w:r>
              <w:rPr>
                <w:rStyle w:val="IndexLink"/>
                <w:rtl w:val="true"/>
              </w:rPr>
              <w:tab/>
            </w:r>
            <w:r>
              <w:rPr>
                <w:rStyle w:val="IndexLink"/>
              </w:rPr>
              <w:t>182</w:t>
            </w:r>
          </w:hyperlink>
        </w:p>
        <w:p>
          <w:pPr>
            <w:pStyle w:val="Contents5"/>
            <w:tabs>
              <w:tab w:val="clear" w:pos="7892"/>
              <w:tab w:val="right" w:pos="9026" w:leader="dot"/>
            </w:tabs>
            <w:rPr/>
          </w:pPr>
          <w:hyperlink w:anchor="__RefHeading___Toc580654_774463916">
            <w:r>
              <w:rPr>
                <w:webHidden/>
                <w:rStyle w:val="IndexLink"/>
                <w:rtl w:val="true"/>
              </w:rPr>
              <w:t>تفصیل أفعال العمرة</w:t>
            </w:r>
            <w:r>
              <w:rPr>
                <w:rStyle w:val="IndexLink"/>
                <w:rtl w:val="true"/>
              </w:rPr>
              <w:tab/>
            </w:r>
            <w:r>
              <w:rPr>
                <w:rStyle w:val="IndexLink"/>
              </w:rPr>
              <w:t>182</w:t>
            </w:r>
          </w:hyperlink>
        </w:p>
        <w:p>
          <w:pPr>
            <w:pStyle w:val="Contents5"/>
            <w:tabs>
              <w:tab w:val="clear" w:pos="7892"/>
              <w:tab w:val="right" w:pos="9026" w:leader="dot"/>
            </w:tabs>
            <w:rPr/>
          </w:pPr>
          <w:hyperlink w:anchor="__RefHeading___Toc580656_774463916">
            <w:r>
              <w:rPr>
                <w:webHidden/>
                <w:rStyle w:val="IndexLink"/>
                <w:rtl w:val="true"/>
              </w:rPr>
              <w:t>محرمات الإحرام</w:t>
            </w:r>
            <w:r>
              <w:rPr>
                <w:rStyle w:val="IndexLink"/>
                <w:rtl w:val="true"/>
              </w:rPr>
              <w:tab/>
            </w:r>
            <w:r>
              <w:rPr>
                <w:rStyle w:val="IndexLink"/>
              </w:rPr>
              <w:t>183</w:t>
            </w:r>
          </w:hyperlink>
        </w:p>
        <w:p>
          <w:pPr>
            <w:pStyle w:val="Contents3"/>
            <w:tabs>
              <w:tab w:val="clear" w:pos="8459"/>
              <w:tab w:val="right" w:pos="9026" w:leader="dot"/>
            </w:tabs>
            <w:rPr/>
          </w:pPr>
          <w:hyperlink w:anchor="__RefHeading___Toc580658_774463916">
            <w:r>
              <w:rPr>
                <w:webHidden/>
                <w:rStyle w:val="IndexLink"/>
                <w:rtl w:val="true"/>
              </w:rPr>
              <w:t>الدرس</w:t>
            </w:r>
            <w:r>
              <w:rPr>
                <w:rStyle w:val="IndexLink"/>
              </w:rPr>
              <w:t>52</w:t>
            </w:r>
            <w:r>
              <w:rPr>
                <w:rStyle w:val="IndexLink"/>
                <w:rtl w:val="true"/>
              </w:rPr>
              <w:t xml:space="preserve"> - </w:t>
            </w:r>
            <w:r>
              <w:rPr>
                <w:rStyle w:val="IndexLink"/>
                <w:rtl w:val="true"/>
              </w:rPr>
              <w:t xml:space="preserve">کتاب الحجّ </w:t>
            </w:r>
            <w:r>
              <w:rPr>
                <w:rStyle w:val="IndexLink"/>
                <w:rtl w:val="true"/>
              </w:rPr>
              <w:t>(</w:t>
            </w:r>
            <w:r>
              <w:rPr>
                <w:rStyle w:val="IndexLink"/>
              </w:rPr>
              <w:t>6</w:t>
            </w:r>
            <w:r>
              <w:rPr>
                <w:rStyle w:val="IndexLink"/>
                <w:rtl w:val="true"/>
              </w:rPr>
              <w:t>)</w:t>
              <w:tab/>
            </w:r>
            <w:r>
              <w:rPr>
                <w:rStyle w:val="IndexLink"/>
              </w:rPr>
              <w:t>185</w:t>
            </w:r>
          </w:hyperlink>
        </w:p>
        <w:p>
          <w:pPr>
            <w:pStyle w:val="Contents4"/>
            <w:tabs>
              <w:tab w:val="clear" w:pos="8176"/>
              <w:tab w:val="right" w:pos="9026" w:leader="dot"/>
            </w:tabs>
            <w:rPr/>
          </w:pPr>
          <w:hyperlink w:anchor="__RefHeading___Toc580660_774463916">
            <w:r>
              <w:rPr>
                <w:webHidden/>
                <w:rStyle w:val="IndexLink"/>
                <w:rtl w:val="true"/>
              </w:rPr>
              <w:t>تابع محرّمات الإحرام</w:t>
            </w:r>
            <w:r>
              <w:rPr>
                <w:rStyle w:val="IndexLink"/>
                <w:rtl w:val="true"/>
              </w:rPr>
              <w:tab/>
            </w:r>
            <w:r>
              <w:rPr>
                <w:rStyle w:val="IndexLink"/>
              </w:rPr>
              <w:t>185</w:t>
            </w:r>
          </w:hyperlink>
        </w:p>
        <w:p>
          <w:pPr>
            <w:pStyle w:val="Contents3"/>
            <w:tabs>
              <w:tab w:val="clear" w:pos="8459"/>
              <w:tab w:val="right" w:pos="9026" w:leader="dot"/>
            </w:tabs>
            <w:rPr/>
          </w:pPr>
          <w:hyperlink w:anchor="__RefHeading___Toc580662_774463916">
            <w:r>
              <w:rPr>
                <w:webHidden/>
                <w:rStyle w:val="IndexLink"/>
                <w:rtl w:val="true"/>
              </w:rPr>
              <w:t>الدرس</w:t>
            </w:r>
            <w:r>
              <w:rPr>
                <w:rStyle w:val="IndexLink"/>
              </w:rPr>
              <w:t>53</w:t>
            </w:r>
            <w:r>
              <w:rPr>
                <w:rStyle w:val="IndexLink"/>
                <w:rtl w:val="true"/>
              </w:rPr>
              <w:t xml:space="preserve"> - </w:t>
            </w:r>
            <w:r>
              <w:rPr>
                <w:rStyle w:val="IndexLink"/>
                <w:rtl w:val="true"/>
              </w:rPr>
              <w:t xml:space="preserve">کتاب الحجّ </w:t>
            </w:r>
            <w:r>
              <w:rPr>
                <w:rStyle w:val="IndexLink"/>
                <w:rtl w:val="true"/>
              </w:rPr>
              <w:t>(</w:t>
            </w:r>
            <w:r>
              <w:rPr>
                <w:rStyle w:val="IndexLink"/>
              </w:rPr>
              <w:t>7</w:t>
            </w:r>
            <w:r>
              <w:rPr>
                <w:rStyle w:val="IndexLink"/>
                <w:rtl w:val="true"/>
              </w:rPr>
              <w:t>)</w:t>
              <w:tab/>
            </w:r>
            <w:r>
              <w:rPr>
                <w:rStyle w:val="IndexLink"/>
              </w:rPr>
              <w:t>188</w:t>
            </w:r>
          </w:hyperlink>
        </w:p>
        <w:p>
          <w:pPr>
            <w:pStyle w:val="Contents4"/>
            <w:tabs>
              <w:tab w:val="clear" w:pos="8176"/>
              <w:tab w:val="right" w:pos="9026" w:leader="dot"/>
            </w:tabs>
            <w:rPr/>
          </w:pPr>
          <w:hyperlink w:anchor="__RefHeading___Toc580664_774463916">
            <w:r>
              <w:rPr>
                <w:webHidden/>
                <w:rStyle w:val="IndexLink"/>
                <w:rtl w:val="true"/>
              </w:rPr>
              <w:t xml:space="preserve">أعمال العمرة التمتّع </w:t>
            </w:r>
            <w:r>
              <w:rPr>
                <w:rStyle w:val="IndexLink"/>
                <w:rtl w:val="true"/>
              </w:rPr>
              <w:t>(</w:t>
            </w:r>
            <w:r>
              <w:rPr>
                <w:rStyle w:val="IndexLink"/>
              </w:rPr>
              <w:t>2</w:t>
            </w:r>
            <w:r>
              <w:rPr>
                <w:rStyle w:val="IndexLink"/>
                <w:rtl w:val="true"/>
              </w:rPr>
              <w:t>)</w:t>
              <w:tab/>
            </w:r>
            <w:r>
              <w:rPr>
                <w:rStyle w:val="IndexLink"/>
              </w:rPr>
              <w:t>188</w:t>
            </w:r>
          </w:hyperlink>
        </w:p>
        <w:p>
          <w:pPr>
            <w:pStyle w:val="Contents3"/>
            <w:tabs>
              <w:tab w:val="clear" w:pos="8459"/>
              <w:tab w:val="right" w:pos="9026" w:leader="dot"/>
            </w:tabs>
            <w:rPr/>
          </w:pPr>
          <w:hyperlink w:anchor="__RefHeading___Toc580666_774463916">
            <w:r>
              <w:rPr>
                <w:webHidden/>
                <w:rStyle w:val="IndexLink"/>
                <w:rtl w:val="true"/>
              </w:rPr>
              <w:t>الدرس</w:t>
            </w:r>
            <w:r>
              <w:rPr>
                <w:rStyle w:val="IndexLink"/>
              </w:rPr>
              <w:t>54</w:t>
            </w:r>
            <w:r>
              <w:rPr>
                <w:rStyle w:val="IndexLink"/>
                <w:rtl w:val="true"/>
              </w:rPr>
              <w:t xml:space="preserve"> - </w:t>
            </w:r>
            <w:r>
              <w:rPr>
                <w:rStyle w:val="IndexLink"/>
                <w:rtl w:val="true"/>
              </w:rPr>
              <w:t xml:space="preserve">کتاب الحجّ </w:t>
            </w:r>
            <w:r>
              <w:rPr>
                <w:rStyle w:val="IndexLink"/>
                <w:rtl w:val="true"/>
              </w:rPr>
              <w:t>(</w:t>
            </w:r>
            <w:r>
              <w:rPr>
                <w:rStyle w:val="IndexLink"/>
              </w:rPr>
              <w:t>8</w:t>
            </w:r>
            <w:r>
              <w:rPr>
                <w:rStyle w:val="IndexLink"/>
                <w:rtl w:val="true"/>
              </w:rPr>
              <w:t>)</w:t>
              <w:tab/>
            </w:r>
            <w:r>
              <w:rPr>
                <w:rStyle w:val="IndexLink"/>
              </w:rPr>
              <w:t>191</w:t>
            </w:r>
          </w:hyperlink>
        </w:p>
        <w:p>
          <w:pPr>
            <w:pStyle w:val="Contents4"/>
            <w:tabs>
              <w:tab w:val="clear" w:pos="8176"/>
              <w:tab w:val="right" w:pos="9026" w:leader="dot"/>
            </w:tabs>
            <w:rPr/>
          </w:pPr>
          <w:hyperlink w:anchor="__RefHeading___Toc580668_774463916">
            <w:r>
              <w:rPr>
                <w:webHidden/>
                <w:rStyle w:val="IndexLink"/>
                <w:rtl w:val="true"/>
              </w:rPr>
              <w:t xml:space="preserve">أعمال عمرة التمتّع </w:t>
            </w:r>
            <w:r>
              <w:rPr>
                <w:rStyle w:val="IndexLink"/>
                <w:rtl w:val="true"/>
              </w:rPr>
              <w:t>(</w:t>
            </w:r>
            <w:r>
              <w:rPr>
                <w:rStyle w:val="IndexLink"/>
              </w:rPr>
              <w:t>3</w:t>
            </w:r>
            <w:r>
              <w:rPr>
                <w:rStyle w:val="IndexLink"/>
                <w:rtl w:val="true"/>
              </w:rPr>
              <w:t>)</w:t>
              <w:tab/>
            </w:r>
            <w:r>
              <w:rPr>
                <w:rStyle w:val="IndexLink"/>
              </w:rPr>
              <w:t>191</w:t>
            </w:r>
          </w:hyperlink>
        </w:p>
        <w:p>
          <w:pPr>
            <w:pStyle w:val="Contents5"/>
            <w:tabs>
              <w:tab w:val="clear" w:pos="7892"/>
              <w:tab w:val="right" w:pos="9026" w:leader="dot"/>
            </w:tabs>
            <w:rPr/>
          </w:pPr>
          <w:hyperlink w:anchor="__RefHeading___Toc580670_774463916">
            <w:r>
              <w:rPr>
                <w:webHidden/>
                <w:rStyle w:val="IndexLink"/>
                <w:rtl w:val="true"/>
              </w:rPr>
              <w:t>اشارة</w:t>
            </w:r>
            <w:r>
              <w:rPr>
                <w:rStyle w:val="IndexLink"/>
                <w:rtl w:val="true"/>
              </w:rPr>
              <w:tab/>
            </w:r>
            <w:r>
              <w:rPr>
                <w:rStyle w:val="IndexLink"/>
              </w:rPr>
              <w:t>191</w:t>
            </w:r>
          </w:hyperlink>
        </w:p>
        <w:p>
          <w:pPr>
            <w:pStyle w:val="Contents5"/>
            <w:tabs>
              <w:tab w:val="clear" w:pos="7892"/>
              <w:tab w:val="right" w:pos="9026" w:leader="dot"/>
            </w:tabs>
            <w:rPr/>
          </w:pPr>
          <w:hyperlink w:anchor="__RefHeading___Toc580672_774463916">
            <w:r>
              <w:rPr>
                <w:webHidden/>
                <w:rStyle w:val="IndexLink"/>
              </w:rPr>
              <w:t>4</w:t>
            </w:r>
            <w:r>
              <w:rPr>
                <w:rStyle w:val="IndexLink"/>
                <w:rtl w:val="true"/>
              </w:rPr>
              <w:t xml:space="preserve">- </w:t>
            </w:r>
            <w:r>
              <w:rPr>
                <w:rStyle w:val="IndexLink"/>
                <w:rtl w:val="true"/>
              </w:rPr>
              <w:t>السعی</w:t>
            </w:r>
            <w:r>
              <w:rPr>
                <w:rStyle w:val="IndexLink"/>
                <w:rtl w:val="true"/>
              </w:rPr>
              <w:tab/>
            </w:r>
            <w:r>
              <w:rPr>
                <w:rStyle w:val="IndexLink"/>
              </w:rPr>
              <w:t>192</w:t>
            </w:r>
          </w:hyperlink>
        </w:p>
        <w:p>
          <w:pPr>
            <w:pStyle w:val="Contents5"/>
            <w:tabs>
              <w:tab w:val="clear" w:pos="7892"/>
              <w:tab w:val="right" w:pos="9026" w:leader="dot"/>
            </w:tabs>
            <w:rPr/>
          </w:pPr>
          <w:hyperlink w:anchor="__RefHeading___Toc580674_774463916">
            <w:r>
              <w:rPr>
                <w:webHidden/>
                <w:rStyle w:val="IndexLink"/>
              </w:rPr>
              <w:t>5</w:t>
            </w:r>
            <w:r>
              <w:rPr>
                <w:rStyle w:val="IndexLink"/>
                <w:rtl w:val="true"/>
              </w:rPr>
              <w:t xml:space="preserve">- </w:t>
            </w:r>
            <w:r>
              <w:rPr>
                <w:rStyle w:val="IndexLink"/>
                <w:rtl w:val="true"/>
              </w:rPr>
              <w:t>التقصیر</w:t>
            </w:r>
            <w:r>
              <w:rPr>
                <w:rStyle w:val="IndexLink"/>
                <w:rtl w:val="true"/>
              </w:rPr>
              <w:tab/>
            </w:r>
            <w:r>
              <w:rPr>
                <w:rStyle w:val="IndexLink"/>
              </w:rPr>
              <w:t>193</w:t>
            </w:r>
          </w:hyperlink>
        </w:p>
        <w:p>
          <w:pPr>
            <w:pStyle w:val="Contents3"/>
            <w:tabs>
              <w:tab w:val="clear" w:pos="8459"/>
              <w:tab w:val="right" w:pos="9026" w:leader="dot"/>
            </w:tabs>
            <w:rPr/>
          </w:pPr>
          <w:hyperlink w:anchor="__RefHeading___Toc580676_774463916">
            <w:r>
              <w:rPr>
                <w:webHidden/>
                <w:rStyle w:val="IndexLink"/>
                <w:rtl w:val="true"/>
              </w:rPr>
              <w:t>الدرس</w:t>
            </w:r>
            <w:r>
              <w:rPr>
                <w:rStyle w:val="IndexLink"/>
              </w:rPr>
              <w:t>55</w:t>
            </w:r>
            <w:r>
              <w:rPr>
                <w:rStyle w:val="IndexLink"/>
                <w:rtl w:val="true"/>
              </w:rPr>
              <w:t xml:space="preserve"> - </w:t>
            </w:r>
            <w:r>
              <w:rPr>
                <w:rStyle w:val="IndexLink"/>
                <w:rtl w:val="true"/>
              </w:rPr>
              <w:t xml:space="preserve">کتاب الحجّ </w:t>
            </w:r>
            <w:r>
              <w:rPr>
                <w:rStyle w:val="IndexLink"/>
                <w:rtl w:val="true"/>
              </w:rPr>
              <w:t>(</w:t>
            </w:r>
            <w:r>
              <w:rPr>
                <w:rStyle w:val="IndexLink"/>
              </w:rPr>
              <w:t>9</w:t>
            </w:r>
            <w:r>
              <w:rPr>
                <w:rStyle w:val="IndexLink"/>
                <w:rtl w:val="true"/>
              </w:rPr>
              <w:t>)</w:t>
              <w:tab/>
            </w:r>
            <w:r>
              <w:rPr>
                <w:rStyle w:val="IndexLink"/>
              </w:rPr>
              <w:t>194</w:t>
            </w:r>
          </w:hyperlink>
        </w:p>
        <w:p>
          <w:pPr>
            <w:pStyle w:val="Contents4"/>
            <w:tabs>
              <w:tab w:val="clear" w:pos="8176"/>
              <w:tab w:val="right" w:pos="9026" w:leader="dot"/>
            </w:tabs>
            <w:rPr/>
          </w:pPr>
          <w:hyperlink w:anchor="__RefHeading___Toc580678_774463916">
            <w:r>
              <w:rPr>
                <w:webHidden/>
                <w:rStyle w:val="IndexLink"/>
                <w:rtl w:val="true"/>
              </w:rPr>
              <w:t>أعمال الحجّ</w:t>
            </w:r>
            <w:r>
              <w:rPr>
                <w:rStyle w:val="IndexLink"/>
                <w:rtl w:val="true"/>
              </w:rPr>
              <w:tab/>
            </w:r>
            <w:r>
              <w:rPr>
                <w:rStyle w:val="IndexLink"/>
              </w:rPr>
              <w:t>194</w:t>
            </w:r>
          </w:hyperlink>
        </w:p>
        <w:p>
          <w:pPr>
            <w:pStyle w:val="Contents5"/>
            <w:tabs>
              <w:tab w:val="clear" w:pos="7892"/>
              <w:tab w:val="right" w:pos="9026" w:leader="dot"/>
            </w:tabs>
            <w:rPr/>
          </w:pPr>
          <w:hyperlink w:anchor="__RefHeading___Toc580680_774463916">
            <w:r>
              <w:rPr>
                <w:webHidden/>
                <w:rStyle w:val="IndexLink"/>
              </w:rPr>
              <w:t>1</w:t>
            </w:r>
            <w:r>
              <w:rPr>
                <w:rStyle w:val="IndexLink"/>
                <w:rtl w:val="true"/>
              </w:rPr>
              <w:t xml:space="preserve">- </w:t>
            </w:r>
            <w:r>
              <w:rPr>
                <w:rStyle w:val="IndexLink"/>
                <w:rtl w:val="true"/>
              </w:rPr>
              <w:t>الإحرام</w:t>
            </w:r>
            <w:r>
              <w:rPr>
                <w:rStyle w:val="IndexLink"/>
                <w:rtl w:val="true"/>
              </w:rPr>
              <w:tab/>
            </w:r>
            <w:r>
              <w:rPr>
                <w:rStyle w:val="IndexLink"/>
              </w:rPr>
              <w:t>194</w:t>
            </w:r>
          </w:hyperlink>
        </w:p>
        <w:p>
          <w:pPr>
            <w:pStyle w:val="Contents5"/>
            <w:tabs>
              <w:tab w:val="clear" w:pos="7892"/>
              <w:tab w:val="right" w:pos="9026" w:leader="dot"/>
            </w:tabs>
            <w:rPr/>
          </w:pPr>
          <w:hyperlink w:anchor="__RefHeading___Toc580682_774463916">
            <w:r>
              <w:rPr>
                <w:webHidden/>
                <w:rStyle w:val="IndexLink"/>
              </w:rPr>
              <w:t>2</w:t>
            </w:r>
            <w:r>
              <w:rPr>
                <w:rStyle w:val="IndexLink"/>
                <w:rtl w:val="true"/>
              </w:rPr>
              <w:t xml:space="preserve">- </w:t>
            </w:r>
            <w:r>
              <w:rPr>
                <w:rStyle w:val="IndexLink"/>
                <w:rtl w:val="true"/>
              </w:rPr>
              <w:t>الوقوف فی عرفات</w:t>
            </w:r>
            <w:r>
              <w:rPr>
                <w:rStyle w:val="IndexLink"/>
                <w:rtl w:val="true"/>
              </w:rPr>
              <w:tab/>
            </w:r>
            <w:r>
              <w:rPr>
                <w:rStyle w:val="IndexLink"/>
              </w:rPr>
              <w:t>194</w:t>
            </w:r>
          </w:hyperlink>
        </w:p>
        <w:p>
          <w:pPr>
            <w:pStyle w:val="Contents5"/>
            <w:tabs>
              <w:tab w:val="clear" w:pos="7892"/>
              <w:tab w:val="right" w:pos="9026" w:leader="dot"/>
            </w:tabs>
            <w:rPr/>
          </w:pPr>
          <w:hyperlink w:anchor="__RefHeading___Toc580684_774463916">
            <w:r>
              <w:rPr>
                <w:webHidden/>
                <w:rStyle w:val="IndexLink"/>
              </w:rPr>
              <w:t>3</w:t>
            </w:r>
            <w:r>
              <w:rPr>
                <w:rStyle w:val="IndexLink"/>
                <w:rtl w:val="true"/>
              </w:rPr>
              <w:t xml:space="preserve">- </w:t>
            </w:r>
            <w:r>
              <w:rPr>
                <w:rStyle w:val="IndexLink"/>
                <w:rtl w:val="true"/>
              </w:rPr>
              <w:t>الوقوف فی المزدلفة</w:t>
            </w:r>
            <w:r>
              <w:rPr>
                <w:rStyle w:val="IndexLink"/>
                <w:rtl w:val="true"/>
              </w:rPr>
              <w:tab/>
            </w:r>
            <w:r>
              <w:rPr>
                <w:rStyle w:val="IndexLink"/>
              </w:rPr>
              <w:t>195</w:t>
            </w:r>
          </w:hyperlink>
        </w:p>
        <w:p>
          <w:pPr>
            <w:pStyle w:val="Contents3"/>
            <w:tabs>
              <w:tab w:val="clear" w:pos="8459"/>
              <w:tab w:val="right" w:pos="9026" w:leader="dot"/>
            </w:tabs>
            <w:rPr/>
          </w:pPr>
          <w:hyperlink w:anchor="__RefHeading___Toc580686_774463916">
            <w:r>
              <w:rPr>
                <w:webHidden/>
                <w:rStyle w:val="IndexLink"/>
                <w:rtl w:val="true"/>
              </w:rPr>
              <w:t>الدرس</w:t>
            </w:r>
            <w:r>
              <w:rPr>
                <w:rStyle w:val="IndexLink"/>
              </w:rPr>
              <w:t>56</w:t>
            </w:r>
            <w:r>
              <w:rPr>
                <w:rStyle w:val="IndexLink"/>
                <w:rtl w:val="true"/>
              </w:rPr>
              <w:t xml:space="preserve"> - </w:t>
            </w:r>
            <w:r>
              <w:rPr>
                <w:rStyle w:val="IndexLink"/>
                <w:rtl w:val="true"/>
              </w:rPr>
              <w:t xml:space="preserve">کتاب الحجّ </w:t>
            </w:r>
            <w:r>
              <w:rPr>
                <w:rStyle w:val="IndexLink"/>
                <w:rtl w:val="true"/>
              </w:rPr>
              <w:t>(</w:t>
            </w:r>
            <w:r>
              <w:rPr>
                <w:rStyle w:val="IndexLink"/>
              </w:rPr>
              <w:t>10</w:t>
            </w:r>
            <w:r>
              <w:rPr>
                <w:rStyle w:val="IndexLink"/>
                <w:rtl w:val="true"/>
              </w:rPr>
              <w:t>)</w:t>
              <w:tab/>
            </w:r>
            <w:r>
              <w:rPr>
                <w:rStyle w:val="IndexLink"/>
              </w:rPr>
              <w:t>198</w:t>
            </w:r>
          </w:hyperlink>
        </w:p>
        <w:p>
          <w:pPr>
            <w:pStyle w:val="Contents4"/>
            <w:tabs>
              <w:tab w:val="clear" w:pos="8176"/>
              <w:tab w:val="right" w:pos="9026" w:leader="dot"/>
            </w:tabs>
            <w:rPr/>
          </w:pPr>
          <w:hyperlink w:anchor="__RefHeading___Toc580688_774463916">
            <w:r>
              <w:rPr>
                <w:webHidden/>
                <w:rStyle w:val="IndexLink"/>
                <w:rtl w:val="true"/>
              </w:rPr>
              <w:t xml:space="preserve">أعمال الحج </w:t>
            </w:r>
            <w:r>
              <w:rPr>
                <w:rStyle w:val="IndexLink"/>
                <w:rtl w:val="true"/>
              </w:rPr>
              <w:t>(</w:t>
            </w:r>
            <w:r>
              <w:rPr>
                <w:rStyle w:val="IndexLink"/>
              </w:rPr>
              <w:t>2</w:t>
            </w:r>
            <w:r>
              <w:rPr>
                <w:rStyle w:val="IndexLink"/>
                <w:rtl w:val="true"/>
              </w:rPr>
              <w:t>)</w:t>
              <w:tab/>
            </w:r>
            <w:r>
              <w:rPr>
                <w:rStyle w:val="IndexLink"/>
              </w:rPr>
              <w:t>198</w:t>
            </w:r>
          </w:hyperlink>
        </w:p>
        <w:p>
          <w:pPr>
            <w:pStyle w:val="Contents5"/>
            <w:tabs>
              <w:tab w:val="clear" w:pos="7892"/>
              <w:tab w:val="right" w:pos="9026" w:leader="dot"/>
            </w:tabs>
            <w:rPr/>
          </w:pPr>
          <w:hyperlink w:anchor="__RefHeading___Toc580690_774463916">
            <w:r>
              <w:rPr>
                <w:webHidden/>
                <w:rStyle w:val="IndexLink"/>
              </w:rPr>
              <w:t>4</w:t>
            </w:r>
            <w:r>
              <w:rPr>
                <w:rStyle w:val="IndexLink"/>
                <w:rtl w:val="true"/>
              </w:rPr>
              <w:t xml:space="preserve">- </w:t>
            </w:r>
            <w:r>
              <w:rPr>
                <w:rStyle w:val="IndexLink"/>
                <w:rtl w:val="true"/>
              </w:rPr>
              <w:t>رمی جمرة العقبة فی منی</w:t>
            </w:r>
            <w:r>
              <w:rPr>
                <w:rStyle w:val="IndexLink"/>
                <w:rtl w:val="true"/>
              </w:rPr>
              <w:tab/>
            </w:r>
            <w:r>
              <w:rPr>
                <w:rStyle w:val="IndexLink"/>
              </w:rPr>
              <w:t>198</w:t>
            </w:r>
          </w:hyperlink>
        </w:p>
        <w:p>
          <w:pPr>
            <w:pStyle w:val="Contents5"/>
            <w:tabs>
              <w:tab w:val="clear" w:pos="7892"/>
              <w:tab w:val="right" w:pos="9026" w:leader="dot"/>
            </w:tabs>
            <w:rPr/>
          </w:pPr>
          <w:hyperlink w:anchor="__RefHeading___Toc580692_774463916">
            <w:r>
              <w:rPr>
                <w:webHidden/>
                <w:rStyle w:val="IndexLink"/>
                <w:rtl w:val="true"/>
              </w:rPr>
              <w:t>شرائط الرمی</w:t>
            </w:r>
            <w:r>
              <w:rPr>
                <w:rStyle w:val="IndexLink"/>
                <w:rtl w:val="true"/>
              </w:rPr>
              <w:tab/>
            </w:r>
            <w:r>
              <w:rPr>
                <w:rStyle w:val="IndexLink"/>
              </w:rPr>
              <w:t>198</w:t>
            </w:r>
          </w:hyperlink>
        </w:p>
        <w:p>
          <w:pPr>
            <w:pStyle w:val="Contents5"/>
            <w:tabs>
              <w:tab w:val="clear" w:pos="7892"/>
              <w:tab w:val="right" w:pos="9026" w:leader="dot"/>
            </w:tabs>
            <w:rPr/>
          </w:pPr>
          <w:hyperlink w:anchor="__RefHeading___Toc580694_774463916">
            <w:r>
              <w:rPr>
                <w:webHidden/>
                <w:rStyle w:val="IndexLink"/>
              </w:rPr>
              <w:t>5</w:t>
            </w:r>
            <w:r>
              <w:rPr>
                <w:rStyle w:val="IndexLink"/>
                <w:rtl w:val="true"/>
              </w:rPr>
              <w:t xml:space="preserve">- </w:t>
            </w:r>
            <w:r>
              <w:rPr>
                <w:rStyle w:val="IndexLink"/>
                <w:rtl w:val="true"/>
              </w:rPr>
              <w:t>الذبح أو النحر</w:t>
            </w:r>
            <w:r>
              <w:rPr>
                <w:rStyle w:val="IndexLink"/>
                <w:rtl w:val="true"/>
              </w:rPr>
              <w:tab/>
            </w:r>
            <w:r>
              <w:rPr>
                <w:rStyle w:val="IndexLink"/>
              </w:rPr>
              <w:t>199</w:t>
            </w:r>
          </w:hyperlink>
        </w:p>
        <w:p>
          <w:pPr>
            <w:pStyle w:val="Contents3"/>
            <w:tabs>
              <w:tab w:val="clear" w:pos="8459"/>
              <w:tab w:val="right" w:pos="9026" w:leader="dot"/>
            </w:tabs>
            <w:rPr/>
          </w:pPr>
          <w:hyperlink w:anchor="__RefHeading___Toc580696_774463916">
            <w:r>
              <w:rPr>
                <w:webHidden/>
                <w:rStyle w:val="IndexLink"/>
                <w:rtl w:val="true"/>
              </w:rPr>
              <w:t>الدرس</w:t>
            </w:r>
            <w:r>
              <w:rPr>
                <w:rStyle w:val="IndexLink"/>
              </w:rPr>
              <w:t>57</w:t>
            </w:r>
            <w:r>
              <w:rPr>
                <w:rStyle w:val="IndexLink"/>
                <w:rtl w:val="true"/>
              </w:rPr>
              <w:t xml:space="preserve"> - </w:t>
            </w:r>
            <w:r>
              <w:rPr>
                <w:rStyle w:val="IndexLink"/>
                <w:rtl w:val="true"/>
              </w:rPr>
              <w:t xml:space="preserve">کتاب الحجّ </w:t>
            </w:r>
            <w:r>
              <w:rPr>
                <w:rStyle w:val="IndexLink"/>
                <w:rtl w:val="true"/>
              </w:rPr>
              <w:t>(</w:t>
            </w:r>
            <w:r>
              <w:rPr>
                <w:rStyle w:val="IndexLink"/>
              </w:rPr>
              <w:t>11</w:t>
            </w:r>
            <w:r>
              <w:rPr>
                <w:rStyle w:val="IndexLink"/>
                <w:rtl w:val="true"/>
              </w:rPr>
              <w:t>)</w:t>
              <w:tab/>
            </w:r>
            <w:r>
              <w:rPr>
                <w:rStyle w:val="IndexLink"/>
              </w:rPr>
              <w:t>202</w:t>
            </w:r>
          </w:hyperlink>
        </w:p>
        <w:p>
          <w:pPr>
            <w:pStyle w:val="Contents4"/>
            <w:tabs>
              <w:tab w:val="clear" w:pos="8176"/>
              <w:tab w:val="right" w:pos="9026" w:leader="dot"/>
            </w:tabs>
            <w:rPr/>
          </w:pPr>
          <w:hyperlink w:anchor="__RefHeading___Toc580698_774463916">
            <w:r>
              <w:rPr>
                <w:webHidden/>
                <w:rStyle w:val="IndexLink"/>
                <w:rtl w:val="true"/>
              </w:rPr>
              <w:t xml:space="preserve">أعمال الحجّ </w:t>
            </w:r>
            <w:r>
              <w:rPr>
                <w:rStyle w:val="IndexLink"/>
                <w:rtl w:val="true"/>
              </w:rPr>
              <w:t>(</w:t>
            </w:r>
            <w:r>
              <w:rPr>
                <w:rStyle w:val="IndexLink"/>
              </w:rPr>
              <w:t>3</w:t>
            </w:r>
            <w:r>
              <w:rPr>
                <w:rStyle w:val="IndexLink"/>
                <w:rtl w:val="true"/>
              </w:rPr>
              <w:t>)</w:t>
              <w:tab/>
            </w:r>
            <w:r>
              <w:rPr>
                <w:rStyle w:val="IndexLink"/>
              </w:rPr>
              <w:t>202</w:t>
            </w:r>
          </w:hyperlink>
        </w:p>
        <w:p>
          <w:pPr>
            <w:pStyle w:val="Contents5"/>
            <w:tabs>
              <w:tab w:val="clear" w:pos="7892"/>
              <w:tab w:val="right" w:pos="9026" w:leader="dot"/>
            </w:tabs>
            <w:rPr/>
          </w:pPr>
          <w:hyperlink w:anchor="__RefHeading___Toc580700_774463916">
            <w:r>
              <w:rPr>
                <w:webHidden/>
                <w:rStyle w:val="IndexLink"/>
              </w:rPr>
              <w:t>6</w:t>
            </w:r>
            <w:r>
              <w:rPr>
                <w:rStyle w:val="IndexLink"/>
                <w:rtl w:val="true"/>
              </w:rPr>
              <w:t xml:space="preserve">- </w:t>
            </w:r>
            <w:r>
              <w:rPr>
                <w:rStyle w:val="IndexLink"/>
                <w:rtl w:val="true"/>
              </w:rPr>
              <w:t>الحلق والتقصیر</w:t>
            </w:r>
            <w:r>
              <w:rPr>
                <w:rStyle w:val="IndexLink"/>
                <w:rtl w:val="true"/>
              </w:rPr>
              <w:tab/>
            </w:r>
            <w:r>
              <w:rPr>
                <w:rStyle w:val="IndexLink"/>
              </w:rPr>
              <w:t>202</w:t>
            </w:r>
          </w:hyperlink>
        </w:p>
        <w:p>
          <w:pPr>
            <w:pStyle w:val="Contents5"/>
            <w:tabs>
              <w:tab w:val="clear" w:pos="7892"/>
              <w:tab w:val="right" w:pos="9026" w:leader="dot"/>
            </w:tabs>
            <w:rPr/>
          </w:pPr>
          <w:hyperlink w:anchor="__RefHeading___Toc580702_774463916">
            <w:r>
              <w:rPr>
                <w:webHidden/>
                <w:rStyle w:val="IndexLink"/>
              </w:rPr>
              <w:t>7</w:t>
            </w:r>
            <w:r>
              <w:rPr>
                <w:rStyle w:val="IndexLink"/>
                <w:rtl w:val="true"/>
              </w:rPr>
              <w:t xml:space="preserve">- </w:t>
            </w:r>
            <w:r>
              <w:rPr>
                <w:rStyle w:val="IndexLink"/>
                <w:rtl w:val="true"/>
              </w:rPr>
              <w:t>العود إلی مکّة المکرّمة</w:t>
            </w:r>
            <w:r>
              <w:rPr>
                <w:rStyle w:val="IndexLink"/>
                <w:rtl w:val="true"/>
              </w:rPr>
              <w:tab/>
            </w:r>
            <w:r>
              <w:rPr>
                <w:rStyle w:val="IndexLink"/>
              </w:rPr>
              <w:t>203</w:t>
            </w:r>
          </w:hyperlink>
        </w:p>
        <w:p>
          <w:pPr>
            <w:pStyle w:val="Contents5"/>
            <w:tabs>
              <w:tab w:val="clear" w:pos="7892"/>
              <w:tab w:val="right" w:pos="9026" w:leader="dot"/>
            </w:tabs>
            <w:rPr/>
          </w:pPr>
          <w:hyperlink w:anchor="__RefHeading___Toc580704_774463916">
            <w:r>
              <w:rPr>
                <w:webHidden/>
                <w:rStyle w:val="IndexLink"/>
              </w:rPr>
              <w:t>8</w:t>
            </w:r>
            <w:r>
              <w:rPr>
                <w:rStyle w:val="IndexLink"/>
                <w:rtl w:val="true"/>
              </w:rPr>
              <w:t xml:space="preserve">- </w:t>
            </w:r>
            <w:r>
              <w:rPr>
                <w:rStyle w:val="IndexLink"/>
                <w:rtl w:val="true"/>
              </w:rPr>
              <w:t>المبیت بمنی</w:t>
            </w:r>
            <w:r>
              <w:rPr>
                <w:rStyle w:val="IndexLink"/>
                <w:rtl w:val="true"/>
              </w:rPr>
              <w:tab/>
            </w:r>
            <w:r>
              <w:rPr>
                <w:rStyle w:val="IndexLink"/>
              </w:rPr>
              <w:t>203</w:t>
            </w:r>
          </w:hyperlink>
        </w:p>
        <w:p>
          <w:pPr>
            <w:pStyle w:val="Contents5"/>
            <w:tabs>
              <w:tab w:val="clear" w:pos="7892"/>
              <w:tab w:val="right" w:pos="9026" w:leader="dot"/>
            </w:tabs>
            <w:rPr/>
          </w:pPr>
          <w:hyperlink w:anchor="__RefHeading___Toc580706_774463916">
            <w:r>
              <w:rPr>
                <w:webHidden/>
                <w:rStyle w:val="IndexLink"/>
              </w:rPr>
              <w:t>9</w:t>
            </w:r>
            <w:r>
              <w:rPr>
                <w:rStyle w:val="IndexLink"/>
                <w:rtl w:val="true"/>
              </w:rPr>
              <w:t xml:space="preserve">- </w:t>
            </w:r>
            <w:r>
              <w:rPr>
                <w:rStyle w:val="IndexLink"/>
                <w:rtl w:val="true"/>
              </w:rPr>
              <w:t>رمی الجمار</w:t>
            </w:r>
            <w:r>
              <w:rPr>
                <w:rStyle w:val="IndexLink"/>
                <w:rtl w:val="true"/>
              </w:rPr>
              <w:tab/>
            </w:r>
            <w:r>
              <w:rPr>
                <w:rStyle w:val="IndexLink"/>
              </w:rPr>
              <w:t>204</w:t>
            </w:r>
          </w:hyperlink>
        </w:p>
        <w:p>
          <w:pPr>
            <w:pStyle w:val="Contents3"/>
            <w:tabs>
              <w:tab w:val="clear" w:pos="8459"/>
              <w:tab w:val="right" w:pos="9026" w:leader="dot"/>
            </w:tabs>
            <w:rPr/>
          </w:pPr>
          <w:hyperlink w:anchor="__RefHeading___Toc580708_774463916">
            <w:r>
              <w:rPr>
                <w:webHidden/>
                <w:rStyle w:val="IndexLink"/>
                <w:rtl w:val="true"/>
              </w:rPr>
              <w:t>الدرس</w:t>
            </w:r>
            <w:r>
              <w:rPr>
                <w:rStyle w:val="IndexLink"/>
              </w:rPr>
              <w:t>58</w:t>
            </w:r>
            <w:r>
              <w:rPr>
                <w:rStyle w:val="IndexLink"/>
                <w:rtl w:val="true"/>
              </w:rPr>
              <w:t xml:space="preserve"> - </w:t>
            </w:r>
            <w:r>
              <w:rPr>
                <w:rStyle w:val="IndexLink"/>
                <w:rtl w:val="true"/>
              </w:rPr>
              <w:t>کتاب الجهاد</w:t>
            </w:r>
            <w:r>
              <w:rPr>
                <w:rStyle w:val="IndexLink"/>
                <w:rtl w:val="true"/>
              </w:rPr>
              <w:tab/>
            </w:r>
            <w:r>
              <w:rPr>
                <w:rStyle w:val="IndexLink"/>
              </w:rPr>
              <w:t>205</w:t>
            </w:r>
          </w:hyperlink>
        </w:p>
        <w:p>
          <w:pPr>
            <w:pStyle w:val="Contents4"/>
            <w:tabs>
              <w:tab w:val="clear" w:pos="8176"/>
              <w:tab w:val="right" w:pos="9026" w:leader="dot"/>
            </w:tabs>
            <w:rPr/>
          </w:pPr>
          <w:hyperlink w:anchor="__RefHeading___Toc580710_774463916">
            <w:r>
              <w:rPr>
                <w:webHidden/>
                <w:rStyle w:val="IndexLink"/>
                <w:rtl w:val="true"/>
              </w:rPr>
              <w:t>أهمیّة الجهاد وأحکامه</w:t>
            </w:r>
            <w:r>
              <w:rPr>
                <w:rStyle w:val="IndexLink"/>
                <w:rtl w:val="true"/>
              </w:rPr>
              <w:tab/>
            </w:r>
            <w:r>
              <w:rPr>
                <w:rStyle w:val="IndexLink"/>
              </w:rPr>
              <w:t>205</w:t>
            </w:r>
          </w:hyperlink>
        </w:p>
        <w:p>
          <w:pPr>
            <w:pStyle w:val="Contents3"/>
            <w:tabs>
              <w:tab w:val="clear" w:pos="8459"/>
              <w:tab w:val="right" w:pos="9026" w:leader="dot"/>
            </w:tabs>
            <w:rPr/>
          </w:pPr>
          <w:hyperlink w:anchor="__RefHeading___Toc580712_774463916">
            <w:r>
              <w:rPr>
                <w:webHidden/>
                <w:rStyle w:val="IndexLink"/>
                <w:rtl w:val="true"/>
              </w:rPr>
              <w:t>الدرس</w:t>
            </w:r>
            <w:r>
              <w:rPr>
                <w:rStyle w:val="IndexLink"/>
              </w:rPr>
              <w:t>59</w:t>
            </w:r>
            <w:r>
              <w:rPr>
                <w:rStyle w:val="IndexLink"/>
                <w:rtl w:val="true"/>
              </w:rPr>
              <w:t xml:space="preserve"> - </w:t>
            </w:r>
            <w:r>
              <w:rPr>
                <w:rStyle w:val="IndexLink"/>
                <w:rtl w:val="true"/>
              </w:rPr>
              <w:t>کتاب الأمر بالمعروف والنهی عن المنکر</w:t>
            </w:r>
            <w:r>
              <w:rPr>
                <w:rStyle w:val="IndexLink"/>
                <w:rtl w:val="true"/>
              </w:rPr>
              <w:tab/>
            </w:r>
            <w:r>
              <w:rPr>
                <w:rStyle w:val="IndexLink"/>
              </w:rPr>
              <w:t>209</w:t>
            </w:r>
          </w:hyperlink>
        </w:p>
        <w:p>
          <w:pPr>
            <w:pStyle w:val="Contents4"/>
            <w:tabs>
              <w:tab w:val="clear" w:pos="8176"/>
              <w:tab w:val="right" w:pos="9026" w:leader="dot"/>
            </w:tabs>
            <w:rPr/>
          </w:pPr>
          <w:hyperlink w:anchor="__RefHeading___Toc580714_774463916">
            <w:r>
              <w:rPr>
                <w:webHidden/>
                <w:rStyle w:val="IndexLink"/>
                <w:rtl w:val="true"/>
              </w:rPr>
              <w:t>اشارة</w:t>
            </w:r>
            <w:r>
              <w:rPr>
                <w:rStyle w:val="IndexLink"/>
                <w:rtl w:val="true"/>
              </w:rPr>
              <w:tab/>
            </w:r>
            <w:r>
              <w:rPr>
                <w:rStyle w:val="IndexLink"/>
              </w:rPr>
              <w:t>209</w:t>
            </w:r>
          </w:hyperlink>
        </w:p>
        <w:p>
          <w:pPr>
            <w:pStyle w:val="Contents4"/>
            <w:tabs>
              <w:tab w:val="clear" w:pos="8176"/>
              <w:tab w:val="right" w:pos="9026" w:leader="dot"/>
            </w:tabs>
            <w:rPr/>
          </w:pPr>
          <w:hyperlink w:anchor="__RefHeading___Toc580716_774463916">
            <w:r>
              <w:rPr>
                <w:webHidden/>
                <w:rStyle w:val="IndexLink"/>
                <w:rtl w:val="true"/>
              </w:rPr>
              <w:t>شرائط الأمر بالمعروف والنهی عن المنکر</w:t>
            </w:r>
            <w:r>
              <w:rPr>
                <w:rStyle w:val="IndexLink"/>
                <w:rtl w:val="true"/>
              </w:rPr>
              <w:tab/>
            </w:r>
            <w:r>
              <w:rPr>
                <w:rStyle w:val="IndexLink"/>
              </w:rPr>
              <w:t>210</w:t>
            </w:r>
          </w:hyperlink>
        </w:p>
        <w:p>
          <w:pPr>
            <w:pStyle w:val="Contents3"/>
            <w:tabs>
              <w:tab w:val="clear" w:pos="8459"/>
              <w:tab w:val="right" w:pos="9026" w:leader="dot"/>
            </w:tabs>
            <w:rPr/>
          </w:pPr>
          <w:hyperlink w:anchor="__RefHeading___Toc580718_774463916">
            <w:r>
              <w:rPr>
                <w:webHidden/>
                <w:rStyle w:val="IndexLink"/>
                <w:rtl w:val="true"/>
              </w:rPr>
              <w:t>الدرس</w:t>
            </w:r>
            <w:r>
              <w:rPr>
                <w:rStyle w:val="IndexLink"/>
              </w:rPr>
              <w:t>60</w:t>
            </w:r>
            <w:r>
              <w:rPr>
                <w:rStyle w:val="IndexLink"/>
                <w:rtl w:val="true"/>
              </w:rPr>
              <w:t xml:space="preserve"> - </w:t>
            </w:r>
            <w:r>
              <w:rPr>
                <w:rStyle w:val="IndexLink"/>
                <w:rtl w:val="true"/>
              </w:rPr>
              <w:t xml:space="preserve">کتاب الأمر بالمعروف والنهی عن المنکر </w:t>
            </w:r>
            <w:r>
              <w:rPr>
                <w:rStyle w:val="IndexLink"/>
                <w:rtl w:val="true"/>
              </w:rPr>
              <w:t>(</w:t>
            </w:r>
            <w:r>
              <w:rPr>
                <w:rStyle w:val="IndexLink"/>
              </w:rPr>
              <w:t>2</w:t>
            </w:r>
            <w:r>
              <w:rPr>
                <w:rStyle w:val="IndexLink"/>
                <w:rtl w:val="true"/>
              </w:rPr>
              <w:t>)</w:t>
              <w:tab/>
            </w:r>
            <w:r>
              <w:rPr>
                <w:rStyle w:val="IndexLink"/>
              </w:rPr>
              <w:t>212</w:t>
            </w:r>
          </w:hyperlink>
        </w:p>
        <w:p>
          <w:pPr>
            <w:pStyle w:val="Contents4"/>
            <w:tabs>
              <w:tab w:val="clear" w:pos="8176"/>
              <w:tab w:val="right" w:pos="9026" w:leader="dot"/>
            </w:tabs>
            <w:rPr/>
          </w:pPr>
          <w:hyperlink w:anchor="__RefHeading___Toc580720_774463916">
            <w:r>
              <w:rPr>
                <w:webHidden/>
                <w:rStyle w:val="IndexLink"/>
                <w:rtl w:val="true"/>
              </w:rPr>
              <w:t xml:space="preserve">شرائط الأمر بالمعروف والنهی عن المنکر </w:t>
            </w:r>
            <w:r>
              <w:rPr>
                <w:rStyle w:val="IndexLink"/>
                <w:rtl w:val="true"/>
              </w:rPr>
              <w:t>(</w:t>
            </w:r>
            <w:r>
              <w:rPr>
                <w:rStyle w:val="IndexLink"/>
              </w:rPr>
              <w:t>2</w:t>
            </w:r>
            <w:r>
              <w:rPr>
                <w:rStyle w:val="IndexLink"/>
                <w:rtl w:val="true"/>
              </w:rPr>
              <w:t>)</w:t>
              <w:tab/>
            </w:r>
            <w:r>
              <w:rPr>
                <w:rStyle w:val="IndexLink"/>
              </w:rPr>
              <w:t>212</w:t>
            </w:r>
          </w:hyperlink>
        </w:p>
        <w:p>
          <w:pPr>
            <w:pStyle w:val="Contents2"/>
            <w:tabs>
              <w:tab w:val="clear" w:pos="8743"/>
              <w:tab w:val="right" w:pos="9026" w:leader="dot"/>
            </w:tabs>
            <w:rPr/>
          </w:pPr>
          <w:hyperlink w:anchor="__RefHeading___Toc580722_774463916">
            <w:r>
              <w:rPr>
                <w:webHidden/>
                <w:rStyle w:val="IndexLink"/>
                <w:rtl w:val="true"/>
              </w:rPr>
              <w:t>القسم الثانی</w:t>
            </w:r>
            <w:r>
              <w:rPr>
                <w:rStyle w:val="IndexLink"/>
                <w:rtl w:val="true"/>
              </w:rPr>
              <w:t xml:space="preserve">: </w:t>
            </w:r>
            <w:r>
              <w:rPr>
                <w:rStyle w:val="IndexLink"/>
                <w:rtl w:val="true"/>
              </w:rPr>
              <w:t>العقود</w:t>
            </w:r>
            <w:r>
              <w:rPr>
                <w:rStyle w:val="IndexLink"/>
                <w:rtl w:val="true"/>
              </w:rPr>
              <w:tab/>
            </w:r>
            <w:r>
              <w:rPr>
                <w:rStyle w:val="IndexLink"/>
              </w:rPr>
              <w:t>215</w:t>
            </w:r>
          </w:hyperlink>
        </w:p>
        <w:p>
          <w:pPr>
            <w:pStyle w:val="Contents3"/>
            <w:tabs>
              <w:tab w:val="clear" w:pos="8459"/>
              <w:tab w:val="right" w:pos="9026" w:leader="dot"/>
            </w:tabs>
            <w:rPr/>
          </w:pPr>
          <w:hyperlink w:anchor="__RefHeading___Toc580724_774463916">
            <w:r>
              <w:rPr>
                <w:webHidden/>
                <w:rStyle w:val="IndexLink"/>
                <w:rtl w:val="true"/>
              </w:rPr>
              <w:t>اشارة</w:t>
            </w:r>
            <w:r>
              <w:rPr>
                <w:rStyle w:val="IndexLink"/>
                <w:rtl w:val="true"/>
              </w:rPr>
              <w:tab/>
            </w:r>
            <w:r>
              <w:rPr>
                <w:rStyle w:val="IndexLink"/>
              </w:rPr>
              <w:t>215</w:t>
            </w:r>
          </w:hyperlink>
        </w:p>
        <w:p>
          <w:pPr>
            <w:pStyle w:val="Contents3"/>
            <w:tabs>
              <w:tab w:val="clear" w:pos="8459"/>
              <w:tab w:val="right" w:pos="9026" w:leader="dot"/>
            </w:tabs>
            <w:rPr/>
          </w:pPr>
          <w:hyperlink w:anchor="__RefHeading___Toc580726_774463916">
            <w:r>
              <w:rPr>
                <w:webHidden/>
                <w:rStyle w:val="IndexLink"/>
                <w:rtl w:val="true"/>
              </w:rPr>
              <w:t>الدرس</w:t>
            </w:r>
            <w:r>
              <w:rPr>
                <w:rStyle w:val="IndexLink"/>
              </w:rPr>
              <w:t>1</w:t>
            </w:r>
            <w:r>
              <w:rPr>
                <w:rStyle w:val="IndexLink"/>
                <w:rtl w:val="true"/>
              </w:rPr>
              <w:t xml:space="preserve"> - </w:t>
            </w:r>
            <w:r>
              <w:rPr>
                <w:rStyle w:val="IndexLink"/>
                <w:rtl w:val="true"/>
              </w:rPr>
              <w:t>کتاب البیع</w:t>
            </w:r>
            <w:r>
              <w:rPr>
                <w:rStyle w:val="IndexLink"/>
                <w:rtl w:val="true"/>
              </w:rPr>
              <w:tab/>
            </w:r>
            <w:r>
              <w:rPr>
                <w:rStyle w:val="IndexLink"/>
              </w:rPr>
              <w:t>216</w:t>
            </w:r>
          </w:hyperlink>
        </w:p>
        <w:p>
          <w:pPr>
            <w:pStyle w:val="Contents4"/>
            <w:tabs>
              <w:tab w:val="clear" w:pos="8176"/>
              <w:tab w:val="right" w:pos="9026" w:leader="dot"/>
            </w:tabs>
            <w:rPr/>
          </w:pPr>
          <w:hyperlink w:anchor="__RefHeading___Toc580728_774463916">
            <w:r>
              <w:rPr>
                <w:webHidden/>
                <w:rStyle w:val="IndexLink"/>
                <w:rtl w:val="true"/>
              </w:rPr>
              <w:t>اشارة</w:t>
            </w:r>
            <w:r>
              <w:rPr>
                <w:rStyle w:val="IndexLink"/>
                <w:rtl w:val="true"/>
              </w:rPr>
              <w:tab/>
            </w:r>
            <w:r>
              <w:rPr>
                <w:rStyle w:val="IndexLink"/>
              </w:rPr>
              <w:t>216</w:t>
            </w:r>
          </w:hyperlink>
        </w:p>
        <w:p>
          <w:pPr>
            <w:pStyle w:val="Contents4"/>
            <w:tabs>
              <w:tab w:val="clear" w:pos="8176"/>
              <w:tab w:val="right" w:pos="9026" w:leader="dot"/>
            </w:tabs>
            <w:rPr/>
          </w:pPr>
          <w:hyperlink w:anchor="__RefHeading___Toc580730_774463916">
            <w:r>
              <w:rPr>
                <w:webHidden/>
                <w:rStyle w:val="IndexLink"/>
                <w:rtl w:val="true"/>
              </w:rPr>
              <w:t>شروط عقد البیع</w:t>
            </w:r>
            <w:r>
              <w:rPr>
                <w:rStyle w:val="IndexLink"/>
                <w:rtl w:val="true"/>
              </w:rPr>
              <w:tab/>
            </w:r>
            <w:r>
              <w:rPr>
                <w:rStyle w:val="IndexLink"/>
              </w:rPr>
              <w:t>216</w:t>
            </w:r>
          </w:hyperlink>
        </w:p>
        <w:p>
          <w:pPr>
            <w:pStyle w:val="Contents3"/>
            <w:tabs>
              <w:tab w:val="clear" w:pos="8459"/>
              <w:tab w:val="right" w:pos="9026" w:leader="dot"/>
            </w:tabs>
            <w:rPr/>
          </w:pPr>
          <w:hyperlink w:anchor="__RefHeading___Toc580732_774463916">
            <w:r>
              <w:rPr>
                <w:webHidden/>
                <w:rStyle w:val="IndexLink"/>
                <w:rtl w:val="true"/>
              </w:rPr>
              <w:t>الدرس</w:t>
            </w:r>
            <w:r>
              <w:rPr>
                <w:rStyle w:val="IndexLink"/>
              </w:rPr>
              <w:t>2</w:t>
            </w:r>
            <w:r>
              <w:rPr>
                <w:rStyle w:val="IndexLink"/>
                <w:rtl w:val="true"/>
              </w:rPr>
              <w:t xml:space="preserve"> - </w:t>
            </w:r>
            <w:r>
              <w:rPr>
                <w:rStyle w:val="IndexLink"/>
                <w:rtl w:val="true"/>
              </w:rPr>
              <w:t>المعاطاة</w:t>
            </w:r>
            <w:r>
              <w:rPr>
                <w:rStyle w:val="IndexLink"/>
                <w:rtl w:val="true"/>
              </w:rPr>
              <w:tab/>
            </w:r>
            <w:r>
              <w:rPr>
                <w:rStyle w:val="IndexLink"/>
              </w:rPr>
              <w:t>219</w:t>
            </w:r>
          </w:hyperlink>
        </w:p>
        <w:p>
          <w:pPr>
            <w:pStyle w:val="Contents3"/>
            <w:tabs>
              <w:tab w:val="clear" w:pos="8459"/>
              <w:tab w:val="right" w:pos="9026" w:leader="dot"/>
            </w:tabs>
            <w:rPr/>
          </w:pPr>
          <w:hyperlink w:anchor="__RefHeading___Toc580734_774463916">
            <w:r>
              <w:rPr>
                <w:webHidden/>
                <w:rStyle w:val="IndexLink"/>
                <w:rtl w:val="true"/>
              </w:rPr>
              <w:t>الدرس</w:t>
            </w:r>
            <w:r>
              <w:rPr>
                <w:rStyle w:val="IndexLink"/>
              </w:rPr>
              <w:t>3</w:t>
            </w:r>
            <w:r>
              <w:rPr>
                <w:rStyle w:val="IndexLink"/>
                <w:rtl w:val="true"/>
              </w:rPr>
              <w:t xml:space="preserve"> - </w:t>
            </w:r>
            <w:r>
              <w:rPr>
                <w:rStyle w:val="IndexLink"/>
                <w:rtl w:val="true"/>
              </w:rPr>
              <w:t>شروط المتعاقدین</w:t>
            </w:r>
            <w:r>
              <w:rPr>
                <w:rStyle w:val="IndexLink"/>
                <w:rtl w:val="true"/>
              </w:rPr>
              <w:tab/>
            </w:r>
            <w:r>
              <w:rPr>
                <w:rStyle w:val="IndexLink"/>
              </w:rPr>
              <w:t>221</w:t>
            </w:r>
          </w:hyperlink>
        </w:p>
        <w:p>
          <w:pPr>
            <w:pStyle w:val="Contents3"/>
            <w:tabs>
              <w:tab w:val="clear" w:pos="8459"/>
              <w:tab w:val="right" w:pos="9026" w:leader="dot"/>
            </w:tabs>
            <w:rPr/>
          </w:pPr>
          <w:hyperlink w:anchor="__RefHeading___Toc580736_774463916">
            <w:r>
              <w:rPr>
                <w:webHidden/>
                <w:rStyle w:val="IndexLink"/>
                <w:rtl w:val="true"/>
              </w:rPr>
              <w:t>الدرس</w:t>
            </w:r>
            <w:r>
              <w:rPr>
                <w:rStyle w:val="IndexLink"/>
              </w:rPr>
              <w:t>4</w:t>
            </w:r>
            <w:r>
              <w:rPr>
                <w:rStyle w:val="IndexLink"/>
                <w:rtl w:val="true"/>
              </w:rPr>
              <w:t xml:space="preserve"> - </w:t>
            </w:r>
            <w:r>
              <w:rPr>
                <w:rStyle w:val="IndexLink"/>
                <w:rtl w:val="true"/>
              </w:rPr>
              <w:t xml:space="preserve">شروط المتعاقدین </w:t>
            </w:r>
            <w:r>
              <w:rPr>
                <w:rStyle w:val="IndexLink"/>
                <w:rtl w:val="true"/>
              </w:rPr>
              <w:t>(</w:t>
            </w:r>
            <w:r>
              <w:rPr>
                <w:rStyle w:val="IndexLink"/>
              </w:rPr>
              <w:t>2</w:t>
            </w:r>
            <w:r>
              <w:rPr>
                <w:rStyle w:val="IndexLink"/>
                <w:rtl w:val="true"/>
              </w:rPr>
              <w:t>)</w:t>
              <w:tab/>
            </w:r>
            <w:r>
              <w:rPr>
                <w:rStyle w:val="IndexLink"/>
              </w:rPr>
              <w:t>224</w:t>
            </w:r>
          </w:hyperlink>
        </w:p>
        <w:p>
          <w:pPr>
            <w:pStyle w:val="Contents4"/>
            <w:tabs>
              <w:tab w:val="clear" w:pos="8176"/>
              <w:tab w:val="right" w:pos="9026" w:leader="dot"/>
            </w:tabs>
            <w:rPr/>
          </w:pPr>
          <w:hyperlink w:anchor="__RefHeading___Toc580738_774463916">
            <w:r>
              <w:rPr>
                <w:webHidden/>
                <w:rStyle w:val="IndexLink"/>
                <w:rtl w:val="true"/>
              </w:rPr>
              <w:t>اشارة</w:t>
            </w:r>
            <w:r>
              <w:rPr>
                <w:rStyle w:val="IndexLink"/>
                <w:rtl w:val="true"/>
              </w:rPr>
              <w:tab/>
            </w:r>
            <w:r>
              <w:rPr>
                <w:rStyle w:val="IndexLink"/>
              </w:rPr>
              <w:t>224</w:t>
            </w:r>
          </w:hyperlink>
        </w:p>
        <w:p>
          <w:pPr>
            <w:pStyle w:val="Contents4"/>
            <w:tabs>
              <w:tab w:val="clear" w:pos="8176"/>
              <w:tab w:val="right" w:pos="9026" w:leader="dot"/>
            </w:tabs>
            <w:rPr/>
          </w:pPr>
          <w:hyperlink w:anchor="__RefHeading___Toc580740_774463916">
            <w:r>
              <w:rPr>
                <w:webHidden/>
                <w:rStyle w:val="IndexLink"/>
                <w:rtl w:val="true"/>
              </w:rPr>
              <w:t>ولایة الأب والجدّ</w:t>
            </w:r>
            <w:r>
              <w:rPr>
                <w:rStyle w:val="IndexLink"/>
                <w:rtl w:val="true"/>
              </w:rPr>
              <w:tab/>
            </w:r>
            <w:r>
              <w:rPr>
                <w:rStyle w:val="IndexLink"/>
              </w:rPr>
              <w:t>226</w:t>
            </w:r>
          </w:hyperlink>
        </w:p>
        <w:p>
          <w:pPr>
            <w:pStyle w:val="Contents3"/>
            <w:tabs>
              <w:tab w:val="clear" w:pos="8459"/>
              <w:tab w:val="right" w:pos="9026" w:leader="dot"/>
            </w:tabs>
            <w:rPr/>
          </w:pPr>
          <w:hyperlink w:anchor="__RefHeading___Toc580742_774463916">
            <w:r>
              <w:rPr>
                <w:webHidden/>
                <w:rStyle w:val="IndexLink"/>
                <w:rtl w:val="true"/>
              </w:rPr>
              <w:t>الدرس</w:t>
            </w:r>
            <w:r>
              <w:rPr>
                <w:rStyle w:val="IndexLink"/>
              </w:rPr>
              <w:t>5</w:t>
            </w:r>
            <w:r>
              <w:rPr>
                <w:rStyle w:val="IndexLink"/>
                <w:rtl w:val="true"/>
              </w:rPr>
              <w:t xml:space="preserve"> - </w:t>
            </w:r>
            <w:r>
              <w:rPr>
                <w:rStyle w:val="IndexLink"/>
                <w:rtl w:val="true"/>
              </w:rPr>
              <w:t>شروط العوضین فی البیع</w:t>
            </w:r>
            <w:r>
              <w:rPr>
                <w:rStyle w:val="IndexLink"/>
                <w:rtl w:val="true"/>
              </w:rPr>
              <w:tab/>
            </w:r>
            <w:r>
              <w:rPr>
                <w:rStyle w:val="IndexLink"/>
              </w:rPr>
              <w:t>228</w:t>
            </w:r>
          </w:hyperlink>
        </w:p>
        <w:p>
          <w:pPr>
            <w:pStyle w:val="Contents3"/>
            <w:tabs>
              <w:tab w:val="clear" w:pos="8459"/>
              <w:tab w:val="right" w:pos="9026" w:leader="dot"/>
            </w:tabs>
            <w:rPr/>
          </w:pPr>
          <w:hyperlink w:anchor="__RefHeading___Toc580744_774463916">
            <w:r>
              <w:rPr>
                <w:webHidden/>
                <w:rStyle w:val="IndexLink"/>
                <w:rtl w:val="true"/>
              </w:rPr>
              <w:t>الدرس</w:t>
            </w:r>
            <w:r>
              <w:rPr>
                <w:rStyle w:val="IndexLink"/>
              </w:rPr>
              <w:t>6</w:t>
            </w:r>
            <w:r>
              <w:rPr>
                <w:rStyle w:val="IndexLink"/>
                <w:rtl w:val="true"/>
              </w:rPr>
              <w:t xml:space="preserve"> - </w:t>
            </w:r>
            <w:r>
              <w:rPr>
                <w:rStyle w:val="IndexLink"/>
                <w:rtl w:val="true"/>
              </w:rPr>
              <w:t xml:space="preserve">شروط العوضین فی البیع </w:t>
            </w:r>
            <w:r>
              <w:rPr>
                <w:rStyle w:val="IndexLink"/>
                <w:rtl w:val="true"/>
              </w:rPr>
              <w:t>(</w:t>
            </w:r>
            <w:r>
              <w:rPr>
                <w:rStyle w:val="IndexLink"/>
              </w:rPr>
              <w:t>2</w:t>
            </w:r>
            <w:r>
              <w:rPr>
                <w:rStyle w:val="IndexLink"/>
                <w:rtl w:val="true"/>
              </w:rPr>
              <w:t>)</w:t>
              <w:tab/>
            </w:r>
            <w:r>
              <w:rPr>
                <w:rStyle w:val="IndexLink"/>
              </w:rPr>
              <w:t>231</w:t>
            </w:r>
          </w:hyperlink>
        </w:p>
        <w:p>
          <w:pPr>
            <w:pStyle w:val="Contents3"/>
            <w:tabs>
              <w:tab w:val="clear" w:pos="8459"/>
              <w:tab w:val="right" w:pos="9026" w:leader="dot"/>
            </w:tabs>
            <w:rPr/>
          </w:pPr>
          <w:hyperlink w:anchor="__RefHeading___Toc580746_774463916">
            <w:r>
              <w:rPr>
                <w:webHidden/>
                <w:rStyle w:val="IndexLink"/>
                <w:rtl w:val="true"/>
              </w:rPr>
              <w:t>الدرس</w:t>
            </w:r>
            <w:r>
              <w:rPr>
                <w:rStyle w:val="IndexLink"/>
              </w:rPr>
              <w:t>7</w:t>
            </w:r>
            <w:r>
              <w:rPr>
                <w:rStyle w:val="IndexLink"/>
                <w:rtl w:val="true"/>
              </w:rPr>
              <w:t xml:space="preserve"> - </w:t>
            </w:r>
            <w:r>
              <w:rPr>
                <w:rStyle w:val="IndexLink"/>
                <w:rtl w:val="true"/>
              </w:rPr>
              <w:t>الاحتکار</w:t>
            </w:r>
            <w:r>
              <w:rPr>
                <w:rStyle w:val="IndexLink"/>
                <w:rtl w:val="true"/>
              </w:rPr>
              <w:tab/>
            </w:r>
            <w:r>
              <w:rPr>
                <w:rStyle w:val="IndexLink"/>
              </w:rPr>
              <w:t>234</w:t>
            </w:r>
          </w:hyperlink>
        </w:p>
        <w:p>
          <w:pPr>
            <w:pStyle w:val="Contents3"/>
            <w:tabs>
              <w:tab w:val="clear" w:pos="8459"/>
              <w:tab w:val="right" w:pos="9026" w:leader="dot"/>
            </w:tabs>
            <w:rPr/>
          </w:pPr>
          <w:hyperlink w:anchor="__RefHeading___Toc580748_774463916">
            <w:r>
              <w:rPr>
                <w:webHidden/>
                <w:rStyle w:val="IndexLink"/>
                <w:rtl w:val="true"/>
              </w:rPr>
              <w:t>الدرس</w:t>
            </w:r>
            <w:r>
              <w:rPr>
                <w:rStyle w:val="IndexLink"/>
              </w:rPr>
              <w:t>8</w:t>
            </w:r>
            <w:r>
              <w:rPr>
                <w:rStyle w:val="IndexLink"/>
                <w:rtl w:val="true"/>
              </w:rPr>
              <w:t xml:space="preserve"> - </w:t>
            </w:r>
            <w:r>
              <w:rPr>
                <w:rStyle w:val="IndexLink"/>
                <w:rtl w:val="true"/>
              </w:rPr>
              <w:t>الخیارات</w:t>
            </w:r>
            <w:r>
              <w:rPr>
                <w:rStyle w:val="IndexLink"/>
                <w:rtl w:val="true"/>
              </w:rPr>
              <w:tab/>
            </w:r>
            <w:r>
              <w:rPr>
                <w:rStyle w:val="IndexLink"/>
              </w:rPr>
              <w:t>235</w:t>
            </w:r>
          </w:hyperlink>
        </w:p>
        <w:p>
          <w:pPr>
            <w:pStyle w:val="Contents4"/>
            <w:tabs>
              <w:tab w:val="clear" w:pos="8176"/>
              <w:tab w:val="right" w:pos="9026" w:leader="dot"/>
            </w:tabs>
            <w:rPr/>
          </w:pPr>
          <w:hyperlink w:anchor="__RefHeading___Toc580750_774463916">
            <w:r>
              <w:rPr>
                <w:webHidden/>
                <w:rStyle w:val="IndexLink"/>
                <w:rtl w:val="true"/>
              </w:rPr>
              <w:t>حقیقة الخیارات وأقسامها</w:t>
            </w:r>
            <w:r>
              <w:rPr>
                <w:rStyle w:val="IndexLink"/>
                <w:rtl w:val="true"/>
              </w:rPr>
              <w:tab/>
            </w:r>
            <w:r>
              <w:rPr>
                <w:rStyle w:val="IndexLink"/>
              </w:rPr>
              <w:t>235</w:t>
            </w:r>
          </w:hyperlink>
        </w:p>
        <w:p>
          <w:pPr>
            <w:pStyle w:val="Contents5"/>
            <w:tabs>
              <w:tab w:val="clear" w:pos="7892"/>
              <w:tab w:val="right" w:pos="9026" w:leader="dot"/>
            </w:tabs>
            <w:rPr/>
          </w:pPr>
          <w:hyperlink w:anchor="__RefHeading___Toc580752_774463916">
            <w:r>
              <w:rPr>
                <w:webHidden/>
                <w:rStyle w:val="IndexLink"/>
                <w:rtl w:val="true"/>
              </w:rPr>
              <w:t>اشارة</w:t>
            </w:r>
            <w:r>
              <w:rPr>
                <w:rStyle w:val="IndexLink"/>
                <w:rtl w:val="true"/>
              </w:rPr>
              <w:tab/>
            </w:r>
            <w:r>
              <w:rPr>
                <w:rStyle w:val="IndexLink"/>
              </w:rPr>
              <w:t>235</w:t>
            </w:r>
          </w:hyperlink>
        </w:p>
        <w:p>
          <w:pPr>
            <w:pStyle w:val="Contents5"/>
            <w:tabs>
              <w:tab w:val="clear" w:pos="7892"/>
              <w:tab w:val="right" w:pos="9026" w:leader="dot"/>
            </w:tabs>
            <w:rPr/>
          </w:pPr>
          <w:hyperlink w:anchor="__RefHeading___Toc580754_774463916">
            <w:r>
              <w:rPr>
                <w:webHidden/>
                <w:rStyle w:val="IndexLink"/>
              </w:rPr>
              <w:t>1</w:t>
            </w:r>
            <w:r>
              <w:rPr>
                <w:rStyle w:val="IndexLink"/>
                <w:rtl w:val="true"/>
              </w:rPr>
              <w:t xml:space="preserve">- </w:t>
            </w:r>
            <w:r>
              <w:rPr>
                <w:rStyle w:val="IndexLink"/>
                <w:rtl w:val="true"/>
              </w:rPr>
              <w:t>خیار المجلس</w:t>
            </w:r>
            <w:r>
              <w:rPr>
                <w:rStyle w:val="IndexLink"/>
                <w:rtl w:val="true"/>
              </w:rPr>
              <w:tab/>
            </w:r>
            <w:r>
              <w:rPr>
                <w:rStyle w:val="IndexLink"/>
              </w:rPr>
              <w:t>235</w:t>
            </w:r>
          </w:hyperlink>
        </w:p>
        <w:p>
          <w:pPr>
            <w:pStyle w:val="Contents5"/>
            <w:tabs>
              <w:tab w:val="clear" w:pos="7892"/>
              <w:tab w:val="right" w:pos="9026" w:leader="dot"/>
            </w:tabs>
            <w:rPr/>
          </w:pPr>
          <w:hyperlink w:anchor="__RefHeading___Toc580756_774463916">
            <w:r>
              <w:rPr>
                <w:webHidden/>
                <w:rStyle w:val="IndexLink"/>
              </w:rPr>
              <w:t>2</w:t>
            </w:r>
            <w:r>
              <w:rPr>
                <w:rStyle w:val="IndexLink"/>
                <w:rtl w:val="true"/>
              </w:rPr>
              <w:t xml:space="preserve">- </w:t>
            </w:r>
            <w:r>
              <w:rPr>
                <w:rStyle w:val="IndexLink"/>
                <w:rtl w:val="true"/>
              </w:rPr>
              <w:t>خیار الحیوان</w:t>
            </w:r>
            <w:r>
              <w:rPr>
                <w:rStyle w:val="IndexLink"/>
                <w:rtl w:val="true"/>
              </w:rPr>
              <w:tab/>
            </w:r>
            <w:r>
              <w:rPr>
                <w:rStyle w:val="IndexLink"/>
              </w:rPr>
              <w:t>236</w:t>
            </w:r>
          </w:hyperlink>
        </w:p>
        <w:p>
          <w:pPr>
            <w:pStyle w:val="Contents5"/>
            <w:tabs>
              <w:tab w:val="clear" w:pos="7892"/>
              <w:tab w:val="right" w:pos="9026" w:leader="dot"/>
            </w:tabs>
            <w:rPr/>
          </w:pPr>
          <w:hyperlink w:anchor="__RefHeading___Toc580758_774463916">
            <w:r>
              <w:rPr>
                <w:webHidden/>
                <w:rStyle w:val="IndexLink"/>
              </w:rPr>
              <w:t>3</w:t>
            </w:r>
            <w:r>
              <w:rPr>
                <w:rStyle w:val="IndexLink"/>
                <w:rtl w:val="true"/>
              </w:rPr>
              <w:t xml:space="preserve">- </w:t>
            </w:r>
            <w:r>
              <w:rPr>
                <w:rStyle w:val="IndexLink"/>
                <w:rtl w:val="true"/>
              </w:rPr>
              <w:t>خیار الشرط‌</w:t>
            </w:r>
            <w:r>
              <w:rPr>
                <w:rStyle w:val="IndexLink"/>
                <w:rtl w:val="true"/>
              </w:rPr>
              <w:tab/>
            </w:r>
            <w:r>
              <w:rPr>
                <w:rStyle w:val="IndexLink"/>
              </w:rPr>
              <w:t>236</w:t>
            </w:r>
          </w:hyperlink>
        </w:p>
        <w:p>
          <w:pPr>
            <w:pStyle w:val="Contents3"/>
            <w:tabs>
              <w:tab w:val="clear" w:pos="8459"/>
              <w:tab w:val="right" w:pos="9026" w:leader="dot"/>
            </w:tabs>
            <w:rPr/>
          </w:pPr>
          <w:hyperlink w:anchor="__RefHeading___Toc580760_774463916">
            <w:r>
              <w:rPr>
                <w:webHidden/>
                <w:rStyle w:val="IndexLink"/>
                <w:rtl w:val="true"/>
              </w:rPr>
              <w:t>الدرس</w:t>
            </w:r>
            <w:r>
              <w:rPr>
                <w:rStyle w:val="IndexLink"/>
              </w:rPr>
              <w:t>9</w:t>
            </w:r>
            <w:r>
              <w:rPr>
                <w:rStyle w:val="IndexLink"/>
                <w:rtl w:val="true"/>
              </w:rPr>
              <w:t xml:space="preserve"> - </w:t>
            </w:r>
            <w:r>
              <w:rPr>
                <w:rStyle w:val="IndexLink"/>
                <w:rtl w:val="true"/>
              </w:rPr>
              <w:t xml:space="preserve">الخیارات </w:t>
            </w:r>
            <w:r>
              <w:rPr>
                <w:rStyle w:val="IndexLink"/>
                <w:rtl w:val="true"/>
              </w:rPr>
              <w:t>(</w:t>
            </w:r>
            <w:r>
              <w:rPr>
                <w:rStyle w:val="IndexLink"/>
              </w:rPr>
              <w:t>2</w:t>
            </w:r>
            <w:r>
              <w:rPr>
                <w:rStyle w:val="IndexLink"/>
                <w:rtl w:val="true"/>
              </w:rPr>
              <w:t>)</w:t>
              <w:tab/>
            </w:r>
            <w:r>
              <w:rPr>
                <w:rStyle w:val="IndexLink"/>
              </w:rPr>
              <w:t>238</w:t>
            </w:r>
          </w:hyperlink>
        </w:p>
        <w:p>
          <w:pPr>
            <w:pStyle w:val="Contents4"/>
            <w:tabs>
              <w:tab w:val="clear" w:pos="8176"/>
              <w:tab w:val="right" w:pos="9026" w:leader="dot"/>
            </w:tabs>
            <w:rPr/>
          </w:pPr>
          <w:hyperlink w:anchor="__RefHeading___Toc580762_774463916">
            <w:r>
              <w:rPr>
                <w:webHidden/>
                <w:rStyle w:val="IndexLink"/>
              </w:rPr>
              <w:t>4</w:t>
            </w:r>
            <w:r>
              <w:rPr>
                <w:rStyle w:val="IndexLink"/>
                <w:rtl w:val="true"/>
              </w:rPr>
              <w:t xml:space="preserve">- </w:t>
            </w:r>
            <w:r>
              <w:rPr>
                <w:rStyle w:val="IndexLink"/>
                <w:rtl w:val="true"/>
              </w:rPr>
              <w:t>خیار الغبن</w:t>
            </w:r>
            <w:r>
              <w:rPr>
                <w:rStyle w:val="IndexLink"/>
                <w:rtl w:val="true"/>
              </w:rPr>
              <w:tab/>
            </w:r>
            <w:r>
              <w:rPr>
                <w:rStyle w:val="IndexLink"/>
              </w:rPr>
              <w:t>238</w:t>
            </w:r>
          </w:hyperlink>
        </w:p>
        <w:p>
          <w:pPr>
            <w:pStyle w:val="Contents4"/>
            <w:tabs>
              <w:tab w:val="clear" w:pos="8176"/>
              <w:tab w:val="right" w:pos="9026" w:leader="dot"/>
            </w:tabs>
            <w:rPr/>
          </w:pPr>
          <w:hyperlink w:anchor="__RefHeading___Toc580764_774463916">
            <w:r>
              <w:rPr>
                <w:webHidden/>
                <w:rStyle w:val="IndexLink"/>
              </w:rPr>
              <w:t>5</w:t>
            </w:r>
            <w:r>
              <w:rPr>
                <w:rStyle w:val="IndexLink"/>
                <w:rtl w:val="true"/>
              </w:rPr>
              <w:t xml:space="preserve">- </w:t>
            </w:r>
            <w:r>
              <w:rPr>
                <w:rStyle w:val="IndexLink"/>
                <w:rtl w:val="true"/>
              </w:rPr>
              <w:t>خیار التأخیر</w:t>
            </w:r>
            <w:r>
              <w:rPr>
                <w:rStyle w:val="IndexLink"/>
                <w:rtl w:val="true"/>
              </w:rPr>
              <w:tab/>
            </w:r>
            <w:r>
              <w:rPr>
                <w:rStyle w:val="IndexLink"/>
              </w:rPr>
              <w:t>238</w:t>
            </w:r>
          </w:hyperlink>
        </w:p>
        <w:p>
          <w:pPr>
            <w:pStyle w:val="Contents4"/>
            <w:tabs>
              <w:tab w:val="clear" w:pos="8176"/>
              <w:tab w:val="right" w:pos="9026" w:leader="dot"/>
            </w:tabs>
            <w:rPr/>
          </w:pPr>
          <w:hyperlink w:anchor="__RefHeading___Toc580766_774463916">
            <w:r>
              <w:rPr>
                <w:webHidden/>
                <w:rStyle w:val="IndexLink"/>
              </w:rPr>
              <w:t>6</w:t>
            </w:r>
            <w:r>
              <w:rPr>
                <w:rStyle w:val="IndexLink"/>
                <w:rtl w:val="true"/>
              </w:rPr>
              <w:t xml:space="preserve">- </w:t>
            </w:r>
            <w:r>
              <w:rPr>
                <w:rStyle w:val="IndexLink"/>
                <w:rtl w:val="true"/>
              </w:rPr>
              <w:t>خیار الرّویة</w:t>
            </w:r>
            <w:r>
              <w:rPr>
                <w:rStyle w:val="IndexLink"/>
                <w:rtl w:val="true"/>
              </w:rPr>
              <w:tab/>
            </w:r>
            <w:r>
              <w:rPr>
                <w:rStyle w:val="IndexLink"/>
              </w:rPr>
              <w:t>239</w:t>
            </w:r>
          </w:hyperlink>
        </w:p>
        <w:p>
          <w:pPr>
            <w:pStyle w:val="Contents4"/>
            <w:tabs>
              <w:tab w:val="clear" w:pos="8176"/>
              <w:tab w:val="right" w:pos="9026" w:leader="dot"/>
            </w:tabs>
            <w:rPr/>
          </w:pPr>
          <w:hyperlink w:anchor="__RefHeading___Toc580768_774463916">
            <w:r>
              <w:rPr>
                <w:webHidden/>
                <w:rStyle w:val="IndexLink"/>
              </w:rPr>
              <w:t>7</w:t>
            </w:r>
            <w:r>
              <w:rPr>
                <w:rStyle w:val="IndexLink"/>
                <w:rtl w:val="true"/>
              </w:rPr>
              <w:t xml:space="preserve">- </w:t>
            </w:r>
            <w:r>
              <w:rPr>
                <w:rStyle w:val="IndexLink"/>
                <w:rtl w:val="true"/>
              </w:rPr>
              <w:t>خیار العیب</w:t>
            </w:r>
            <w:r>
              <w:rPr>
                <w:rStyle w:val="IndexLink"/>
                <w:rtl w:val="true"/>
              </w:rPr>
              <w:tab/>
            </w:r>
            <w:r>
              <w:rPr>
                <w:rStyle w:val="IndexLink"/>
              </w:rPr>
              <w:t>239</w:t>
            </w:r>
          </w:hyperlink>
        </w:p>
        <w:p>
          <w:pPr>
            <w:pStyle w:val="Contents3"/>
            <w:tabs>
              <w:tab w:val="clear" w:pos="8459"/>
              <w:tab w:val="right" w:pos="9026" w:leader="dot"/>
            </w:tabs>
            <w:rPr/>
          </w:pPr>
          <w:hyperlink w:anchor="__RefHeading___Toc580770_774463916">
            <w:r>
              <w:rPr>
                <w:webHidden/>
                <w:rStyle w:val="IndexLink"/>
                <w:rtl w:val="true"/>
              </w:rPr>
              <w:t>الدرس</w:t>
            </w:r>
            <w:r>
              <w:rPr>
                <w:rStyle w:val="IndexLink"/>
              </w:rPr>
              <w:t>10</w:t>
            </w:r>
            <w:r>
              <w:rPr>
                <w:rStyle w:val="IndexLink"/>
                <w:rtl w:val="true"/>
              </w:rPr>
              <w:t xml:space="preserve"> - </w:t>
            </w:r>
            <w:r>
              <w:rPr>
                <w:rStyle w:val="IndexLink"/>
                <w:rtl w:val="true"/>
              </w:rPr>
              <w:t xml:space="preserve">الخیارات </w:t>
            </w:r>
            <w:r>
              <w:rPr>
                <w:rStyle w:val="IndexLink"/>
                <w:rtl w:val="true"/>
              </w:rPr>
              <w:t>(</w:t>
            </w:r>
            <w:r>
              <w:rPr>
                <w:rStyle w:val="IndexLink"/>
              </w:rPr>
              <w:t>3</w:t>
            </w:r>
            <w:r>
              <w:rPr>
                <w:rStyle w:val="IndexLink"/>
                <w:rtl w:val="true"/>
              </w:rPr>
              <w:t>)</w:t>
              <w:tab/>
            </w:r>
            <w:r>
              <w:rPr>
                <w:rStyle w:val="IndexLink"/>
              </w:rPr>
              <w:t>241</w:t>
            </w:r>
          </w:hyperlink>
        </w:p>
        <w:p>
          <w:pPr>
            <w:pStyle w:val="Contents4"/>
            <w:tabs>
              <w:tab w:val="clear" w:pos="8176"/>
              <w:tab w:val="right" w:pos="9026" w:leader="dot"/>
            </w:tabs>
            <w:rPr/>
          </w:pPr>
          <w:hyperlink w:anchor="__RefHeading___Toc580772_774463916">
            <w:r>
              <w:rPr>
                <w:webHidden/>
                <w:rStyle w:val="IndexLink"/>
              </w:rPr>
              <w:t>8</w:t>
            </w:r>
            <w:r>
              <w:rPr>
                <w:rStyle w:val="IndexLink"/>
                <w:rtl w:val="true"/>
              </w:rPr>
              <w:t xml:space="preserve">- </w:t>
            </w:r>
            <w:r>
              <w:rPr>
                <w:rStyle w:val="IndexLink"/>
                <w:rtl w:val="true"/>
              </w:rPr>
              <w:t>خیار تخلّف الشرط</w:t>
            </w:r>
            <w:r>
              <w:rPr>
                <w:rStyle w:val="IndexLink"/>
                <w:rtl w:val="true"/>
              </w:rPr>
              <w:tab/>
            </w:r>
            <w:r>
              <w:rPr>
                <w:rStyle w:val="IndexLink"/>
              </w:rPr>
              <w:t>241</w:t>
            </w:r>
          </w:hyperlink>
        </w:p>
        <w:p>
          <w:pPr>
            <w:pStyle w:val="Contents4"/>
            <w:tabs>
              <w:tab w:val="clear" w:pos="8176"/>
              <w:tab w:val="right" w:pos="9026" w:leader="dot"/>
            </w:tabs>
            <w:rPr/>
          </w:pPr>
          <w:hyperlink w:anchor="__RefHeading___Toc580774_774463916">
            <w:r>
              <w:rPr>
                <w:webHidden/>
                <w:rStyle w:val="IndexLink"/>
                <w:rtl w:val="true"/>
              </w:rPr>
              <w:t>الرّبا</w:t>
            </w:r>
            <w:r>
              <w:rPr>
                <w:rStyle w:val="IndexLink"/>
                <w:rtl w:val="true"/>
              </w:rPr>
              <w:tab/>
            </w:r>
            <w:r>
              <w:rPr>
                <w:rStyle w:val="IndexLink"/>
              </w:rPr>
              <w:t>242</w:t>
            </w:r>
          </w:hyperlink>
        </w:p>
        <w:p>
          <w:pPr>
            <w:pStyle w:val="Contents3"/>
            <w:tabs>
              <w:tab w:val="clear" w:pos="8459"/>
              <w:tab w:val="right" w:pos="9026" w:leader="dot"/>
            </w:tabs>
            <w:rPr/>
          </w:pPr>
          <w:hyperlink w:anchor="__RefHeading___Toc580776_774463916">
            <w:r>
              <w:rPr>
                <w:webHidden/>
                <w:rStyle w:val="IndexLink"/>
                <w:rtl w:val="true"/>
              </w:rPr>
              <w:t>الدرس</w:t>
            </w:r>
            <w:r>
              <w:rPr>
                <w:rStyle w:val="IndexLink"/>
              </w:rPr>
              <w:t>11</w:t>
            </w:r>
            <w:r>
              <w:rPr>
                <w:rStyle w:val="IndexLink"/>
                <w:rtl w:val="true"/>
              </w:rPr>
              <w:t xml:space="preserve"> - </w:t>
            </w:r>
            <w:r>
              <w:rPr>
                <w:rStyle w:val="IndexLink"/>
                <w:rtl w:val="true"/>
              </w:rPr>
              <w:t>بیع الصرف والسَلَم</w:t>
            </w:r>
            <w:r>
              <w:rPr>
                <w:rStyle w:val="IndexLink"/>
                <w:rtl w:val="true"/>
              </w:rPr>
              <w:tab/>
            </w:r>
            <w:r>
              <w:rPr>
                <w:rStyle w:val="IndexLink"/>
              </w:rPr>
              <w:t>244</w:t>
            </w:r>
          </w:hyperlink>
        </w:p>
        <w:p>
          <w:pPr>
            <w:pStyle w:val="Contents4"/>
            <w:tabs>
              <w:tab w:val="clear" w:pos="8176"/>
              <w:tab w:val="right" w:pos="9026" w:leader="dot"/>
            </w:tabs>
            <w:rPr/>
          </w:pPr>
          <w:hyperlink w:anchor="__RefHeading___Toc580778_774463916">
            <w:r>
              <w:rPr>
                <w:webHidden/>
                <w:rStyle w:val="IndexLink"/>
                <w:rtl w:val="true"/>
              </w:rPr>
              <w:t>بیع الصرف</w:t>
            </w:r>
            <w:r>
              <w:rPr>
                <w:rStyle w:val="IndexLink"/>
                <w:rtl w:val="true"/>
              </w:rPr>
              <w:tab/>
            </w:r>
            <w:r>
              <w:rPr>
                <w:rStyle w:val="IndexLink"/>
              </w:rPr>
              <w:t>244</w:t>
            </w:r>
          </w:hyperlink>
        </w:p>
        <w:p>
          <w:pPr>
            <w:pStyle w:val="Contents4"/>
            <w:tabs>
              <w:tab w:val="clear" w:pos="8176"/>
              <w:tab w:val="right" w:pos="9026" w:leader="dot"/>
            </w:tabs>
            <w:rPr/>
          </w:pPr>
          <w:hyperlink w:anchor="__RefHeading___Toc580780_774463916">
            <w:r>
              <w:rPr>
                <w:webHidden/>
                <w:rStyle w:val="IndexLink"/>
                <w:rtl w:val="true"/>
              </w:rPr>
              <w:t>بیع السلف أوالسلّم</w:t>
            </w:r>
            <w:r>
              <w:rPr>
                <w:rStyle w:val="IndexLink"/>
                <w:rtl w:val="true"/>
              </w:rPr>
              <w:tab/>
            </w:r>
            <w:r>
              <w:rPr>
                <w:rStyle w:val="IndexLink"/>
              </w:rPr>
              <w:t>245</w:t>
            </w:r>
          </w:hyperlink>
        </w:p>
        <w:p>
          <w:pPr>
            <w:pStyle w:val="Contents3"/>
            <w:tabs>
              <w:tab w:val="clear" w:pos="8459"/>
              <w:tab w:val="right" w:pos="9026" w:leader="dot"/>
            </w:tabs>
            <w:rPr/>
          </w:pPr>
          <w:hyperlink w:anchor="__RefHeading___Toc580782_774463916">
            <w:r>
              <w:rPr>
                <w:webHidden/>
                <w:rStyle w:val="IndexLink"/>
                <w:rtl w:val="true"/>
              </w:rPr>
              <w:t>الدرس</w:t>
            </w:r>
            <w:r>
              <w:rPr>
                <w:rStyle w:val="IndexLink"/>
              </w:rPr>
              <w:t>12</w:t>
            </w:r>
            <w:r>
              <w:rPr>
                <w:rStyle w:val="IndexLink"/>
                <w:rtl w:val="true"/>
              </w:rPr>
              <w:t xml:space="preserve"> - </w:t>
            </w:r>
            <w:r>
              <w:rPr>
                <w:rStyle w:val="IndexLink"/>
                <w:rtl w:val="true"/>
              </w:rPr>
              <w:t>شروط المتبایعین</w:t>
            </w:r>
            <w:r>
              <w:rPr>
                <w:rStyle w:val="IndexLink"/>
                <w:rtl w:val="true"/>
              </w:rPr>
              <w:tab/>
            </w:r>
            <w:r>
              <w:rPr>
                <w:rStyle w:val="IndexLink"/>
              </w:rPr>
              <w:t>247</w:t>
            </w:r>
          </w:hyperlink>
        </w:p>
        <w:p>
          <w:pPr>
            <w:pStyle w:val="Contents4"/>
            <w:tabs>
              <w:tab w:val="clear" w:pos="8176"/>
              <w:tab w:val="right" w:pos="9026" w:leader="dot"/>
            </w:tabs>
            <w:rPr/>
          </w:pPr>
          <w:hyperlink w:anchor="__RefHeading___Toc580784_774463916">
            <w:r>
              <w:rPr>
                <w:webHidden/>
                <w:rStyle w:val="IndexLink"/>
                <w:rtl w:val="true"/>
              </w:rPr>
              <w:t>القبض والتسلیم</w:t>
            </w:r>
            <w:r>
              <w:rPr>
                <w:rStyle w:val="IndexLink"/>
                <w:rtl w:val="true"/>
              </w:rPr>
              <w:tab/>
            </w:r>
            <w:r>
              <w:rPr>
                <w:rStyle w:val="IndexLink"/>
              </w:rPr>
              <w:t>247</w:t>
            </w:r>
          </w:hyperlink>
        </w:p>
        <w:p>
          <w:pPr>
            <w:pStyle w:val="Contents4"/>
            <w:tabs>
              <w:tab w:val="clear" w:pos="8176"/>
              <w:tab w:val="right" w:pos="9026" w:leader="dot"/>
            </w:tabs>
            <w:rPr/>
          </w:pPr>
          <w:hyperlink w:anchor="__RefHeading___Toc580786_774463916">
            <w:r>
              <w:rPr>
                <w:webHidden/>
                <w:rStyle w:val="IndexLink"/>
                <w:rtl w:val="true"/>
              </w:rPr>
              <w:t>النقد والنسیئة</w:t>
            </w:r>
            <w:r>
              <w:rPr>
                <w:rStyle w:val="IndexLink"/>
                <w:rtl w:val="true"/>
              </w:rPr>
              <w:tab/>
            </w:r>
            <w:r>
              <w:rPr>
                <w:rStyle w:val="IndexLink"/>
              </w:rPr>
              <w:t>248</w:t>
            </w:r>
          </w:hyperlink>
        </w:p>
        <w:p>
          <w:pPr>
            <w:pStyle w:val="Contents3"/>
            <w:tabs>
              <w:tab w:val="clear" w:pos="8459"/>
              <w:tab w:val="right" w:pos="9026" w:leader="dot"/>
            </w:tabs>
            <w:rPr/>
          </w:pPr>
          <w:hyperlink w:anchor="__RefHeading___Toc580788_774463916">
            <w:r>
              <w:rPr>
                <w:webHidden/>
                <w:rStyle w:val="IndexLink"/>
                <w:rtl w:val="true"/>
              </w:rPr>
              <w:t>الدرس</w:t>
            </w:r>
            <w:r>
              <w:rPr>
                <w:rStyle w:val="IndexLink"/>
              </w:rPr>
              <w:t>13</w:t>
            </w:r>
            <w:r>
              <w:rPr>
                <w:rStyle w:val="IndexLink"/>
                <w:rtl w:val="true"/>
              </w:rPr>
              <w:t xml:space="preserve"> - </w:t>
            </w:r>
            <w:r>
              <w:rPr>
                <w:rStyle w:val="IndexLink"/>
                <w:rtl w:val="true"/>
              </w:rPr>
              <w:t>کتاب الإجارة</w:t>
            </w:r>
            <w:r>
              <w:rPr>
                <w:rStyle w:val="IndexLink"/>
                <w:rtl w:val="true"/>
              </w:rPr>
              <w:tab/>
            </w:r>
            <w:r>
              <w:rPr>
                <w:rStyle w:val="IndexLink"/>
              </w:rPr>
              <w:t>250</w:t>
            </w:r>
          </w:hyperlink>
        </w:p>
        <w:p>
          <w:pPr>
            <w:pStyle w:val="Contents4"/>
            <w:tabs>
              <w:tab w:val="clear" w:pos="8176"/>
              <w:tab w:val="right" w:pos="9026" w:leader="dot"/>
            </w:tabs>
            <w:rPr/>
          </w:pPr>
          <w:hyperlink w:anchor="__RefHeading___Toc580790_774463916">
            <w:r>
              <w:rPr>
                <w:webHidden/>
                <w:rStyle w:val="IndexLink"/>
                <w:rtl w:val="true"/>
              </w:rPr>
              <w:t>حقیقة الإجارة</w:t>
            </w:r>
            <w:r>
              <w:rPr>
                <w:rStyle w:val="IndexLink"/>
                <w:rtl w:val="true"/>
              </w:rPr>
              <w:tab/>
            </w:r>
            <w:r>
              <w:rPr>
                <w:rStyle w:val="IndexLink"/>
              </w:rPr>
              <w:t>250</w:t>
            </w:r>
          </w:hyperlink>
        </w:p>
        <w:p>
          <w:pPr>
            <w:pStyle w:val="Contents4"/>
            <w:tabs>
              <w:tab w:val="clear" w:pos="8176"/>
              <w:tab w:val="right" w:pos="9026" w:leader="dot"/>
            </w:tabs>
            <w:rPr/>
          </w:pPr>
          <w:hyperlink w:anchor="__RefHeading___Toc580792_774463916">
            <w:r>
              <w:rPr>
                <w:webHidden/>
                <w:rStyle w:val="IndexLink"/>
                <w:rtl w:val="true"/>
              </w:rPr>
              <w:t>شرائط العوضین</w:t>
            </w:r>
            <w:r>
              <w:rPr>
                <w:rStyle w:val="IndexLink"/>
                <w:rtl w:val="true"/>
              </w:rPr>
              <w:tab/>
            </w:r>
            <w:r>
              <w:rPr>
                <w:rStyle w:val="IndexLink"/>
              </w:rPr>
              <w:t>251</w:t>
            </w:r>
          </w:hyperlink>
        </w:p>
        <w:p>
          <w:pPr>
            <w:pStyle w:val="Contents3"/>
            <w:tabs>
              <w:tab w:val="clear" w:pos="8459"/>
              <w:tab w:val="right" w:pos="9026" w:leader="dot"/>
            </w:tabs>
            <w:rPr/>
          </w:pPr>
          <w:hyperlink w:anchor="__RefHeading___Toc580794_774463916">
            <w:r>
              <w:rPr>
                <w:webHidden/>
                <w:rStyle w:val="IndexLink"/>
                <w:rtl w:val="true"/>
              </w:rPr>
              <w:t>الدرس</w:t>
            </w:r>
            <w:r>
              <w:rPr>
                <w:rStyle w:val="IndexLink"/>
              </w:rPr>
              <w:t>14</w:t>
            </w:r>
            <w:r>
              <w:rPr>
                <w:rStyle w:val="IndexLink"/>
                <w:rtl w:val="true"/>
              </w:rPr>
              <w:t xml:space="preserve"> - </w:t>
            </w:r>
            <w:r>
              <w:rPr>
                <w:rStyle w:val="IndexLink"/>
                <w:rtl w:val="true"/>
              </w:rPr>
              <w:t xml:space="preserve">کتاب الإجارة </w:t>
            </w:r>
            <w:r>
              <w:rPr>
                <w:rStyle w:val="IndexLink"/>
                <w:rtl w:val="true"/>
              </w:rPr>
              <w:t>(</w:t>
            </w:r>
            <w:r>
              <w:rPr>
                <w:rStyle w:val="IndexLink"/>
              </w:rPr>
              <w:t>2</w:t>
            </w:r>
            <w:r>
              <w:rPr>
                <w:rStyle w:val="IndexLink"/>
                <w:rtl w:val="true"/>
              </w:rPr>
              <w:t>)</w:t>
              <w:tab/>
            </w:r>
            <w:r>
              <w:rPr>
                <w:rStyle w:val="IndexLink"/>
              </w:rPr>
              <w:t>253</w:t>
            </w:r>
          </w:hyperlink>
        </w:p>
        <w:p>
          <w:pPr>
            <w:pStyle w:val="Contents4"/>
            <w:tabs>
              <w:tab w:val="clear" w:pos="8176"/>
              <w:tab w:val="right" w:pos="9026" w:leader="dot"/>
            </w:tabs>
            <w:rPr/>
          </w:pPr>
          <w:hyperlink w:anchor="__RefHeading___Toc580796_774463916">
            <w:r>
              <w:rPr>
                <w:webHidden/>
                <w:rStyle w:val="IndexLink"/>
                <w:rtl w:val="true"/>
              </w:rPr>
              <w:t>من أحکام الإجارة</w:t>
            </w:r>
            <w:r>
              <w:rPr>
                <w:rStyle w:val="IndexLink"/>
                <w:rtl w:val="true"/>
              </w:rPr>
              <w:tab/>
            </w:r>
            <w:r>
              <w:rPr>
                <w:rStyle w:val="IndexLink"/>
              </w:rPr>
              <w:t>253</w:t>
            </w:r>
          </w:hyperlink>
        </w:p>
        <w:p>
          <w:pPr>
            <w:pStyle w:val="Contents3"/>
            <w:tabs>
              <w:tab w:val="clear" w:pos="8459"/>
              <w:tab w:val="right" w:pos="9026" w:leader="dot"/>
            </w:tabs>
            <w:rPr/>
          </w:pPr>
          <w:hyperlink w:anchor="__RefHeading___Toc580798_774463916">
            <w:r>
              <w:rPr>
                <w:webHidden/>
                <w:rStyle w:val="IndexLink"/>
                <w:rtl w:val="true"/>
              </w:rPr>
              <w:t>الدرس</w:t>
            </w:r>
            <w:r>
              <w:rPr>
                <w:rStyle w:val="IndexLink"/>
              </w:rPr>
              <w:t>15</w:t>
            </w:r>
            <w:r>
              <w:rPr>
                <w:rStyle w:val="IndexLink"/>
                <w:rtl w:val="true"/>
              </w:rPr>
              <w:t xml:space="preserve"> - </w:t>
            </w:r>
            <w:r>
              <w:rPr>
                <w:rStyle w:val="IndexLink"/>
                <w:rtl w:val="true"/>
              </w:rPr>
              <w:t>کتاب المزارعة</w:t>
            </w:r>
            <w:r>
              <w:rPr>
                <w:rStyle w:val="IndexLink"/>
                <w:rtl w:val="true"/>
              </w:rPr>
              <w:tab/>
            </w:r>
            <w:r>
              <w:rPr>
                <w:rStyle w:val="IndexLink"/>
              </w:rPr>
              <w:t>256</w:t>
            </w:r>
          </w:hyperlink>
        </w:p>
        <w:p>
          <w:pPr>
            <w:pStyle w:val="Contents4"/>
            <w:tabs>
              <w:tab w:val="clear" w:pos="8176"/>
              <w:tab w:val="right" w:pos="9026" w:leader="dot"/>
            </w:tabs>
            <w:rPr/>
          </w:pPr>
          <w:hyperlink w:anchor="__RefHeading___Toc580800_774463916">
            <w:r>
              <w:rPr>
                <w:webHidden/>
                <w:rStyle w:val="IndexLink"/>
                <w:rtl w:val="true"/>
              </w:rPr>
              <w:t>حقیقة المزارعة</w:t>
            </w:r>
            <w:r>
              <w:rPr>
                <w:rStyle w:val="IndexLink"/>
                <w:rtl w:val="true"/>
              </w:rPr>
              <w:tab/>
            </w:r>
            <w:r>
              <w:rPr>
                <w:rStyle w:val="IndexLink"/>
              </w:rPr>
              <w:t>256</w:t>
            </w:r>
          </w:hyperlink>
        </w:p>
        <w:p>
          <w:pPr>
            <w:pStyle w:val="Contents3"/>
            <w:tabs>
              <w:tab w:val="clear" w:pos="8459"/>
              <w:tab w:val="right" w:pos="9026" w:leader="dot"/>
            </w:tabs>
            <w:rPr/>
          </w:pPr>
          <w:hyperlink w:anchor="__RefHeading___Toc580802_774463916">
            <w:r>
              <w:rPr>
                <w:webHidden/>
                <w:rStyle w:val="IndexLink"/>
                <w:rtl w:val="true"/>
              </w:rPr>
              <w:t>الدرس</w:t>
            </w:r>
            <w:r>
              <w:rPr>
                <w:rStyle w:val="IndexLink"/>
              </w:rPr>
              <w:t>16</w:t>
            </w:r>
            <w:r>
              <w:rPr>
                <w:rStyle w:val="IndexLink"/>
                <w:rtl w:val="true"/>
              </w:rPr>
              <w:t xml:space="preserve"> - </w:t>
            </w:r>
            <w:r>
              <w:rPr>
                <w:rStyle w:val="IndexLink"/>
                <w:rtl w:val="true"/>
              </w:rPr>
              <w:t>کتاب المساقاة</w:t>
            </w:r>
            <w:r>
              <w:rPr>
                <w:rStyle w:val="IndexLink"/>
                <w:rtl w:val="true"/>
              </w:rPr>
              <w:tab/>
            </w:r>
            <w:r>
              <w:rPr>
                <w:rStyle w:val="IndexLink"/>
              </w:rPr>
              <w:t>259</w:t>
            </w:r>
          </w:hyperlink>
        </w:p>
        <w:p>
          <w:pPr>
            <w:pStyle w:val="Contents4"/>
            <w:tabs>
              <w:tab w:val="clear" w:pos="8176"/>
              <w:tab w:val="right" w:pos="9026" w:leader="dot"/>
            </w:tabs>
            <w:rPr/>
          </w:pPr>
          <w:hyperlink w:anchor="__RefHeading___Toc580804_774463916">
            <w:r>
              <w:rPr>
                <w:webHidden/>
                <w:rStyle w:val="IndexLink"/>
                <w:rtl w:val="true"/>
              </w:rPr>
              <w:t>حقیقة المساقاة</w:t>
            </w:r>
            <w:r>
              <w:rPr>
                <w:rStyle w:val="IndexLink"/>
                <w:rtl w:val="true"/>
              </w:rPr>
              <w:tab/>
            </w:r>
            <w:r>
              <w:rPr>
                <w:rStyle w:val="IndexLink"/>
              </w:rPr>
              <w:t>259</w:t>
            </w:r>
          </w:hyperlink>
        </w:p>
        <w:p>
          <w:pPr>
            <w:pStyle w:val="Contents4"/>
            <w:tabs>
              <w:tab w:val="clear" w:pos="8176"/>
              <w:tab w:val="right" w:pos="9026" w:leader="dot"/>
            </w:tabs>
            <w:rPr/>
          </w:pPr>
          <w:hyperlink w:anchor="__RefHeading___Toc580806_774463916">
            <w:r>
              <w:rPr>
                <w:webHidden/>
                <w:rStyle w:val="IndexLink"/>
                <w:rtl w:val="true"/>
              </w:rPr>
              <w:t>من أحکام المساقات</w:t>
            </w:r>
            <w:r>
              <w:rPr>
                <w:rStyle w:val="IndexLink"/>
                <w:rtl w:val="true"/>
              </w:rPr>
              <w:tab/>
            </w:r>
            <w:r>
              <w:rPr>
                <w:rStyle w:val="IndexLink"/>
              </w:rPr>
              <w:t>260</w:t>
            </w:r>
          </w:hyperlink>
        </w:p>
        <w:p>
          <w:pPr>
            <w:pStyle w:val="Contents3"/>
            <w:tabs>
              <w:tab w:val="clear" w:pos="8459"/>
              <w:tab w:val="right" w:pos="9026" w:leader="dot"/>
            </w:tabs>
            <w:rPr/>
          </w:pPr>
          <w:hyperlink w:anchor="__RefHeading___Toc580808_774463916">
            <w:r>
              <w:rPr>
                <w:webHidden/>
                <w:rStyle w:val="IndexLink"/>
                <w:rtl w:val="true"/>
              </w:rPr>
              <w:t>الدرس</w:t>
            </w:r>
            <w:r>
              <w:rPr>
                <w:rStyle w:val="IndexLink"/>
              </w:rPr>
              <w:t>17</w:t>
            </w:r>
            <w:r>
              <w:rPr>
                <w:rStyle w:val="IndexLink"/>
                <w:rtl w:val="true"/>
              </w:rPr>
              <w:t xml:space="preserve"> - </w:t>
            </w:r>
            <w:r>
              <w:rPr>
                <w:rStyle w:val="IndexLink"/>
                <w:rtl w:val="true"/>
              </w:rPr>
              <w:t>کتاب الشرکة</w:t>
            </w:r>
            <w:r>
              <w:rPr>
                <w:rStyle w:val="IndexLink"/>
                <w:rtl w:val="true"/>
              </w:rPr>
              <w:tab/>
            </w:r>
            <w:r>
              <w:rPr>
                <w:rStyle w:val="IndexLink"/>
              </w:rPr>
              <w:t>261</w:t>
            </w:r>
          </w:hyperlink>
        </w:p>
        <w:p>
          <w:pPr>
            <w:pStyle w:val="Contents4"/>
            <w:tabs>
              <w:tab w:val="clear" w:pos="8176"/>
              <w:tab w:val="right" w:pos="9026" w:leader="dot"/>
            </w:tabs>
            <w:rPr/>
          </w:pPr>
          <w:hyperlink w:anchor="__RefHeading___Toc580810_774463916">
            <w:r>
              <w:rPr>
                <w:webHidden/>
                <w:rStyle w:val="IndexLink"/>
                <w:rtl w:val="true"/>
              </w:rPr>
              <w:t>حقیقة الشرکة</w:t>
            </w:r>
            <w:r>
              <w:rPr>
                <w:rStyle w:val="IndexLink"/>
                <w:rtl w:val="true"/>
              </w:rPr>
              <w:tab/>
            </w:r>
            <w:r>
              <w:rPr>
                <w:rStyle w:val="IndexLink"/>
              </w:rPr>
              <w:t>261</w:t>
            </w:r>
          </w:hyperlink>
        </w:p>
        <w:p>
          <w:pPr>
            <w:pStyle w:val="Contents4"/>
            <w:tabs>
              <w:tab w:val="clear" w:pos="8176"/>
              <w:tab w:val="right" w:pos="9026" w:leader="dot"/>
            </w:tabs>
            <w:rPr/>
          </w:pPr>
          <w:hyperlink w:anchor="__RefHeading___Toc580812_774463916">
            <w:r>
              <w:rPr>
                <w:webHidden/>
                <w:rStyle w:val="IndexLink"/>
                <w:rtl w:val="true"/>
              </w:rPr>
              <w:t>أنواع الشرکة الفاسدة</w:t>
            </w:r>
            <w:r>
              <w:rPr>
                <w:rStyle w:val="IndexLink"/>
                <w:rtl w:val="true"/>
              </w:rPr>
              <w:tab/>
            </w:r>
            <w:r>
              <w:rPr>
                <w:rStyle w:val="IndexLink"/>
              </w:rPr>
              <w:t>263</w:t>
            </w:r>
          </w:hyperlink>
        </w:p>
        <w:p>
          <w:pPr>
            <w:pStyle w:val="Contents3"/>
            <w:tabs>
              <w:tab w:val="clear" w:pos="8459"/>
              <w:tab w:val="right" w:pos="9026" w:leader="dot"/>
            </w:tabs>
            <w:rPr/>
          </w:pPr>
          <w:hyperlink w:anchor="__RefHeading___Toc580814_774463916">
            <w:r>
              <w:rPr>
                <w:webHidden/>
                <w:rStyle w:val="IndexLink"/>
                <w:rtl w:val="true"/>
              </w:rPr>
              <w:t>الدرس</w:t>
            </w:r>
            <w:r>
              <w:rPr>
                <w:rStyle w:val="IndexLink"/>
              </w:rPr>
              <w:t>18</w:t>
            </w:r>
            <w:r>
              <w:rPr>
                <w:rStyle w:val="IndexLink"/>
                <w:rtl w:val="true"/>
              </w:rPr>
              <w:t xml:space="preserve"> - </w:t>
            </w:r>
            <w:r>
              <w:rPr>
                <w:rStyle w:val="IndexLink"/>
                <w:rtl w:val="true"/>
              </w:rPr>
              <w:t>کتاب المضاربة</w:t>
            </w:r>
            <w:r>
              <w:rPr>
                <w:rStyle w:val="IndexLink"/>
                <w:rtl w:val="true"/>
              </w:rPr>
              <w:tab/>
            </w:r>
            <w:r>
              <w:rPr>
                <w:rStyle w:val="IndexLink"/>
              </w:rPr>
              <w:t>265</w:t>
            </w:r>
          </w:hyperlink>
        </w:p>
        <w:p>
          <w:pPr>
            <w:pStyle w:val="Contents4"/>
            <w:tabs>
              <w:tab w:val="clear" w:pos="8176"/>
              <w:tab w:val="right" w:pos="9026" w:leader="dot"/>
            </w:tabs>
            <w:rPr/>
          </w:pPr>
          <w:hyperlink w:anchor="__RefHeading___Toc580816_774463916">
            <w:r>
              <w:rPr>
                <w:webHidden/>
                <w:rStyle w:val="IndexLink"/>
                <w:rtl w:val="true"/>
              </w:rPr>
              <w:t>حقیقة المضاربة</w:t>
            </w:r>
            <w:r>
              <w:rPr>
                <w:rStyle w:val="IndexLink"/>
                <w:rtl w:val="true"/>
              </w:rPr>
              <w:tab/>
            </w:r>
            <w:r>
              <w:rPr>
                <w:rStyle w:val="IndexLink"/>
              </w:rPr>
              <w:t>265</w:t>
            </w:r>
          </w:hyperlink>
        </w:p>
        <w:p>
          <w:pPr>
            <w:pStyle w:val="Contents3"/>
            <w:tabs>
              <w:tab w:val="clear" w:pos="8459"/>
              <w:tab w:val="right" w:pos="9026" w:leader="dot"/>
            </w:tabs>
            <w:rPr/>
          </w:pPr>
          <w:hyperlink w:anchor="__RefHeading___Toc580818_774463916">
            <w:r>
              <w:rPr>
                <w:webHidden/>
                <w:rStyle w:val="IndexLink"/>
                <w:rtl w:val="true"/>
              </w:rPr>
              <w:t>الدرس</w:t>
            </w:r>
            <w:r>
              <w:rPr>
                <w:rStyle w:val="IndexLink"/>
              </w:rPr>
              <w:t>19</w:t>
            </w:r>
            <w:r>
              <w:rPr>
                <w:rStyle w:val="IndexLink"/>
                <w:rtl w:val="true"/>
              </w:rPr>
              <w:t xml:space="preserve"> - </w:t>
            </w:r>
            <w:r>
              <w:rPr>
                <w:rStyle w:val="IndexLink"/>
                <w:rtl w:val="true"/>
              </w:rPr>
              <w:t xml:space="preserve">کتاب المضاربة </w:t>
            </w:r>
            <w:r>
              <w:rPr>
                <w:rStyle w:val="IndexLink"/>
                <w:rtl w:val="true"/>
              </w:rPr>
              <w:t>(</w:t>
            </w:r>
            <w:r>
              <w:rPr>
                <w:rStyle w:val="IndexLink"/>
              </w:rPr>
              <w:t>2</w:t>
            </w:r>
            <w:r>
              <w:rPr>
                <w:rStyle w:val="IndexLink"/>
                <w:rtl w:val="true"/>
              </w:rPr>
              <w:t>)</w:t>
              <w:tab/>
            </w:r>
            <w:r>
              <w:rPr>
                <w:rStyle w:val="IndexLink"/>
              </w:rPr>
              <w:t>268</w:t>
            </w:r>
          </w:hyperlink>
        </w:p>
        <w:p>
          <w:pPr>
            <w:pStyle w:val="Contents4"/>
            <w:tabs>
              <w:tab w:val="clear" w:pos="8176"/>
              <w:tab w:val="right" w:pos="9026" w:leader="dot"/>
            </w:tabs>
            <w:rPr/>
          </w:pPr>
          <w:hyperlink w:anchor="__RefHeading___Toc580820_774463916">
            <w:r>
              <w:rPr>
                <w:webHidden/>
                <w:rStyle w:val="IndexLink"/>
                <w:rtl w:val="true"/>
              </w:rPr>
              <w:t>من أحکام المضاربة</w:t>
            </w:r>
            <w:r>
              <w:rPr>
                <w:rStyle w:val="IndexLink"/>
                <w:rtl w:val="true"/>
              </w:rPr>
              <w:tab/>
            </w:r>
            <w:r>
              <w:rPr>
                <w:rStyle w:val="IndexLink"/>
              </w:rPr>
              <w:t>268</w:t>
            </w:r>
          </w:hyperlink>
        </w:p>
        <w:p>
          <w:pPr>
            <w:pStyle w:val="Contents3"/>
            <w:tabs>
              <w:tab w:val="clear" w:pos="8459"/>
              <w:tab w:val="right" w:pos="9026" w:leader="dot"/>
            </w:tabs>
            <w:rPr/>
          </w:pPr>
          <w:hyperlink w:anchor="__RefHeading___Toc580822_774463916">
            <w:r>
              <w:rPr>
                <w:webHidden/>
                <w:rStyle w:val="IndexLink"/>
                <w:rtl w:val="true"/>
              </w:rPr>
              <w:t>الدرس</w:t>
            </w:r>
            <w:r>
              <w:rPr>
                <w:rStyle w:val="IndexLink"/>
              </w:rPr>
              <w:t>20</w:t>
            </w:r>
            <w:r>
              <w:rPr>
                <w:rStyle w:val="IndexLink"/>
                <w:rtl w:val="true"/>
              </w:rPr>
              <w:t xml:space="preserve"> - </w:t>
            </w:r>
            <w:r>
              <w:rPr>
                <w:rStyle w:val="IndexLink"/>
                <w:rtl w:val="true"/>
              </w:rPr>
              <w:t>کتاب الودیعة</w:t>
            </w:r>
            <w:r>
              <w:rPr>
                <w:rStyle w:val="IndexLink"/>
                <w:rtl w:val="true"/>
              </w:rPr>
              <w:tab/>
            </w:r>
            <w:r>
              <w:rPr>
                <w:rStyle w:val="IndexLink"/>
              </w:rPr>
              <w:t>270</w:t>
            </w:r>
          </w:hyperlink>
        </w:p>
        <w:p>
          <w:pPr>
            <w:pStyle w:val="Contents4"/>
            <w:tabs>
              <w:tab w:val="clear" w:pos="8176"/>
              <w:tab w:val="right" w:pos="9026" w:leader="dot"/>
            </w:tabs>
            <w:rPr/>
          </w:pPr>
          <w:hyperlink w:anchor="__RefHeading___Toc580824_774463916">
            <w:r>
              <w:rPr>
                <w:webHidden/>
                <w:rStyle w:val="IndexLink"/>
                <w:rtl w:val="true"/>
              </w:rPr>
              <w:t>حقیقة الودیعة</w:t>
            </w:r>
            <w:r>
              <w:rPr>
                <w:rStyle w:val="IndexLink"/>
                <w:rtl w:val="true"/>
              </w:rPr>
              <w:tab/>
            </w:r>
            <w:r>
              <w:rPr>
                <w:rStyle w:val="IndexLink"/>
              </w:rPr>
              <w:t>270</w:t>
            </w:r>
          </w:hyperlink>
        </w:p>
        <w:p>
          <w:pPr>
            <w:pStyle w:val="Contents3"/>
            <w:tabs>
              <w:tab w:val="clear" w:pos="8459"/>
              <w:tab w:val="right" w:pos="9026" w:leader="dot"/>
            </w:tabs>
            <w:rPr/>
          </w:pPr>
          <w:hyperlink w:anchor="__RefHeading___Toc580826_774463916">
            <w:r>
              <w:rPr>
                <w:webHidden/>
                <w:rStyle w:val="IndexLink"/>
                <w:rtl w:val="true"/>
              </w:rPr>
              <w:t>الدرس</w:t>
            </w:r>
            <w:r>
              <w:rPr>
                <w:rStyle w:val="IndexLink"/>
              </w:rPr>
              <w:t>21</w:t>
            </w:r>
            <w:r>
              <w:rPr>
                <w:rStyle w:val="IndexLink"/>
                <w:rtl w:val="true"/>
              </w:rPr>
              <w:t xml:space="preserve"> - </w:t>
            </w:r>
            <w:r>
              <w:rPr>
                <w:rStyle w:val="IndexLink"/>
                <w:rtl w:val="true"/>
              </w:rPr>
              <w:t>کتاب العاریة</w:t>
            </w:r>
            <w:r>
              <w:rPr>
                <w:rStyle w:val="IndexLink"/>
                <w:rtl w:val="true"/>
              </w:rPr>
              <w:tab/>
            </w:r>
            <w:r>
              <w:rPr>
                <w:rStyle w:val="IndexLink"/>
              </w:rPr>
              <w:t>273</w:t>
            </w:r>
          </w:hyperlink>
        </w:p>
        <w:p>
          <w:pPr>
            <w:pStyle w:val="Contents4"/>
            <w:tabs>
              <w:tab w:val="clear" w:pos="8176"/>
              <w:tab w:val="right" w:pos="9026" w:leader="dot"/>
            </w:tabs>
            <w:rPr/>
          </w:pPr>
          <w:hyperlink w:anchor="__RefHeading___Toc580828_774463916">
            <w:r>
              <w:rPr>
                <w:webHidden/>
                <w:rStyle w:val="IndexLink"/>
                <w:rtl w:val="true"/>
              </w:rPr>
              <w:t>حقیقة العاریة</w:t>
            </w:r>
            <w:r>
              <w:rPr>
                <w:rStyle w:val="IndexLink"/>
                <w:rtl w:val="true"/>
              </w:rPr>
              <w:tab/>
            </w:r>
            <w:r>
              <w:rPr>
                <w:rStyle w:val="IndexLink"/>
              </w:rPr>
              <w:t>273</w:t>
            </w:r>
          </w:hyperlink>
        </w:p>
        <w:p>
          <w:pPr>
            <w:pStyle w:val="Contents3"/>
            <w:tabs>
              <w:tab w:val="clear" w:pos="8459"/>
              <w:tab w:val="right" w:pos="9026" w:leader="dot"/>
            </w:tabs>
            <w:rPr/>
          </w:pPr>
          <w:hyperlink w:anchor="__RefHeading___Toc580830_774463916">
            <w:r>
              <w:rPr>
                <w:webHidden/>
                <w:rStyle w:val="IndexLink"/>
                <w:rtl w:val="true"/>
              </w:rPr>
              <w:t>الدرس</w:t>
            </w:r>
            <w:r>
              <w:rPr>
                <w:rStyle w:val="IndexLink"/>
              </w:rPr>
              <w:t>22</w:t>
            </w:r>
            <w:r>
              <w:rPr>
                <w:rStyle w:val="IndexLink"/>
                <w:rtl w:val="true"/>
              </w:rPr>
              <w:t xml:space="preserve">- </w:t>
            </w:r>
            <w:r>
              <w:rPr>
                <w:rStyle w:val="IndexLink"/>
                <w:rtl w:val="true"/>
              </w:rPr>
              <w:t>کتاب الجعالة</w:t>
            </w:r>
            <w:r>
              <w:rPr>
                <w:rStyle w:val="IndexLink"/>
                <w:rtl w:val="true"/>
              </w:rPr>
              <w:tab/>
            </w:r>
            <w:r>
              <w:rPr>
                <w:rStyle w:val="IndexLink"/>
              </w:rPr>
              <w:t>275</w:t>
            </w:r>
          </w:hyperlink>
        </w:p>
        <w:p>
          <w:pPr>
            <w:pStyle w:val="Contents4"/>
            <w:tabs>
              <w:tab w:val="clear" w:pos="8176"/>
              <w:tab w:val="right" w:pos="9026" w:leader="dot"/>
            </w:tabs>
            <w:rPr/>
          </w:pPr>
          <w:hyperlink w:anchor="__RefHeading___Toc580832_774463916">
            <w:r>
              <w:rPr>
                <w:webHidden/>
                <w:rStyle w:val="IndexLink"/>
                <w:rtl w:val="true"/>
              </w:rPr>
              <w:t>حقیقة الجعالة</w:t>
            </w:r>
            <w:r>
              <w:rPr>
                <w:rStyle w:val="IndexLink"/>
                <w:rtl w:val="true"/>
              </w:rPr>
              <w:tab/>
            </w:r>
            <w:r>
              <w:rPr>
                <w:rStyle w:val="IndexLink"/>
              </w:rPr>
              <w:t>275</w:t>
            </w:r>
          </w:hyperlink>
        </w:p>
        <w:p>
          <w:pPr>
            <w:pStyle w:val="Contents3"/>
            <w:tabs>
              <w:tab w:val="clear" w:pos="8459"/>
              <w:tab w:val="right" w:pos="9026" w:leader="dot"/>
            </w:tabs>
            <w:rPr/>
          </w:pPr>
          <w:hyperlink w:anchor="__RefHeading___Toc580834_774463916">
            <w:r>
              <w:rPr>
                <w:webHidden/>
                <w:rStyle w:val="IndexLink"/>
                <w:rtl w:val="true"/>
              </w:rPr>
              <w:t>الدرس</w:t>
            </w:r>
            <w:r>
              <w:rPr>
                <w:rStyle w:val="IndexLink"/>
              </w:rPr>
              <w:t>23</w:t>
            </w:r>
            <w:r>
              <w:rPr>
                <w:rStyle w:val="IndexLink"/>
                <w:rtl w:val="true"/>
              </w:rPr>
              <w:t xml:space="preserve"> -</w:t>
            </w:r>
            <w:r>
              <w:rPr>
                <w:rStyle w:val="IndexLink"/>
                <w:rtl w:val="true"/>
              </w:rPr>
              <w:t>کتاب الضمان</w:t>
            </w:r>
            <w:r>
              <w:rPr>
                <w:rStyle w:val="IndexLink"/>
                <w:rtl w:val="true"/>
              </w:rPr>
              <w:tab/>
            </w:r>
            <w:r>
              <w:rPr>
                <w:rStyle w:val="IndexLink"/>
              </w:rPr>
              <w:t>277</w:t>
            </w:r>
          </w:hyperlink>
        </w:p>
        <w:p>
          <w:pPr>
            <w:pStyle w:val="Contents4"/>
            <w:tabs>
              <w:tab w:val="clear" w:pos="8176"/>
              <w:tab w:val="right" w:pos="9026" w:leader="dot"/>
            </w:tabs>
            <w:rPr/>
          </w:pPr>
          <w:hyperlink w:anchor="__RefHeading___Toc580836_774463916">
            <w:r>
              <w:rPr>
                <w:webHidden/>
                <w:rStyle w:val="IndexLink"/>
                <w:rtl w:val="true"/>
              </w:rPr>
              <w:t>صور الضمان وحقیقته</w:t>
            </w:r>
            <w:r>
              <w:rPr>
                <w:rStyle w:val="IndexLink"/>
                <w:rtl w:val="true"/>
              </w:rPr>
              <w:tab/>
            </w:r>
            <w:r>
              <w:rPr>
                <w:rStyle w:val="IndexLink"/>
              </w:rPr>
              <w:t>277</w:t>
            </w:r>
          </w:hyperlink>
        </w:p>
        <w:p>
          <w:pPr>
            <w:pStyle w:val="Contents4"/>
            <w:tabs>
              <w:tab w:val="clear" w:pos="8176"/>
              <w:tab w:val="right" w:pos="9026" w:leader="dot"/>
            </w:tabs>
            <w:rPr/>
          </w:pPr>
          <w:hyperlink w:anchor="__RefHeading___Toc580838_774463916">
            <w:r>
              <w:rPr>
                <w:webHidden/>
                <w:rStyle w:val="IndexLink"/>
                <w:rtl w:val="true"/>
              </w:rPr>
              <w:t>من أحکام الضمان</w:t>
            </w:r>
            <w:r>
              <w:rPr>
                <w:rStyle w:val="IndexLink"/>
                <w:rtl w:val="true"/>
              </w:rPr>
              <w:tab/>
            </w:r>
            <w:r>
              <w:rPr>
                <w:rStyle w:val="IndexLink"/>
              </w:rPr>
              <w:t>278</w:t>
            </w:r>
          </w:hyperlink>
        </w:p>
        <w:p>
          <w:pPr>
            <w:pStyle w:val="Contents3"/>
            <w:tabs>
              <w:tab w:val="clear" w:pos="8459"/>
              <w:tab w:val="right" w:pos="9026" w:leader="dot"/>
            </w:tabs>
            <w:rPr/>
          </w:pPr>
          <w:hyperlink w:anchor="__RefHeading___Toc580840_774463916">
            <w:r>
              <w:rPr>
                <w:webHidden/>
                <w:rStyle w:val="IndexLink"/>
                <w:rtl w:val="true"/>
              </w:rPr>
              <w:t>الدرس</w:t>
            </w:r>
            <w:r>
              <w:rPr>
                <w:rStyle w:val="IndexLink"/>
              </w:rPr>
              <w:t>24</w:t>
            </w:r>
            <w:r>
              <w:rPr>
                <w:rStyle w:val="IndexLink"/>
                <w:rtl w:val="true"/>
              </w:rPr>
              <w:t xml:space="preserve"> - </w:t>
            </w:r>
            <w:r>
              <w:rPr>
                <w:rStyle w:val="IndexLink"/>
                <w:rtl w:val="true"/>
              </w:rPr>
              <w:t>کتاب الحوالة والکفالة</w:t>
            </w:r>
            <w:r>
              <w:rPr>
                <w:rStyle w:val="IndexLink"/>
                <w:rtl w:val="true"/>
              </w:rPr>
              <w:tab/>
            </w:r>
            <w:r>
              <w:rPr>
                <w:rStyle w:val="IndexLink"/>
              </w:rPr>
              <w:t>280</w:t>
            </w:r>
          </w:hyperlink>
        </w:p>
        <w:p>
          <w:pPr>
            <w:pStyle w:val="Contents4"/>
            <w:tabs>
              <w:tab w:val="clear" w:pos="8176"/>
              <w:tab w:val="right" w:pos="9026" w:leader="dot"/>
            </w:tabs>
            <w:rPr/>
          </w:pPr>
          <w:hyperlink w:anchor="__RefHeading___Toc580842_774463916">
            <w:r>
              <w:rPr>
                <w:webHidden/>
                <w:rStyle w:val="IndexLink"/>
                <w:rtl w:val="true"/>
              </w:rPr>
              <w:t>حقیقة الحوالة</w:t>
            </w:r>
            <w:r>
              <w:rPr>
                <w:rStyle w:val="IndexLink"/>
                <w:rtl w:val="true"/>
              </w:rPr>
              <w:tab/>
            </w:r>
            <w:r>
              <w:rPr>
                <w:rStyle w:val="IndexLink"/>
              </w:rPr>
              <w:t>280</w:t>
            </w:r>
          </w:hyperlink>
        </w:p>
        <w:p>
          <w:pPr>
            <w:pStyle w:val="Contents4"/>
            <w:tabs>
              <w:tab w:val="clear" w:pos="8176"/>
              <w:tab w:val="right" w:pos="9026" w:leader="dot"/>
            </w:tabs>
            <w:rPr/>
          </w:pPr>
          <w:hyperlink w:anchor="__RefHeading___Toc580844_774463916">
            <w:r>
              <w:rPr>
                <w:webHidden/>
                <w:rStyle w:val="IndexLink"/>
                <w:rtl w:val="true"/>
              </w:rPr>
              <w:t>من أحکام الحوالة</w:t>
            </w:r>
            <w:r>
              <w:rPr>
                <w:rStyle w:val="IndexLink"/>
                <w:rtl w:val="true"/>
              </w:rPr>
              <w:tab/>
            </w:r>
            <w:r>
              <w:rPr>
                <w:rStyle w:val="IndexLink"/>
              </w:rPr>
              <w:t>280</w:t>
            </w:r>
          </w:hyperlink>
        </w:p>
        <w:p>
          <w:pPr>
            <w:pStyle w:val="Contents4"/>
            <w:tabs>
              <w:tab w:val="clear" w:pos="8176"/>
              <w:tab w:val="right" w:pos="9026" w:leader="dot"/>
            </w:tabs>
            <w:rPr/>
          </w:pPr>
          <w:hyperlink w:anchor="__RefHeading___Toc580846_774463916">
            <w:r>
              <w:rPr>
                <w:webHidden/>
                <w:rStyle w:val="IndexLink"/>
                <w:rtl w:val="true"/>
              </w:rPr>
              <w:t>حقیقة الکفالة</w:t>
            </w:r>
            <w:r>
              <w:rPr>
                <w:rStyle w:val="IndexLink"/>
                <w:rtl w:val="true"/>
              </w:rPr>
              <w:tab/>
            </w:r>
            <w:r>
              <w:rPr>
                <w:rStyle w:val="IndexLink"/>
              </w:rPr>
              <w:t>281</w:t>
            </w:r>
          </w:hyperlink>
        </w:p>
        <w:p>
          <w:pPr>
            <w:pStyle w:val="Contents3"/>
            <w:tabs>
              <w:tab w:val="clear" w:pos="8459"/>
              <w:tab w:val="right" w:pos="9026" w:leader="dot"/>
            </w:tabs>
            <w:rPr/>
          </w:pPr>
          <w:hyperlink w:anchor="__RefHeading___Toc580848_774463916">
            <w:r>
              <w:rPr>
                <w:webHidden/>
                <w:rStyle w:val="IndexLink"/>
                <w:rtl w:val="true"/>
              </w:rPr>
              <w:t>الدرس</w:t>
            </w:r>
            <w:r>
              <w:rPr>
                <w:rStyle w:val="IndexLink"/>
              </w:rPr>
              <w:t>25</w:t>
            </w:r>
            <w:r>
              <w:rPr>
                <w:rStyle w:val="IndexLink"/>
                <w:rtl w:val="true"/>
              </w:rPr>
              <w:t xml:space="preserve"> - </w:t>
            </w:r>
            <w:r>
              <w:rPr>
                <w:rStyle w:val="IndexLink"/>
                <w:rtl w:val="true"/>
              </w:rPr>
              <w:t>کتاب الصلح</w:t>
            </w:r>
            <w:r>
              <w:rPr>
                <w:rStyle w:val="IndexLink"/>
                <w:rtl w:val="true"/>
              </w:rPr>
              <w:tab/>
            </w:r>
            <w:r>
              <w:rPr>
                <w:rStyle w:val="IndexLink"/>
              </w:rPr>
              <w:t>283</w:t>
            </w:r>
          </w:hyperlink>
        </w:p>
        <w:p>
          <w:pPr>
            <w:pStyle w:val="Contents4"/>
            <w:tabs>
              <w:tab w:val="clear" w:pos="8176"/>
              <w:tab w:val="right" w:pos="9026" w:leader="dot"/>
            </w:tabs>
            <w:rPr/>
          </w:pPr>
          <w:hyperlink w:anchor="__RefHeading___Toc580850_774463916">
            <w:r>
              <w:rPr>
                <w:webHidden/>
                <w:rStyle w:val="IndexLink"/>
                <w:rtl w:val="true"/>
              </w:rPr>
              <w:t>حقیقة الصلح</w:t>
            </w:r>
            <w:r>
              <w:rPr>
                <w:rStyle w:val="IndexLink"/>
                <w:rtl w:val="true"/>
              </w:rPr>
              <w:tab/>
            </w:r>
            <w:r>
              <w:rPr>
                <w:rStyle w:val="IndexLink"/>
              </w:rPr>
              <w:t>283</w:t>
            </w:r>
          </w:hyperlink>
        </w:p>
        <w:p>
          <w:pPr>
            <w:pStyle w:val="Contents4"/>
            <w:tabs>
              <w:tab w:val="clear" w:pos="8176"/>
              <w:tab w:val="right" w:pos="9026" w:leader="dot"/>
            </w:tabs>
            <w:rPr/>
          </w:pPr>
          <w:hyperlink w:anchor="__RefHeading___Toc580852_774463916">
            <w:r>
              <w:rPr>
                <w:webHidden/>
                <w:rStyle w:val="IndexLink"/>
                <w:rtl w:val="true"/>
              </w:rPr>
              <w:t>الصلح جائز بین المسلمین</w:t>
            </w:r>
            <w:r>
              <w:rPr>
                <w:rStyle w:val="IndexLink"/>
                <w:rtl w:val="true"/>
              </w:rPr>
              <w:tab/>
            </w:r>
            <w:r>
              <w:rPr>
                <w:rStyle w:val="IndexLink"/>
              </w:rPr>
              <w:t>284</w:t>
            </w:r>
          </w:hyperlink>
        </w:p>
        <w:p>
          <w:pPr>
            <w:pStyle w:val="Contents3"/>
            <w:tabs>
              <w:tab w:val="clear" w:pos="8459"/>
              <w:tab w:val="right" w:pos="9026" w:leader="dot"/>
            </w:tabs>
            <w:rPr/>
          </w:pPr>
          <w:hyperlink w:anchor="__RefHeading___Toc580854_774463916">
            <w:r>
              <w:rPr>
                <w:webHidden/>
                <w:rStyle w:val="IndexLink"/>
                <w:rtl w:val="true"/>
              </w:rPr>
              <w:t>الدرس</w:t>
            </w:r>
            <w:r>
              <w:rPr>
                <w:rStyle w:val="IndexLink"/>
              </w:rPr>
              <w:t>26</w:t>
            </w:r>
            <w:r>
              <w:rPr>
                <w:rStyle w:val="IndexLink"/>
                <w:rtl w:val="true"/>
              </w:rPr>
              <w:t xml:space="preserve"> - </w:t>
            </w:r>
            <w:r>
              <w:rPr>
                <w:rStyle w:val="IndexLink"/>
                <w:rtl w:val="true"/>
              </w:rPr>
              <w:t>کتاب الوکالة</w:t>
            </w:r>
            <w:r>
              <w:rPr>
                <w:rStyle w:val="IndexLink"/>
                <w:rtl w:val="true"/>
              </w:rPr>
              <w:tab/>
            </w:r>
            <w:r>
              <w:rPr>
                <w:rStyle w:val="IndexLink"/>
              </w:rPr>
              <w:t>286</w:t>
            </w:r>
          </w:hyperlink>
        </w:p>
        <w:p>
          <w:pPr>
            <w:pStyle w:val="Contents4"/>
            <w:tabs>
              <w:tab w:val="clear" w:pos="8176"/>
              <w:tab w:val="right" w:pos="9026" w:leader="dot"/>
            </w:tabs>
            <w:rPr/>
          </w:pPr>
          <w:hyperlink w:anchor="__RefHeading___Toc580856_774463916">
            <w:r>
              <w:rPr>
                <w:webHidden/>
                <w:rStyle w:val="IndexLink"/>
                <w:rtl w:val="true"/>
              </w:rPr>
              <w:t>حقیقة الوکالة</w:t>
            </w:r>
            <w:r>
              <w:rPr>
                <w:rStyle w:val="IndexLink"/>
                <w:rtl w:val="true"/>
              </w:rPr>
              <w:tab/>
            </w:r>
            <w:r>
              <w:rPr>
                <w:rStyle w:val="IndexLink"/>
              </w:rPr>
              <w:t>286</w:t>
            </w:r>
          </w:hyperlink>
        </w:p>
        <w:p>
          <w:pPr>
            <w:pStyle w:val="Contents4"/>
            <w:tabs>
              <w:tab w:val="clear" w:pos="8176"/>
              <w:tab w:val="right" w:pos="9026" w:leader="dot"/>
            </w:tabs>
            <w:rPr/>
          </w:pPr>
          <w:hyperlink w:anchor="__RefHeading___Toc580858_774463916">
            <w:r>
              <w:rPr>
                <w:webHidden/>
                <w:rStyle w:val="IndexLink"/>
                <w:rtl w:val="true"/>
              </w:rPr>
              <w:t>من أحکام الوکالة</w:t>
            </w:r>
            <w:r>
              <w:rPr>
                <w:rStyle w:val="IndexLink"/>
                <w:rtl w:val="true"/>
              </w:rPr>
              <w:tab/>
            </w:r>
            <w:r>
              <w:rPr>
                <w:rStyle w:val="IndexLink"/>
              </w:rPr>
              <w:t>287</w:t>
            </w:r>
          </w:hyperlink>
        </w:p>
        <w:p>
          <w:pPr>
            <w:pStyle w:val="Contents3"/>
            <w:tabs>
              <w:tab w:val="clear" w:pos="8459"/>
              <w:tab w:val="right" w:pos="9026" w:leader="dot"/>
            </w:tabs>
            <w:rPr/>
          </w:pPr>
          <w:hyperlink w:anchor="__RefHeading___Toc580860_774463916">
            <w:r>
              <w:rPr>
                <w:webHidden/>
                <w:rStyle w:val="IndexLink"/>
                <w:rtl w:val="true"/>
              </w:rPr>
              <w:t>الدرس</w:t>
            </w:r>
            <w:r>
              <w:rPr>
                <w:rStyle w:val="IndexLink"/>
              </w:rPr>
              <w:t>27</w:t>
            </w:r>
            <w:r>
              <w:rPr>
                <w:rStyle w:val="IndexLink"/>
                <w:rtl w:val="true"/>
              </w:rPr>
              <w:t xml:space="preserve"> - </w:t>
            </w:r>
            <w:r>
              <w:rPr>
                <w:rStyle w:val="IndexLink"/>
                <w:rtl w:val="true"/>
              </w:rPr>
              <w:t>کتاب الرهن</w:t>
            </w:r>
            <w:r>
              <w:rPr>
                <w:rStyle w:val="IndexLink"/>
                <w:rtl w:val="true"/>
              </w:rPr>
              <w:tab/>
            </w:r>
            <w:r>
              <w:rPr>
                <w:rStyle w:val="IndexLink"/>
              </w:rPr>
              <w:t>290</w:t>
            </w:r>
          </w:hyperlink>
        </w:p>
        <w:p>
          <w:pPr>
            <w:pStyle w:val="Contents4"/>
            <w:tabs>
              <w:tab w:val="clear" w:pos="8176"/>
              <w:tab w:val="right" w:pos="9026" w:leader="dot"/>
            </w:tabs>
            <w:rPr/>
          </w:pPr>
          <w:hyperlink w:anchor="__RefHeading___Toc580862_774463916">
            <w:r>
              <w:rPr>
                <w:webHidden/>
                <w:rStyle w:val="IndexLink"/>
                <w:rtl w:val="true"/>
              </w:rPr>
              <w:t>حقیقة الرهن</w:t>
            </w:r>
            <w:r>
              <w:rPr>
                <w:rStyle w:val="IndexLink"/>
                <w:rtl w:val="true"/>
              </w:rPr>
              <w:tab/>
            </w:r>
            <w:r>
              <w:rPr>
                <w:rStyle w:val="IndexLink"/>
              </w:rPr>
              <w:t>290</w:t>
            </w:r>
          </w:hyperlink>
        </w:p>
        <w:p>
          <w:pPr>
            <w:pStyle w:val="Contents4"/>
            <w:tabs>
              <w:tab w:val="clear" w:pos="8176"/>
              <w:tab w:val="right" w:pos="9026" w:leader="dot"/>
            </w:tabs>
            <w:rPr/>
          </w:pPr>
          <w:hyperlink w:anchor="__RefHeading___Toc580864_774463916">
            <w:r>
              <w:rPr>
                <w:webHidden/>
                <w:rStyle w:val="IndexLink"/>
                <w:rtl w:val="true"/>
              </w:rPr>
              <w:t>من أحکام الرهن</w:t>
            </w:r>
            <w:r>
              <w:rPr>
                <w:rStyle w:val="IndexLink"/>
                <w:rtl w:val="true"/>
              </w:rPr>
              <w:tab/>
            </w:r>
            <w:r>
              <w:rPr>
                <w:rStyle w:val="IndexLink"/>
              </w:rPr>
              <w:t>291</w:t>
            </w:r>
          </w:hyperlink>
        </w:p>
        <w:p>
          <w:pPr>
            <w:pStyle w:val="Contents3"/>
            <w:tabs>
              <w:tab w:val="clear" w:pos="8459"/>
              <w:tab w:val="right" w:pos="9026" w:leader="dot"/>
            </w:tabs>
            <w:rPr/>
          </w:pPr>
          <w:hyperlink w:anchor="__RefHeading___Toc580866_774463916">
            <w:r>
              <w:rPr>
                <w:webHidden/>
                <w:rStyle w:val="IndexLink"/>
                <w:rtl w:val="true"/>
              </w:rPr>
              <w:t>الدرس</w:t>
            </w:r>
            <w:r>
              <w:rPr>
                <w:rStyle w:val="IndexLink"/>
              </w:rPr>
              <w:t>28</w:t>
            </w:r>
            <w:r>
              <w:rPr>
                <w:rStyle w:val="IndexLink"/>
                <w:rtl w:val="true"/>
              </w:rPr>
              <w:t xml:space="preserve"> - </w:t>
            </w:r>
            <w:r>
              <w:rPr>
                <w:rStyle w:val="IndexLink"/>
                <w:rtl w:val="true"/>
              </w:rPr>
              <w:t>کتاب الهبة</w:t>
            </w:r>
            <w:r>
              <w:rPr>
                <w:rStyle w:val="IndexLink"/>
                <w:rtl w:val="true"/>
              </w:rPr>
              <w:tab/>
            </w:r>
            <w:r>
              <w:rPr>
                <w:rStyle w:val="IndexLink"/>
              </w:rPr>
              <w:t>293</w:t>
            </w:r>
          </w:hyperlink>
        </w:p>
        <w:p>
          <w:pPr>
            <w:pStyle w:val="Contents4"/>
            <w:tabs>
              <w:tab w:val="clear" w:pos="8176"/>
              <w:tab w:val="right" w:pos="9026" w:leader="dot"/>
            </w:tabs>
            <w:rPr/>
          </w:pPr>
          <w:hyperlink w:anchor="__RefHeading___Toc580868_774463916">
            <w:r>
              <w:rPr>
                <w:webHidden/>
                <w:rStyle w:val="IndexLink"/>
                <w:rtl w:val="true"/>
              </w:rPr>
              <w:t>حقیقة الهبة</w:t>
            </w:r>
            <w:r>
              <w:rPr>
                <w:rStyle w:val="IndexLink"/>
                <w:rtl w:val="true"/>
              </w:rPr>
              <w:tab/>
            </w:r>
            <w:r>
              <w:rPr>
                <w:rStyle w:val="IndexLink"/>
              </w:rPr>
              <w:t>293</w:t>
            </w:r>
          </w:hyperlink>
        </w:p>
        <w:p>
          <w:pPr>
            <w:pStyle w:val="Contents3"/>
            <w:tabs>
              <w:tab w:val="clear" w:pos="8459"/>
              <w:tab w:val="right" w:pos="9026" w:leader="dot"/>
            </w:tabs>
            <w:rPr/>
          </w:pPr>
          <w:hyperlink w:anchor="__RefHeading___Toc580870_774463916">
            <w:r>
              <w:rPr>
                <w:webHidden/>
                <w:rStyle w:val="IndexLink"/>
                <w:rtl w:val="true"/>
              </w:rPr>
              <w:t>الدرس</w:t>
            </w:r>
            <w:r>
              <w:rPr>
                <w:rStyle w:val="IndexLink"/>
              </w:rPr>
              <w:t>29</w:t>
            </w:r>
            <w:r>
              <w:rPr>
                <w:rStyle w:val="IndexLink"/>
                <w:rtl w:val="true"/>
              </w:rPr>
              <w:t xml:space="preserve"> - </w:t>
            </w:r>
            <w:r>
              <w:rPr>
                <w:rStyle w:val="IndexLink"/>
                <w:rtl w:val="true"/>
              </w:rPr>
              <w:t>کتاب القرض</w:t>
            </w:r>
            <w:r>
              <w:rPr>
                <w:rStyle w:val="IndexLink"/>
                <w:rtl w:val="true"/>
              </w:rPr>
              <w:tab/>
            </w:r>
            <w:r>
              <w:rPr>
                <w:rStyle w:val="IndexLink"/>
              </w:rPr>
              <w:t>296</w:t>
            </w:r>
          </w:hyperlink>
        </w:p>
        <w:p>
          <w:pPr>
            <w:pStyle w:val="Contents4"/>
            <w:tabs>
              <w:tab w:val="clear" w:pos="8176"/>
              <w:tab w:val="right" w:pos="9026" w:leader="dot"/>
            </w:tabs>
            <w:rPr/>
          </w:pPr>
          <w:hyperlink w:anchor="__RefHeading___Toc580872_774463916">
            <w:r>
              <w:rPr>
                <w:webHidden/>
                <w:rStyle w:val="IndexLink"/>
                <w:rtl w:val="true"/>
              </w:rPr>
              <w:t>حقیقة القرض</w:t>
            </w:r>
            <w:r>
              <w:rPr>
                <w:rStyle w:val="IndexLink"/>
                <w:rtl w:val="true"/>
              </w:rPr>
              <w:tab/>
            </w:r>
            <w:r>
              <w:rPr>
                <w:rStyle w:val="IndexLink"/>
              </w:rPr>
              <w:t>296</w:t>
            </w:r>
          </w:hyperlink>
        </w:p>
        <w:p>
          <w:pPr>
            <w:pStyle w:val="Contents4"/>
            <w:tabs>
              <w:tab w:val="clear" w:pos="8176"/>
              <w:tab w:val="right" w:pos="9026" w:leader="dot"/>
            </w:tabs>
            <w:rPr/>
          </w:pPr>
          <w:hyperlink w:anchor="__RefHeading___Toc580874_774463916">
            <w:r>
              <w:rPr>
                <w:webHidden/>
                <w:rStyle w:val="IndexLink"/>
                <w:rtl w:val="true"/>
              </w:rPr>
              <w:t>الربا فی القرض</w:t>
            </w:r>
            <w:r>
              <w:rPr>
                <w:rStyle w:val="IndexLink"/>
                <w:rtl w:val="true"/>
              </w:rPr>
              <w:tab/>
            </w:r>
            <w:r>
              <w:rPr>
                <w:rStyle w:val="IndexLink"/>
              </w:rPr>
              <w:t>298</w:t>
            </w:r>
          </w:hyperlink>
        </w:p>
        <w:p>
          <w:pPr>
            <w:pStyle w:val="Contents4"/>
            <w:tabs>
              <w:tab w:val="clear" w:pos="8176"/>
              <w:tab w:val="right" w:pos="9026" w:leader="dot"/>
            </w:tabs>
            <w:rPr/>
          </w:pPr>
          <w:hyperlink w:anchor="__RefHeading___Toc580876_774463916">
            <w:r>
              <w:rPr>
                <w:webHidden/>
                <w:rStyle w:val="IndexLink"/>
                <w:rtl w:val="true"/>
              </w:rPr>
              <w:t>من أحکام القرض</w:t>
            </w:r>
            <w:r>
              <w:rPr>
                <w:rStyle w:val="IndexLink"/>
                <w:rtl w:val="true"/>
              </w:rPr>
              <w:tab/>
            </w:r>
            <w:r>
              <w:rPr>
                <w:rStyle w:val="IndexLink"/>
              </w:rPr>
              <w:t>299</w:t>
            </w:r>
          </w:hyperlink>
        </w:p>
        <w:p>
          <w:pPr>
            <w:pStyle w:val="Contents3"/>
            <w:tabs>
              <w:tab w:val="clear" w:pos="8459"/>
              <w:tab w:val="right" w:pos="9026" w:leader="dot"/>
            </w:tabs>
            <w:rPr/>
          </w:pPr>
          <w:hyperlink w:anchor="__RefHeading___Toc580878_774463916">
            <w:r>
              <w:rPr>
                <w:webHidden/>
                <w:rStyle w:val="IndexLink"/>
                <w:rtl w:val="true"/>
              </w:rPr>
              <w:t>الدرس</w:t>
            </w:r>
            <w:r>
              <w:rPr>
                <w:rStyle w:val="IndexLink"/>
              </w:rPr>
              <w:t>30</w:t>
            </w:r>
            <w:r>
              <w:rPr>
                <w:rStyle w:val="IndexLink"/>
                <w:rtl w:val="true"/>
              </w:rPr>
              <w:t xml:space="preserve"> - </w:t>
            </w:r>
            <w:r>
              <w:rPr>
                <w:rStyle w:val="IndexLink"/>
                <w:rtl w:val="true"/>
              </w:rPr>
              <w:t>کتاب النکاح</w:t>
            </w:r>
            <w:r>
              <w:rPr>
                <w:rStyle w:val="IndexLink"/>
                <w:rtl w:val="true"/>
              </w:rPr>
              <w:tab/>
            </w:r>
            <w:r>
              <w:rPr>
                <w:rStyle w:val="IndexLink"/>
              </w:rPr>
              <w:t>301</w:t>
            </w:r>
          </w:hyperlink>
        </w:p>
        <w:p>
          <w:pPr>
            <w:pStyle w:val="Contents4"/>
            <w:tabs>
              <w:tab w:val="clear" w:pos="8176"/>
              <w:tab w:val="right" w:pos="9026" w:leader="dot"/>
            </w:tabs>
            <w:rPr/>
          </w:pPr>
          <w:hyperlink w:anchor="__RefHeading___Toc580880_774463916">
            <w:r>
              <w:rPr>
                <w:webHidden/>
                <w:rStyle w:val="IndexLink"/>
                <w:rtl w:val="true"/>
              </w:rPr>
              <w:t>حقیقة النکاح وبعض أحکامه</w:t>
            </w:r>
            <w:r>
              <w:rPr>
                <w:rStyle w:val="IndexLink"/>
                <w:rtl w:val="true"/>
              </w:rPr>
              <w:tab/>
            </w:r>
            <w:r>
              <w:rPr>
                <w:rStyle w:val="IndexLink"/>
              </w:rPr>
              <w:t>301</w:t>
            </w:r>
          </w:hyperlink>
        </w:p>
        <w:p>
          <w:pPr>
            <w:pStyle w:val="Contents4"/>
            <w:tabs>
              <w:tab w:val="clear" w:pos="8176"/>
              <w:tab w:val="right" w:pos="9026" w:leader="dot"/>
            </w:tabs>
            <w:rPr/>
          </w:pPr>
          <w:hyperlink w:anchor="__RefHeading___Toc580882_774463916">
            <w:r>
              <w:rPr>
                <w:webHidden/>
                <w:rStyle w:val="IndexLink"/>
                <w:rtl w:val="true"/>
              </w:rPr>
              <w:t>أولیاء العقد</w:t>
            </w:r>
            <w:r>
              <w:rPr>
                <w:rStyle w:val="IndexLink"/>
                <w:rtl w:val="true"/>
              </w:rPr>
              <w:tab/>
            </w:r>
            <w:r>
              <w:rPr>
                <w:rStyle w:val="IndexLink"/>
              </w:rPr>
              <w:t>303</w:t>
            </w:r>
          </w:hyperlink>
        </w:p>
        <w:p>
          <w:pPr>
            <w:pStyle w:val="Contents3"/>
            <w:tabs>
              <w:tab w:val="clear" w:pos="8459"/>
              <w:tab w:val="right" w:pos="9026" w:leader="dot"/>
            </w:tabs>
            <w:rPr/>
          </w:pPr>
          <w:hyperlink w:anchor="__RefHeading___Toc580884_774463916">
            <w:r>
              <w:rPr>
                <w:webHidden/>
                <w:rStyle w:val="IndexLink"/>
                <w:rtl w:val="true"/>
              </w:rPr>
              <w:t>الدرس</w:t>
            </w:r>
            <w:r>
              <w:rPr>
                <w:rStyle w:val="IndexLink"/>
              </w:rPr>
              <w:t>31</w:t>
            </w:r>
            <w:r>
              <w:rPr>
                <w:rStyle w:val="IndexLink"/>
                <w:rtl w:val="true"/>
              </w:rPr>
              <w:t xml:space="preserve"> - </w:t>
            </w:r>
            <w:r>
              <w:rPr>
                <w:rStyle w:val="IndexLink"/>
                <w:rtl w:val="true"/>
              </w:rPr>
              <w:t xml:space="preserve">کتاب النکاح </w:t>
            </w:r>
            <w:r>
              <w:rPr>
                <w:rStyle w:val="IndexLink"/>
                <w:rtl w:val="true"/>
              </w:rPr>
              <w:t>(</w:t>
            </w:r>
            <w:r>
              <w:rPr>
                <w:rStyle w:val="IndexLink"/>
              </w:rPr>
              <w:t>2</w:t>
            </w:r>
            <w:r>
              <w:rPr>
                <w:rStyle w:val="IndexLink"/>
                <w:rtl w:val="true"/>
              </w:rPr>
              <w:t>)</w:t>
              <w:tab/>
            </w:r>
            <w:r>
              <w:rPr>
                <w:rStyle w:val="IndexLink"/>
              </w:rPr>
              <w:t>304</w:t>
            </w:r>
          </w:hyperlink>
        </w:p>
        <w:p>
          <w:pPr>
            <w:pStyle w:val="Contents4"/>
            <w:tabs>
              <w:tab w:val="clear" w:pos="8176"/>
              <w:tab w:val="right" w:pos="9026" w:leader="dot"/>
            </w:tabs>
            <w:rPr/>
          </w:pPr>
          <w:hyperlink w:anchor="__RefHeading___Toc580886_774463916">
            <w:r>
              <w:rPr>
                <w:webHidden/>
                <w:rStyle w:val="IndexLink"/>
                <w:rtl w:val="true"/>
              </w:rPr>
              <w:t>ولایة الأبوین</w:t>
            </w:r>
            <w:r>
              <w:rPr>
                <w:rStyle w:val="IndexLink"/>
                <w:rtl w:val="true"/>
              </w:rPr>
              <w:tab/>
            </w:r>
            <w:r>
              <w:rPr>
                <w:rStyle w:val="IndexLink"/>
              </w:rPr>
              <w:t>304</w:t>
            </w:r>
          </w:hyperlink>
        </w:p>
        <w:p>
          <w:pPr>
            <w:pStyle w:val="Contents4"/>
            <w:tabs>
              <w:tab w:val="clear" w:pos="8176"/>
              <w:tab w:val="right" w:pos="9026" w:leader="dot"/>
            </w:tabs>
            <w:rPr/>
          </w:pPr>
          <w:hyperlink w:anchor="__RefHeading___Toc580888_774463916">
            <w:r>
              <w:rPr>
                <w:webHidden/>
                <w:rStyle w:val="IndexLink"/>
                <w:rtl w:val="true"/>
              </w:rPr>
              <w:t>أحکام الولایة علی البنت البالغة والصغیرة</w:t>
            </w:r>
            <w:r>
              <w:rPr>
                <w:rStyle w:val="IndexLink"/>
                <w:rtl w:val="true"/>
              </w:rPr>
              <w:tab/>
            </w:r>
            <w:r>
              <w:rPr>
                <w:rStyle w:val="IndexLink"/>
              </w:rPr>
              <w:t>304</w:t>
            </w:r>
          </w:hyperlink>
        </w:p>
        <w:p>
          <w:pPr>
            <w:pStyle w:val="Contents3"/>
            <w:tabs>
              <w:tab w:val="clear" w:pos="8459"/>
              <w:tab w:val="right" w:pos="9026" w:leader="dot"/>
            </w:tabs>
            <w:rPr/>
          </w:pPr>
          <w:hyperlink w:anchor="__RefHeading___Toc580890_774463916">
            <w:r>
              <w:rPr>
                <w:webHidden/>
                <w:rStyle w:val="IndexLink"/>
                <w:rtl w:val="true"/>
              </w:rPr>
              <w:t>الدرس</w:t>
            </w:r>
            <w:r>
              <w:rPr>
                <w:rStyle w:val="IndexLink"/>
              </w:rPr>
              <w:t>32</w:t>
            </w:r>
            <w:r>
              <w:rPr>
                <w:rStyle w:val="IndexLink"/>
                <w:rtl w:val="true"/>
              </w:rPr>
              <w:t xml:space="preserve"> -</w:t>
            </w:r>
            <w:r>
              <w:rPr>
                <w:rStyle w:val="IndexLink"/>
                <w:rtl w:val="true"/>
              </w:rPr>
              <w:t xml:space="preserve">کتاب النکاح </w:t>
            </w:r>
            <w:r>
              <w:rPr>
                <w:rStyle w:val="IndexLink"/>
                <w:rtl w:val="true"/>
              </w:rPr>
              <w:t>(</w:t>
            </w:r>
            <w:r>
              <w:rPr>
                <w:rStyle w:val="IndexLink"/>
              </w:rPr>
              <w:t>3</w:t>
            </w:r>
            <w:r>
              <w:rPr>
                <w:rStyle w:val="IndexLink"/>
                <w:rtl w:val="true"/>
              </w:rPr>
              <w:t>)</w:t>
              <w:tab/>
            </w:r>
            <w:r>
              <w:rPr>
                <w:rStyle w:val="IndexLink"/>
              </w:rPr>
              <w:t>308</w:t>
            </w:r>
          </w:hyperlink>
        </w:p>
        <w:p>
          <w:pPr>
            <w:pStyle w:val="Contents4"/>
            <w:tabs>
              <w:tab w:val="clear" w:pos="8176"/>
              <w:tab w:val="right" w:pos="9026" w:leader="dot"/>
            </w:tabs>
            <w:rPr/>
          </w:pPr>
          <w:hyperlink w:anchor="__RefHeading___Toc580892_774463916">
            <w:r>
              <w:rPr>
                <w:webHidden/>
                <w:rStyle w:val="IndexLink"/>
                <w:rtl w:val="true"/>
              </w:rPr>
              <w:t>النظر والستر</w:t>
            </w:r>
            <w:r>
              <w:rPr>
                <w:rStyle w:val="IndexLink"/>
                <w:rtl w:val="true"/>
              </w:rPr>
              <w:tab/>
            </w:r>
            <w:r>
              <w:rPr>
                <w:rStyle w:val="IndexLink"/>
              </w:rPr>
              <w:t>308</w:t>
            </w:r>
          </w:hyperlink>
        </w:p>
        <w:p>
          <w:pPr>
            <w:pStyle w:val="Contents4"/>
            <w:tabs>
              <w:tab w:val="clear" w:pos="8176"/>
              <w:tab w:val="right" w:pos="9026" w:leader="dot"/>
            </w:tabs>
            <w:rPr/>
          </w:pPr>
          <w:hyperlink w:anchor="__RefHeading___Toc580894_774463916">
            <w:r>
              <w:rPr>
                <w:webHidden/>
                <w:rStyle w:val="IndexLink"/>
                <w:rtl w:val="true"/>
              </w:rPr>
              <w:t>أحکام النظر والستر</w:t>
            </w:r>
            <w:r>
              <w:rPr>
                <w:rStyle w:val="IndexLink"/>
                <w:rtl w:val="true"/>
              </w:rPr>
              <w:tab/>
            </w:r>
            <w:r>
              <w:rPr>
                <w:rStyle w:val="IndexLink"/>
              </w:rPr>
              <w:t>308</w:t>
            </w:r>
          </w:hyperlink>
        </w:p>
        <w:p>
          <w:pPr>
            <w:pStyle w:val="Contents3"/>
            <w:tabs>
              <w:tab w:val="clear" w:pos="8459"/>
              <w:tab w:val="right" w:pos="9026" w:leader="dot"/>
            </w:tabs>
            <w:rPr/>
          </w:pPr>
          <w:hyperlink w:anchor="__RefHeading___Toc580896_774463916">
            <w:r>
              <w:rPr>
                <w:webHidden/>
                <w:rStyle w:val="IndexLink"/>
                <w:rtl w:val="true"/>
              </w:rPr>
              <w:t>الدرس</w:t>
            </w:r>
            <w:r>
              <w:rPr>
                <w:rStyle w:val="IndexLink"/>
              </w:rPr>
              <w:t>33</w:t>
            </w:r>
            <w:r>
              <w:rPr>
                <w:rStyle w:val="IndexLink"/>
                <w:rtl w:val="true"/>
              </w:rPr>
              <w:t xml:space="preserve"> - </w:t>
            </w:r>
            <w:r>
              <w:rPr>
                <w:rStyle w:val="IndexLink"/>
                <w:rtl w:val="true"/>
              </w:rPr>
              <w:t xml:space="preserve">کتاب النکاح </w:t>
            </w:r>
            <w:r>
              <w:rPr>
                <w:rStyle w:val="IndexLink"/>
                <w:rtl w:val="true"/>
              </w:rPr>
              <w:t>(</w:t>
            </w:r>
            <w:r>
              <w:rPr>
                <w:rStyle w:val="IndexLink"/>
              </w:rPr>
              <w:t>4</w:t>
            </w:r>
            <w:r>
              <w:rPr>
                <w:rStyle w:val="IndexLink"/>
                <w:rtl w:val="true"/>
              </w:rPr>
              <w:t>)</w:t>
              <w:tab/>
            </w:r>
            <w:r>
              <w:rPr>
                <w:rStyle w:val="IndexLink"/>
              </w:rPr>
              <w:t>311</w:t>
            </w:r>
          </w:hyperlink>
        </w:p>
        <w:p>
          <w:pPr>
            <w:pStyle w:val="Contents4"/>
            <w:tabs>
              <w:tab w:val="clear" w:pos="8176"/>
              <w:tab w:val="right" w:pos="9026" w:leader="dot"/>
            </w:tabs>
            <w:rPr/>
          </w:pPr>
          <w:hyperlink w:anchor="__RefHeading___Toc580898_774463916">
            <w:r>
              <w:rPr>
                <w:webHidden/>
                <w:rStyle w:val="IndexLink"/>
                <w:rtl w:val="true"/>
              </w:rPr>
              <w:t xml:space="preserve">النظر والستر </w:t>
            </w:r>
            <w:r>
              <w:rPr>
                <w:rStyle w:val="IndexLink"/>
                <w:rtl w:val="true"/>
              </w:rPr>
              <w:t>(</w:t>
            </w:r>
            <w:r>
              <w:rPr>
                <w:rStyle w:val="IndexLink"/>
              </w:rPr>
              <w:t>2</w:t>
            </w:r>
            <w:r>
              <w:rPr>
                <w:rStyle w:val="IndexLink"/>
                <w:rtl w:val="true"/>
              </w:rPr>
              <w:t>)</w:t>
              <w:tab/>
            </w:r>
            <w:r>
              <w:rPr>
                <w:rStyle w:val="IndexLink"/>
              </w:rPr>
              <w:t>311</w:t>
            </w:r>
          </w:hyperlink>
        </w:p>
        <w:p>
          <w:pPr>
            <w:pStyle w:val="Contents3"/>
            <w:tabs>
              <w:tab w:val="clear" w:pos="8459"/>
              <w:tab w:val="right" w:pos="9026" w:leader="dot"/>
            </w:tabs>
            <w:rPr/>
          </w:pPr>
          <w:hyperlink w:anchor="__RefHeading___Toc580900_774463916">
            <w:r>
              <w:rPr>
                <w:webHidden/>
                <w:rStyle w:val="IndexLink"/>
                <w:rtl w:val="true"/>
              </w:rPr>
              <w:t>الدرس</w:t>
            </w:r>
            <w:r>
              <w:rPr>
                <w:rStyle w:val="IndexLink"/>
              </w:rPr>
              <w:t>34</w:t>
            </w:r>
            <w:r>
              <w:rPr>
                <w:rStyle w:val="IndexLink"/>
                <w:rtl w:val="true"/>
              </w:rPr>
              <w:t xml:space="preserve"> -</w:t>
            </w:r>
            <w:r>
              <w:rPr>
                <w:rStyle w:val="IndexLink"/>
                <w:rtl w:val="true"/>
              </w:rPr>
              <w:t xml:space="preserve">کتاب النکاح </w:t>
            </w:r>
            <w:r>
              <w:rPr>
                <w:rStyle w:val="IndexLink"/>
                <w:rtl w:val="true"/>
              </w:rPr>
              <w:t>(</w:t>
            </w:r>
            <w:r>
              <w:rPr>
                <w:rStyle w:val="IndexLink"/>
              </w:rPr>
              <w:t>5</w:t>
            </w:r>
            <w:r>
              <w:rPr>
                <w:rStyle w:val="IndexLink"/>
                <w:rtl w:val="true"/>
              </w:rPr>
              <w:t>)</w:t>
              <w:tab/>
            </w:r>
            <w:r>
              <w:rPr>
                <w:rStyle w:val="IndexLink"/>
              </w:rPr>
              <w:t>314</w:t>
            </w:r>
          </w:hyperlink>
        </w:p>
        <w:p>
          <w:pPr>
            <w:pStyle w:val="Contents4"/>
            <w:tabs>
              <w:tab w:val="clear" w:pos="8176"/>
              <w:tab w:val="right" w:pos="9026" w:leader="dot"/>
            </w:tabs>
            <w:rPr/>
          </w:pPr>
          <w:hyperlink w:anchor="__RefHeading___Toc580902_774463916">
            <w:r>
              <w:rPr>
                <w:webHidden/>
                <w:rStyle w:val="IndexLink"/>
                <w:rtl w:val="true"/>
              </w:rPr>
              <w:t xml:space="preserve">النظر والستر </w:t>
            </w:r>
            <w:r>
              <w:rPr>
                <w:rStyle w:val="IndexLink"/>
                <w:rtl w:val="true"/>
              </w:rPr>
              <w:t>(</w:t>
            </w:r>
            <w:r>
              <w:rPr>
                <w:rStyle w:val="IndexLink"/>
              </w:rPr>
              <w:t>3</w:t>
            </w:r>
            <w:r>
              <w:rPr>
                <w:rStyle w:val="IndexLink"/>
                <w:rtl w:val="true"/>
              </w:rPr>
              <w:t>)</w:t>
              <w:tab/>
            </w:r>
            <w:r>
              <w:rPr>
                <w:rStyle w:val="IndexLink"/>
              </w:rPr>
              <w:t>314</w:t>
            </w:r>
          </w:hyperlink>
        </w:p>
        <w:p>
          <w:pPr>
            <w:pStyle w:val="Contents4"/>
            <w:tabs>
              <w:tab w:val="clear" w:pos="8176"/>
              <w:tab w:val="right" w:pos="9026" w:leader="dot"/>
            </w:tabs>
            <w:rPr/>
          </w:pPr>
          <w:hyperlink w:anchor="__RefHeading___Toc580904_774463916">
            <w:r>
              <w:rPr>
                <w:webHidden/>
                <w:rStyle w:val="IndexLink"/>
                <w:rtl w:val="true"/>
              </w:rPr>
              <w:t>النظر إلی المماثل</w:t>
            </w:r>
            <w:r>
              <w:rPr>
                <w:rStyle w:val="IndexLink"/>
                <w:rtl w:val="true"/>
              </w:rPr>
              <w:tab/>
            </w:r>
            <w:r>
              <w:rPr>
                <w:rStyle w:val="IndexLink"/>
              </w:rPr>
              <w:t>314</w:t>
            </w:r>
          </w:hyperlink>
        </w:p>
        <w:p>
          <w:pPr>
            <w:pStyle w:val="Contents3"/>
            <w:tabs>
              <w:tab w:val="clear" w:pos="8459"/>
              <w:tab w:val="right" w:pos="9026" w:leader="dot"/>
            </w:tabs>
            <w:rPr/>
          </w:pPr>
          <w:hyperlink w:anchor="__RefHeading___Toc580906_774463916">
            <w:r>
              <w:rPr>
                <w:webHidden/>
                <w:rStyle w:val="IndexLink"/>
                <w:rtl w:val="true"/>
              </w:rPr>
              <w:t>الدرس</w:t>
            </w:r>
            <w:r>
              <w:rPr>
                <w:rStyle w:val="IndexLink"/>
              </w:rPr>
              <w:t>35</w:t>
            </w:r>
            <w:r>
              <w:rPr>
                <w:rStyle w:val="IndexLink"/>
                <w:rtl w:val="true"/>
              </w:rPr>
              <w:t xml:space="preserve"> - </w:t>
            </w:r>
            <w:r>
              <w:rPr>
                <w:rStyle w:val="IndexLink"/>
                <w:rtl w:val="true"/>
              </w:rPr>
              <w:t xml:space="preserve">کتاب النکاح </w:t>
            </w:r>
            <w:r>
              <w:rPr>
                <w:rStyle w:val="IndexLink"/>
                <w:rtl w:val="true"/>
              </w:rPr>
              <w:t>(</w:t>
            </w:r>
            <w:r>
              <w:rPr>
                <w:rStyle w:val="IndexLink"/>
              </w:rPr>
              <w:t>6</w:t>
            </w:r>
            <w:r>
              <w:rPr>
                <w:rStyle w:val="IndexLink"/>
                <w:rtl w:val="true"/>
              </w:rPr>
              <w:t>)</w:t>
              <w:tab/>
            </w:r>
            <w:r>
              <w:rPr>
                <w:rStyle w:val="IndexLink"/>
              </w:rPr>
              <w:t>318</w:t>
            </w:r>
          </w:hyperlink>
        </w:p>
        <w:p>
          <w:pPr>
            <w:pStyle w:val="Contents4"/>
            <w:tabs>
              <w:tab w:val="clear" w:pos="8176"/>
              <w:tab w:val="right" w:pos="9026" w:leader="dot"/>
            </w:tabs>
            <w:rPr/>
          </w:pPr>
          <w:hyperlink w:anchor="__RefHeading___Toc580908_774463916">
            <w:r>
              <w:rPr>
                <w:webHidden/>
                <w:rStyle w:val="IndexLink"/>
                <w:rtl w:val="true"/>
              </w:rPr>
              <w:t>من یَحرمُ العقد علیهنّ</w:t>
            </w:r>
            <w:r>
              <w:rPr>
                <w:rStyle w:val="IndexLink"/>
                <w:rtl w:val="true"/>
              </w:rPr>
              <w:tab/>
            </w:r>
            <w:r>
              <w:rPr>
                <w:rStyle w:val="IndexLink"/>
              </w:rPr>
              <w:t>318</w:t>
            </w:r>
          </w:hyperlink>
        </w:p>
        <w:p>
          <w:pPr>
            <w:pStyle w:val="Contents3"/>
            <w:tabs>
              <w:tab w:val="clear" w:pos="8459"/>
              <w:tab w:val="right" w:pos="9026" w:leader="dot"/>
            </w:tabs>
            <w:rPr/>
          </w:pPr>
          <w:hyperlink w:anchor="__RefHeading___Toc580910_774463916">
            <w:r>
              <w:rPr>
                <w:webHidden/>
                <w:rStyle w:val="IndexLink"/>
                <w:rtl w:val="true"/>
              </w:rPr>
              <w:t>الدرس</w:t>
            </w:r>
            <w:r>
              <w:rPr>
                <w:rStyle w:val="IndexLink"/>
              </w:rPr>
              <w:t>36</w:t>
            </w:r>
            <w:r>
              <w:rPr>
                <w:rStyle w:val="IndexLink"/>
                <w:rtl w:val="true"/>
              </w:rPr>
              <w:t xml:space="preserve"> - </w:t>
            </w:r>
            <w:r>
              <w:rPr>
                <w:rStyle w:val="IndexLink"/>
                <w:rtl w:val="true"/>
              </w:rPr>
              <w:t>کتاب الرضاع</w:t>
            </w:r>
            <w:r>
              <w:rPr>
                <w:rStyle w:val="IndexLink"/>
                <w:rtl w:val="true"/>
              </w:rPr>
              <w:tab/>
            </w:r>
            <w:r>
              <w:rPr>
                <w:rStyle w:val="IndexLink"/>
              </w:rPr>
              <w:t>322</w:t>
            </w:r>
          </w:hyperlink>
        </w:p>
        <w:p>
          <w:pPr>
            <w:pStyle w:val="Contents4"/>
            <w:tabs>
              <w:tab w:val="clear" w:pos="8176"/>
              <w:tab w:val="right" w:pos="9026" w:leader="dot"/>
            </w:tabs>
            <w:rPr/>
          </w:pPr>
          <w:hyperlink w:anchor="__RefHeading___Toc580912_774463916">
            <w:r>
              <w:rPr>
                <w:webHidden/>
                <w:rStyle w:val="IndexLink"/>
                <w:rtl w:val="true"/>
              </w:rPr>
              <w:t>أسباب التحریم بالرضاع</w:t>
            </w:r>
            <w:r>
              <w:rPr>
                <w:rStyle w:val="IndexLink"/>
                <w:rtl w:val="true"/>
              </w:rPr>
              <w:tab/>
            </w:r>
            <w:r>
              <w:rPr>
                <w:rStyle w:val="IndexLink"/>
              </w:rPr>
              <w:t>322</w:t>
            </w:r>
          </w:hyperlink>
        </w:p>
        <w:p>
          <w:pPr>
            <w:pStyle w:val="Contents4"/>
            <w:tabs>
              <w:tab w:val="clear" w:pos="8176"/>
              <w:tab w:val="right" w:pos="9026" w:leader="dot"/>
            </w:tabs>
            <w:rPr/>
          </w:pPr>
          <w:hyperlink w:anchor="__RefHeading___Toc580914_774463916">
            <w:r>
              <w:rPr>
                <w:webHidden/>
                <w:rStyle w:val="IndexLink"/>
                <w:rtl w:val="true"/>
              </w:rPr>
              <w:t>المحرمات بالرضاع</w:t>
            </w:r>
            <w:r>
              <w:rPr>
                <w:rStyle w:val="IndexLink"/>
                <w:rtl w:val="true"/>
              </w:rPr>
              <w:tab/>
            </w:r>
            <w:r>
              <w:rPr>
                <w:rStyle w:val="IndexLink"/>
              </w:rPr>
              <w:t>322</w:t>
            </w:r>
          </w:hyperlink>
        </w:p>
        <w:p>
          <w:pPr>
            <w:pStyle w:val="Contents3"/>
            <w:tabs>
              <w:tab w:val="clear" w:pos="8459"/>
              <w:tab w:val="right" w:pos="9026" w:leader="dot"/>
            </w:tabs>
            <w:rPr/>
          </w:pPr>
          <w:hyperlink w:anchor="__RefHeading___Toc580916_774463916">
            <w:r>
              <w:rPr>
                <w:webHidden/>
                <w:rStyle w:val="IndexLink"/>
                <w:rtl w:val="true"/>
              </w:rPr>
              <w:t>الدرس</w:t>
            </w:r>
            <w:r>
              <w:rPr>
                <w:rStyle w:val="IndexLink"/>
              </w:rPr>
              <w:t>37</w:t>
            </w:r>
            <w:r>
              <w:rPr>
                <w:rStyle w:val="IndexLink"/>
                <w:rtl w:val="true"/>
              </w:rPr>
              <w:t xml:space="preserve"> - </w:t>
            </w:r>
            <w:r>
              <w:rPr>
                <w:rStyle w:val="IndexLink"/>
                <w:rtl w:val="true"/>
              </w:rPr>
              <w:t xml:space="preserve">کتاب الرضاع </w:t>
            </w:r>
            <w:r>
              <w:rPr>
                <w:rStyle w:val="IndexLink"/>
                <w:rtl w:val="true"/>
              </w:rPr>
              <w:t>(</w:t>
            </w:r>
            <w:r>
              <w:rPr>
                <w:rStyle w:val="IndexLink"/>
              </w:rPr>
              <w:t>2</w:t>
            </w:r>
            <w:r>
              <w:rPr>
                <w:rStyle w:val="IndexLink"/>
                <w:rtl w:val="true"/>
              </w:rPr>
              <w:t>)</w:t>
              <w:tab/>
            </w:r>
            <w:r>
              <w:rPr>
                <w:rStyle w:val="IndexLink"/>
              </w:rPr>
              <w:t>325</w:t>
            </w:r>
          </w:hyperlink>
        </w:p>
        <w:p>
          <w:pPr>
            <w:pStyle w:val="Contents4"/>
            <w:tabs>
              <w:tab w:val="clear" w:pos="8176"/>
              <w:tab w:val="right" w:pos="9026" w:leader="dot"/>
            </w:tabs>
            <w:rPr/>
          </w:pPr>
          <w:hyperlink w:anchor="__RefHeading___Toc580918_774463916">
            <w:r>
              <w:rPr>
                <w:webHidden/>
                <w:rStyle w:val="IndexLink"/>
                <w:rtl w:val="true"/>
              </w:rPr>
              <w:t>شرائط الرضاع المحرّم</w:t>
            </w:r>
            <w:r>
              <w:rPr>
                <w:rStyle w:val="IndexLink"/>
                <w:rtl w:val="true"/>
              </w:rPr>
              <w:tab/>
            </w:r>
            <w:r>
              <w:rPr>
                <w:rStyle w:val="IndexLink"/>
              </w:rPr>
              <w:t>325</w:t>
            </w:r>
          </w:hyperlink>
        </w:p>
        <w:p>
          <w:pPr>
            <w:pStyle w:val="Contents3"/>
            <w:tabs>
              <w:tab w:val="clear" w:pos="8459"/>
              <w:tab w:val="right" w:pos="9026" w:leader="dot"/>
            </w:tabs>
            <w:rPr/>
          </w:pPr>
          <w:hyperlink w:anchor="__RefHeading___Toc580920_774463916">
            <w:r>
              <w:rPr>
                <w:webHidden/>
                <w:rStyle w:val="IndexLink"/>
                <w:rtl w:val="true"/>
              </w:rPr>
              <w:t>الدرس</w:t>
            </w:r>
            <w:r>
              <w:rPr>
                <w:rStyle w:val="IndexLink"/>
              </w:rPr>
              <w:t>38</w:t>
            </w:r>
            <w:r>
              <w:rPr>
                <w:rStyle w:val="IndexLink"/>
                <w:rtl w:val="true"/>
              </w:rPr>
              <w:t xml:space="preserve"> -</w:t>
            </w:r>
            <w:r>
              <w:rPr>
                <w:rStyle w:val="IndexLink"/>
                <w:rtl w:val="true"/>
              </w:rPr>
              <w:t xml:space="preserve">کتاب الرضاع </w:t>
            </w:r>
            <w:r>
              <w:rPr>
                <w:rStyle w:val="IndexLink"/>
                <w:rtl w:val="true"/>
              </w:rPr>
              <w:t>(</w:t>
            </w:r>
            <w:r>
              <w:rPr>
                <w:rStyle w:val="IndexLink"/>
              </w:rPr>
              <w:t>3</w:t>
            </w:r>
            <w:r>
              <w:rPr>
                <w:rStyle w:val="IndexLink"/>
                <w:rtl w:val="true"/>
              </w:rPr>
              <w:t>)</w:t>
              <w:tab/>
            </w:r>
            <w:r>
              <w:rPr>
                <w:rStyle w:val="IndexLink"/>
              </w:rPr>
              <w:t>329</w:t>
            </w:r>
          </w:hyperlink>
        </w:p>
        <w:p>
          <w:pPr>
            <w:pStyle w:val="Contents4"/>
            <w:tabs>
              <w:tab w:val="clear" w:pos="8176"/>
              <w:tab w:val="right" w:pos="9026" w:leader="dot"/>
            </w:tabs>
            <w:rPr/>
          </w:pPr>
          <w:hyperlink w:anchor="__RefHeading___Toc580922_774463916">
            <w:r>
              <w:rPr>
                <w:webHidden/>
                <w:rStyle w:val="IndexLink"/>
                <w:rtl w:val="true"/>
              </w:rPr>
              <w:t>تحدید کمیّة الرضاع</w:t>
            </w:r>
            <w:r>
              <w:rPr>
                <w:rStyle w:val="IndexLink"/>
                <w:rtl w:val="true"/>
              </w:rPr>
              <w:tab/>
            </w:r>
            <w:r>
              <w:rPr>
                <w:rStyle w:val="IndexLink"/>
              </w:rPr>
              <w:t>329</w:t>
            </w:r>
          </w:hyperlink>
        </w:p>
        <w:p>
          <w:pPr>
            <w:pStyle w:val="Contents3"/>
            <w:tabs>
              <w:tab w:val="clear" w:pos="8459"/>
              <w:tab w:val="right" w:pos="9026" w:leader="dot"/>
            </w:tabs>
            <w:rPr/>
          </w:pPr>
          <w:hyperlink w:anchor="__RefHeading___Toc580924_774463916">
            <w:r>
              <w:rPr>
                <w:webHidden/>
                <w:rStyle w:val="IndexLink"/>
                <w:rtl w:val="true"/>
              </w:rPr>
              <w:t>الدرس</w:t>
            </w:r>
            <w:r>
              <w:rPr>
                <w:rStyle w:val="IndexLink"/>
              </w:rPr>
              <w:t>39</w:t>
            </w:r>
            <w:r>
              <w:rPr>
                <w:rStyle w:val="IndexLink"/>
                <w:rtl w:val="true"/>
              </w:rPr>
              <w:t xml:space="preserve"> - </w:t>
            </w:r>
            <w:r>
              <w:rPr>
                <w:rStyle w:val="IndexLink"/>
                <w:rtl w:val="true"/>
              </w:rPr>
              <w:t>من أسباب تحریم النکاح</w:t>
            </w:r>
            <w:r>
              <w:rPr>
                <w:rStyle w:val="IndexLink"/>
                <w:rtl w:val="true"/>
              </w:rPr>
              <w:tab/>
            </w:r>
            <w:r>
              <w:rPr>
                <w:rStyle w:val="IndexLink"/>
              </w:rPr>
              <w:t>331</w:t>
            </w:r>
          </w:hyperlink>
        </w:p>
        <w:p>
          <w:pPr>
            <w:pStyle w:val="Contents4"/>
            <w:tabs>
              <w:tab w:val="clear" w:pos="8176"/>
              <w:tab w:val="right" w:pos="9026" w:leader="dot"/>
            </w:tabs>
            <w:rPr/>
          </w:pPr>
          <w:hyperlink w:anchor="__RefHeading___Toc580926_774463916">
            <w:r>
              <w:rPr>
                <w:webHidden/>
                <w:rStyle w:val="IndexLink"/>
                <w:rtl w:val="true"/>
              </w:rPr>
              <w:t>الزواج فی العدة</w:t>
            </w:r>
            <w:r>
              <w:rPr>
                <w:rStyle w:val="IndexLink"/>
                <w:rtl w:val="true"/>
              </w:rPr>
              <w:tab/>
            </w:r>
            <w:r>
              <w:rPr>
                <w:rStyle w:val="IndexLink"/>
              </w:rPr>
              <w:t>331</w:t>
            </w:r>
          </w:hyperlink>
        </w:p>
        <w:p>
          <w:pPr>
            <w:pStyle w:val="Contents4"/>
            <w:tabs>
              <w:tab w:val="clear" w:pos="8176"/>
              <w:tab w:val="right" w:pos="9026" w:leader="dot"/>
            </w:tabs>
            <w:rPr/>
          </w:pPr>
          <w:hyperlink w:anchor="__RefHeading___Toc580928_774463916">
            <w:r>
              <w:rPr>
                <w:webHidden/>
                <w:rStyle w:val="IndexLink"/>
                <w:rtl w:val="true"/>
              </w:rPr>
              <w:t>استیفاء العدد</w:t>
            </w:r>
            <w:r>
              <w:rPr>
                <w:rStyle w:val="IndexLink"/>
                <w:rtl w:val="true"/>
              </w:rPr>
              <w:tab/>
            </w:r>
            <w:r>
              <w:rPr>
                <w:rStyle w:val="IndexLink"/>
              </w:rPr>
              <w:t>332</w:t>
            </w:r>
          </w:hyperlink>
        </w:p>
        <w:p>
          <w:pPr>
            <w:pStyle w:val="Contents3"/>
            <w:tabs>
              <w:tab w:val="clear" w:pos="8459"/>
              <w:tab w:val="right" w:pos="9026" w:leader="dot"/>
            </w:tabs>
            <w:rPr/>
          </w:pPr>
          <w:hyperlink w:anchor="__RefHeading___Toc580930_774463916">
            <w:r>
              <w:rPr>
                <w:webHidden/>
                <w:rStyle w:val="IndexLink"/>
                <w:rtl w:val="true"/>
              </w:rPr>
              <w:t>الدرس</w:t>
            </w:r>
            <w:r>
              <w:rPr>
                <w:rStyle w:val="IndexLink"/>
              </w:rPr>
              <w:t>40</w:t>
            </w:r>
            <w:r>
              <w:rPr>
                <w:rStyle w:val="IndexLink"/>
                <w:rtl w:val="true"/>
              </w:rPr>
              <w:t xml:space="preserve"> - </w:t>
            </w:r>
            <w:r>
              <w:rPr>
                <w:rStyle w:val="IndexLink"/>
                <w:rtl w:val="true"/>
              </w:rPr>
              <w:t xml:space="preserve">من أسباب تحریم النکاح </w:t>
            </w:r>
            <w:r>
              <w:rPr>
                <w:rStyle w:val="IndexLink"/>
                <w:rtl w:val="true"/>
              </w:rPr>
              <w:t>(</w:t>
            </w:r>
            <w:r>
              <w:rPr>
                <w:rStyle w:val="IndexLink"/>
              </w:rPr>
              <w:t>2</w:t>
            </w:r>
            <w:r>
              <w:rPr>
                <w:rStyle w:val="IndexLink"/>
                <w:rtl w:val="true"/>
              </w:rPr>
              <w:t>)</w:t>
              <w:tab/>
            </w:r>
            <w:r>
              <w:rPr>
                <w:rStyle w:val="IndexLink"/>
              </w:rPr>
              <w:t>334</w:t>
            </w:r>
          </w:hyperlink>
        </w:p>
        <w:p>
          <w:pPr>
            <w:pStyle w:val="Contents4"/>
            <w:tabs>
              <w:tab w:val="clear" w:pos="8176"/>
              <w:tab w:val="right" w:pos="9026" w:leader="dot"/>
            </w:tabs>
            <w:rPr/>
          </w:pPr>
          <w:hyperlink w:anchor="__RefHeading___Toc580932_774463916">
            <w:r>
              <w:rPr>
                <w:webHidden/>
                <w:rStyle w:val="IndexLink"/>
                <w:rtl w:val="true"/>
              </w:rPr>
              <w:t>الکفر</w:t>
            </w:r>
            <w:r>
              <w:rPr>
                <w:rStyle w:val="IndexLink"/>
                <w:rtl w:val="true"/>
              </w:rPr>
              <w:tab/>
            </w:r>
            <w:r>
              <w:rPr>
                <w:rStyle w:val="IndexLink"/>
              </w:rPr>
              <w:t>334</w:t>
            </w:r>
          </w:hyperlink>
        </w:p>
        <w:p>
          <w:pPr>
            <w:pStyle w:val="Contents4"/>
            <w:tabs>
              <w:tab w:val="clear" w:pos="8176"/>
              <w:tab w:val="right" w:pos="9026" w:leader="dot"/>
            </w:tabs>
            <w:rPr/>
          </w:pPr>
          <w:hyperlink w:anchor="__RefHeading___Toc580934_774463916">
            <w:r>
              <w:rPr>
                <w:webHidden/>
                <w:rStyle w:val="IndexLink"/>
                <w:rtl w:val="true"/>
              </w:rPr>
              <w:t>التزویج فی الإحرام</w:t>
            </w:r>
            <w:r>
              <w:rPr>
                <w:rStyle w:val="IndexLink"/>
                <w:rtl w:val="true"/>
              </w:rPr>
              <w:tab/>
            </w:r>
            <w:r>
              <w:rPr>
                <w:rStyle w:val="IndexLink"/>
              </w:rPr>
              <w:t>335</w:t>
            </w:r>
          </w:hyperlink>
        </w:p>
        <w:p>
          <w:pPr>
            <w:pStyle w:val="Contents4"/>
            <w:tabs>
              <w:tab w:val="clear" w:pos="8176"/>
              <w:tab w:val="right" w:pos="9026" w:leader="dot"/>
            </w:tabs>
            <w:rPr/>
          </w:pPr>
          <w:hyperlink w:anchor="__RefHeading___Toc580936_774463916">
            <w:r>
              <w:rPr>
                <w:webHidden/>
                <w:rStyle w:val="IndexLink"/>
                <w:rtl w:val="true"/>
              </w:rPr>
              <w:t>اللعان</w:t>
            </w:r>
            <w:r>
              <w:rPr>
                <w:rStyle w:val="IndexLink"/>
                <w:rtl w:val="true"/>
              </w:rPr>
              <w:tab/>
            </w:r>
            <w:r>
              <w:rPr>
                <w:rStyle w:val="IndexLink"/>
              </w:rPr>
              <w:t>336</w:t>
            </w:r>
          </w:hyperlink>
        </w:p>
        <w:p>
          <w:pPr>
            <w:pStyle w:val="Contents3"/>
            <w:tabs>
              <w:tab w:val="clear" w:pos="8459"/>
              <w:tab w:val="right" w:pos="9026" w:leader="dot"/>
            </w:tabs>
            <w:rPr/>
          </w:pPr>
          <w:hyperlink w:anchor="__RefHeading___Toc580938_774463916">
            <w:r>
              <w:rPr>
                <w:webHidden/>
                <w:rStyle w:val="IndexLink"/>
                <w:rtl w:val="true"/>
              </w:rPr>
              <w:t>الدرس</w:t>
            </w:r>
            <w:r>
              <w:rPr>
                <w:rStyle w:val="IndexLink"/>
              </w:rPr>
              <w:t>41</w:t>
            </w:r>
            <w:r>
              <w:rPr>
                <w:rStyle w:val="IndexLink"/>
                <w:rtl w:val="true"/>
              </w:rPr>
              <w:t xml:space="preserve"> - </w:t>
            </w:r>
            <w:r>
              <w:rPr>
                <w:rStyle w:val="IndexLink"/>
                <w:rtl w:val="true"/>
              </w:rPr>
              <w:t>کتاب المتعة</w:t>
            </w:r>
            <w:r>
              <w:rPr>
                <w:rStyle w:val="IndexLink"/>
                <w:rtl w:val="true"/>
              </w:rPr>
              <w:tab/>
            </w:r>
            <w:r>
              <w:rPr>
                <w:rStyle w:val="IndexLink"/>
              </w:rPr>
              <w:t>337</w:t>
            </w:r>
          </w:hyperlink>
        </w:p>
        <w:p>
          <w:pPr>
            <w:pStyle w:val="Contents4"/>
            <w:tabs>
              <w:tab w:val="clear" w:pos="8176"/>
              <w:tab w:val="right" w:pos="9026" w:leader="dot"/>
            </w:tabs>
            <w:rPr/>
          </w:pPr>
          <w:hyperlink w:anchor="__RefHeading___Toc580940_774463916">
            <w:r>
              <w:rPr>
                <w:webHidden/>
                <w:rStyle w:val="IndexLink"/>
                <w:rtl w:val="true"/>
              </w:rPr>
              <w:t>حقیقة الزواج الموقت</w:t>
            </w:r>
            <w:r>
              <w:rPr>
                <w:rStyle w:val="IndexLink"/>
                <w:rtl w:val="true"/>
              </w:rPr>
              <w:tab/>
            </w:r>
            <w:r>
              <w:rPr>
                <w:rStyle w:val="IndexLink"/>
              </w:rPr>
              <w:t>337</w:t>
            </w:r>
          </w:hyperlink>
        </w:p>
        <w:p>
          <w:pPr>
            <w:pStyle w:val="Contents3"/>
            <w:tabs>
              <w:tab w:val="clear" w:pos="8459"/>
              <w:tab w:val="right" w:pos="9026" w:leader="dot"/>
            </w:tabs>
            <w:rPr/>
          </w:pPr>
          <w:hyperlink w:anchor="__RefHeading___Toc580942_774463916">
            <w:r>
              <w:rPr>
                <w:webHidden/>
                <w:rStyle w:val="IndexLink"/>
                <w:rtl w:val="true"/>
              </w:rPr>
              <w:t>الدرس</w:t>
            </w:r>
            <w:r>
              <w:rPr>
                <w:rStyle w:val="IndexLink"/>
              </w:rPr>
              <w:t>42</w:t>
            </w:r>
            <w:r>
              <w:rPr>
                <w:rStyle w:val="IndexLink"/>
                <w:rtl w:val="true"/>
              </w:rPr>
              <w:t xml:space="preserve"> - </w:t>
            </w:r>
            <w:r>
              <w:rPr>
                <w:rStyle w:val="IndexLink"/>
                <w:rtl w:val="true"/>
              </w:rPr>
              <w:t xml:space="preserve">کتاب المتعة </w:t>
            </w:r>
            <w:r>
              <w:rPr>
                <w:rStyle w:val="IndexLink"/>
                <w:rtl w:val="true"/>
              </w:rPr>
              <w:t>(</w:t>
            </w:r>
            <w:r>
              <w:rPr>
                <w:rStyle w:val="IndexLink"/>
              </w:rPr>
              <w:t>2</w:t>
            </w:r>
            <w:r>
              <w:rPr>
                <w:rStyle w:val="IndexLink"/>
                <w:rtl w:val="true"/>
              </w:rPr>
              <w:t>)</w:t>
              <w:tab/>
            </w:r>
            <w:r>
              <w:rPr>
                <w:rStyle w:val="IndexLink"/>
              </w:rPr>
              <w:t>341</w:t>
            </w:r>
          </w:hyperlink>
        </w:p>
        <w:p>
          <w:pPr>
            <w:pStyle w:val="Contents4"/>
            <w:tabs>
              <w:tab w:val="clear" w:pos="8176"/>
              <w:tab w:val="right" w:pos="9026" w:leader="dot"/>
            </w:tabs>
            <w:rPr/>
          </w:pPr>
          <w:hyperlink w:anchor="__RefHeading___Toc580944_774463916">
            <w:r>
              <w:rPr>
                <w:webHidden/>
                <w:rStyle w:val="IndexLink"/>
                <w:rtl w:val="true"/>
              </w:rPr>
              <w:t>من أحکام الزواج الموقّت</w:t>
            </w:r>
            <w:r>
              <w:rPr>
                <w:rStyle w:val="IndexLink"/>
                <w:rtl w:val="true"/>
              </w:rPr>
              <w:tab/>
            </w:r>
            <w:r>
              <w:rPr>
                <w:rStyle w:val="IndexLink"/>
              </w:rPr>
              <w:t>341</w:t>
            </w:r>
          </w:hyperlink>
        </w:p>
        <w:p>
          <w:pPr>
            <w:pStyle w:val="Contents2"/>
            <w:tabs>
              <w:tab w:val="clear" w:pos="8743"/>
              <w:tab w:val="right" w:pos="9026" w:leader="dot"/>
            </w:tabs>
            <w:rPr/>
          </w:pPr>
          <w:hyperlink w:anchor="__RefHeading___Toc580946_774463916">
            <w:r>
              <w:rPr>
                <w:webHidden/>
                <w:rStyle w:val="IndexLink"/>
                <w:rtl w:val="true"/>
              </w:rPr>
              <w:t>القسم الثالث</w:t>
            </w:r>
            <w:r>
              <w:rPr>
                <w:rStyle w:val="IndexLink"/>
                <w:rtl w:val="true"/>
              </w:rPr>
              <w:t xml:space="preserve">: </w:t>
            </w:r>
            <w:r>
              <w:rPr>
                <w:rStyle w:val="IndexLink"/>
                <w:rtl w:val="true"/>
              </w:rPr>
              <w:t>الإیقاعات</w:t>
            </w:r>
            <w:r>
              <w:rPr>
                <w:rStyle w:val="IndexLink"/>
                <w:rtl w:val="true"/>
              </w:rPr>
              <w:tab/>
            </w:r>
            <w:r>
              <w:rPr>
                <w:rStyle w:val="IndexLink"/>
              </w:rPr>
              <w:t>344</w:t>
            </w:r>
          </w:hyperlink>
        </w:p>
        <w:p>
          <w:pPr>
            <w:pStyle w:val="Contents3"/>
            <w:tabs>
              <w:tab w:val="clear" w:pos="8459"/>
              <w:tab w:val="right" w:pos="9026" w:leader="dot"/>
            </w:tabs>
            <w:rPr/>
          </w:pPr>
          <w:hyperlink w:anchor="__RefHeading___Toc580948_774463916">
            <w:r>
              <w:rPr>
                <w:webHidden/>
                <w:rStyle w:val="IndexLink"/>
                <w:rtl w:val="true"/>
              </w:rPr>
              <w:t>اشارة</w:t>
            </w:r>
            <w:r>
              <w:rPr>
                <w:rStyle w:val="IndexLink"/>
                <w:rtl w:val="true"/>
              </w:rPr>
              <w:tab/>
            </w:r>
            <w:r>
              <w:rPr>
                <w:rStyle w:val="IndexLink"/>
              </w:rPr>
              <w:t>344</w:t>
            </w:r>
          </w:hyperlink>
        </w:p>
        <w:p>
          <w:pPr>
            <w:pStyle w:val="Contents3"/>
            <w:tabs>
              <w:tab w:val="clear" w:pos="8459"/>
              <w:tab w:val="right" w:pos="9026" w:leader="dot"/>
            </w:tabs>
            <w:rPr/>
          </w:pPr>
          <w:hyperlink w:anchor="__RefHeading___Toc580950_774463916">
            <w:r>
              <w:rPr>
                <w:webHidden/>
                <w:rStyle w:val="IndexLink"/>
                <w:rtl w:val="true"/>
              </w:rPr>
              <w:t>الدرس</w:t>
            </w:r>
            <w:r>
              <w:rPr>
                <w:rStyle w:val="IndexLink"/>
              </w:rPr>
              <w:t>1</w:t>
            </w:r>
            <w:r>
              <w:rPr>
                <w:rStyle w:val="IndexLink"/>
                <w:rtl w:val="true"/>
              </w:rPr>
              <w:t xml:space="preserve"> - </w:t>
            </w:r>
            <w:r>
              <w:rPr>
                <w:rStyle w:val="IndexLink"/>
                <w:rtl w:val="true"/>
              </w:rPr>
              <w:t>کتاب الطلاق</w:t>
            </w:r>
            <w:r>
              <w:rPr>
                <w:rStyle w:val="IndexLink"/>
                <w:rtl w:val="true"/>
              </w:rPr>
              <w:tab/>
            </w:r>
            <w:r>
              <w:rPr>
                <w:rStyle w:val="IndexLink"/>
              </w:rPr>
              <w:t>345</w:t>
            </w:r>
          </w:hyperlink>
        </w:p>
        <w:p>
          <w:pPr>
            <w:pStyle w:val="Contents4"/>
            <w:tabs>
              <w:tab w:val="clear" w:pos="8176"/>
              <w:tab w:val="right" w:pos="9026" w:leader="dot"/>
            </w:tabs>
            <w:rPr/>
          </w:pPr>
          <w:hyperlink w:anchor="__RefHeading___Toc580952_774463916">
            <w:r>
              <w:rPr>
                <w:webHidden/>
                <w:rStyle w:val="IndexLink"/>
                <w:rtl w:val="true"/>
              </w:rPr>
              <w:t>حقیقة الطلاق</w:t>
            </w:r>
            <w:r>
              <w:rPr>
                <w:rStyle w:val="IndexLink"/>
                <w:rtl w:val="true"/>
              </w:rPr>
              <w:tab/>
            </w:r>
            <w:r>
              <w:rPr>
                <w:rStyle w:val="IndexLink"/>
              </w:rPr>
              <w:t>345</w:t>
            </w:r>
          </w:hyperlink>
        </w:p>
        <w:p>
          <w:pPr>
            <w:pStyle w:val="Contents4"/>
            <w:tabs>
              <w:tab w:val="clear" w:pos="8176"/>
              <w:tab w:val="right" w:pos="9026" w:leader="dot"/>
            </w:tabs>
            <w:rPr/>
          </w:pPr>
          <w:hyperlink w:anchor="__RefHeading___Toc580954_774463916">
            <w:r>
              <w:rPr>
                <w:webHidden/>
                <w:rStyle w:val="IndexLink"/>
                <w:rtl w:val="true"/>
              </w:rPr>
              <w:t>شرائط صحّة الطلاق</w:t>
            </w:r>
            <w:r>
              <w:rPr>
                <w:rStyle w:val="IndexLink"/>
                <w:rtl w:val="true"/>
              </w:rPr>
              <w:tab/>
            </w:r>
            <w:r>
              <w:rPr>
                <w:rStyle w:val="IndexLink"/>
              </w:rPr>
              <w:t>345</w:t>
            </w:r>
          </w:hyperlink>
        </w:p>
        <w:p>
          <w:pPr>
            <w:pStyle w:val="Contents3"/>
            <w:tabs>
              <w:tab w:val="clear" w:pos="8459"/>
              <w:tab w:val="right" w:pos="9026" w:leader="dot"/>
            </w:tabs>
            <w:rPr/>
          </w:pPr>
          <w:hyperlink w:anchor="__RefHeading___Toc580956_774463916">
            <w:r>
              <w:rPr>
                <w:webHidden/>
                <w:rStyle w:val="IndexLink"/>
                <w:rtl w:val="true"/>
              </w:rPr>
              <w:t>الدرس</w:t>
            </w:r>
            <w:r>
              <w:rPr>
                <w:rStyle w:val="IndexLink"/>
              </w:rPr>
              <w:t>2</w:t>
            </w:r>
            <w:r>
              <w:rPr>
                <w:rStyle w:val="IndexLink"/>
                <w:rtl w:val="true"/>
              </w:rPr>
              <w:t xml:space="preserve"> - </w:t>
            </w:r>
            <w:r>
              <w:rPr>
                <w:rStyle w:val="IndexLink"/>
                <w:rtl w:val="true"/>
              </w:rPr>
              <w:t xml:space="preserve">کتاب الطلاق </w:t>
            </w:r>
            <w:r>
              <w:rPr>
                <w:rStyle w:val="IndexLink"/>
                <w:rtl w:val="true"/>
              </w:rPr>
              <w:t>(</w:t>
            </w:r>
            <w:r>
              <w:rPr>
                <w:rStyle w:val="IndexLink"/>
              </w:rPr>
              <w:t>2</w:t>
            </w:r>
            <w:r>
              <w:rPr>
                <w:rStyle w:val="IndexLink"/>
                <w:rtl w:val="true"/>
              </w:rPr>
              <w:t>)</w:t>
              <w:tab/>
            </w:r>
            <w:r>
              <w:rPr>
                <w:rStyle w:val="IndexLink"/>
              </w:rPr>
              <w:t>348</w:t>
            </w:r>
          </w:hyperlink>
        </w:p>
        <w:p>
          <w:pPr>
            <w:pStyle w:val="Contents4"/>
            <w:tabs>
              <w:tab w:val="clear" w:pos="8176"/>
              <w:tab w:val="right" w:pos="9026" w:leader="dot"/>
            </w:tabs>
            <w:rPr/>
          </w:pPr>
          <w:hyperlink w:anchor="__RefHeading___Toc580958_774463916">
            <w:r>
              <w:rPr>
                <w:webHidden/>
                <w:rStyle w:val="IndexLink"/>
                <w:rtl w:val="true"/>
              </w:rPr>
              <w:t>تابع شرائط صحّة الطلاق</w:t>
            </w:r>
            <w:r>
              <w:rPr>
                <w:rStyle w:val="IndexLink"/>
                <w:rtl w:val="true"/>
              </w:rPr>
              <w:tab/>
            </w:r>
            <w:r>
              <w:rPr>
                <w:rStyle w:val="IndexLink"/>
              </w:rPr>
              <w:t>348</w:t>
            </w:r>
          </w:hyperlink>
        </w:p>
        <w:p>
          <w:pPr>
            <w:pStyle w:val="Contents4"/>
            <w:tabs>
              <w:tab w:val="clear" w:pos="8176"/>
              <w:tab w:val="right" w:pos="9026" w:leader="dot"/>
            </w:tabs>
            <w:rPr/>
          </w:pPr>
          <w:hyperlink w:anchor="__RefHeading___Toc580960_774463916">
            <w:r>
              <w:rPr>
                <w:webHidden/>
                <w:rStyle w:val="IndexLink"/>
                <w:rtl w:val="true"/>
              </w:rPr>
              <w:t>صیغة الطلاق</w:t>
            </w:r>
            <w:r>
              <w:rPr>
                <w:rStyle w:val="IndexLink"/>
                <w:rtl w:val="true"/>
              </w:rPr>
              <w:tab/>
            </w:r>
            <w:r>
              <w:rPr>
                <w:rStyle w:val="IndexLink"/>
              </w:rPr>
              <w:t>350</w:t>
            </w:r>
          </w:hyperlink>
        </w:p>
        <w:p>
          <w:pPr>
            <w:pStyle w:val="Contents4"/>
            <w:tabs>
              <w:tab w:val="clear" w:pos="8176"/>
              <w:tab w:val="right" w:pos="9026" w:leader="dot"/>
            </w:tabs>
            <w:rPr/>
          </w:pPr>
          <w:hyperlink w:anchor="__RefHeading___Toc580962_774463916">
            <w:r>
              <w:rPr>
                <w:webHidden/>
                <w:rStyle w:val="IndexLink"/>
                <w:rtl w:val="true"/>
              </w:rPr>
              <w:t>أقسام الطلاق</w:t>
            </w:r>
            <w:r>
              <w:rPr>
                <w:rStyle w:val="IndexLink"/>
                <w:rtl w:val="true"/>
              </w:rPr>
              <w:tab/>
            </w:r>
            <w:r>
              <w:rPr>
                <w:rStyle w:val="IndexLink"/>
              </w:rPr>
              <w:t>350</w:t>
            </w:r>
          </w:hyperlink>
        </w:p>
        <w:p>
          <w:pPr>
            <w:pStyle w:val="Contents3"/>
            <w:tabs>
              <w:tab w:val="clear" w:pos="8459"/>
              <w:tab w:val="right" w:pos="9026" w:leader="dot"/>
            </w:tabs>
            <w:rPr/>
          </w:pPr>
          <w:hyperlink w:anchor="__RefHeading___Toc580964_774463916">
            <w:r>
              <w:rPr>
                <w:webHidden/>
                <w:rStyle w:val="IndexLink"/>
                <w:rtl w:val="true"/>
              </w:rPr>
              <w:t>الدرس</w:t>
            </w:r>
            <w:r>
              <w:rPr>
                <w:rStyle w:val="IndexLink"/>
              </w:rPr>
              <w:t>3</w:t>
            </w:r>
            <w:r>
              <w:rPr>
                <w:rStyle w:val="IndexLink"/>
                <w:rtl w:val="true"/>
              </w:rPr>
              <w:t xml:space="preserve"> - </w:t>
            </w:r>
            <w:r>
              <w:rPr>
                <w:rStyle w:val="IndexLink"/>
                <w:rtl w:val="true"/>
              </w:rPr>
              <w:t>کتاب العدّة</w:t>
            </w:r>
            <w:r>
              <w:rPr>
                <w:rStyle w:val="IndexLink"/>
                <w:rtl w:val="true"/>
              </w:rPr>
              <w:tab/>
            </w:r>
            <w:r>
              <w:rPr>
                <w:rStyle w:val="IndexLink"/>
              </w:rPr>
              <w:t>354</w:t>
            </w:r>
          </w:hyperlink>
        </w:p>
        <w:p>
          <w:pPr>
            <w:pStyle w:val="Contents4"/>
            <w:tabs>
              <w:tab w:val="clear" w:pos="8176"/>
              <w:tab w:val="right" w:pos="9026" w:leader="dot"/>
            </w:tabs>
            <w:rPr/>
          </w:pPr>
          <w:hyperlink w:anchor="__RefHeading___Toc580966_774463916">
            <w:r>
              <w:rPr>
                <w:webHidden/>
                <w:rStyle w:val="IndexLink"/>
                <w:rtl w:val="true"/>
              </w:rPr>
              <w:t>حقیقة العدّة و أحکامها</w:t>
            </w:r>
            <w:r>
              <w:rPr>
                <w:rStyle w:val="IndexLink"/>
                <w:rtl w:val="true"/>
              </w:rPr>
              <w:tab/>
            </w:r>
            <w:r>
              <w:rPr>
                <w:rStyle w:val="IndexLink"/>
              </w:rPr>
              <w:t>354</w:t>
            </w:r>
          </w:hyperlink>
        </w:p>
        <w:p>
          <w:pPr>
            <w:pStyle w:val="Contents3"/>
            <w:tabs>
              <w:tab w:val="clear" w:pos="8459"/>
              <w:tab w:val="right" w:pos="9026" w:leader="dot"/>
            </w:tabs>
            <w:rPr/>
          </w:pPr>
          <w:hyperlink w:anchor="__RefHeading___Toc580968_774463916">
            <w:r>
              <w:rPr>
                <w:webHidden/>
                <w:rStyle w:val="IndexLink"/>
                <w:rtl w:val="true"/>
              </w:rPr>
              <w:t>الدرس</w:t>
            </w:r>
            <w:r>
              <w:rPr>
                <w:rStyle w:val="IndexLink"/>
              </w:rPr>
              <w:t>4</w:t>
            </w:r>
            <w:r>
              <w:rPr>
                <w:rStyle w:val="IndexLink"/>
                <w:rtl w:val="true"/>
              </w:rPr>
              <w:t xml:space="preserve"> - </w:t>
            </w:r>
            <w:r>
              <w:rPr>
                <w:rStyle w:val="IndexLink"/>
                <w:rtl w:val="true"/>
              </w:rPr>
              <w:t xml:space="preserve">کتاب العدة </w:t>
            </w:r>
            <w:r>
              <w:rPr>
                <w:rStyle w:val="IndexLink"/>
                <w:rtl w:val="true"/>
              </w:rPr>
              <w:t>(</w:t>
            </w:r>
            <w:r>
              <w:rPr>
                <w:rStyle w:val="IndexLink"/>
              </w:rPr>
              <w:t>2</w:t>
            </w:r>
            <w:r>
              <w:rPr>
                <w:rStyle w:val="IndexLink"/>
                <w:rtl w:val="true"/>
              </w:rPr>
              <w:t>)</w:t>
              <w:tab/>
            </w:r>
            <w:r>
              <w:rPr>
                <w:rStyle w:val="IndexLink"/>
              </w:rPr>
              <w:t>357</w:t>
            </w:r>
          </w:hyperlink>
        </w:p>
        <w:p>
          <w:pPr>
            <w:pStyle w:val="Contents4"/>
            <w:tabs>
              <w:tab w:val="clear" w:pos="8176"/>
              <w:tab w:val="right" w:pos="9026" w:leader="dot"/>
            </w:tabs>
            <w:rPr/>
          </w:pPr>
          <w:hyperlink w:anchor="__RefHeading___Toc580970_774463916">
            <w:r>
              <w:rPr>
                <w:webHidden/>
                <w:rStyle w:val="IndexLink"/>
                <w:rtl w:val="true"/>
              </w:rPr>
              <w:t>تابع أحکام العدّة</w:t>
            </w:r>
            <w:r>
              <w:rPr>
                <w:rStyle w:val="IndexLink"/>
                <w:rtl w:val="true"/>
              </w:rPr>
              <w:tab/>
            </w:r>
            <w:r>
              <w:rPr>
                <w:rStyle w:val="IndexLink"/>
              </w:rPr>
              <w:t>357</w:t>
            </w:r>
          </w:hyperlink>
        </w:p>
        <w:p>
          <w:pPr>
            <w:pStyle w:val="Contents3"/>
            <w:tabs>
              <w:tab w:val="clear" w:pos="8459"/>
              <w:tab w:val="right" w:pos="9026" w:leader="dot"/>
            </w:tabs>
            <w:rPr/>
          </w:pPr>
          <w:hyperlink w:anchor="__RefHeading___Toc580972_774463916">
            <w:r>
              <w:rPr>
                <w:webHidden/>
                <w:rStyle w:val="IndexLink"/>
                <w:rtl w:val="true"/>
              </w:rPr>
              <w:t>الدرس</w:t>
            </w:r>
            <w:r>
              <w:rPr>
                <w:rStyle w:val="IndexLink"/>
              </w:rPr>
              <w:t>5</w:t>
            </w:r>
            <w:r>
              <w:rPr>
                <w:rStyle w:val="IndexLink"/>
                <w:rtl w:val="true"/>
              </w:rPr>
              <w:t xml:space="preserve"> - </w:t>
            </w:r>
            <w:r>
              <w:rPr>
                <w:rStyle w:val="IndexLink"/>
                <w:rtl w:val="true"/>
              </w:rPr>
              <w:t>کتاب الخلع والمباراة</w:t>
            </w:r>
            <w:r>
              <w:rPr>
                <w:rStyle w:val="IndexLink"/>
                <w:rtl w:val="true"/>
              </w:rPr>
              <w:tab/>
            </w:r>
            <w:r>
              <w:rPr>
                <w:rStyle w:val="IndexLink"/>
              </w:rPr>
              <w:t>360</w:t>
            </w:r>
          </w:hyperlink>
        </w:p>
        <w:p>
          <w:pPr>
            <w:pStyle w:val="Contents4"/>
            <w:tabs>
              <w:tab w:val="clear" w:pos="8176"/>
              <w:tab w:val="right" w:pos="9026" w:leader="dot"/>
            </w:tabs>
            <w:rPr/>
          </w:pPr>
          <w:hyperlink w:anchor="__RefHeading___Toc580974_774463916">
            <w:r>
              <w:rPr>
                <w:webHidden/>
                <w:rStyle w:val="IndexLink"/>
                <w:rtl w:val="true"/>
              </w:rPr>
              <w:t>حقیقة الخلع والمباراة</w:t>
            </w:r>
            <w:r>
              <w:rPr>
                <w:rStyle w:val="IndexLink"/>
                <w:rtl w:val="true"/>
              </w:rPr>
              <w:tab/>
            </w:r>
            <w:r>
              <w:rPr>
                <w:rStyle w:val="IndexLink"/>
              </w:rPr>
              <w:t>360</w:t>
            </w:r>
          </w:hyperlink>
        </w:p>
        <w:p>
          <w:pPr>
            <w:pStyle w:val="Contents3"/>
            <w:tabs>
              <w:tab w:val="clear" w:pos="8459"/>
              <w:tab w:val="right" w:pos="9026" w:leader="dot"/>
            </w:tabs>
            <w:rPr/>
          </w:pPr>
          <w:hyperlink w:anchor="__RefHeading___Toc580976_774463916">
            <w:r>
              <w:rPr>
                <w:webHidden/>
                <w:rStyle w:val="IndexLink"/>
                <w:rtl w:val="true"/>
              </w:rPr>
              <w:t>الدرس</w:t>
            </w:r>
            <w:r>
              <w:rPr>
                <w:rStyle w:val="IndexLink"/>
              </w:rPr>
              <w:t>6</w:t>
            </w:r>
            <w:r>
              <w:rPr>
                <w:rStyle w:val="IndexLink"/>
                <w:rtl w:val="true"/>
              </w:rPr>
              <w:t xml:space="preserve"> - </w:t>
            </w:r>
            <w:r>
              <w:rPr>
                <w:rStyle w:val="IndexLink"/>
                <w:rtl w:val="true"/>
              </w:rPr>
              <w:t>کتاب الظهار والإیلاء</w:t>
            </w:r>
            <w:r>
              <w:rPr>
                <w:rStyle w:val="IndexLink"/>
                <w:rtl w:val="true"/>
              </w:rPr>
              <w:tab/>
            </w:r>
            <w:r>
              <w:rPr>
                <w:rStyle w:val="IndexLink"/>
              </w:rPr>
              <w:t>364</w:t>
            </w:r>
          </w:hyperlink>
        </w:p>
        <w:p>
          <w:pPr>
            <w:pStyle w:val="Contents4"/>
            <w:tabs>
              <w:tab w:val="clear" w:pos="8176"/>
              <w:tab w:val="right" w:pos="9026" w:leader="dot"/>
            </w:tabs>
            <w:rPr/>
          </w:pPr>
          <w:hyperlink w:anchor="__RefHeading___Toc580978_774463916">
            <w:r>
              <w:rPr>
                <w:webHidden/>
                <w:rStyle w:val="IndexLink"/>
                <w:rtl w:val="true"/>
              </w:rPr>
              <w:t>حقیقة الظهار</w:t>
            </w:r>
            <w:r>
              <w:rPr>
                <w:rStyle w:val="IndexLink"/>
                <w:rtl w:val="true"/>
              </w:rPr>
              <w:tab/>
            </w:r>
            <w:r>
              <w:rPr>
                <w:rStyle w:val="IndexLink"/>
              </w:rPr>
              <w:t>364</w:t>
            </w:r>
          </w:hyperlink>
        </w:p>
        <w:p>
          <w:pPr>
            <w:pStyle w:val="Contents4"/>
            <w:tabs>
              <w:tab w:val="clear" w:pos="8176"/>
              <w:tab w:val="right" w:pos="9026" w:leader="dot"/>
            </w:tabs>
            <w:rPr/>
          </w:pPr>
          <w:hyperlink w:anchor="__RefHeading___Toc580980_774463916">
            <w:r>
              <w:rPr>
                <w:webHidden/>
                <w:rStyle w:val="IndexLink"/>
                <w:rtl w:val="true"/>
              </w:rPr>
              <w:t>حقیقة الإیلاء</w:t>
            </w:r>
            <w:r>
              <w:rPr>
                <w:rStyle w:val="IndexLink"/>
                <w:rtl w:val="true"/>
              </w:rPr>
              <w:tab/>
            </w:r>
            <w:r>
              <w:rPr>
                <w:rStyle w:val="IndexLink"/>
              </w:rPr>
              <w:t>364</w:t>
            </w:r>
          </w:hyperlink>
        </w:p>
        <w:p>
          <w:pPr>
            <w:pStyle w:val="Contents3"/>
            <w:tabs>
              <w:tab w:val="clear" w:pos="8459"/>
              <w:tab w:val="right" w:pos="9026" w:leader="dot"/>
            </w:tabs>
            <w:rPr/>
          </w:pPr>
          <w:hyperlink w:anchor="__RefHeading___Toc580982_774463916">
            <w:r>
              <w:rPr>
                <w:webHidden/>
                <w:rStyle w:val="IndexLink"/>
                <w:rtl w:val="true"/>
              </w:rPr>
              <w:t>الدرس</w:t>
            </w:r>
            <w:r>
              <w:rPr>
                <w:rStyle w:val="IndexLink"/>
              </w:rPr>
              <w:t>7</w:t>
            </w:r>
            <w:r>
              <w:rPr>
                <w:rStyle w:val="IndexLink"/>
                <w:rtl w:val="true"/>
              </w:rPr>
              <w:t xml:space="preserve"> - </w:t>
            </w:r>
            <w:r>
              <w:rPr>
                <w:rStyle w:val="IndexLink"/>
                <w:rtl w:val="true"/>
              </w:rPr>
              <w:t>کتاب اللِّعان</w:t>
            </w:r>
            <w:r>
              <w:rPr>
                <w:rStyle w:val="IndexLink"/>
                <w:rtl w:val="true"/>
              </w:rPr>
              <w:tab/>
            </w:r>
            <w:r>
              <w:rPr>
                <w:rStyle w:val="IndexLink"/>
              </w:rPr>
              <w:t>366</w:t>
            </w:r>
          </w:hyperlink>
        </w:p>
        <w:p>
          <w:pPr>
            <w:pStyle w:val="Contents4"/>
            <w:tabs>
              <w:tab w:val="clear" w:pos="8176"/>
              <w:tab w:val="right" w:pos="9026" w:leader="dot"/>
            </w:tabs>
            <w:rPr/>
          </w:pPr>
          <w:hyperlink w:anchor="__RefHeading___Toc580984_774463916">
            <w:r>
              <w:rPr>
                <w:webHidden/>
                <w:rStyle w:val="IndexLink"/>
                <w:rtl w:val="true"/>
              </w:rPr>
              <w:t>حقیقة اللّعان</w:t>
            </w:r>
            <w:r>
              <w:rPr>
                <w:rStyle w:val="IndexLink"/>
                <w:rtl w:val="true"/>
              </w:rPr>
              <w:tab/>
            </w:r>
            <w:r>
              <w:rPr>
                <w:rStyle w:val="IndexLink"/>
              </w:rPr>
              <w:t>366</w:t>
            </w:r>
          </w:hyperlink>
        </w:p>
        <w:p>
          <w:pPr>
            <w:pStyle w:val="Contents3"/>
            <w:tabs>
              <w:tab w:val="clear" w:pos="8459"/>
              <w:tab w:val="right" w:pos="9026" w:leader="dot"/>
            </w:tabs>
            <w:rPr/>
          </w:pPr>
          <w:hyperlink w:anchor="__RefHeading___Toc580986_774463916">
            <w:r>
              <w:rPr>
                <w:webHidden/>
                <w:rStyle w:val="IndexLink"/>
                <w:rtl w:val="true"/>
              </w:rPr>
              <w:t>الدرس</w:t>
            </w:r>
            <w:r>
              <w:rPr>
                <w:rStyle w:val="IndexLink"/>
              </w:rPr>
              <w:t>8</w:t>
            </w:r>
            <w:r>
              <w:rPr>
                <w:rStyle w:val="IndexLink"/>
                <w:rtl w:val="true"/>
              </w:rPr>
              <w:t xml:space="preserve"> - </w:t>
            </w:r>
            <w:r>
              <w:rPr>
                <w:rStyle w:val="IndexLink"/>
                <w:rtl w:val="true"/>
              </w:rPr>
              <w:t>کتاب الیمین</w:t>
            </w:r>
            <w:r>
              <w:rPr>
                <w:rStyle w:val="IndexLink"/>
                <w:rtl w:val="true"/>
              </w:rPr>
              <w:tab/>
            </w:r>
            <w:r>
              <w:rPr>
                <w:rStyle w:val="IndexLink"/>
              </w:rPr>
              <w:t>369</w:t>
            </w:r>
          </w:hyperlink>
        </w:p>
        <w:p>
          <w:pPr>
            <w:pStyle w:val="Contents4"/>
            <w:tabs>
              <w:tab w:val="clear" w:pos="8176"/>
              <w:tab w:val="right" w:pos="9026" w:leader="dot"/>
            </w:tabs>
            <w:rPr/>
          </w:pPr>
          <w:hyperlink w:anchor="__RefHeading___Toc580988_774463916">
            <w:r>
              <w:rPr>
                <w:webHidden/>
                <w:rStyle w:val="IndexLink"/>
                <w:rtl w:val="true"/>
              </w:rPr>
              <w:t>حقیقة الیمین وأحکامه</w:t>
            </w:r>
            <w:r>
              <w:rPr>
                <w:rStyle w:val="IndexLink"/>
                <w:rtl w:val="true"/>
              </w:rPr>
              <w:tab/>
            </w:r>
            <w:r>
              <w:rPr>
                <w:rStyle w:val="IndexLink"/>
              </w:rPr>
              <w:t>369</w:t>
            </w:r>
          </w:hyperlink>
        </w:p>
        <w:p>
          <w:pPr>
            <w:pStyle w:val="Contents3"/>
            <w:tabs>
              <w:tab w:val="clear" w:pos="8459"/>
              <w:tab w:val="right" w:pos="9026" w:leader="dot"/>
            </w:tabs>
            <w:rPr/>
          </w:pPr>
          <w:hyperlink w:anchor="__RefHeading___Toc580990_774463916">
            <w:r>
              <w:rPr>
                <w:webHidden/>
                <w:rStyle w:val="IndexLink"/>
                <w:rtl w:val="true"/>
              </w:rPr>
              <w:t>الدرس</w:t>
            </w:r>
            <w:r>
              <w:rPr>
                <w:rStyle w:val="IndexLink"/>
              </w:rPr>
              <w:t>9</w:t>
            </w:r>
            <w:r>
              <w:rPr>
                <w:rStyle w:val="IndexLink"/>
                <w:rtl w:val="true"/>
              </w:rPr>
              <w:t xml:space="preserve"> - </w:t>
            </w:r>
            <w:r>
              <w:rPr>
                <w:rStyle w:val="IndexLink"/>
                <w:rtl w:val="true"/>
              </w:rPr>
              <w:t>کتاب النذر والعهد</w:t>
            </w:r>
            <w:r>
              <w:rPr>
                <w:rStyle w:val="IndexLink"/>
                <w:rtl w:val="true"/>
              </w:rPr>
              <w:tab/>
            </w:r>
            <w:r>
              <w:rPr>
                <w:rStyle w:val="IndexLink"/>
              </w:rPr>
              <w:t>373</w:t>
            </w:r>
          </w:hyperlink>
        </w:p>
        <w:p>
          <w:pPr>
            <w:pStyle w:val="Contents4"/>
            <w:tabs>
              <w:tab w:val="clear" w:pos="8176"/>
              <w:tab w:val="right" w:pos="9026" w:leader="dot"/>
            </w:tabs>
            <w:rPr/>
          </w:pPr>
          <w:hyperlink w:anchor="__RefHeading___Toc580992_774463916">
            <w:r>
              <w:rPr>
                <w:webHidden/>
                <w:rStyle w:val="IndexLink"/>
                <w:rtl w:val="true"/>
              </w:rPr>
              <w:t>حقیقة النذر</w:t>
            </w:r>
            <w:r>
              <w:rPr>
                <w:rStyle w:val="IndexLink"/>
                <w:rtl w:val="true"/>
              </w:rPr>
              <w:tab/>
            </w:r>
            <w:r>
              <w:rPr>
                <w:rStyle w:val="IndexLink"/>
              </w:rPr>
              <w:t>373</w:t>
            </w:r>
          </w:hyperlink>
        </w:p>
        <w:p>
          <w:pPr>
            <w:pStyle w:val="Contents4"/>
            <w:tabs>
              <w:tab w:val="clear" w:pos="8176"/>
              <w:tab w:val="right" w:pos="9026" w:leader="dot"/>
            </w:tabs>
            <w:rPr/>
          </w:pPr>
          <w:hyperlink w:anchor="__RefHeading___Toc580994_774463916">
            <w:r>
              <w:rPr>
                <w:webHidden/>
                <w:rStyle w:val="IndexLink"/>
                <w:rtl w:val="true"/>
              </w:rPr>
              <w:t>حقیقة العهد</w:t>
            </w:r>
            <w:r>
              <w:rPr>
                <w:rStyle w:val="IndexLink"/>
                <w:rtl w:val="true"/>
              </w:rPr>
              <w:tab/>
            </w:r>
            <w:r>
              <w:rPr>
                <w:rStyle w:val="IndexLink"/>
              </w:rPr>
              <w:t>375</w:t>
            </w:r>
          </w:hyperlink>
        </w:p>
        <w:p>
          <w:pPr>
            <w:pStyle w:val="Contents3"/>
            <w:tabs>
              <w:tab w:val="clear" w:pos="8459"/>
              <w:tab w:val="right" w:pos="9026" w:leader="dot"/>
            </w:tabs>
            <w:rPr/>
          </w:pPr>
          <w:hyperlink w:anchor="__RefHeading___Toc580996_774463916">
            <w:r>
              <w:rPr>
                <w:webHidden/>
                <w:rStyle w:val="IndexLink"/>
                <w:rtl w:val="true"/>
              </w:rPr>
              <w:t>الدرس</w:t>
            </w:r>
            <w:r>
              <w:rPr>
                <w:rStyle w:val="IndexLink"/>
              </w:rPr>
              <w:t>10</w:t>
            </w:r>
            <w:r>
              <w:rPr>
                <w:rStyle w:val="IndexLink"/>
                <w:rtl w:val="true"/>
              </w:rPr>
              <w:t xml:space="preserve"> - </w:t>
            </w:r>
            <w:r>
              <w:rPr>
                <w:rStyle w:val="IndexLink"/>
                <w:rtl w:val="true"/>
              </w:rPr>
              <w:t>کتاب الشفعة</w:t>
            </w:r>
            <w:r>
              <w:rPr>
                <w:rStyle w:val="IndexLink"/>
                <w:rtl w:val="true"/>
              </w:rPr>
              <w:tab/>
            </w:r>
            <w:r>
              <w:rPr>
                <w:rStyle w:val="IndexLink"/>
              </w:rPr>
              <w:t>377</w:t>
            </w:r>
          </w:hyperlink>
        </w:p>
        <w:p>
          <w:pPr>
            <w:pStyle w:val="Contents4"/>
            <w:tabs>
              <w:tab w:val="clear" w:pos="8176"/>
              <w:tab w:val="right" w:pos="9026" w:leader="dot"/>
            </w:tabs>
            <w:rPr/>
          </w:pPr>
          <w:hyperlink w:anchor="__RefHeading___Toc580998_774463916">
            <w:r>
              <w:rPr>
                <w:webHidden/>
                <w:rStyle w:val="IndexLink"/>
                <w:rtl w:val="true"/>
              </w:rPr>
              <w:t>حقیقة الشفعة</w:t>
            </w:r>
            <w:r>
              <w:rPr>
                <w:rStyle w:val="IndexLink"/>
                <w:rtl w:val="true"/>
              </w:rPr>
              <w:tab/>
            </w:r>
            <w:r>
              <w:rPr>
                <w:rStyle w:val="IndexLink"/>
              </w:rPr>
              <w:t>377</w:t>
            </w:r>
          </w:hyperlink>
        </w:p>
        <w:p>
          <w:pPr>
            <w:pStyle w:val="Contents3"/>
            <w:tabs>
              <w:tab w:val="clear" w:pos="8459"/>
              <w:tab w:val="right" w:pos="9026" w:leader="dot"/>
            </w:tabs>
            <w:rPr/>
          </w:pPr>
          <w:hyperlink w:anchor="__RefHeading___Toc581000_774463916">
            <w:r>
              <w:rPr>
                <w:webHidden/>
                <w:rStyle w:val="IndexLink"/>
                <w:rtl w:val="true"/>
              </w:rPr>
              <w:t>الدرس</w:t>
            </w:r>
            <w:r>
              <w:rPr>
                <w:rStyle w:val="IndexLink"/>
              </w:rPr>
              <w:t>11</w:t>
            </w:r>
            <w:r>
              <w:rPr>
                <w:rStyle w:val="IndexLink"/>
                <w:rtl w:val="true"/>
              </w:rPr>
              <w:t xml:space="preserve"> - </w:t>
            </w:r>
            <w:r>
              <w:rPr>
                <w:rStyle w:val="IndexLink"/>
                <w:rtl w:val="true"/>
              </w:rPr>
              <w:t>کتاب الوصیة</w:t>
            </w:r>
            <w:r>
              <w:rPr>
                <w:rStyle w:val="IndexLink"/>
                <w:rtl w:val="true"/>
              </w:rPr>
              <w:tab/>
            </w:r>
            <w:r>
              <w:rPr>
                <w:rStyle w:val="IndexLink"/>
              </w:rPr>
              <w:t>379</w:t>
            </w:r>
          </w:hyperlink>
        </w:p>
        <w:p>
          <w:pPr>
            <w:pStyle w:val="Contents4"/>
            <w:tabs>
              <w:tab w:val="clear" w:pos="8176"/>
              <w:tab w:val="right" w:pos="9026" w:leader="dot"/>
            </w:tabs>
            <w:rPr/>
          </w:pPr>
          <w:hyperlink w:anchor="__RefHeading___Toc581002_774463916">
            <w:r>
              <w:rPr>
                <w:webHidden/>
                <w:rStyle w:val="IndexLink"/>
                <w:rtl w:val="true"/>
              </w:rPr>
              <w:t>حقیقة الوصیة</w:t>
            </w:r>
            <w:r>
              <w:rPr>
                <w:rStyle w:val="IndexLink"/>
                <w:rtl w:val="true"/>
              </w:rPr>
              <w:tab/>
            </w:r>
            <w:r>
              <w:rPr>
                <w:rStyle w:val="IndexLink"/>
              </w:rPr>
              <w:t>379</w:t>
            </w:r>
          </w:hyperlink>
        </w:p>
        <w:p>
          <w:pPr>
            <w:pStyle w:val="Contents3"/>
            <w:tabs>
              <w:tab w:val="clear" w:pos="8459"/>
              <w:tab w:val="right" w:pos="9026" w:leader="dot"/>
            </w:tabs>
            <w:rPr/>
          </w:pPr>
          <w:hyperlink w:anchor="__RefHeading___Toc581004_774463916">
            <w:r>
              <w:rPr>
                <w:webHidden/>
                <w:rStyle w:val="IndexLink"/>
                <w:rtl w:val="true"/>
              </w:rPr>
              <w:t>الدرس</w:t>
            </w:r>
            <w:r>
              <w:rPr>
                <w:rStyle w:val="IndexLink"/>
              </w:rPr>
              <w:t>12</w:t>
            </w:r>
            <w:r>
              <w:rPr>
                <w:rStyle w:val="IndexLink"/>
                <w:rtl w:val="true"/>
              </w:rPr>
              <w:t xml:space="preserve"> - </w:t>
            </w:r>
            <w:r>
              <w:rPr>
                <w:rStyle w:val="IndexLink"/>
                <w:rtl w:val="true"/>
              </w:rPr>
              <w:t xml:space="preserve">کتاب الوصیة </w:t>
            </w:r>
            <w:r>
              <w:rPr>
                <w:rStyle w:val="IndexLink"/>
                <w:rtl w:val="true"/>
              </w:rPr>
              <w:t>(</w:t>
            </w:r>
            <w:r>
              <w:rPr>
                <w:rStyle w:val="IndexLink"/>
              </w:rPr>
              <w:t>2</w:t>
            </w:r>
            <w:r>
              <w:rPr>
                <w:rStyle w:val="IndexLink"/>
                <w:rtl w:val="true"/>
              </w:rPr>
              <w:t>)</w:t>
              <w:tab/>
            </w:r>
            <w:r>
              <w:rPr>
                <w:rStyle w:val="IndexLink"/>
              </w:rPr>
              <w:t>382</w:t>
            </w:r>
          </w:hyperlink>
        </w:p>
        <w:p>
          <w:pPr>
            <w:pStyle w:val="Contents4"/>
            <w:tabs>
              <w:tab w:val="clear" w:pos="8176"/>
              <w:tab w:val="right" w:pos="9026" w:leader="dot"/>
            </w:tabs>
            <w:rPr/>
          </w:pPr>
          <w:hyperlink w:anchor="__RefHeading___Toc581006_774463916">
            <w:r>
              <w:rPr>
                <w:webHidden/>
                <w:rStyle w:val="IndexLink"/>
                <w:rtl w:val="true"/>
              </w:rPr>
              <w:t>من أحکام الوصی</w:t>
            </w:r>
            <w:r>
              <w:rPr>
                <w:rStyle w:val="IndexLink"/>
                <w:rtl w:val="true"/>
              </w:rPr>
              <w:tab/>
            </w:r>
            <w:r>
              <w:rPr>
                <w:rStyle w:val="IndexLink"/>
              </w:rPr>
              <w:t>382</w:t>
            </w:r>
          </w:hyperlink>
        </w:p>
        <w:p>
          <w:pPr>
            <w:pStyle w:val="Contents4"/>
            <w:tabs>
              <w:tab w:val="clear" w:pos="8176"/>
              <w:tab w:val="right" w:pos="9026" w:leader="dot"/>
            </w:tabs>
            <w:rPr/>
          </w:pPr>
          <w:hyperlink w:anchor="__RefHeading___Toc581008_774463916">
            <w:r>
              <w:rPr>
                <w:webHidden/>
                <w:rStyle w:val="IndexLink"/>
                <w:rtl w:val="true"/>
              </w:rPr>
              <w:t>من أحکام الوصیة</w:t>
            </w:r>
            <w:r>
              <w:rPr>
                <w:rStyle w:val="IndexLink"/>
                <w:rtl w:val="true"/>
              </w:rPr>
              <w:tab/>
            </w:r>
            <w:r>
              <w:rPr>
                <w:rStyle w:val="IndexLink"/>
              </w:rPr>
              <w:t>383</w:t>
            </w:r>
          </w:hyperlink>
        </w:p>
        <w:p>
          <w:pPr>
            <w:pStyle w:val="Contents3"/>
            <w:tabs>
              <w:tab w:val="clear" w:pos="8459"/>
              <w:tab w:val="right" w:pos="9026" w:leader="dot"/>
            </w:tabs>
            <w:rPr/>
          </w:pPr>
          <w:hyperlink w:anchor="__RefHeading___Toc581010_774463916">
            <w:r>
              <w:rPr>
                <w:webHidden/>
                <w:rStyle w:val="IndexLink"/>
                <w:rtl w:val="true"/>
              </w:rPr>
              <w:t>الدرس</w:t>
            </w:r>
            <w:r>
              <w:rPr>
                <w:rStyle w:val="IndexLink"/>
              </w:rPr>
              <w:t>13</w:t>
            </w:r>
            <w:r>
              <w:rPr>
                <w:rStyle w:val="IndexLink"/>
                <w:rtl w:val="true"/>
              </w:rPr>
              <w:t xml:space="preserve"> - </w:t>
            </w:r>
            <w:r>
              <w:rPr>
                <w:rStyle w:val="IndexLink"/>
                <w:rtl w:val="true"/>
              </w:rPr>
              <w:t xml:space="preserve">کتاب الوصیة </w:t>
            </w:r>
            <w:r>
              <w:rPr>
                <w:rStyle w:val="IndexLink"/>
                <w:rtl w:val="true"/>
              </w:rPr>
              <w:t>(</w:t>
            </w:r>
            <w:r>
              <w:rPr>
                <w:rStyle w:val="IndexLink"/>
              </w:rPr>
              <w:t>3</w:t>
            </w:r>
            <w:r>
              <w:rPr>
                <w:rStyle w:val="IndexLink"/>
                <w:rtl w:val="true"/>
              </w:rPr>
              <w:t>)</w:t>
              <w:tab/>
            </w:r>
            <w:r>
              <w:rPr>
                <w:rStyle w:val="IndexLink"/>
              </w:rPr>
              <w:t>385</w:t>
            </w:r>
          </w:hyperlink>
        </w:p>
        <w:p>
          <w:pPr>
            <w:pStyle w:val="Contents4"/>
            <w:tabs>
              <w:tab w:val="clear" w:pos="8176"/>
              <w:tab w:val="right" w:pos="9026" w:leader="dot"/>
            </w:tabs>
            <w:rPr/>
          </w:pPr>
          <w:hyperlink w:anchor="__RefHeading___Toc581012_774463916">
            <w:r>
              <w:rPr>
                <w:webHidden/>
                <w:rStyle w:val="IndexLink"/>
                <w:rtl w:val="true"/>
              </w:rPr>
              <w:t>تابع أحکام الوصیة</w:t>
            </w:r>
            <w:r>
              <w:rPr>
                <w:rStyle w:val="IndexLink"/>
                <w:rtl w:val="true"/>
              </w:rPr>
              <w:tab/>
            </w:r>
            <w:r>
              <w:rPr>
                <w:rStyle w:val="IndexLink"/>
              </w:rPr>
              <w:t>385</w:t>
            </w:r>
          </w:hyperlink>
        </w:p>
        <w:p>
          <w:pPr>
            <w:pStyle w:val="Contents3"/>
            <w:tabs>
              <w:tab w:val="clear" w:pos="8459"/>
              <w:tab w:val="right" w:pos="9026" w:leader="dot"/>
            </w:tabs>
            <w:rPr/>
          </w:pPr>
          <w:hyperlink w:anchor="__RefHeading___Toc581014_774463916">
            <w:r>
              <w:rPr>
                <w:webHidden/>
                <w:rStyle w:val="IndexLink"/>
                <w:rtl w:val="true"/>
              </w:rPr>
              <w:t>الدرس</w:t>
            </w:r>
            <w:r>
              <w:rPr>
                <w:rStyle w:val="IndexLink"/>
              </w:rPr>
              <w:t>14</w:t>
            </w:r>
            <w:r>
              <w:rPr>
                <w:rStyle w:val="IndexLink"/>
                <w:rtl w:val="true"/>
              </w:rPr>
              <w:t xml:space="preserve"> - </w:t>
            </w:r>
            <w:r>
              <w:rPr>
                <w:rStyle w:val="IndexLink"/>
                <w:rtl w:val="true"/>
              </w:rPr>
              <w:t>کتاب الوقف</w:t>
            </w:r>
            <w:r>
              <w:rPr>
                <w:rStyle w:val="IndexLink"/>
                <w:rtl w:val="true"/>
              </w:rPr>
              <w:tab/>
            </w:r>
            <w:r>
              <w:rPr>
                <w:rStyle w:val="IndexLink"/>
              </w:rPr>
              <w:t>388</w:t>
            </w:r>
          </w:hyperlink>
        </w:p>
        <w:p>
          <w:pPr>
            <w:pStyle w:val="Contents4"/>
            <w:tabs>
              <w:tab w:val="clear" w:pos="8176"/>
              <w:tab w:val="right" w:pos="9026" w:leader="dot"/>
            </w:tabs>
            <w:rPr/>
          </w:pPr>
          <w:hyperlink w:anchor="__RefHeading___Toc581016_774463916">
            <w:r>
              <w:rPr>
                <w:webHidden/>
                <w:rStyle w:val="IndexLink"/>
                <w:rtl w:val="true"/>
              </w:rPr>
              <w:t>حقیقة الوقف</w:t>
            </w:r>
            <w:r>
              <w:rPr>
                <w:rStyle w:val="IndexLink"/>
                <w:rtl w:val="true"/>
              </w:rPr>
              <w:tab/>
            </w:r>
            <w:r>
              <w:rPr>
                <w:rStyle w:val="IndexLink"/>
              </w:rPr>
              <w:t>388</w:t>
            </w:r>
          </w:hyperlink>
        </w:p>
        <w:p>
          <w:pPr>
            <w:pStyle w:val="Contents3"/>
            <w:tabs>
              <w:tab w:val="clear" w:pos="8459"/>
              <w:tab w:val="right" w:pos="9026" w:leader="dot"/>
            </w:tabs>
            <w:rPr/>
          </w:pPr>
          <w:hyperlink w:anchor="__RefHeading___Toc581018_774463916">
            <w:r>
              <w:rPr>
                <w:webHidden/>
                <w:rStyle w:val="IndexLink"/>
                <w:rtl w:val="true"/>
              </w:rPr>
              <w:t>الدرس</w:t>
            </w:r>
            <w:r>
              <w:rPr>
                <w:rStyle w:val="IndexLink"/>
              </w:rPr>
              <w:t>15</w:t>
            </w:r>
            <w:r>
              <w:rPr>
                <w:rStyle w:val="IndexLink"/>
                <w:rtl w:val="true"/>
              </w:rPr>
              <w:t xml:space="preserve">- </w:t>
            </w:r>
            <w:r>
              <w:rPr>
                <w:rStyle w:val="IndexLink"/>
                <w:rtl w:val="true"/>
              </w:rPr>
              <w:t xml:space="preserve">کتاب الوقف </w:t>
            </w:r>
            <w:r>
              <w:rPr>
                <w:rStyle w:val="IndexLink"/>
                <w:rtl w:val="true"/>
              </w:rPr>
              <w:t>(</w:t>
            </w:r>
            <w:r>
              <w:rPr>
                <w:rStyle w:val="IndexLink"/>
              </w:rPr>
              <w:t>2</w:t>
            </w:r>
            <w:r>
              <w:rPr>
                <w:rStyle w:val="IndexLink"/>
                <w:rtl w:val="true"/>
              </w:rPr>
              <w:t>)</w:t>
              <w:tab/>
            </w:r>
            <w:r>
              <w:rPr>
                <w:rStyle w:val="IndexLink"/>
              </w:rPr>
              <w:t>392</w:t>
            </w:r>
          </w:hyperlink>
        </w:p>
        <w:p>
          <w:pPr>
            <w:pStyle w:val="Contents4"/>
            <w:tabs>
              <w:tab w:val="clear" w:pos="8176"/>
              <w:tab w:val="right" w:pos="9026" w:leader="dot"/>
            </w:tabs>
            <w:rPr/>
          </w:pPr>
          <w:hyperlink w:anchor="__RefHeading___Toc581020_774463916">
            <w:r>
              <w:rPr>
                <w:webHidden/>
                <w:rStyle w:val="IndexLink"/>
                <w:rtl w:val="true"/>
              </w:rPr>
              <w:t>من أحکام الوقف</w:t>
            </w:r>
            <w:r>
              <w:rPr>
                <w:rStyle w:val="IndexLink"/>
                <w:rtl w:val="true"/>
              </w:rPr>
              <w:tab/>
            </w:r>
            <w:r>
              <w:rPr>
                <w:rStyle w:val="IndexLink"/>
              </w:rPr>
              <w:t>392</w:t>
            </w:r>
          </w:hyperlink>
        </w:p>
        <w:p>
          <w:pPr>
            <w:pStyle w:val="Contents3"/>
            <w:tabs>
              <w:tab w:val="clear" w:pos="8459"/>
              <w:tab w:val="right" w:pos="9026" w:leader="dot"/>
            </w:tabs>
            <w:rPr/>
          </w:pPr>
          <w:hyperlink w:anchor="__RefHeading___Toc581022_774463916">
            <w:r>
              <w:rPr>
                <w:webHidden/>
                <w:rStyle w:val="IndexLink"/>
                <w:rtl w:val="true"/>
              </w:rPr>
              <w:t>الدرس</w:t>
            </w:r>
            <w:r>
              <w:rPr>
                <w:rStyle w:val="IndexLink"/>
              </w:rPr>
              <w:t>16</w:t>
            </w:r>
            <w:r>
              <w:rPr>
                <w:rStyle w:val="IndexLink"/>
                <w:rtl w:val="true"/>
              </w:rPr>
              <w:t xml:space="preserve"> - </w:t>
            </w:r>
            <w:r>
              <w:rPr>
                <w:rStyle w:val="IndexLink"/>
                <w:rtl w:val="true"/>
              </w:rPr>
              <w:t>فی أحکام الحبس</w:t>
            </w:r>
            <w:r>
              <w:rPr>
                <w:rStyle w:val="IndexLink"/>
                <w:rtl w:val="true"/>
              </w:rPr>
              <w:tab/>
            </w:r>
            <w:r>
              <w:rPr>
                <w:rStyle w:val="IndexLink"/>
              </w:rPr>
              <w:t>394</w:t>
            </w:r>
          </w:hyperlink>
        </w:p>
        <w:p>
          <w:pPr>
            <w:pStyle w:val="Contents4"/>
            <w:tabs>
              <w:tab w:val="clear" w:pos="8176"/>
              <w:tab w:val="right" w:pos="9026" w:leader="dot"/>
            </w:tabs>
            <w:rPr/>
          </w:pPr>
          <w:hyperlink w:anchor="__RefHeading___Toc581024_774463916">
            <w:r>
              <w:rPr>
                <w:webHidden/>
                <w:rStyle w:val="IndexLink"/>
                <w:rtl w:val="true"/>
              </w:rPr>
              <w:t>حقیقة الحبس</w:t>
            </w:r>
            <w:r>
              <w:rPr>
                <w:rStyle w:val="IndexLink"/>
                <w:rtl w:val="true"/>
              </w:rPr>
              <w:tab/>
            </w:r>
            <w:r>
              <w:rPr>
                <w:rStyle w:val="IndexLink"/>
              </w:rPr>
              <w:t>394</w:t>
            </w:r>
          </w:hyperlink>
        </w:p>
        <w:p>
          <w:pPr>
            <w:pStyle w:val="Contents3"/>
            <w:tabs>
              <w:tab w:val="clear" w:pos="8459"/>
              <w:tab w:val="right" w:pos="9026" w:leader="dot"/>
            </w:tabs>
            <w:rPr/>
          </w:pPr>
          <w:hyperlink w:anchor="__RefHeading___Toc581026_774463916">
            <w:r>
              <w:rPr>
                <w:webHidden/>
                <w:rStyle w:val="IndexLink"/>
                <w:rtl w:val="true"/>
              </w:rPr>
              <w:t>الدرس</w:t>
            </w:r>
            <w:r>
              <w:rPr>
                <w:rStyle w:val="IndexLink"/>
              </w:rPr>
              <w:t>17</w:t>
            </w:r>
            <w:r>
              <w:rPr>
                <w:rStyle w:val="IndexLink"/>
                <w:rtl w:val="true"/>
              </w:rPr>
              <w:t xml:space="preserve"> - </w:t>
            </w:r>
            <w:r>
              <w:rPr>
                <w:rStyle w:val="IndexLink"/>
                <w:rtl w:val="true"/>
              </w:rPr>
              <w:t>کتاب الصدقة</w:t>
            </w:r>
            <w:r>
              <w:rPr>
                <w:rStyle w:val="IndexLink"/>
                <w:rtl w:val="true"/>
              </w:rPr>
              <w:tab/>
            </w:r>
            <w:r>
              <w:rPr>
                <w:rStyle w:val="IndexLink"/>
              </w:rPr>
              <w:t>396</w:t>
            </w:r>
          </w:hyperlink>
        </w:p>
        <w:p>
          <w:pPr>
            <w:pStyle w:val="Contents4"/>
            <w:tabs>
              <w:tab w:val="clear" w:pos="8176"/>
              <w:tab w:val="right" w:pos="9026" w:leader="dot"/>
            </w:tabs>
            <w:rPr/>
          </w:pPr>
          <w:hyperlink w:anchor="__RefHeading___Toc581028_774463916">
            <w:r>
              <w:rPr>
                <w:webHidden/>
                <w:rStyle w:val="IndexLink"/>
                <w:rtl w:val="true"/>
              </w:rPr>
              <w:t>حقیقة الصدقة</w:t>
            </w:r>
            <w:r>
              <w:rPr>
                <w:rStyle w:val="IndexLink"/>
                <w:rtl w:val="true"/>
              </w:rPr>
              <w:tab/>
            </w:r>
            <w:r>
              <w:rPr>
                <w:rStyle w:val="IndexLink"/>
              </w:rPr>
              <w:t>396</w:t>
            </w:r>
          </w:hyperlink>
        </w:p>
        <w:p>
          <w:pPr>
            <w:pStyle w:val="Contents2"/>
            <w:tabs>
              <w:tab w:val="clear" w:pos="8743"/>
              <w:tab w:val="right" w:pos="9026" w:leader="dot"/>
            </w:tabs>
            <w:rPr/>
          </w:pPr>
          <w:hyperlink w:anchor="__RefHeading___Toc581030_774463916">
            <w:r>
              <w:rPr>
                <w:webHidden/>
                <w:rStyle w:val="IndexLink"/>
                <w:rtl w:val="true"/>
              </w:rPr>
              <w:t>القسم الرابع</w:t>
            </w:r>
            <w:r>
              <w:rPr>
                <w:rStyle w:val="IndexLink"/>
                <w:rtl w:val="true"/>
              </w:rPr>
              <w:t xml:space="preserve">: </w:t>
            </w:r>
            <w:r>
              <w:rPr>
                <w:rStyle w:val="IndexLink"/>
                <w:rtl w:val="true"/>
              </w:rPr>
              <w:t>الأحکام</w:t>
            </w:r>
            <w:r>
              <w:rPr>
                <w:rStyle w:val="IndexLink"/>
                <w:rtl w:val="true"/>
              </w:rPr>
              <w:tab/>
            </w:r>
            <w:r>
              <w:rPr>
                <w:rStyle w:val="IndexLink"/>
              </w:rPr>
              <w:t>401</w:t>
            </w:r>
          </w:hyperlink>
        </w:p>
        <w:p>
          <w:pPr>
            <w:pStyle w:val="Contents3"/>
            <w:tabs>
              <w:tab w:val="clear" w:pos="8459"/>
              <w:tab w:val="right" w:pos="9026" w:leader="dot"/>
            </w:tabs>
            <w:rPr/>
          </w:pPr>
          <w:hyperlink w:anchor="__RefHeading___Toc581032_774463916">
            <w:r>
              <w:rPr>
                <w:webHidden/>
                <w:rStyle w:val="IndexLink"/>
                <w:rtl w:val="true"/>
              </w:rPr>
              <w:t>اشارة</w:t>
            </w:r>
            <w:r>
              <w:rPr>
                <w:rStyle w:val="IndexLink"/>
                <w:rtl w:val="true"/>
              </w:rPr>
              <w:tab/>
            </w:r>
            <w:r>
              <w:rPr>
                <w:rStyle w:val="IndexLink"/>
              </w:rPr>
              <w:t>401</w:t>
            </w:r>
          </w:hyperlink>
        </w:p>
        <w:p>
          <w:pPr>
            <w:pStyle w:val="Contents3"/>
            <w:tabs>
              <w:tab w:val="clear" w:pos="8459"/>
              <w:tab w:val="right" w:pos="9026" w:leader="dot"/>
            </w:tabs>
            <w:rPr/>
          </w:pPr>
          <w:hyperlink w:anchor="__RefHeading___Toc581034_774463916">
            <w:r>
              <w:rPr>
                <w:webHidden/>
                <w:rStyle w:val="IndexLink"/>
                <w:rtl w:val="true"/>
              </w:rPr>
              <w:t>الدرس</w:t>
            </w:r>
            <w:r>
              <w:rPr>
                <w:rStyle w:val="IndexLink"/>
              </w:rPr>
              <w:t>1</w:t>
            </w:r>
            <w:r>
              <w:rPr>
                <w:rStyle w:val="IndexLink"/>
                <w:rtl w:val="true"/>
              </w:rPr>
              <w:t xml:space="preserve"> - </w:t>
            </w:r>
            <w:r>
              <w:rPr>
                <w:rStyle w:val="IndexLink"/>
                <w:rtl w:val="true"/>
              </w:rPr>
              <w:t>کتاب القضاء</w:t>
            </w:r>
            <w:r>
              <w:rPr>
                <w:rStyle w:val="IndexLink"/>
                <w:rtl w:val="true"/>
              </w:rPr>
              <w:tab/>
            </w:r>
            <w:r>
              <w:rPr>
                <w:rStyle w:val="IndexLink"/>
              </w:rPr>
              <w:t>402</w:t>
            </w:r>
          </w:hyperlink>
        </w:p>
        <w:p>
          <w:pPr>
            <w:pStyle w:val="Contents4"/>
            <w:tabs>
              <w:tab w:val="clear" w:pos="8176"/>
              <w:tab w:val="right" w:pos="9026" w:leader="dot"/>
            </w:tabs>
            <w:rPr/>
          </w:pPr>
          <w:hyperlink w:anchor="__RefHeading___Toc581036_774463916">
            <w:r>
              <w:rPr>
                <w:webHidden/>
                <w:rStyle w:val="IndexLink"/>
                <w:rtl w:val="true"/>
              </w:rPr>
              <w:t>القضاء فی الشریعة</w:t>
            </w:r>
            <w:r>
              <w:rPr>
                <w:rStyle w:val="IndexLink"/>
                <w:rtl w:val="true"/>
              </w:rPr>
              <w:tab/>
            </w:r>
            <w:r>
              <w:rPr>
                <w:rStyle w:val="IndexLink"/>
              </w:rPr>
              <w:t>402</w:t>
            </w:r>
          </w:hyperlink>
        </w:p>
        <w:p>
          <w:pPr>
            <w:pStyle w:val="Contents3"/>
            <w:tabs>
              <w:tab w:val="clear" w:pos="8459"/>
              <w:tab w:val="right" w:pos="9026" w:leader="dot"/>
            </w:tabs>
            <w:rPr/>
          </w:pPr>
          <w:hyperlink w:anchor="__RefHeading___Toc581038_774463916">
            <w:r>
              <w:rPr>
                <w:webHidden/>
                <w:rStyle w:val="IndexLink"/>
                <w:rtl w:val="true"/>
              </w:rPr>
              <w:t>الدرس</w:t>
            </w:r>
            <w:r>
              <w:rPr>
                <w:rStyle w:val="IndexLink"/>
              </w:rPr>
              <w:t>2</w:t>
            </w:r>
            <w:r>
              <w:rPr>
                <w:rStyle w:val="IndexLink"/>
                <w:rtl w:val="true"/>
              </w:rPr>
              <w:t xml:space="preserve"> - </w:t>
            </w:r>
            <w:r>
              <w:rPr>
                <w:rStyle w:val="IndexLink"/>
                <w:rtl w:val="true"/>
              </w:rPr>
              <w:t xml:space="preserve">کتاب القضاء </w:t>
            </w:r>
            <w:r>
              <w:rPr>
                <w:rStyle w:val="IndexLink"/>
                <w:rtl w:val="true"/>
              </w:rPr>
              <w:t>(</w:t>
            </w:r>
            <w:r>
              <w:rPr>
                <w:rStyle w:val="IndexLink"/>
              </w:rPr>
              <w:t>2</w:t>
            </w:r>
            <w:r>
              <w:rPr>
                <w:rStyle w:val="IndexLink"/>
                <w:rtl w:val="true"/>
              </w:rPr>
              <w:t>)</w:t>
              <w:tab/>
            </w:r>
            <w:r>
              <w:rPr>
                <w:rStyle w:val="IndexLink"/>
              </w:rPr>
              <w:t>405</w:t>
            </w:r>
          </w:hyperlink>
        </w:p>
        <w:p>
          <w:pPr>
            <w:pStyle w:val="Contents4"/>
            <w:tabs>
              <w:tab w:val="clear" w:pos="8176"/>
              <w:tab w:val="right" w:pos="9026" w:leader="dot"/>
            </w:tabs>
            <w:rPr/>
          </w:pPr>
          <w:hyperlink w:anchor="__RefHeading___Toc581040_774463916">
            <w:r>
              <w:rPr>
                <w:webHidden/>
                <w:rStyle w:val="IndexLink"/>
                <w:rtl w:val="true"/>
              </w:rPr>
              <w:t>شروط القاضی</w:t>
            </w:r>
            <w:r>
              <w:rPr>
                <w:rStyle w:val="IndexLink"/>
                <w:rtl w:val="true"/>
              </w:rPr>
              <w:tab/>
            </w:r>
            <w:r>
              <w:rPr>
                <w:rStyle w:val="IndexLink"/>
              </w:rPr>
              <w:t>405</w:t>
            </w:r>
          </w:hyperlink>
        </w:p>
        <w:p>
          <w:pPr>
            <w:pStyle w:val="Contents3"/>
            <w:tabs>
              <w:tab w:val="clear" w:pos="8459"/>
              <w:tab w:val="right" w:pos="9026" w:leader="dot"/>
            </w:tabs>
            <w:rPr/>
          </w:pPr>
          <w:hyperlink w:anchor="__RefHeading___Toc581042_774463916">
            <w:r>
              <w:rPr>
                <w:webHidden/>
                <w:rStyle w:val="IndexLink"/>
                <w:rtl w:val="true"/>
              </w:rPr>
              <w:t>الدرس</w:t>
            </w:r>
            <w:r>
              <w:rPr>
                <w:rStyle w:val="IndexLink"/>
              </w:rPr>
              <w:t>3</w:t>
            </w:r>
            <w:r>
              <w:rPr>
                <w:rStyle w:val="IndexLink"/>
                <w:rtl w:val="true"/>
              </w:rPr>
              <w:t xml:space="preserve"> - </w:t>
            </w:r>
            <w:r>
              <w:rPr>
                <w:rStyle w:val="IndexLink"/>
                <w:rtl w:val="true"/>
              </w:rPr>
              <w:t xml:space="preserve">کتاب القضاء </w:t>
            </w:r>
            <w:r>
              <w:rPr>
                <w:rStyle w:val="IndexLink"/>
                <w:rtl w:val="true"/>
              </w:rPr>
              <w:t>(</w:t>
            </w:r>
            <w:r>
              <w:rPr>
                <w:rStyle w:val="IndexLink"/>
              </w:rPr>
              <w:t>3</w:t>
            </w:r>
            <w:r>
              <w:rPr>
                <w:rStyle w:val="IndexLink"/>
                <w:rtl w:val="true"/>
              </w:rPr>
              <w:t>)</w:t>
              <w:tab/>
            </w:r>
            <w:r>
              <w:rPr>
                <w:rStyle w:val="IndexLink"/>
              </w:rPr>
              <w:t>407</w:t>
            </w:r>
          </w:hyperlink>
        </w:p>
        <w:p>
          <w:pPr>
            <w:pStyle w:val="Contents4"/>
            <w:tabs>
              <w:tab w:val="clear" w:pos="8176"/>
              <w:tab w:val="right" w:pos="9026" w:leader="dot"/>
            </w:tabs>
            <w:rPr/>
          </w:pPr>
          <w:hyperlink w:anchor="__RefHeading___Toc581044_774463916">
            <w:r>
              <w:rPr>
                <w:webHidden/>
                <w:rStyle w:val="IndexLink"/>
                <w:rtl w:val="true"/>
              </w:rPr>
              <w:t>کیفیة القضاء</w:t>
            </w:r>
            <w:r>
              <w:rPr>
                <w:rStyle w:val="IndexLink"/>
                <w:rtl w:val="true"/>
              </w:rPr>
              <w:tab/>
            </w:r>
            <w:r>
              <w:rPr>
                <w:rStyle w:val="IndexLink"/>
              </w:rPr>
              <w:t>407</w:t>
            </w:r>
          </w:hyperlink>
        </w:p>
        <w:p>
          <w:pPr>
            <w:pStyle w:val="Contents4"/>
            <w:tabs>
              <w:tab w:val="clear" w:pos="8176"/>
              <w:tab w:val="right" w:pos="9026" w:leader="dot"/>
            </w:tabs>
            <w:rPr/>
          </w:pPr>
          <w:hyperlink w:anchor="__RefHeading___Toc581046_774463916">
            <w:r>
              <w:rPr>
                <w:webHidden/>
                <w:rStyle w:val="IndexLink"/>
                <w:rtl w:val="true"/>
              </w:rPr>
              <w:t>شرائط سماع الدعوی</w:t>
            </w:r>
            <w:r>
              <w:rPr>
                <w:rStyle w:val="IndexLink"/>
                <w:rtl w:val="true"/>
              </w:rPr>
              <w:tab/>
            </w:r>
            <w:r>
              <w:rPr>
                <w:rStyle w:val="IndexLink"/>
              </w:rPr>
              <w:t>409</w:t>
            </w:r>
          </w:hyperlink>
        </w:p>
        <w:p>
          <w:pPr>
            <w:pStyle w:val="Contents4"/>
            <w:tabs>
              <w:tab w:val="clear" w:pos="8176"/>
              <w:tab w:val="right" w:pos="9026" w:leader="dot"/>
            </w:tabs>
            <w:rPr/>
          </w:pPr>
          <w:hyperlink w:anchor="__RefHeading___Toc581048_774463916">
            <w:r>
              <w:rPr>
                <w:webHidden/>
                <w:rStyle w:val="IndexLink"/>
                <w:rtl w:val="true"/>
              </w:rPr>
              <w:t>طرق الإثبات</w:t>
            </w:r>
            <w:r>
              <w:rPr>
                <w:rStyle w:val="IndexLink"/>
                <w:rtl w:val="true"/>
              </w:rPr>
              <w:tab/>
            </w:r>
            <w:r>
              <w:rPr>
                <w:rStyle w:val="IndexLink"/>
              </w:rPr>
              <w:t>409</w:t>
            </w:r>
          </w:hyperlink>
        </w:p>
        <w:p>
          <w:pPr>
            <w:pStyle w:val="Contents3"/>
            <w:tabs>
              <w:tab w:val="clear" w:pos="8459"/>
              <w:tab w:val="right" w:pos="9026" w:leader="dot"/>
            </w:tabs>
            <w:rPr/>
          </w:pPr>
          <w:hyperlink w:anchor="__RefHeading___Toc581050_774463916">
            <w:r>
              <w:rPr>
                <w:webHidden/>
                <w:rStyle w:val="IndexLink"/>
                <w:rtl w:val="true"/>
              </w:rPr>
              <w:t>الدرس</w:t>
            </w:r>
            <w:r>
              <w:rPr>
                <w:rStyle w:val="IndexLink"/>
              </w:rPr>
              <w:t>4</w:t>
            </w:r>
            <w:r>
              <w:rPr>
                <w:rStyle w:val="IndexLink"/>
                <w:rtl w:val="true"/>
              </w:rPr>
              <w:t xml:space="preserve"> - </w:t>
            </w:r>
            <w:r>
              <w:rPr>
                <w:rStyle w:val="IndexLink"/>
                <w:rtl w:val="true"/>
              </w:rPr>
              <w:t xml:space="preserve">کتاب القضاء </w:t>
            </w:r>
            <w:r>
              <w:rPr>
                <w:rStyle w:val="IndexLink"/>
                <w:rtl w:val="true"/>
              </w:rPr>
              <w:t>(</w:t>
            </w:r>
            <w:r>
              <w:rPr>
                <w:rStyle w:val="IndexLink"/>
              </w:rPr>
              <w:t>4</w:t>
            </w:r>
            <w:r>
              <w:rPr>
                <w:rStyle w:val="IndexLink"/>
                <w:rtl w:val="true"/>
              </w:rPr>
              <w:t>)</w:t>
              <w:tab/>
            </w:r>
            <w:r>
              <w:rPr>
                <w:rStyle w:val="IndexLink"/>
              </w:rPr>
              <w:t>411</w:t>
            </w:r>
          </w:hyperlink>
        </w:p>
        <w:p>
          <w:pPr>
            <w:pStyle w:val="Contents4"/>
            <w:tabs>
              <w:tab w:val="clear" w:pos="8176"/>
              <w:tab w:val="right" w:pos="9026" w:leader="dot"/>
            </w:tabs>
            <w:rPr/>
          </w:pPr>
          <w:hyperlink w:anchor="__RefHeading___Toc581052_774463916">
            <w:r>
              <w:rPr>
                <w:webHidden/>
                <w:rStyle w:val="IndexLink"/>
                <w:rtl w:val="true"/>
              </w:rPr>
              <w:t>أحکام عامة فی القضاء</w:t>
            </w:r>
            <w:r>
              <w:rPr>
                <w:rStyle w:val="IndexLink"/>
                <w:rtl w:val="true"/>
              </w:rPr>
              <w:tab/>
            </w:r>
            <w:r>
              <w:rPr>
                <w:rStyle w:val="IndexLink"/>
              </w:rPr>
              <w:t>411</w:t>
            </w:r>
          </w:hyperlink>
        </w:p>
        <w:p>
          <w:pPr>
            <w:pStyle w:val="Contents3"/>
            <w:tabs>
              <w:tab w:val="clear" w:pos="8459"/>
              <w:tab w:val="right" w:pos="9026" w:leader="dot"/>
            </w:tabs>
            <w:rPr/>
          </w:pPr>
          <w:hyperlink w:anchor="__RefHeading___Toc581054_774463916">
            <w:r>
              <w:rPr>
                <w:webHidden/>
                <w:rStyle w:val="IndexLink"/>
                <w:rtl w:val="true"/>
              </w:rPr>
              <w:t>الدرس</w:t>
            </w:r>
            <w:r>
              <w:rPr>
                <w:rStyle w:val="IndexLink"/>
              </w:rPr>
              <w:t>5</w:t>
            </w:r>
            <w:r>
              <w:rPr>
                <w:rStyle w:val="IndexLink"/>
                <w:rtl w:val="true"/>
              </w:rPr>
              <w:t xml:space="preserve"> - </w:t>
            </w:r>
            <w:r>
              <w:rPr>
                <w:rStyle w:val="IndexLink"/>
                <w:rtl w:val="true"/>
              </w:rPr>
              <w:t>کتاب الشهادات</w:t>
            </w:r>
            <w:r>
              <w:rPr>
                <w:rStyle w:val="IndexLink"/>
                <w:rtl w:val="true"/>
              </w:rPr>
              <w:tab/>
            </w:r>
            <w:r>
              <w:rPr>
                <w:rStyle w:val="IndexLink"/>
              </w:rPr>
              <w:t>415</w:t>
            </w:r>
          </w:hyperlink>
        </w:p>
        <w:p>
          <w:pPr>
            <w:pStyle w:val="Contents4"/>
            <w:tabs>
              <w:tab w:val="clear" w:pos="8176"/>
              <w:tab w:val="right" w:pos="9026" w:leader="dot"/>
            </w:tabs>
            <w:rPr/>
          </w:pPr>
          <w:hyperlink w:anchor="__RefHeading___Toc581056_774463916">
            <w:r>
              <w:rPr>
                <w:webHidden/>
                <w:rStyle w:val="IndexLink"/>
                <w:rtl w:val="true"/>
              </w:rPr>
              <w:t>شرائط الشاهد</w:t>
            </w:r>
            <w:r>
              <w:rPr>
                <w:rStyle w:val="IndexLink"/>
                <w:rtl w:val="true"/>
              </w:rPr>
              <w:tab/>
            </w:r>
            <w:r>
              <w:rPr>
                <w:rStyle w:val="IndexLink"/>
              </w:rPr>
              <w:t>415</w:t>
            </w:r>
          </w:hyperlink>
        </w:p>
        <w:p>
          <w:pPr>
            <w:pStyle w:val="Contents3"/>
            <w:tabs>
              <w:tab w:val="clear" w:pos="8459"/>
              <w:tab w:val="right" w:pos="9026" w:leader="dot"/>
            </w:tabs>
            <w:rPr/>
          </w:pPr>
          <w:hyperlink w:anchor="__RefHeading___Toc581058_774463916">
            <w:r>
              <w:rPr>
                <w:webHidden/>
                <w:rStyle w:val="IndexLink"/>
                <w:rtl w:val="true"/>
              </w:rPr>
              <w:t>الدرس</w:t>
            </w:r>
            <w:r>
              <w:rPr>
                <w:rStyle w:val="IndexLink"/>
              </w:rPr>
              <w:t>6</w:t>
            </w:r>
            <w:r>
              <w:rPr>
                <w:rStyle w:val="IndexLink"/>
                <w:rtl w:val="true"/>
              </w:rPr>
              <w:t xml:space="preserve"> - </w:t>
            </w:r>
            <w:r>
              <w:rPr>
                <w:rStyle w:val="IndexLink"/>
                <w:rtl w:val="true"/>
              </w:rPr>
              <w:t xml:space="preserve">کتاب الشهادات </w:t>
            </w:r>
            <w:r>
              <w:rPr>
                <w:rStyle w:val="IndexLink"/>
                <w:rtl w:val="true"/>
              </w:rPr>
              <w:t>(</w:t>
            </w:r>
            <w:r>
              <w:rPr>
                <w:rStyle w:val="IndexLink"/>
              </w:rPr>
              <w:t>2</w:t>
            </w:r>
            <w:r>
              <w:rPr>
                <w:rStyle w:val="IndexLink"/>
                <w:rtl w:val="true"/>
              </w:rPr>
              <w:t>)</w:t>
              <w:tab/>
            </w:r>
            <w:r>
              <w:rPr>
                <w:rStyle w:val="IndexLink"/>
              </w:rPr>
              <w:t>419</w:t>
            </w:r>
          </w:hyperlink>
        </w:p>
        <w:p>
          <w:pPr>
            <w:pStyle w:val="Contents4"/>
            <w:tabs>
              <w:tab w:val="clear" w:pos="8176"/>
              <w:tab w:val="right" w:pos="9026" w:leader="dot"/>
            </w:tabs>
            <w:rPr/>
          </w:pPr>
          <w:hyperlink w:anchor="__RefHeading___Toc581060_774463916">
            <w:r>
              <w:rPr>
                <w:webHidden/>
                <w:rStyle w:val="IndexLink"/>
                <w:rtl w:val="true"/>
              </w:rPr>
              <w:t>أحکام عامة فی باب الشهادات</w:t>
            </w:r>
            <w:r>
              <w:rPr>
                <w:rStyle w:val="IndexLink"/>
                <w:rtl w:val="true"/>
              </w:rPr>
              <w:tab/>
            </w:r>
            <w:r>
              <w:rPr>
                <w:rStyle w:val="IndexLink"/>
              </w:rPr>
              <w:t>419</w:t>
            </w:r>
          </w:hyperlink>
        </w:p>
        <w:p>
          <w:pPr>
            <w:pStyle w:val="Contents3"/>
            <w:tabs>
              <w:tab w:val="clear" w:pos="8459"/>
              <w:tab w:val="right" w:pos="9026" w:leader="dot"/>
            </w:tabs>
            <w:rPr/>
          </w:pPr>
          <w:hyperlink w:anchor="__RefHeading___Toc581062_774463916">
            <w:r>
              <w:rPr>
                <w:webHidden/>
                <w:rStyle w:val="IndexLink"/>
                <w:rtl w:val="true"/>
              </w:rPr>
              <w:t>الدرس</w:t>
            </w:r>
            <w:r>
              <w:rPr>
                <w:rStyle w:val="IndexLink"/>
              </w:rPr>
              <w:t>7</w:t>
            </w:r>
            <w:r>
              <w:rPr>
                <w:rStyle w:val="IndexLink"/>
                <w:rtl w:val="true"/>
              </w:rPr>
              <w:t xml:space="preserve"> - </w:t>
            </w:r>
            <w:r>
              <w:rPr>
                <w:rStyle w:val="IndexLink"/>
                <w:rtl w:val="true"/>
              </w:rPr>
              <w:t xml:space="preserve">کتاب الشهادات </w:t>
            </w:r>
            <w:r>
              <w:rPr>
                <w:rStyle w:val="IndexLink"/>
                <w:rtl w:val="true"/>
              </w:rPr>
              <w:t>(</w:t>
            </w:r>
            <w:r>
              <w:rPr>
                <w:rStyle w:val="IndexLink"/>
              </w:rPr>
              <w:t>3</w:t>
            </w:r>
            <w:r>
              <w:rPr>
                <w:rStyle w:val="IndexLink"/>
                <w:rtl w:val="true"/>
              </w:rPr>
              <w:t xml:space="preserve">) </w:t>
            </w:r>
            <w:r>
              <w:rPr>
                <w:rStyle w:val="IndexLink"/>
                <w:rtl w:val="true"/>
              </w:rPr>
              <w:t>والإقرار</w:t>
            </w:r>
            <w:r>
              <w:rPr>
                <w:rStyle w:val="IndexLink"/>
                <w:rtl w:val="true"/>
              </w:rPr>
              <w:tab/>
            </w:r>
            <w:r>
              <w:rPr>
                <w:rStyle w:val="IndexLink"/>
              </w:rPr>
              <w:t>422</w:t>
            </w:r>
          </w:hyperlink>
        </w:p>
        <w:p>
          <w:pPr>
            <w:pStyle w:val="Contents4"/>
            <w:tabs>
              <w:tab w:val="clear" w:pos="8176"/>
              <w:tab w:val="right" w:pos="9026" w:leader="dot"/>
            </w:tabs>
            <w:rPr/>
          </w:pPr>
          <w:hyperlink w:anchor="__RefHeading___Toc581064_774463916">
            <w:r>
              <w:rPr>
                <w:webHidden/>
                <w:rStyle w:val="IndexLink"/>
                <w:rtl w:val="true"/>
              </w:rPr>
              <w:t>اختلاف الحقوق فی الإثبات</w:t>
            </w:r>
            <w:r>
              <w:rPr>
                <w:rStyle w:val="IndexLink"/>
                <w:rtl w:val="true"/>
              </w:rPr>
              <w:tab/>
            </w:r>
            <w:r>
              <w:rPr>
                <w:rStyle w:val="IndexLink"/>
              </w:rPr>
              <w:t>422</w:t>
            </w:r>
          </w:hyperlink>
        </w:p>
        <w:p>
          <w:pPr>
            <w:pStyle w:val="Contents4"/>
            <w:tabs>
              <w:tab w:val="clear" w:pos="8176"/>
              <w:tab w:val="right" w:pos="9026" w:leader="dot"/>
            </w:tabs>
            <w:rPr/>
          </w:pPr>
          <w:hyperlink w:anchor="__RefHeading___Toc581066_774463916">
            <w:r>
              <w:rPr>
                <w:webHidden/>
                <w:rStyle w:val="IndexLink"/>
                <w:rtl w:val="true"/>
              </w:rPr>
              <w:t>حقیقة الإقرار</w:t>
            </w:r>
            <w:r>
              <w:rPr>
                <w:rStyle w:val="IndexLink"/>
                <w:rtl w:val="true"/>
              </w:rPr>
              <w:tab/>
            </w:r>
            <w:r>
              <w:rPr>
                <w:rStyle w:val="IndexLink"/>
              </w:rPr>
              <w:t>424</w:t>
            </w:r>
          </w:hyperlink>
        </w:p>
        <w:p>
          <w:pPr>
            <w:pStyle w:val="Contents3"/>
            <w:tabs>
              <w:tab w:val="clear" w:pos="8459"/>
              <w:tab w:val="right" w:pos="9026" w:leader="dot"/>
            </w:tabs>
            <w:rPr/>
          </w:pPr>
          <w:hyperlink w:anchor="__RefHeading___Toc581068_774463916">
            <w:r>
              <w:rPr>
                <w:webHidden/>
                <w:rStyle w:val="IndexLink"/>
                <w:rtl w:val="true"/>
              </w:rPr>
              <w:t>الدرس</w:t>
            </w:r>
            <w:r>
              <w:rPr>
                <w:rStyle w:val="IndexLink"/>
              </w:rPr>
              <w:t>8</w:t>
            </w:r>
            <w:r>
              <w:rPr>
                <w:rStyle w:val="IndexLink"/>
                <w:rtl w:val="true"/>
              </w:rPr>
              <w:t xml:space="preserve"> - </w:t>
            </w:r>
            <w:r>
              <w:rPr>
                <w:rStyle w:val="IndexLink"/>
                <w:rtl w:val="true"/>
              </w:rPr>
              <w:t>کتاب اللقطة</w:t>
            </w:r>
            <w:r>
              <w:rPr>
                <w:rStyle w:val="IndexLink"/>
                <w:rtl w:val="true"/>
              </w:rPr>
              <w:tab/>
            </w:r>
            <w:r>
              <w:rPr>
                <w:rStyle w:val="IndexLink"/>
              </w:rPr>
              <w:t>425</w:t>
            </w:r>
          </w:hyperlink>
        </w:p>
        <w:p>
          <w:pPr>
            <w:pStyle w:val="Contents4"/>
            <w:tabs>
              <w:tab w:val="clear" w:pos="8176"/>
              <w:tab w:val="right" w:pos="9026" w:leader="dot"/>
            </w:tabs>
            <w:rPr/>
          </w:pPr>
          <w:hyperlink w:anchor="__RefHeading___Toc581070_774463916">
            <w:r>
              <w:rPr>
                <w:webHidden/>
                <w:rStyle w:val="IndexLink"/>
                <w:rtl w:val="true"/>
              </w:rPr>
              <w:t>حقیقة اللقطة وأقسامها</w:t>
            </w:r>
            <w:r>
              <w:rPr>
                <w:rStyle w:val="IndexLink"/>
                <w:rtl w:val="true"/>
              </w:rPr>
              <w:tab/>
            </w:r>
            <w:r>
              <w:rPr>
                <w:rStyle w:val="IndexLink"/>
              </w:rPr>
              <w:t>425</w:t>
            </w:r>
          </w:hyperlink>
        </w:p>
        <w:p>
          <w:pPr>
            <w:pStyle w:val="Contents3"/>
            <w:tabs>
              <w:tab w:val="clear" w:pos="8459"/>
              <w:tab w:val="right" w:pos="9026" w:leader="dot"/>
            </w:tabs>
            <w:rPr/>
          </w:pPr>
          <w:hyperlink w:anchor="__RefHeading___Toc581072_774463916">
            <w:r>
              <w:rPr>
                <w:webHidden/>
                <w:rStyle w:val="IndexLink"/>
                <w:rtl w:val="true"/>
              </w:rPr>
              <w:t>الدرس</w:t>
            </w:r>
            <w:r>
              <w:rPr>
                <w:rStyle w:val="IndexLink"/>
              </w:rPr>
              <w:t>9</w:t>
            </w:r>
            <w:r>
              <w:rPr>
                <w:rStyle w:val="IndexLink"/>
                <w:rtl w:val="true"/>
              </w:rPr>
              <w:t xml:space="preserve"> - </w:t>
            </w:r>
            <w:r>
              <w:rPr>
                <w:rStyle w:val="IndexLink"/>
                <w:rtl w:val="true"/>
              </w:rPr>
              <w:t>کتاب الأطعمة والأشربة</w:t>
            </w:r>
            <w:r>
              <w:rPr>
                <w:rStyle w:val="IndexLink"/>
                <w:rtl w:val="true"/>
              </w:rPr>
              <w:tab/>
            </w:r>
            <w:r>
              <w:rPr>
                <w:rStyle w:val="IndexLink"/>
              </w:rPr>
              <w:t>429</w:t>
            </w:r>
          </w:hyperlink>
        </w:p>
        <w:p>
          <w:pPr>
            <w:pStyle w:val="Contents4"/>
            <w:tabs>
              <w:tab w:val="clear" w:pos="8176"/>
              <w:tab w:val="right" w:pos="9026" w:leader="dot"/>
            </w:tabs>
            <w:rPr/>
          </w:pPr>
          <w:hyperlink w:anchor="__RefHeading___Toc581074_774463916">
            <w:r>
              <w:rPr>
                <w:webHidden/>
                <w:rStyle w:val="IndexLink"/>
                <w:rtl w:val="true"/>
              </w:rPr>
              <w:t>أفراد ما یحرم تناوله</w:t>
            </w:r>
            <w:r>
              <w:rPr>
                <w:rStyle w:val="IndexLink"/>
                <w:rtl w:val="true"/>
              </w:rPr>
              <w:tab/>
            </w:r>
            <w:r>
              <w:rPr>
                <w:rStyle w:val="IndexLink"/>
              </w:rPr>
              <w:t>429</w:t>
            </w:r>
          </w:hyperlink>
        </w:p>
        <w:p>
          <w:pPr>
            <w:pStyle w:val="Contents3"/>
            <w:tabs>
              <w:tab w:val="clear" w:pos="8459"/>
              <w:tab w:val="right" w:pos="9026" w:leader="dot"/>
            </w:tabs>
            <w:rPr/>
          </w:pPr>
          <w:hyperlink w:anchor="__RefHeading___Toc581076_774463916">
            <w:r>
              <w:rPr>
                <w:webHidden/>
                <w:rStyle w:val="IndexLink"/>
                <w:rtl w:val="true"/>
              </w:rPr>
              <w:t>الدرس</w:t>
            </w:r>
            <w:r>
              <w:rPr>
                <w:rStyle w:val="IndexLink"/>
              </w:rPr>
              <w:t>10</w:t>
            </w:r>
            <w:r>
              <w:rPr>
                <w:rStyle w:val="IndexLink"/>
                <w:rtl w:val="true"/>
              </w:rPr>
              <w:t xml:space="preserve"> - </w:t>
            </w:r>
            <w:r>
              <w:rPr>
                <w:rStyle w:val="IndexLink"/>
                <w:rtl w:val="true"/>
              </w:rPr>
              <w:t xml:space="preserve">کتاب الأطعمة والأشربة </w:t>
            </w:r>
            <w:r>
              <w:rPr>
                <w:rStyle w:val="IndexLink"/>
                <w:rtl w:val="true"/>
              </w:rPr>
              <w:t>(</w:t>
            </w:r>
            <w:r>
              <w:rPr>
                <w:rStyle w:val="IndexLink"/>
              </w:rPr>
              <w:t>2</w:t>
            </w:r>
            <w:r>
              <w:rPr>
                <w:rStyle w:val="IndexLink"/>
                <w:rtl w:val="true"/>
              </w:rPr>
              <w:t>)</w:t>
              <w:tab/>
            </w:r>
            <w:r>
              <w:rPr>
                <w:rStyle w:val="IndexLink"/>
              </w:rPr>
              <w:t>432</w:t>
            </w:r>
          </w:hyperlink>
        </w:p>
        <w:p>
          <w:pPr>
            <w:pStyle w:val="Contents4"/>
            <w:tabs>
              <w:tab w:val="clear" w:pos="8176"/>
              <w:tab w:val="right" w:pos="9026" w:leader="dot"/>
            </w:tabs>
            <w:rPr/>
          </w:pPr>
          <w:hyperlink w:anchor="__RefHeading___Toc581078_774463916">
            <w:r>
              <w:rPr>
                <w:webHidden/>
                <w:rStyle w:val="IndexLink"/>
                <w:rtl w:val="true"/>
              </w:rPr>
              <w:t>أحکام الطیور</w:t>
            </w:r>
            <w:r>
              <w:rPr>
                <w:rStyle w:val="IndexLink"/>
                <w:rtl w:val="true"/>
              </w:rPr>
              <w:tab/>
            </w:r>
            <w:r>
              <w:rPr>
                <w:rStyle w:val="IndexLink"/>
              </w:rPr>
              <w:t>432</w:t>
            </w:r>
          </w:hyperlink>
        </w:p>
        <w:p>
          <w:pPr>
            <w:pStyle w:val="Contents3"/>
            <w:tabs>
              <w:tab w:val="clear" w:pos="8459"/>
              <w:tab w:val="right" w:pos="9026" w:leader="dot"/>
            </w:tabs>
            <w:rPr/>
          </w:pPr>
          <w:hyperlink w:anchor="__RefHeading___Toc581080_774463916">
            <w:r>
              <w:rPr>
                <w:webHidden/>
                <w:rStyle w:val="IndexLink"/>
                <w:rtl w:val="true"/>
              </w:rPr>
              <w:t>الدرس</w:t>
            </w:r>
            <w:r>
              <w:rPr>
                <w:rStyle w:val="IndexLink"/>
              </w:rPr>
              <w:t>11</w:t>
            </w:r>
            <w:r>
              <w:rPr>
                <w:rStyle w:val="IndexLink"/>
                <w:rtl w:val="true"/>
              </w:rPr>
              <w:t xml:space="preserve"> - </w:t>
            </w:r>
            <w:r>
              <w:rPr>
                <w:rStyle w:val="IndexLink"/>
                <w:rtl w:val="true"/>
              </w:rPr>
              <w:t>کتاب الصید والذباحة</w:t>
            </w:r>
            <w:r>
              <w:rPr>
                <w:rStyle w:val="IndexLink"/>
                <w:rtl w:val="true"/>
              </w:rPr>
              <w:tab/>
            </w:r>
            <w:r>
              <w:rPr>
                <w:rStyle w:val="IndexLink"/>
              </w:rPr>
              <w:t>435</w:t>
            </w:r>
          </w:hyperlink>
        </w:p>
        <w:p>
          <w:pPr>
            <w:pStyle w:val="Contents4"/>
            <w:tabs>
              <w:tab w:val="clear" w:pos="8176"/>
              <w:tab w:val="right" w:pos="9026" w:leader="dot"/>
            </w:tabs>
            <w:rPr/>
          </w:pPr>
          <w:hyperlink w:anchor="__RefHeading___Toc581082_774463916">
            <w:r>
              <w:rPr>
                <w:webHidden/>
                <w:rStyle w:val="IndexLink"/>
                <w:rtl w:val="true"/>
              </w:rPr>
              <w:t>وسائل تحقق التذکیة</w:t>
            </w:r>
            <w:r>
              <w:rPr>
                <w:rStyle w:val="IndexLink"/>
                <w:rtl w:val="true"/>
              </w:rPr>
              <w:tab/>
            </w:r>
            <w:r>
              <w:rPr>
                <w:rStyle w:val="IndexLink"/>
              </w:rPr>
              <w:t>435</w:t>
            </w:r>
          </w:hyperlink>
        </w:p>
        <w:p>
          <w:pPr>
            <w:pStyle w:val="Contents3"/>
            <w:tabs>
              <w:tab w:val="clear" w:pos="8459"/>
              <w:tab w:val="right" w:pos="9026" w:leader="dot"/>
            </w:tabs>
            <w:rPr/>
          </w:pPr>
          <w:hyperlink w:anchor="__RefHeading___Toc581084_774463916">
            <w:r>
              <w:rPr>
                <w:webHidden/>
                <w:rStyle w:val="IndexLink"/>
                <w:rtl w:val="true"/>
              </w:rPr>
              <w:t>الدرس</w:t>
            </w:r>
            <w:r>
              <w:rPr>
                <w:rStyle w:val="IndexLink"/>
              </w:rPr>
              <w:t>12</w:t>
            </w:r>
            <w:r>
              <w:rPr>
                <w:rStyle w:val="IndexLink"/>
                <w:rtl w:val="true"/>
              </w:rPr>
              <w:t xml:space="preserve"> - </w:t>
            </w:r>
            <w:r>
              <w:rPr>
                <w:rStyle w:val="IndexLink"/>
                <w:rtl w:val="true"/>
              </w:rPr>
              <w:t xml:space="preserve">کتاب الصید والذباحة </w:t>
            </w:r>
            <w:r>
              <w:rPr>
                <w:rStyle w:val="IndexLink"/>
                <w:rtl w:val="true"/>
              </w:rPr>
              <w:t>(</w:t>
            </w:r>
            <w:r>
              <w:rPr>
                <w:rStyle w:val="IndexLink"/>
              </w:rPr>
              <w:t>2</w:t>
            </w:r>
            <w:r>
              <w:rPr>
                <w:rStyle w:val="IndexLink"/>
                <w:rtl w:val="true"/>
              </w:rPr>
              <w:t>)</w:t>
              <w:tab/>
            </w:r>
            <w:r>
              <w:rPr>
                <w:rStyle w:val="IndexLink"/>
              </w:rPr>
              <w:t>439</w:t>
            </w:r>
          </w:hyperlink>
        </w:p>
        <w:p>
          <w:pPr>
            <w:pStyle w:val="Contents4"/>
            <w:tabs>
              <w:tab w:val="clear" w:pos="8176"/>
              <w:tab w:val="right" w:pos="9026" w:leader="dot"/>
            </w:tabs>
            <w:rPr/>
          </w:pPr>
          <w:hyperlink w:anchor="__RefHeading___Toc581086_774463916">
            <w:r>
              <w:rPr>
                <w:webHidden/>
                <w:rStyle w:val="IndexLink"/>
                <w:rtl w:val="true"/>
              </w:rPr>
              <w:t>النحر</w:t>
            </w:r>
            <w:r>
              <w:rPr>
                <w:rStyle w:val="IndexLink"/>
                <w:rtl w:val="true"/>
              </w:rPr>
              <w:tab/>
            </w:r>
            <w:r>
              <w:rPr>
                <w:rStyle w:val="IndexLink"/>
              </w:rPr>
              <w:t>439</w:t>
            </w:r>
          </w:hyperlink>
        </w:p>
        <w:p>
          <w:pPr>
            <w:pStyle w:val="Contents4"/>
            <w:tabs>
              <w:tab w:val="clear" w:pos="8176"/>
              <w:tab w:val="right" w:pos="9026" w:leader="dot"/>
            </w:tabs>
            <w:rPr/>
          </w:pPr>
          <w:hyperlink w:anchor="__RefHeading___Toc581088_774463916">
            <w:r>
              <w:rPr>
                <w:webHidden/>
                <w:rStyle w:val="IndexLink"/>
                <w:rtl w:val="true"/>
              </w:rPr>
              <w:t>الاصطیاد</w:t>
            </w:r>
            <w:r>
              <w:rPr>
                <w:rStyle w:val="IndexLink"/>
                <w:rtl w:val="true"/>
              </w:rPr>
              <w:tab/>
            </w:r>
            <w:r>
              <w:rPr>
                <w:rStyle w:val="IndexLink"/>
              </w:rPr>
              <w:t>440</w:t>
            </w:r>
          </w:hyperlink>
        </w:p>
        <w:p>
          <w:pPr>
            <w:pStyle w:val="Contents3"/>
            <w:tabs>
              <w:tab w:val="clear" w:pos="8459"/>
              <w:tab w:val="right" w:pos="9026" w:leader="dot"/>
            </w:tabs>
            <w:rPr/>
          </w:pPr>
          <w:hyperlink w:anchor="__RefHeading___Toc581090_774463916">
            <w:r>
              <w:rPr>
                <w:webHidden/>
                <w:rStyle w:val="IndexLink"/>
                <w:rtl w:val="true"/>
              </w:rPr>
              <w:t>الدرس</w:t>
            </w:r>
            <w:r>
              <w:rPr>
                <w:rStyle w:val="IndexLink"/>
              </w:rPr>
              <w:t>13</w:t>
            </w:r>
            <w:r>
              <w:rPr>
                <w:rStyle w:val="IndexLink"/>
                <w:rtl w:val="true"/>
              </w:rPr>
              <w:t xml:space="preserve"> - </w:t>
            </w:r>
            <w:r>
              <w:rPr>
                <w:rStyle w:val="IndexLink"/>
                <w:rtl w:val="true"/>
              </w:rPr>
              <w:t xml:space="preserve">کتاب الصید والذباحة </w:t>
            </w:r>
            <w:r>
              <w:rPr>
                <w:rStyle w:val="IndexLink"/>
                <w:rtl w:val="true"/>
              </w:rPr>
              <w:t>(</w:t>
            </w:r>
            <w:r>
              <w:rPr>
                <w:rStyle w:val="IndexLink"/>
              </w:rPr>
              <w:t>3</w:t>
            </w:r>
            <w:r>
              <w:rPr>
                <w:rStyle w:val="IndexLink"/>
                <w:rtl w:val="true"/>
              </w:rPr>
              <w:t>)</w:t>
              <w:tab/>
            </w:r>
            <w:r>
              <w:rPr>
                <w:rStyle w:val="IndexLink"/>
              </w:rPr>
              <w:t>443</w:t>
            </w:r>
          </w:hyperlink>
        </w:p>
        <w:p>
          <w:pPr>
            <w:pStyle w:val="Contents3"/>
            <w:tabs>
              <w:tab w:val="clear" w:pos="8459"/>
              <w:tab w:val="right" w:pos="9026" w:leader="dot"/>
            </w:tabs>
            <w:rPr/>
          </w:pPr>
          <w:hyperlink w:anchor="__RefHeading___Toc581092_774463916">
            <w:r>
              <w:rPr>
                <w:webHidden/>
                <w:rStyle w:val="IndexLink"/>
                <w:rtl w:val="true"/>
              </w:rPr>
              <w:t>الدرس</w:t>
            </w:r>
            <w:r>
              <w:rPr>
                <w:rStyle w:val="IndexLink"/>
              </w:rPr>
              <w:t>14</w:t>
            </w:r>
            <w:r>
              <w:rPr>
                <w:rStyle w:val="IndexLink"/>
                <w:rtl w:val="true"/>
              </w:rPr>
              <w:t xml:space="preserve"> - </w:t>
            </w:r>
            <w:r>
              <w:rPr>
                <w:rStyle w:val="IndexLink"/>
                <w:rtl w:val="true"/>
              </w:rPr>
              <w:t>کتاب الأنفال والمشترکات</w:t>
            </w:r>
            <w:r>
              <w:rPr>
                <w:rStyle w:val="IndexLink"/>
                <w:rtl w:val="true"/>
              </w:rPr>
              <w:tab/>
            </w:r>
            <w:r>
              <w:rPr>
                <w:rStyle w:val="IndexLink"/>
              </w:rPr>
              <w:t>446</w:t>
            </w:r>
          </w:hyperlink>
        </w:p>
        <w:p>
          <w:pPr>
            <w:pStyle w:val="Contents4"/>
            <w:tabs>
              <w:tab w:val="clear" w:pos="8176"/>
              <w:tab w:val="right" w:pos="9026" w:leader="dot"/>
            </w:tabs>
            <w:rPr/>
          </w:pPr>
          <w:hyperlink w:anchor="__RefHeading___Toc581094_774463916">
            <w:r>
              <w:rPr>
                <w:webHidden/>
                <w:rStyle w:val="IndexLink"/>
                <w:rtl w:val="true"/>
              </w:rPr>
              <w:t>حقیقة الأنفال وملکیتها</w:t>
            </w:r>
            <w:r>
              <w:rPr>
                <w:rStyle w:val="IndexLink"/>
                <w:rtl w:val="true"/>
              </w:rPr>
              <w:tab/>
            </w:r>
            <w:r>
              <w:rPr>
                <w:rStyle w:val="IndexLink"/>
              </w:rPr>
              <w:t>446</w:t>
            </w:r>
          </w:hyperlink>
        </w:p>
        <w:p>
          <w:pPr>
            <w:pStyle w:val="Contents3"/>
            <w:tabs>
              <w:tab w:val="clear" w:pos="8459"/>
              <w:tab w:val="right" w:pos="9026" w:leader="dot"/>
            </w:tabs>
            <w:rPr/>
          </w:pPr>
          <w:hyperlink w:anchor="__RefHeading___Toc581096_774463916">
            <w:r>
              <w:rPr>
                <w:webHidden/>
                <w:rStyle w:val="IndexLink"/>
                <w:rtl w:val="true"/>
              </w:rPr>
              <w:t>الدرس</w:t>
            </w:r>
            <w:r>
              <w:rPr>
                <w:rStyle w:val="IndexLink"/>
              </w:rPr>
              <w:t>15</w:t>
            </w:r>
            <w:r>
              <w:rPr>
                <w:rStyle w:val="IndexLink"/>
                <w:rtl w:val="true"/>
              </w:rPr>
              <w:t xml:space="preserve"> - </w:t>
            </w:r>
            <w:r>
              <w:rPr>
                <w:rStyle w:val="IndexLink"/>
                <w:rtl w:val="true"/>
              </w:rPr>
              <w:t xml:space="preserve">کتاب الأنفال والمشترکات </w:t>
            </w:r>
            <w:r>
              <w:rPr>
                <w:rStyle w:val="IndexLink"/>
                <w:rtl w:val="true"/>
              </w:rPr>
              <w:t>(</w:t>
            </w:r>
            <w:r>
              <w:rPr>
                <w:rStyle w:val="IndexLink"/>
              </w:rPr>
              <w:t>2</w:t>
            </w:r>
            <w:r>
              <w:rPr>
                <w:rStyle w:val="IndexLink"/>
                <w:rtl w:val="true"/>
              </w:rPr>
              <w:t>)</w:t>
              <w:tab/>
            </w:r>
            <w:r>
              <w:rPr>
                <w:rStyle w:val="IndexLink"/>
              </w:rPr>
              <w:t>449</w:t>
            </w:r>
          </w:hyperlink>
        </w:p>
        <w:p>
          <w:pPr>
            <w:pStyle w:val="Contents4"/>
            <w:tabs>
              <w:tab w:val="clear" w:pos="8176"/>
              <w:tab w:val="right" w:pos="9026" w:leader="dot"/>
            </w:tabs>
            <w:rPr/>
          </w:pPr>
          <w:hyperlink w:anchor="__RefHeading___Toc581098_774463916">
            <w:r>
              <w:rPr>
                <w:webHidden/>
                <w:rStyle w:val="IndexLink"/>
                <w:rtl w:val="true"/>
              </w:rPr>
              <w:t>المشترکات</w:t>
            </w:r>
            <w:r>
              <w:rPr>
                <w:rStyle w:val="IndexLink"/>
                <w:rtl w:val="true"/>
              </w:rPr>
              <w:tab/>
            </w:r>
            <w:r>
              <w:rPr>
                <w:rStyle w:val="IndexLink"/>
              </w:rPr>
              <w:t>449</w:t>
            </w:r>
          </w:hyperlink>
        </w:p>
        <w:p>
          <w:pPr>
            <w:pStyle w:val="Contents4"/>
            <w:tabs>
              <w:tab w:val="clear" w:pos="8176"/>
              <w:tab w:val="right" w:pos="9026" w:leader="dot"/>
            </w:tabs>
            <w:rPr/>
          </w:pPr>
          <w:hyperlink w:anchor="__RefHeading___Toc581100_774463916">
            <w:r>
              <w:rPr>
                <w:webHidden/>
                <w:rStyle w:val="IndexLink"/>
                <w:rtl w:val="true"/>
              </w:rPr>
              <w:t>أحکام المشترکات</w:t>
            </w:r>
            <w:r>
              <w:rPr>
                <w:rStyle w:val="IndexLink"/>
                <w:rtl w:val="true"/>
              </w:rPr>
              <w:tab/>
            </w:r>
            <w:r>
              <w:rPr>
                <w:rStyle w:val="IndexLink"/>
              </w:rPr>
              <w:t>450</w:t>
            </w:r>
          </w:hyperlink>
        </w:p>
        <w:p>
          <w:pPr>
            <w:pStyle w:val="Contents3"/>
            <w:tabs>
              <w:tab w:val="clear" w:pos="8459"/>
              <w:tab w:val="right" w:pos="9026" w:leader="dot"/>
            </w:tabs>
            <w:rPr/>
          </w:pPr>
          <w:hyperlink w:anchor="__RefHeading___Toc581102_774463916">
            <w:r>
              <w:rPr>
                <w:webHidden/>
                <w:rStyle w:val="IndexLink"/>
                <w:rtl w:val="true"/>
              </w:rPr>
              <w:t>الدرس</w:t>
            </w:r>
            <w:r>
              <w:rPr>
                <w:rStyle w:val="IndexLink"/>
              </w:rPr>
              <w:t>16</w:t>
            </w:r>
            <w:r>
              <w:rPr>
                <w:rStyle w:val="IndexLink"/>
                <w:rtl w:val="true"/>
              </w:rPr>
              <w:t xml:space="preserve"> - </w:t>
            </w:r>
            <w:r>
              <w:rPr>
                <w:rStyle w:val="IndexLink"/>
                <w:rtl w:val="true"/>
              </w:rPr>
              <w:t>کتاب الإرث</w:t>
            </w:r>
            <w:r>
              <w:rPr>
                <w:rStyle w:val="IndexLink"/>
                <w:rtl w:val="true"/>
              </w:rPr>
              <w:tab/>
            </w:r>
            <w:r>
              <w:rPr>
                <w:rStyle w:val="IndexLink"/>
              </w:rPr>
              <w:t>452</w:t>
            </w:r>
          </w:hyperlink>
        </w:p>
        <w:p>
          <w:pPr>
            <w:pStyle w:val="Contents4"/>
            <w:tabs>
              <w:tab w:val="clear" w:pos="8176"/>
              <w:tab w:val="right" w:pos="9026" w:leader="dot"/>
            </w:tabs>
            <w:rPr/>
          </w:pPr>
          <w:hyperlink w:anchor="__RefHeading___Toc581104_774463916">
            <w:r>
              <w:rPr>
                <w:webHidden/>
                <w:rStyle w:val="IndexLink"/>
              </w:rPr>
              <w:t>1</w:t>
            </w:r>
            <w:r>
              <w:rPr>
                <w:rStyle w:val="IndexLink"/>
                <w:rtl w:val="true"/>
              </w:rPr>
              <w:t xml:space="preserve">- </w:t>
            </w:r>
            <w:r>
              <w:rPr>
                <w:rStyle w:val="IndexLink"/>
                <w:rtl w:val="true"/>
              </w:rPr>
              <w:t>ما یوجب الإرث</w:t>
            </w:r>
            <w:r>
              <w:rPr>
                <w:rStyle w:val="IndexLink"/>
                <w:rtl w:val="true"/>
              </w:rPr>
              <w:tab/>
            </w:r>
            <w:r>
              <w:rPr>
                <w:rStyle w:val="IndexLink"/>
              </w:rPr>
              <w:t>452</w:t>
            </w:r>
          </w:hyperlink>
        </w:p>
        <w:p>
          <w:pPr>
            <w:pStyle w:val="Contents4"/>
            <w:tabs>
              <w:tab w:val="clear" w:pos="8176"/>
              <w:tab w:val="right" w:pos="9026" w:leader="dot"/>
            </w:tabs>
            <w:rPr/>
          </w:pPr>
          <w:hyperlink w:anchor="__RefHeading___Toc581106_774463916">
            <w:r>
              <w:rPr>
                <w:webHidden/>
                <w:rStyle w:val="IndexLink"/>
              </w:rPr>
              <w:t>2</w:t>
            </w:r>
            <w:r>
              <w:rPr>
                <w:rStyle w:val="IndexLink"/>
                <w:rtl w:val="true"/>
              </w:rPr>
              <w:t xml:space="preserve">- </w:t>
            </w:r>
            <w:r>
              <w:rPr>
                <w:rStyle w:val="IndexLink"/>
                <w:rtl w:val="true"/>
              </w:rPr>
              <w:t>الإرث تارة یکون بالفرض</w:t>
            </w:r>
            <w:r>
              <w:rPr>
                <w:rStyle w:val="IndexLink"/>
                <w:rtl w:val="true"/>
              </w:rPr>
              <w:tab/>
            </w:r>
            <w:r>
              <w:rPr>
                <w:rStyle w:val="IndexLink"/>
              </w:rPr>
              <w:t>453</w:t>
            </w:r>
          </w:hyperlink>
        </w:p>
        <w:p>
          <w:pPr>
            <w:pStyle w:val="Contents3"/>
            <w:tabs>
              <w:tab w:val="clear" w:pos="8459"/>
              <w:tab w:val="right" w:pos="9026" w:leader="dot"/>
            </w:tabs>
            <w:rPr/>
          </w:pPr>
          <w:hyperlink w:anchor="__RefHeading___Toc581108_774463916">
            <w:r>
              <w:rPr>
                <w:webHidden/>
                <w:rStyle w:val="IndexLink"/>
                <w:rtl w:val="true"/>
              </w:rPr>
              <w:t>الدرس</w:t>
            </w:r>
            <w:r>
              <w:rPr>
                <w:rStyle w:val="IndexLink"/>
              </w:rPr>
              <w:t>17</w:t>
            </w:r>
            <w:r>
              <w:rPr>
                <w:rStyle w:val="IndexLink"/>
                <w:rtl w:val="true"/>
              </w:rPr>
              <w:t xml:space="preserve"> - </w:t>
            </w:r>
            <w:r>
              <w:rPr>
                <w:rStyle w:val="IndexLink"/>
                <w:rtl w:val="true"/>
              </w:rPr>
              <w:t xml:space="preserve">کتاب الإرث </w:t>
            </w:r>
            <w:r>
              <w:rPr>
                <w:rStyle w:val="IndexLink"/>
                <w:rtl w:val="true"/>
              </w:rPr>
              <w:t>(</w:t>
            </w:r>
            <w:r>
              <w:rPr>
                <w:rStyle w:val="IndexLink"/>
              </w:rPr>
              <w:t>2</w:t>
            </w:r>
            <w:r>
              <w:rPr>
                <w:rStyle w:val="IndexLink"/>
                <w:rtl w:val="true"/>
              </w:rPr>
              <w:t>)</w:t>
              <w:tab/>
            </w:r>
            <w:r>
              <w:rPr>
                <w:rStyle w:val="IndexLink"/>
              </w:rPr>
              <w:t>456</w:t>
            </w:r>
          </w:hyperlink>
        </w:p>
        <w:p>
          <w:pPr>
            <w:pStyle w:val="Contents4"/>
            <w:tabs>
              <w:tab w:val="clear" w:pos="8176"/>
              <w:tab w:val="right" w:pos="9026" w:leader="dot"/>
            </w:tabs>
            <w:rPr/>
          </w:pPr>
          <w:hyperlink w:anchor="__RefHeading___Toc581110_774463916">
            <w:r>
              <w:rPr>
                <w:webHidden/>
                <w:rStyle w:val="IndexLink"/>
              </w:rPr>
              <w:t>3</w:t>
            </w:r>
            <w:r>
              <w:rPr>
                <w:rStyle w:val="IndexLink"/>
                <w:rtl w:val="true"/>
              </w:rPr>
              <w:t xml:space="preserve">- </w:t>
            </w:r>
            <w:r>
              <w:rPr>
                <w:rStyle w:val="IndexLink"/>
                <w:rtl w:val="true"/>
              </w:rPr>
              <w:t>الإرث بالفرض وبالقرابة</w:t>
            </w:r>
            <w:r>
              <w:rPr>
                <w:rStyle w:val="IndexLink"/>
                <w:rtl w:val="true"/>
              </w:rPr>
              <w:tab/>
            </w:r>
            <w:r>
              <w:rPr>
                <w:rStyle w:val="IndexLink"/>
              </w:rPr>
              <w:t>456</w:t>
            </w:r>
          </w:hyperlink>
        </w:p>
        <w:p>
          <w:pPr>
            <w:pStyle w:val="Contents3"/>
            <w:tabs>
              <w:tab w:val="clear" w:pos="8459"/>
              <w:tab w:val="right" w:pos="9026" w:leader="dot"/>
            </w:tabs>
            <w:rPr/>
          </w:pPr>
          <w:hyperlink w:anchor="__RefHeading___Toc581112_774463916">
            <w:r>
              <w:rPr>
                <w:webHidden/>
                <w:rStyle w:val="IndexLink"/>
                <w:rtl w:val="true"/>
              </w:rPr>
              <w:t>الدرس</w:t>
            </w:r>
            <w:r>
              <w:rPr>
                <w:rStyle w:val="IndexLink"/>
              </w:rPr>
              <w:t>18</w:t>
            </w:r>
            <w:r>
              <w:rPr>
                <w:rStyle w:val="IndexLink"/>
                <w:rtl w:val="true"/>
              </w:rPr>
              <w:t xml:space="preserve"> -</w:t>
            </w:r>
            <w:r>
              <w:rPr>
                <w:rStyle w:val="IndexLink"/>
                <w:rtl w:val="true"/>
              </w:rPr>
              <w:t xml:space="preserve">کتاب الإرث </w:t>
            </w:r>
            <w:r>
              <w:rPr>
                <w:rStyle w:val="IndexLink"/>
                <w:rtl w:val="true"/>
              </w:rPr>
              <w:t>(</w:t>
            </w:r>
            <w:r>
              <w:rPr>
                <w:rStyle w:val="IndexLink"/>
              </w:rPr>
              <w:t>3</w:t>
            </w:r>
            <w:r>
              <w:rPr>
                <w:rStyle w:val="IndexLink"/>
                <w:rtl w:val="true"/>
              </w:rPr>
              <w:t>)</w:t>
              <w:tab/>
            </w:r>
            <w:r>
              <w:rPr>
                <w:rStyle w:val="IndexLink"/>
              </w:rPr>
              <w:t>458</w:t>
            </w:r>
          </w:hyperlink>
        </w:p>
        <w:p>
          <w:pPr>
            <w:pStyle w:val="Contents4"/>
            <w:tabs>
              <w:tab w:val="clear" w:pos="8176"/>
              <w:tab w:val="right" w:pos="9026" w:leader="dot"/>
            </w:tabs>
            <w:rPr/>
          </w:pPr>
          <w:hyperlink w:anchor="__RefHeading___Toc581114_774463916">
            <w:r>
              <w:rPr>
                <w:webHidden/>
                <w:rStyle w:val="IndexLink"/>
              </w:rPr>
              <w:t>4</w:t>
            </w:r>
            <w:r>
              <w:rPr>
                <w:rStyle w:val="IndexLink"/>
                <w:rtl w:val="true"/>
              </w:rPr>
              <w:t xml:space="preserve">- </w:t>
            </w:r>
            <w:r>
              <w:rPr>
                <w:rStyle w:val="IndexLink"/>
                <w:rtl w:val="true"/>
              </w:rPr>
              <w:t>الحَجْب</w:t>
            </w:r>
            <w:r>
              <w:rPr>
                <w:rStyle w:val="IndexLink"/>
                <w:rtl w:val="true"/>
              </w:rPr>
              <w:tab/>
            </w:r>
            <w:r>
              <w:rPr>
                <w:rStyle w:val="IndexLink"/>
              </w:rPr>
              <w:t>458</w:t>
            </w:r>
          </w:hyperlink>
        </w:p>
        <w:p>
          <w:pPr>
            <w:pStyle w:val="Contents3"/>
            <w:tabs>
              <w:tab w:val="clear" w:pos="8459"/>
              <w:tab w:val="right" w:pos="9026" w:leader="dot"/>
            </w:tabs>
            <w:rPr/>
          </w:pPr>
          <w:hyperlink w:anchor="__RefHeading___Toc581116_774463916">
            <w:r>
              <w:rPr>
                <w:webHidden/>
                <w:rStyle w:val="IndexLink"/>
                <w:rtl w:val="true"/>
              </w:rPr>
              <w:t>الدرس</w:t>
            </w:r>
            <w:r>
              <w:rPr>
                <w:rStyle w:val="IndexLink"/>
              </w:rPr>
              <w:t>19</w:t>
            </w:r>
            <w:r>
              <w:rPr>
                <w:rStyle w:val="IndexLink"/>
                <w:rtl w:val="true"/>
              </w:rPr>
              <w:t xml:space="preserve"> - </w:t>
            </w:r>
            <w:r>
              <w:rPr>
                <w:rStyle w:val="IndexLink"/>
                <w:rtl w:val="true"/>
              </w:rPr>
              <w:t xml:space="preserve">کتاب الإرث </w:t>
            </w:r>
            <w:r>
              <w:rPr>
                <w:rStyle w:val="IndexLink"/>
                <w:rtl w:val="true"/>
              </w:rPr>
              <w:t>(</w:t>
            </w:r>
            <w:r>
              <w:rPr>
                <w:rStyle w:val="IndexLink"/>
              </w:rPr>
              <w:t>4</w:t>
            </w:r>
            <w:r>
              <w:rPr>
                <w:rStyle w:val="IndexLink"/>
                <w:rtl w:val="true"/>
              </w:rPr>
              <w:t>)</w:t>
              <w:tab/>
            </w:r>
            <w:r>
              <w:rPr>
                <w:rStyle w:val="IndexLink"/>
              </w:rPr>
              <w:t>462</w:t>
            </w:r>
          </w:hyperlink>
        </w:p>
        <w:p>
          <w:pPr>
            <w:pStyle w:val="Contents4"/>
            <w:tabs>
              <w:tab w:val="clear" w:pos="8176"/>
              <w:tab w:val="right" w:pos="9026" w:leader="dot"/>
            </w:tabs>
            <w:rPr/>
          </w:pPr>
          <w:hyperlink w:anchor="__RefHeading___Toc581118_774463916">
            <w:r>
              <w:rPr>
                <w:webHidden/>
                <w:rStyle w:val="IndexLink"/>
              </w:rPr>
              <w:t>5</w:t>
            </w:r>
            <w:r>
              <w:rPr>
                <w:rStyle w:val="IndexLink"/>
                <w:rtl w:val="true"/>
              </w:rPr>
              <w:t xml:space="preserve">- </w:t>
            </w:r>
            <w:r>
              <w:rPr>
                <w:rStyle w:val="IndexLink"/>
                <w:rtl w:val="true"/>
              </w:rPr>
              <w:t>العول والتعصیب</w:t>
            </w:r>
            <w:r>
              <w:rPr>
                <w:rStyle w:val="IndexLink"/>
                <w:rtl w:val="true"/>
              </w:rPr>
              <w:tab/>
            </w:r>
            <w:r>
              <w:rPr>
                <w:rStyle w:val="IndexLink"/>
              </w:rPr>
              <w:t>462</w:t>
            </w:r>
          </w:hyperlink>
        </w:p>
        <w:p>
          <w:pPr>
            <w:pStyle w:val="Contents3"/>
            <w:tabs>
              <w:tab w:val="clear" w:pos="8459"/>
              <w:tab w:val="right" w:pos="9026" w:leader="dot"/>
            </w:tabs>
            <w:rPr/>
          </w:pPr>
          <w:hyperlink w:anchor="__RefHeading___Toc581120_774463916">
            <w:r>
              <w:rPr>
                <w:webHidden/>
                <w:rStyle w:val="IndexLink"/>
                <w:rtl w:val="true"/>
              </w:rPr>
              <w:t>الدرس</w:t>
            </w:r>
            <w:r>
              <w:rPr>
                <w:rStyle w:val="IndexLink"/>
              </w:rPr>
              <w:t>20</w:t>
            </w:r>
            <w:r>
              <w:rPr>
                <w:rStyle w:val="IndexLink"/>
                <w:rtl w:val="true"/>
              </w:rPr>
              <w:t xml:space="preserve"> - </w:t>
            </w:r>
            <w:r>
              <w:rPr>
                <w:rStyle w:val="IndexLink"/>
                <w:rtl w:val="true"/>
              </w:rPr>
              <w:t xml:space="preserve">کتاب الإرث </w:t>
            </w:r>
            <w:r>
              <w:rPr>
                <w:rStyle w:val="IndexLink"/>
                <w:rtl w:val="true"/>
              </w:rPr>
              <w:t>(</w:t>
            </w:r>
            <w:r>
              <w:rPr>
                <w:rStyle w:val="IndexLink"/>
              </w:rPr>
              <w:t>5</w:t>
            </w:r>
            <w:r>
              <w:rPr>
                <w:rStyle w:val="IndexLink"/>
                <w:rtl w:val="true"/>
              </w:rPr>
              <w:t>)</w:t>
              <w:tab/>
            </w:r>
            <w:r>
              <w:rPr>
                <w:rStyle w:val="IndexLink"/>
              </w:rPr>
              <w:t>465</w:t>
            </w:r>
          </w:hyperlink>
        </w:p>
        <w:p>
          <w:pPr>
            <w:pStyle w:val="Contents4"/>
            <w:tabs>
              <w:tab w:val="clear" w:pos="8176"/>
              <w:tab w:val="right" w:pos="9026" w:leader="dot"/>
            </w:tabs>
            <w:rPr/>
          </w:pPr>
          <w:hyperlink w:anchor="__RefHeading___Toc581122_774463916">
            <w:r>
              <w:rPr>
                <w:webHidden/>
                <w:rStyle w:val="IndexLink"/>
              </w:rPr>
              <w:t>6</w:t>
            </w:r>
            <w:r>
              <w:rPr>
                <w:rStyle w:val="IndexLink"/>
                <w:rtl w:val="true"/>
              </w:rPr>
              <w:t xml:space="preserve">- </w:t>
            </w:r>
            <w:r>
              <w:rPr>
                <w:rStyle w:val="IndexLink"/>
                <w:rtl w:val="true"/>
              </w:rPr>
              <w:t>من تفاصیل إرث الطبقات</w:t>
            </w:r>
            <w:r>
              <w:rPr>
                <w:rStyle w:val="IndexLink"/>
                <w:rtl w:val="true"/>
              </w:rPr>
              <w:tab/>
            </w:r>
            <w:r>
              <w:rPr>
                <w:rStyle w:val="IndexLink"/>
              </w:rPr>
              <w:t>465</w:t>
            </w:r>
          </w:hyperlink>
        </w:p>
        <w:p>
          <w:pPr>
            <w:pStyle w:val="Contents5"/>
            <w:tabs>
              <w:tab w:val="clear" w:pos="7892"/>
              <w:tab w:val="right" w:pos="9026" w:leader="dot"/>
            </w:tabs>
            <w:rPr/>
          </w:pPr>
          <w:hyperlink w:anchor="__RefHeading___Toc581124_774463916">
            <w:r>
              <w:rPr>
                <w:webHidden/>
                <w:rStyle w:val="IndexLink"/>
                <w:rtl w:val="true"/>
              </w:rPr>
              <w:t>إرث الطبقة الاولی</w:t>
            </w:r>
            <w:r>
              <w:rPr>
                <w:rStyle w:val="IndexLink"/>
                <w:rtl w:val="true"/>
              </w:rPr>
              <w:tab/>
            </w:r>
            <w:r>
              <w:rPr>
                <w:rStyle w:val="IndexLink"/>
              </w:rPr>
              <w:t>465</w:t>
            </w:r>
          </w:hyperlink>
        </w:p>
        <w:p>
          <w:pPr>
            <w:pStyle w:val="Contents3"/>
            <w:tabs>
              <w:tab w:val="clear" w:pos="8459"/>
              <w:tab w:val="right" w:pos="9026" w:leader="dot"/>
            </w:tabs>
            <w:rPr/>
          </w:pPr>
          <w:hyperlink w:anchor="__RefHeading___Toc581126_774463916">
            <w:r>
              <w:rPr>
                <w:webHidden/>
                <w:rStyle w:val="IndexLink"/>
                <w:rtl w:val="true"/>
              </w:rPr>
              <w:t>الدرس</w:t>
            </w:r>
            <w:r>
              <w:rPr>
                <w:rStyle w:val="IndexLink"/>
              </w:rPr>
              <w:t>21</w:t>
            </w:r>
            <w:r>
              <w:rPr>
                <w:rStyle w:val="IndexLink"/>
                <w:rtl w:val="true"/>
              </w:rPr>
              <w:t xml:space="preserve"> -</w:t>
            </w:r>
            <w:r>
              <w:rPr>
                <w:rStyle w:val="IndexLink"/>
                <w:rtl w:val="true"/>
              </w:rPr>
              <w:t xml:space="preserve">کتاب الإرث </w:t>
            </w:r>
            <w:r>
              <w:rPr>
                <w:rStyle w:val="IndexLink"/>
                <w:rtl w:val="true"/>
              </w:rPr>
              <w:t>(</w:t>
            </w:r>
            <w:r>
              <w:rPr>
                <w:rStyle w:val="IndexLink"/>
              </w:rPr>
              <w:t>6</w:t>
            </w:r>
            <w:r>
              <w:rPr>
                <w:rStyle w:val="IndexLink"/>
                <w:rtl w:val="true"/>
              </w:rPr>
              <w:t>)</w:t>
              <w:tab/>
            </w:r>
            <w:r>
              <w:rPr>
                <w:rStyle w:val="IndexLink"/>
              </w:rPr>
              <w:t>468</w:t>
            </w:r>
          </w:hyperlink>
        </w:p>
        <w:p>
          <w:pPr>
            <w:pStyle w:val="Contents4"/>
            <w:tabs>
              <w:tab w:val="clear" w:pos="8176"/>
              <w:tab w:val="right" w:pos="9026" w:leader="dot"/>
            </w:tabs>
            <w:rPr/>
          </w:pPr>
          <w:hyperlink w:anchor="__RefHeading___Toc581128_774463916">
            <w:r>
              <w:rPr>
                <w:webHidden/>
                <w:rStyle w:val="IndexLink"/>
                <w:rtl w:val="true"/>
              </w:rPr>
              <w:t>إرث الطبقة الثانیة</w:t>
            </w:r>
            <w:r>
              <w:rPr>
                <w:rStyle w:val="IndexLink"/>
                <w:rtl w:val="true"/>
              </w:rPr>
              <w:tab/>
            </w:r>
            <w:r>
              <w:rPr>
                <w:rStyle w:val="IndexLink"/>
              </w:rPr>
              <w:t>468</w:t>
            </w:r>
          </w:hyperlink>
        </w:p>
        <w:p>
          <w:pPr>
            <w:pStyle w:val="Contents3"/>
            <w:tabs>
              <w:tab w:val="clear" w:pos="8459"/>
              <w:tab w:val="right" w:pos="9026" w:leader="dot"/>
            </w:tabs>
            <w:rPr/>
          </w:pPr>
          <w:hyperlink w:anchor="__RefHeading___Toc581130_774463916">
            <w:r>
              <w:rPr>
                <w:webHidden/>
                <w:rStyle w:val="IndexLink"/>
                <w:rtl w:val="true"/>
              </w:rPr>
              <w:t>الدرس</w:t>
            </w:r>
            <w:r>
              <w:rPr>
                <w:rStyle w:val="IndexLink"/>
              </w:rPr>
              <w:t>22</w:t>
            </w:r>
            <w:r>
              <w:rPr>
                <w:rStyle w:val="IndexLink"/>
                <w:rtl w:val="true"/>
              </w:rPr>
              <w:t xml:space="preserve"> - </w:t>
            </w:r>
            <w:r>
              <w:rPr>
                <w:rStyle w:val="IndexLink"/>
                <w:rtl w:val="true"/>
              </w:rPr>
              <w:t xml:space="preserve">کتاب الإرث </w:t>
            </w:r>
            <w:r>
              <w:rPr>
                <w:rStyle w:val="IndexLink"/>
                <w:rtl w:val="true"/>
              </w:rPr>
              <w:t>(</w:t>
            </w:r>
            <w:r>
              <w:rPr>
                <w:rStyle w:val="IndexLink"/>
              </w:rPr>
              <w:t>7</w:t>
            </w:r>
            <w:r>
              <w:rPr>
                <w:rStyle w:val="IndexLink"/>
                <w:rtl w:val="true"/>
              </w:rPr>
              <w:t>)</w:t>
              <w:tab/>
            </w:r>
            <w:r>
              <w:rPr>
                <w:rStyle w:val="IndexLink"/>
              </w:rPr>
              <w:t>472</w:t>
            </w:r>
          </w:hyperlink>
        </w:p>
        <w:p>
          <w:pPr>
            <w:pStyle w:val="Contents4"/>
            <w:tabs>
              <w:tab w:val="clear" w:pos="8176"/>
              <w:tab w:val="right" w:pos="9026" w:leader="dot"/>
            </w:tabs>
            <w:rPr/>
          </w:pPr>
          <w:hyperlink w:anchor="__RefHeading___Toc581132_774463916">
            <w:r>
              <w:rPr>
                <w:webHidden/>
                <w:rStyle w:val="IndexLink"/>
                <w:rtl w:val="true"/>
              </w:rPr>
              <w:t>إرث الطبقة الثالثة</w:t>
            </w:r>
            <w:r>
              <w:rPr>
                <w:rStyle w:val="IndexLink"/>
                <w:rtl w:val="true"/>
              </w:rPr>
              <w:tab/>
            </w:r>
            <w:r>
              <w:rPr>
                <w:rStyle w:val="IndexLink"/>
              </w:rPr>
              <w:t>472</w:t>
            </w:r>
          </w:hyperlink>
        </w:p>
        <w:p>
          <w:pPr>
            <w:pStyle w:val="Contents3"/>
            <w:tabs>
              <w:tab w:val="clear" w:pos="8459"/>
              <w:tab w:val="right" w:pos="9026" w:leader="dot"/>
            </w:tabs>
            <w:rPr/>
          </w:pPr>
          <w:hyperlink w:anchor="__RefHeading___Toc581134_774463916">
            <w:r>
              <w:rPr>
                <w:webHidden/>
                <w:rStyle w:val="IndexLink"/>
                <w:rtl w:val="true"/>
              </w:rPr>
              <w:t>الدرس</w:t>
            </w:r>
            <w:r>
              <w:rPr>
                <w:rStyle w:val="IndexLink"/>
              </w:rPr>
              <w:t>23</w:t>
            </w:r>
            <w:r>
              <w:rPr>
                <w:rStyle w:val="IndexLink"/>
                <w:rtl w:val="true"/>
              </w:rPr>
              <w:t xml:space="preserve"> - </w:t>
            </w:r>
            <w:r>
              <w:rPr>
                <w:rStyle w:val="IndexLink"/>
                <w:rtl w:val="true"/>
              </w:rPr>
              <w:t xml:space="preserve">کتاب الإرث </w:t>
            </w:r>
            <w:r>
              <w:rPr>
                <w:rStyle w:val="IndexLink"/>
                <w:rtl w:val="true"/>
              </w:rPr>
              <w:t>(</w:t>
            </w:r>
            <w:r>
              <w:rPr>
                <w:rStyle w:val="IndexLink"/>
              </w:rPr>
              <w:t>8</w:t>
            </w:r>
            <w:r>
              <w:rPr>
                <w:rStyle w:val="IndexLink"/>
                <w:rtl w:val="true"/>
              </w:rPr>
              <w:t>)</w:t>
              <w:tab/>
            </w:r>
            <w:r>
              <w:rPr>
                <w:rStyle w:val="IndexLink"/>
              </w:rPr>
              <w:t>474</w:t>
            </w:r>
          </w:hyperlink>
        </w:p>
        <w:p>
          <w:pPr>
            <w:pStyle w:val="Contents4"/>
            <w:tabs>
              <w:tab w:val="clear" w:pos="8176"/>
              <w:tab w:val="right" w:pos="9026" w:leader="dot"/>
            </w:tabs>
            <w:rPr/>
          </w:pPr>
          <w:hyperlink w:anchor="__RefHeading___Toc581136_774463916">
            <w:r>
              <w:rPr>
                <w:webHidden/>
                <w:rStyle w:val="IndexLink"/>
                <w:rtl w:val="true"/>
              </w:rPr>
              <w:t>میراث الزوج والزوجة</w:t>
            </w:r>
            <w:r>
              <w:rPr>
                <w:rStyle w:val="IndexLink"/>
                <w:rtl w:val="true"/>
              </w:rPr>
              <w:tab/>
            </w:r>
            <w:r>
              <w:rPr>
                <w:rStyle w:val="IndexLink"/>
              </w:rPr>
              <w:t>474</w:t>
            </w:r>
          </w:hyperlink>
        </w:p>
        <w:p>
          <w:pPr>
            <w:pStyle w:val="Contents3"/>
            <w:tabs>
              <w:tab w:val="clear" w:pos="8459"/>
              <w:tab w:val="right" w:pos="9026" w:leader="dot"/>
            </w:tabs>
            <w:rPr/>
          </w:pPr>
          <w:hyperlink w:anchor="__RefHeading___Toc581138_774463916">
            <w:r>
              <w:rPr>
                <w:webHidden/>
                <w:rStyle w:val="IndexLink"/>
                <w:rtl w:val="true"/>
              </w:rPr>
              <w:t>الدرس</w:t>
            </w:r>
            <w:r>
              <w:rPr>
                <w:rStyle w:val="IndexLink"/>
              </w:rPr>
              <w:t>24</w:t>
            </w:r>
            <w:r>
              <w:rPr>
                <w:rStyle w:val="IndexLink"/>
                <w:rtl w:val="true"/>
              </w:rPr>
              <w:t xml:space="preserve">- </w:t>
            </w:r>
            <w:r>
              <w:rPr>
                <w:rStyle w:val="IndexLink"/>
                <w:rtl w:val="true"/>
              </w:rPr>
              <w:t>کتاب الحدود</w:t>
            </w:r>
            <w:r>
              <w:rPr>
                <w:rStyle w:val="IndexLink"/>
                <w:rtl w:val="true"/>
              </w:rPr>
              <w:tab/>
            </w:r>
            <w:r>
              <w:rPr>
                <w:rStyle w:val="IndexLink"/>
              </w:rPr>
              <w:t>477</w:t>
            </w:r>
          </w:hyperlink>
        </w:p>
        <w:p>
          <w:pPr>
            <w:pStyle w:val="Contents4"/>
            <w:tabs>
              <w:tab w:val="clear" w:pos="8176"/>
              <w:tab w:val="right" w:pos="9026" w:leader="dot"/>
            </w:tabs>
            <w:rPr/>
          </w:pPr>
          <w:hyperlink w:anchor="__RefHeading___Toc581140_774463916">
            <w:r>
              <w:rPr>
                <w:webHidden/>
                <w:rStyle w:val="IndexLink"/>
                <w:rtl w:val="true"/>
              </w:rPr>
              <w:t>تعریف الحد</w:t>
            </w:r>
            <w:r>
              <w:rPr>
                <w:rStyle w:val="IndexLink"/>
                <w:rtl w:val="true"/>
              </w:rPr>
              <w:tab/>
            </w:r>
            <w:r>
              <w:rPr>
                <w:rStyle w:val="IndexLink"/>
              </w:rPr>
              <w:t>477</w:t>
            </w:r>
          </w:hyperlink>
        </w:p>
        <w:p>
          <w:pPr>
            <w:pStyle w:val="Contents4"/>
            <w:tabs>
              <w:tab w:val="clear" w:pos="8176"/>
              <w:tab w:val="right" w:pos="9026" w:leader="dot"/>
            </w:tabs>
            <w:rPr/>
          </w:pPr>
          <w:hyperlink w:anchor="__RefHeading___Toc581142_774463916">
            <w:r>
              <w:rPr>
                <w:webHidden/>
                <w:rStyle w:val="IndexLink"/>
                <w:rtl w:val="true"/>
              </w:rPr>
              <w:t>موجبات الحد</w:t>
            </w:r>
            <w:r>
              <w:rPr>
                <w:rStyle w:val="IndexLink"/>
                <w:rtl w:val="true"/>
              </w:rPr>
              <w:tab/>
            </w:r>
            <w:r>
              <w:rPr>
                <w:rStyle w:val="IndexLink"/>
              </w:rPr>
              <w:t>477</w:t>
            </w:r>
          </w:hyperlink>
        </w:p>
        <w:p>
          <w:pPr>
            <w:pStyle w:val="Contents5"/>
            <w:tabs>
              <w:tab w:val="clear" w:pos="7892"/>
              <w:tab w:val="right" w:pos="9026" w:leader="dot"/>
            </w:tabs>
            <w:rPr/>
          </w:pPr>
          <w:hyperlink w:anchor="__RefHeading___Toc581144_774463916">
            <w:r>
              <w:rPr>
                <w:webHidden/>
                <w:rStyle w:val="IndexLink"/>
                <w:rtl w:val="true"/>
              </w:rPr>
              <w:t>اشارة</w:t>
            </w:r>
            <w:r>
              <w:rPr>
                <w:rStyle w:val="IndexLink"/>
                <w:rtl w:val="true"/>
              </w:rPr>
              <w:tab/>
            </w:r>
            <w:r>
              <w:rPr>
                <w:rStyle w:val="IndexLink"/>
              </w:rPr>
              <w:t>477</w:t>
            </w:r>
          </w:hyperlink>
        </w:p>
        <w:p>
          <w:pPr>
            <w:pStyle w:val="Contents5"/>
            <w:tabs>
              <w:tab w:val="clear" w:pos="7892"/>
              <w:tab w:val="right" w:pos="9026" w:leader="dot"/>
            </w:tabs>
            <w:rPr/>
          </w:pPr>
          <w:hyperlink w:anchor="__RefHeading___Toc581146_774463916">
            <w:r>
              <w:rPr>
                <w:webHidden/>
                <w:rStyle w:val="IndexLink"/>
              </w:rPr>
              <w:t>1</w:t>
            </w:r>
            <w:r>
              <w:rPr>
                <w:rStyle w:val="IndexLink"/>
                <w:rtl w:val="true"/>
              </w:rPr>
              <w:t xml:space="preserve">- </w:t>
            </w:r>
            <w:r>
              <w:rPr>
                <w:rStyle w:val="IndexLink"/>
                <w:rtl w:val="true"/>
              </w:rPr>
              <w:t>الزنا</w:t>
            </w:r>
            <w:r>
              <w:rPr>
                <w:rStyle w:val="IndexLink"/>
                <w:rtl w:val="true"/>
              </w:rPr>
              <w:tab/>
            </w:r>
            <w:r>
              <w:rPr>
                <w:rStyle w:val="IndexLink"/>
              </w:rPr>
              <w:t>477</w:t>
            </w:r>
          </w:hyperlink>
        </w:p>
        <w:p>
          <w:pPr>
            <w:pStyle w:val="Contents3"/>
            <w:tabs>
              <w:tab w:val="clear" w:pos="8459"/>
              <w:tab w:val="right" w:pos="9026" w:leader="dot"/>
            </w:tabs>
            <w:rPr/>
          </w:pPr>
          <w:hyperlink w:anchor="__RefHeading___Toc581148_774463916">
            <w:r>
              <w:rPr>
                <w:webHidden/>
                <w:rStyle w:val="IndexLink"/>
                <w:rtl w:val="true"/>
              </w:rPr>
              <w:t>الدرس</w:t>
            </w:r>
            <w:r>
              <w:rPr>
                <w:rStyle w:val="IndexLink"/>
              </w:rPr>
              <w:t>25</w:t>
            </w:r>
            <w:r>
              <w:rPr>
                <w:rStyle w:val="IndexLink"/>
                <w:rtl w:val="true"/>
              </w:rPr>
              <w:t xml:space="preserve"> - </w:t>
            </w:r>
            <w:r>
              <w:rPr>
                <w:rStyle w:val="IndexLink"/>
                <w:rtl w:val="true"/>
              </w:rPr>
              <w:t xml:space="preserve">کتاب الحدود </w:t>
            </w:r>
            <w:r>
              <w:rPr>
                <w:rStyle w:val="IndexLink"/>
                <w:rtl w:val="true"/>
              </w:rPr>
              <w:t>(</w:t>
            </w:r>
            <w:r>
              <w:rPr>
                <w:rStyle w:val="IndexLink"/>
              </w:rPr>
              <w:t>2</w:t>
            </w:r>
            <w:r>
              <w:rPr>
                <w:rStyle w:val="IndexLink"/>
                <w:rtl w:val="true"/>
              </w:rPr>
              <w:t>)</w:t>
              <w:tab/>
            </w:r>
            <w:r>
              <w:rPr>
                <w:rStyle w:val="IndexLink"/>
              </w:rPr>
              <w:t>481</w:t>
            </w:r>
          </w:hyperlink>
        </w:p>
        <w:p>
          <w:pPr>
            <w:pStyle w:val="Contents4"/>
            <w:tabs>
              <w:tab w:val="clear" w:pos="8176"/>
              <w:tab w:val="right" w:pos="9026" w:leader="dot"/>
            </w:tabs>
            <w:rPr/>
          </w:pPr>
          <w:hyperlink w:anchor="__RefHeading___Toc581150_774463916">
            <w:r>
              <w:rPr>
                <w:webHidden/>
                <w:rStyle w:val="IndexLink"/>
                <w:rtl w:val="true"/>
              </w:rPr>
              <w:t>الإحصان</w:t>
            </w:r>
            <w:r>
              <w:rPr>
                <w:rStyle w:val="IndexLink"/>
                <w:rtl w:val="true"/>
              </w:rPr>
              <w:tab/>
            </w:r>
            <w:r>
              <w:rPr>
                <w:rStyle w:val="IndexLink"/>
              </w:rPr>
              <w:t>481</w:t>
            </w:r>
          </w:hyperlink>
        </w:p>
        <w:p>
          <w:pPr>
            <w:pStyle w:val="Contents4"/>
            <w:tabs>
              <w:tab w:val="clear" w:pos="8176"/>
              <w:tab w:val="right" w:pos="9026" w:leader="dot"/>
            </w:tabs>
            <w:rPr/>
          </w:pPr>
          <w:hyperlink w:anchor="__RefHeading___Toc581152_774463916">
            <w:r>
              <w:rPr>
                <w:webHidden/>
                <w:rStyle w:val="IndexLink"/>
                <w:rtl w:val="true"/>
              </w:rPr>
              <w:t>شرائط ثبوت حدّ الزنا</w:t>
            </w:r>
            <w:r>
              <w:rPr>
                <w:rStyle w:val="IndexLink"/>
                <w:rtl w:val="true"/>
              </w:rPr>
              <w:tab/>
            </w:r>
            <w:r>
              <w:rPr>
                <w:rStyle w:val="IndexLink"/>
              </w:rPr>
              <w:t>482</w:t>
            </w:r>
          </w:hyperlink>
        </w:p>
        <w:p>
          <w:pPr>
            <w:pStyle w:val="Contents4"/>
            <w:tabs>
              <w:tab w:val="clear" w:pos="8176"/>
              <w:tab w:val="right" w:pos="9026" w:leader="dot"/>
            </w:tabs>
            <w:rPr/>
          </w:pPr>
          <w:hyperlink w:anchor="__RefHeading___Toc581154_774463916">
            <w:r>
              <w:rPr>
                <w:webHidden/>
                <w:rStyle w:val="IndexLink"/>
                <w:rtl w:val="true"/>
              </w:rPr>
              <w:t>وسائل إثبات الزنا</w:t>
            </w:r>
            <w:r>
              <w:rPr>
                <w:rStyle w:val="IndexLink"/>
                <w:rtl w:val="true"/>
              </w:rPr>
              <w:tab/>
            </w:r>
            <w:r>
              <w:rPr>
                <w:rStyle w:val="IndexLink"/>
              </w:rPr>
              <w:t>483</w:t>
            </w:r>
          </w:hyperlink>
        </w:p>
        <w:p>
          <w:pPr>
            <w:pStyle w:val="Contents3"/>
            <w:tabs>
              <w:tab w:val="clear" w:pos="8459"/>
              <w:tab w:val="right" w:pos="9026" w:leader="dot"/>
            </w:tabs>
            <w:rPr/>
          </w:pPr>
          <w:hyperlink w:anchor="__RefHeading___Toc581156_774463916">
            <w:r>
              <w:rPr>
                <w:webHidden/>
                <w:rStyle w:val="IndexLink"/>
                <w:rtl w:val="true"/>
              </w:rPr>
              <w:t>الدرس</w:t>
            </w:r>
            <w:r>
              <w:rPr>
                <w:rStyle w:val="IndexLink"/>
              </w:rPr>
              <w:t>26</w:t>
            </w:r>
            <w:r>
              <w:rPr>
                <w:rStyle w:val="IndexLink"/>
                <w:rtl w:val="true"/>
              </w:rPr>
              <w:t xml:space="preserve"> -</w:t>
            </w:r>
            <w:r>
              <w:rPr>
                <w:rStyle w:val="IndexLink"/>
                <w:rtl w:val="true"/>
              </w:rPr>
              <w:t xml:space="preserve">کتاب الحدود </w:t>
            </w:r>
            <w:r>
              <w:rPr>
                <w:rStyle w:val="IndexLink"/>
                <w:rtl w:val="true"/>
              </w:rPr>
              <w:t>(</w:t>
            </w:r>
            <w:r>
              <w:rPr>
                <w:rStyle w:val="IndexLink"/>
              </w:rPr>
              <w:t>3</w:t>
            </w:r>
            <w:r>
              <w:rPr>
                <w:rStyle w:val="IndexLink"/>
                <w:rtl w:val="true"/>
              </w:rPr>
              <w:t>)</w:t>
              <w:tab/>
            </w:r>
            <w:r>
              <w:rPr>
                <w:rStyle w:val="IndexLink"/>
              </w:rPr>
              <w:t>485</w:t>
            </w:r>
          </w:hyperlink>
        </w:p>
        <w:p>
          <w:pPr>
            <w:pStyle w:val="Contents4"/>
            <w:tabs>
              <w:tab w:val="clear" w:pos="8176"/>
              <w:tab w:val="right" w:pos="9026" w:leader="dot"/>
            </w:tabs>
            <w:rPr/>
          </w:pPr>
          <w:hyperlink w:anchor="__RefHeading___Toc581158_774463916">
            <w:r>
              <w:rPr>
                <w:webHidden/>
                <w:rStyle w:val="IndexLink"/>
              </w:rPr>
              <w:t>2</w:t>
            </w:r>
            <w:r>
              <w:rPr>
                <w:rStyle w:val="IndexLink"/>
                <w:rtl w:val="true"/>
              </w:rPr>
              <w:t xml:space="preserve">- </w:t>
            </w:r>
            <w:r>
              <w:rPr>
                <w:rStyle w:val="IndexLink"/>
                <w:rtl w:val="true"/>
              </w:rPr>
              <w:t>اللواط</w:t>
            </w:r>
            <w:r>
              <w:rPr>
                <w:rStyle w:val="IndexLink"/>
                <w:rtl w:val="true"/>
              </w:rPr>
              <w:tab/>
            </w:r>
            <w:r>
              <w:rPr>
                <w:rStyle w:val="IndexLink"/>
              </w:rPr>
              <w:t>485</w:t>
            </w:r>
          </w:hyperlink>
        </w:p>
        <w:p>
          <w:pPr>
            <w:pStyle w:val="Contents3"/>
            <w:tabs>
              <w:tab w:val="clear" w:pos="8459"/>
              <w:tab w:val="right" w:pos="9026" w:leader="dot"/>
            </w:tabs>
            <w:rPr/>
          </w:pPr>
          <w:hyperlink w:anchor="__RefHeading___Toc581160_774463916">
            <w:r>
              <w:rPr>
                <w:webHidden/>
                <w:rStyle w:val="IndexLink"/>
                <w:rtl w:val="true"/>
              </w:rPr>
              <w:t>الدرس</w:t>
            </w:r>
            <w:r>
              <w:rPr>
                <w:rStyle w:val="IndexLink"/>
              </w:rPr>
              <w:t>27</w:t>
            </w:r>
            <w:r>
              <w:rPr>
                <w:rStyle w:val="IndexLink"/>
                <w:rtl w:val="true"/>
              </w:rPr>
              <w:t xml:space="preserve"> - </w:t>
            </w:r>
            <w:r>
              <w:rPr>
                <w:rStyle w:val="IndexLink"/>
                <w:rtl w:val="true"/>
              </w:rPr>
              <w:t xml:space="preserve">کتاب الحدود </w:t>
            </w:r>
            <w:r>
              <w:rPr>
                <w:rStyle w:val="IndexLink"/>
                <w:rtl w:val="true"/>
              </w:rPr>
              <w:t>(</w:t>
            </w:r>
            <w:r>
              <w:rPr>
                <w:rStyle w:val="IndexLink"/>
              </w:rPr>
              <w:t>4</w:t>
            </w:r>
            <w:r>
              <w:rPr>
                <w:rStyle w:val="IndexLink"/>
                <w:rtl w:val="true"/>
              </w:rPr>
              <w:t>)</w:t>
              <w:tab/>
            </w:r>
            <w:r>
              <w:rPr>
                <w:rStyle w:val="IndexLink"/>
              </w:rPr>
              <w:t>488</w:t>
            </w:r>
          </w:hyperlink>
        </w:p>
        <w:p>
          <w:pPr>
            <w:pStyle w:val="Contents4"/>
            <w:tabs>
              <w:tab w:val="clear" w:pos="8176"/>
              <w:tab w:val="right" w:pos="9026" w:leader="dot"/>
            </w:tabs>
            <w:rPr/>
          </w:pPr>
          <w:hyperlink w:anchor="__RefHeading___Toc581162_774463916">
            <w:r>
              <w:rPr>
                <w:webHidden/>
                <w:rStyle w:val="IndexLink"/>
              </w:rPr>
              <w:t>3</w:t>
            </w:r>
            <w:r>
              <w:rPr>
                <w:rStyle w:val="IndexLink"/>
                <w:rtl w:val="true"/>
              </w:rPr>
              <w:t xml:space="preserve">- </w:t>
            </w:r>
            <w:r>
              <w:rPr>
                <w:rStyle w:val="IndexLink"/>
                <w:rtl w:val="true"/>
              </w:rPr>
              <w:t>القذف</w:t>
            </w:r>
            <w:r>
              <w:rPr>
                <w:rStyle w:val="IndexLink"/>
                <w:rtl w:val="true"/>
              </w:rPr>
              <w:tab/>
            </w:r>
            <w:r>
              <w:rPr>
                <w:rStyle w:val="IndexLink"/>
              </w:rPr>
              <w:t>488</w:t>
            </w:r>
          </w:hyperlink>
        </w:p>
        <w:p>
          <w:pPr>
            <w:pStyle w:val="Contents4"/>
            <w:tabs>
              <w:tab w:val="clear" w:pos="8176"/>
              <w:tab w:val="right" w:pos="9026" w:leader="dot"/>
            </w:tabs>
            <w:rPr/>
          </w:pPr>
          <w:hyperlink w:anchor="__RefHeading___Toc581164_774463916">
            <w:r>
              <w:rPr>
                <w:webHidden/>
                <w:rStyle w:val="IndexLink"/>
              </w:rPr>
              <w:t>4</w:t>
            </w:r>
            <w:r>
              <w:rPr>
                <w:rStyle w:val="IndexLink"/>
                <w:rtl w:val="true"/>
              </w:rPr>
              <w:t xml:space="preserve">- </w:t>
            </w:r>
            <w:r>
              <w:rPr>
                <w:rStyle w:val="IndexLink"/>
                <w:rtl w:val="true"/>
              </w:rPr>
              <w:t>سابّ النبی صلی الله علیه و آله</w:t>
            </w:r>
            <w:r>
              <w:rPr>
                <w:rStyle w:val="IndexLink"/>
                <w:rtl w:val="true"/>
              </w:rPr>
              <w:tab/>
            </w:r>
            <w:r>
              <w:rPr>
                <w:rStyle w:val="IndexLink"/>
              </w:rPr>
              <w:t>490</w:t>
            </w:r>
          </w:hyperlink>
        </w:p>
        <w:p>
          <w:pPr>
            <w:pStyle w:val="Contents4"/>
            <w:tabs>
              <w:tab w:val="clear" w:pos="8176"/>
              <w:tab w:val="right" w:pos="9026" w:leader="dot"/>
            </w:tabs>
            <w:rPr/>
          </w:pPr>
          <w:hyperlink w:anchor="__RefHeading___Toc581166_774463916">
            <w:r>
              <w:rPr>
                <w:webHidden/>
                <w:rStyle w:val="IndexLink"/>
              </w:rPr>
              <w:t>5</w:t>
            </w:r>
            <w:r>
              <w:rPr>
                <w:rStyle w:val="IndexLink"/>
                <w:rtl w:val="true"/>
              </w:rPr>
              <w:t xml:space="preserve">- </w:t>
            </w:r>
            <w:r>
              <w:rPr>
                <w:rStyle w:val="IndexLink"/>
                <w:rtl w:val="true"/>
              </w:rPr>
              <w:t>شرب الخمر</w:t>
            </w:r>
            <w:r>
              <w:rPr>
                <w:rStyle w:val="IndexLink"/>
                <w:rtl w:val="true"/>
              </w:rPr>
              <w:tab/>
            </w:r>
            <w:r>
              <w:rPr>
                <w:rStyle w:val="IndexLink"/>
              </w:rPr>
              <w:t>491</w:t>
            </w:r>
          </w:hyperlink>
        </w:p>
        <w:p>
          <w:pPr>
            <w:pStyle w:val="Contents3"/>
            <w:tabs>
              <w:tab w:val="clear" w:pos="8459"/>
              <w:tab w:val="right" w:pos="9026" w:leader="dot"/>
            </w:tabs>
            <w:rPr/>
          </w:pPr>
          <w:hyperlink w:anchor="__RefHeading___Toc581168_774463916">
            <w:r>
              <w:rPr>
                <w:webHidden/>
                <w:rStyle w:val="IndexLink"/>
                <w:rtl w:val="true"/>
              </w:rPr>
              <w:t>الدرس</w:t>
            </w:r>
            <w:r>
              <w:rPr>
                <w:rStyle w:val="IndexLink"/>
              </w:rPr>
              <w:t>28</w:t>
            </w:r>
            <w:r>
              <w:rPr>
                <w:rStyle w:val="IndexLink"/>
                <w:rtl w:val="true"/>
              </w:rPr>
              <w:t xml:space="preserve"> - </w:t>
            </w:r>
            <w:r>
              <w:rPr>
                <w:rStyle w:val="IndexLink"/>
                <w:rtl w:val="true"/>
              </w:rPr>
              <w:t xml:space="preserve">کتاب الحدود </w:t>
            </w:r>
            <w:r>
              <w:rPr>
                <w:rStyle w:val="IndexLink"/>
                <w:rtl w:val="true"/>
              </w:rPr>
              <w:t>(</w:t>
            </w:r>
            <w:r>
              <w:rPr>
                <w:rStyle w:val="IndexLink"/>
              </w:rPr>
              <w:t>5</w:t>
            </w:r>
            <w:r>
              <w:rPr>
                <w:rStyle w:val="IndexLink"/>
                <w:rtl w:val="true"/>
              </w:rPr>
              <w:t>)</w:t>
              <w:tab/>
            </w:r>
            <w:r>
              <w:rPr>
                <w:rStyle w:val="IndexLink"/>
              </w:rPr>
              <w:t>492</w:t>
            </w:r>
          </w:hyperlink>
        </w:p>
        <w:p>
          <w:pPr>
            <w:pStyle w:val="Contents4"/>
            <w:tabs>
              <w:tab w:val="clear" w:pos="8176"/>
              <w:tab w:val="right" w:pos="9026" w:leader="dot"/>
            </w:tabs>
            <w:rPr/>
          </w:pPr>
          <w:hyperlink w:anchor="__RefHeading___Toc581170_774463916">
            <w:r>
              <w:rPr>
                <w:webHidden/>
                <w:rStyle w:val="IndexLink"/>
              </w:rPr>
              <w:t>6</w:t>
            </w:r>
            <w:r>
              <w:rPr>
                <w:rStyle w:val="IndexLink"/>
                <w:rtl w:val="true"/>
              </w:rPr>
              <w:t xml:space="preserve">- </w:t>
            </w:r>
            <w:r>
              <w:rPr>
                <w:rStyle w:val="IndexLink"/>
                <w:rtl w:val="true"/>
              </w:rPr>
              <w:t>السرقة</w:t>
            </w:r>
            <w:r>
              <w:rPr>
                <w:rStyle w:val="IndexLink"/>
                <w:rtl w:val="true"/>
              </w:rPr>
              <w:tab/>
            </w:r>
            <w:r>
              <w:rPr>
                <w:rStyle w:val="IndexLink"/>
              </w:rPr>
              <w:t>492</w:t>
            </w:r>
          </w:hyperlink>
        </w:p>
        <w:p>
          <w:pPr>
            <w:pStyle w:val="Contents4"/>
            <w:tabs>
              <w:tab w:val="clear" w:pos="8176"/>
              <w:tab w:val="right" w:pos="9026" w:leader="dot"/>
            </w:tabs>
            <w:rPr/>
          </w:pPr>
          <w:hyperlink w:anchor="__RefHeading___Toc581172_774463916">
            <w:r>
              <w:rPr>
                <w:webHidden/>
                <w:rStyle w:val="IndexLink"/>
              </w:rPr>
              <w:t>7</w:t>
            </w:r>
            <w:r>
              <w:rPr>
                <w:rStyle w:val="IndexLink"/>
                <w:rtl w:val="true"/>
              </w:rPr>
              <w:t xml:space="preserve">- </w:t>
            </w:r>
            <w:r>
              <w:rPr>
                <w:rStyle w:val="IndexLink"/>
                <w:rtl w:val="true"/>
              </w:rPr>
              <w:t>المحاربة</w:t>
            </w:r>
            <w:r>
              <w:rPr>
                <w:rStyle w:val="IndexLink"/>
                <w:rtl w:val="true"/>
              </w:rPr>
              <w:tab/>
            </w:r>
            <w:r>
              <w:rPr>
                <w:rStyle w:val="IndexLink"/>
              </w:rPr>
              <w:t>494</w:t>
            </w:r>
          </w:hyperlink>
        </w:p>
        <w:p>
          <w:pPr>
            <w:pStyle w:val="Contents3"/>
            <w:tabs>
              <w:tab w:val="clear" w:pos="8459"/>
              <w:tab w:val="right" w:pos="9026" w:leader="dot"/>
            </w:tabs>
            <w:rPr/>
          </w:pPr>
          <w:hyperlink w:anchor="__RefHeading___Toc581174_774463916">
            <w:r>
              <w:rPr>
                <w:webHidden/>
                <w:rStyle w:val="IndexLink"/>
                <w:rtl w:val="true"/>
              </w:rPr>
              <w:t>الدرس</w:t>
            </w:r>
            <w:r>
              <w:rPr>
                <w:rStyle w:val="IndexLink"/>
              </w:rPr>
              <w:t>29</w:t>
            </w:r>
            <w:r>
              <w:rPr>
                <w:rStyle w:val="IndexLink"/>
                <w:rtl w:val="true"/>
              </w:rPr>
              <w:t xml:space="preserve"> - </w:t>
            </w:r>
            <w:r>
              <w:rPr>
                <w:rStyle w:val="IndexLink"/>
                <w:rtl w:val="true"/>
              </w:rPr>
              <w:t>کتاب القصاص</w:t>
            </w:r>
            <w:r>
              <w:rPr>
                <w:rStyle w:val="IndexLink"/>
                <w:rtl w:val="true"/>
              </w:rPr>
              <w:tab/>
            </w:r>
            <w:r>
              <w:rPr>
                <w:rStyle w:val="IndexLink"/>
              </w:rPr>
              <w:t>496</w:t>
            </w:r>
          </w:hyperlink>
        </w:p>
        <w:p>
          <w:pPr>
            <w:pStyle w:val="Contents4"/>
            <w:tabs>
              <w:tab w:val="clear" w:pos="8176"/>
              <w:tab w:val="right" w:pos="9026" w:leader="dot"/>
            </w:tabs>
            <w:rPr/>
          </w:pPr>
          <w:hyperlink w:anchor="__RefHeading___Toc581176_774463916">
            <w:r>
              <w:rPr>
                <w:webHidden/>
                <w:rStyle w:val="IndexLink"/>
                <w:rtl w:val="true"/>
              </w:rPr>
              <w:t>حقیقة القصاص وأقسامه</w:t>
            </w:r>
            <w:r>
              <w:rPr>
                <w:rStyle w:val="IndexLink"/>
                <w:rtl w:val="true"/>
              </w:rPr>
              <w:tab/>
            </w:r>
            <w:r>
              <w:rPr>
                <w:rStyle w:val="IndexLink"/>
              </w:rPr>
              <w:t>496</w:t>
            </w:r>
          </w:hyperlink>
        </w:p>
        <w:p>
          <w:pPr>
            <w:pStyle w:val="Contents5"/>
            <w:tabs>
              <w:tab w:val="clear" w:pos="7892"/>
              <w:tab w:val="right" w:pos="9026" w:leader="dot"/>
            </w:tabs>
            <w:rPr/>
          </w:pPr>
          <w:hyperlink w:anchor="__RefHeading___Toc581178_774463916">
            <w:r>
              <w:rPr>
                <w:webHidden/>
                <w:rStyle w:val="IndexLink"/>
                <w:rtl w:val="true"/>
              </w:rPr>
              <w:t>اشارة</w:t>
            </w:r>
            <w:r>
              <w:rPr>
                <w:rStyle w:val="IndexLink"/>
                <w:rtl w:val="true"/>
              </w:rPr>
              <w:tab/>
            </w:r>
            <w:r>
              <w:rPr>
                <w:rStyle w:val="IndexLink"/>
              </w:rPr>
              <w:t>496</w:t>
            </w:r>
          </w:hyperlink>
        </w:p>
        <w:p>
          <w:pPr>
            <w:pStyle w:val="Contents5"/>
            <w:tabs>
              <w:tab w:val="clear" w:pos="7892"/>
              <w:tab w:val="right" w:pos="9026" w:leader="dot"/>
            </w:tabs>
            <w:rPr/>
          </w:pPr>
          <w:hyperlink w:anchor="__RefHeading___Toc581180_774463916">
            <w:r>
              <w:rPr>
                <w:webHidden/>
                <w:rStyle w:val="IndexLink"/>
              </w:rPr>
              <w:t>1</w:t>
            </w:r>
            <w:r>
              <w:rPr>
                <w:rStyle w:val="IndexLink"/>
                <w:rtl w:val="true"/>
              </w:rPr>
              <w:t xml:space="preserve">- </w:t>
            </w:r>
            <w:r>
              <w:rPr>
                <w:rStyle w:val="IndexLink"/>
                <w:rtl w:val="true"/>
              </w:rPr>
              <w:t>القصاص فی النفس</w:t>
            </w:r>
            <w:r>
              <w:rPr>
                <w:rStyle w:val="IndexLink"/>
                <w:rtl w:val="true"/>
              </w:rPr>
              <w:tab/>
            </w:r>
            <w:r>
              <w:rPr>
                <w:rStyle w:val="IndexLink"/>
              </w:rPr>
              <w:t>497</w:t>
            </w:r>
          </w:hyperlink>
        </w:p>
        <w:p>
          <w:pPr>
            <w:pStyle w:val="Contents3"/>
            <w:tabs>
              <w:tab w:val="clear" w:pos="8459"/>
              <w:tab w:val="right" w:pos="9026" w:leader="dot"/>
            </w:tabs>
            <w:rPr/>
          </w:pPr>
          <w:hyperlink w:anchor="__RefHeading___Toc581182_774463916">
            <w:r>
              <w:rPr>
                <w:webHidden/>
                <w:rStyle w:val="IndexLink"/>
                <w:rtl w:val="true"/>
              </w:rPr>
              <w:t>الدرس</w:t>
            </w:r>
            <w:r>
              <w:rPr>
                <w:rStyle w:val="IndexLink"/>
              </w:rPr>
              <w:t>30</w:t>
            </w:r>
            <w:r>
              <w:rPr>
                <w:rStyle w:val="IndexLink"/>
                <w:rtl w:val="true"/>
              </w:rPr>
              <w:t xml:space="preserve"> - </w:t>
            </w:r>
            <w:r>
              <w:rPr>
                <w:rStyle w:val="IndexLink"/>
                <w:rtl w:val="true"/>
              </w:rPr>
              <w:t xml:space="preserve">کتاب القصاص </w:t>
            </w:r>
            <w:r>
              <w:rPr>
                <w:rStyle w:val="IndexLink"/>
                <w:rtl w:val="true"/>
              </w:rPr>
              <w:t>(</w:t>
            </w:r>
            <w:r>
              <w:rPr>
                <w:rStyle w:val="IndexLink"/>
              </w:rPr>
              <w:t>2</w:t>
            </w:r>
            <w:r>
              <w:rPr>
                <w:rStyle w:val="IndexLink"/>
                <w:rtl w:val="true"/>
              </w:rPr>
              <w:t>)</w:t>
              <w:tab/>
            </w:r>
            <w:r>
              <w:rPr>
                <w:rStyle w:val="IndexLink"/>
              </w:rPr>
              <w:t>500</w:t>
            </w:r>
          </w:hyperlink>
        </w:p>
        <w:p>
          <w:pPr>
            <w:pStyle w:val="Contents4"/>
            <w:tabs>
              <w:tab w:val="clear" w:pos="8176"/>
              <w:tab w:val="right" w:pos="9026" w:leader="dot"/>
            </w:tabs>
            <w:rPr/>
          </w:pPr>
          <w:hyperlink w:anchor="__RefHeading___Toc581184_774463916">
            <w:r>
              <w:rPr>
                <w:webHidden/>
                <w:rStyle w:val="IndexLink"/>
                <w:rtl w:val="true"/>
              </w:rPr>
              <w:t>من أحکام قصاص النفس</w:t>
            </w:r>
            <w:r>
              <w:rPr>
                <w:rStyle w:val="IndexLink"/>
                <w:rtl w:val="true"/>
              </w:rPr>
              <w:tab/>
            </w:r>
            <w:r>
              <w:rPr>
                <w:rStyle w:val="IndexLink"/>
              </w:rPr>
              <w:t>500</w:t>
            </w:r>
          </w:hyperlink>
        </w:p>
        <w:p>
          <w:pPr>
            <w:pStyle w:val="Contents4"/>
            <w:tabs>
              <w:tab w:val="clear" w:pos="8176"/>
              <w:tab w:val="right" w:pos="9026" w:leader="dot"/>
            </w:tabs>
            <w:rPr/>
          </w:pPr>
          <w:hyperlink w:anchor="__RefHeading___Toc581186_774463916">
            <w:r>
              <w:rPr>
                <w:webHidden/>
                <w:rStyle w:val="IndexLink"/>
              </w:rPr>
              <w:t>2</w:t>
            </w:r>
            <w:r>
              <w:rPr>
                <w:rStyle w:val="IndexLink"/>
                <w:rtl w:val="true"/>
              </w:rPr>
              <w:t xml:space="preserve">- </w:t>
            </w:r>
            <w:r>
              <w:rPr>
                <w:rStyle w:val="IndexLink"/>
                <w:rtl w:val="true"/>
              </w:rPr>
              <w:t>القصاص فی ما دون النفس</w:t>
            </w:r>
            <w:r>
              <w:rPr>
                <w:rStyle w:val="IndexLink"/>
                <w:rtl w:val="true"/>
              </w:rPr>
              <w:tab/>
            </w:r>
            <w:r>
              <w:rPr>
                <w:rStyle w:val="IndexLink"/>
              </w:rPr>
              <w:t>501</w:t>
            </w:r>
          </w:hyperlink>
        </w:p>
        <w:p>
          <w:pPr>
            <w:pStyle w:val="Contents3"/>
            <w:tabs>
              <w:tab w:val="clear" w:pos="8459"/>
              <w:tab w:val="right" w:pos="9026" w:leader="dot"/>
            </w:tabs>
            <w:rPr/>
          </w:pPr>
          <w:hyperlink w:anchor="__RefHeading___Toc581188_774463916">
            <w:r>
              <w:rPr>
                <w:webHidden/>
                <w:rStyle w:val="IndexLink"/>
                <w:rtl w:val="true"/>
              </w:rPr>
              <w:t>الدرس</w:t>
            </w:r>
            <w:r>
              <w:rPr>
                <w:rStyle w:val="IndexLink"/>
              </w:rPr>
              <w:t>31</w:t>
            </w:r>
            <w:r>
              <w:rPr>
                <w:rStyle w:val="IndexLink"/>
                <w:rtl w:val="true"/>
              </w:rPr>
              <w:t xml:space="preserve"> - </w:t>
            </w:r>
            <w:r>
              <w:rPr>
                <w:rStyle w:val="IndexLink"/>
                <w:rtl w:val="true"/>
              </w:rPr>
              <w:t>کتاب الدیات</w:t>
            </w:r>
            <w:r>
              <w:rPr>
                <w:rStyle w:val="IndexLink"/>
                <w:rtl w:val="true"/>
              </w:rPr>
              <w:tab/>
            </w:r>
            <w:r>
              <w:rPr>
                <w:rStyle w:val="IndexLink"/>
              </w:rPr>
              <w:t>503</w:t>
            </w:r>
          </w:hyperlink>
        </w:p>
        <w:p>
          <w:pPr>
            <w:pStyle w:val="Contents4"/>
            <w:tabs>
              <w:tab w:val="clear" w:pos="8176"/>
              <w:tab w:val="right" w:pos="9026" w:leader="dot"/>
            </w:tabs>
            <w:rPr/>
          </w:pPr>
          <w:hyperlink w:anchor="__RefHeading___Toc581190_774463916">
            <w:r>
              <w:rPr>
                <w:webHidden/>
                <w:rStyle w:val="IndexLink"/>
                <w:rtl w:val="true"/>
              </w:rPr>
              <w:t>حقیقة الدیة وأقسامها</w:t>
            </w:r>
            <w:r>
              <w:rPr>
                <w:rStyle w:val="IndexLink"/>
                <w:rtl w:val="true"/>
              </w:rPr>
              <w:tab/>
            </w:r>
            <w:r>
              <w:rPr>
                <w:rStyle w:val="IndexLink"/>
              </w:rPr>
              <w:t>503</w:t>
            </w:r>
          </w:hyperlink>
        </w:p>
        <w:p>
          <w:pPr>
            <w:pStyle w:val="Contents5"/>
            <w:tabs>
              <w:tab w:val="clear" w:pos="7892"/>
              <w:tab w:val="right" w:pos="9026" w:leader="dot"/>
            </w:tabs>
            <w:rPr/>
          </w:pPr>
          <w:hyperlink w:anchor="__RefHeading___Toc581192_774463916">
            <w:r>
              <w:rPr>
                <w:webHidden/>
                <w:rStyle w:val="IndexLink"/>
                <w:rtl w:val="true"/>
              </w:rPr>
              <w:t>اشارة</w:t>
            </w:r>
            <w:r>
              <w:rPr>
                <w:rStyle w:val="IndexLink"/>
                <w:rtl w:val="true"/>
              </w:rPr>
              <w:tab/>
            </w:r>
            <w:r>
              <w:rPr>
                <w:rStyle w:val="IndexLink"/>
              </w:rPr>
              <w:t>503</w:t>
            </w:r>
          </w:hyperlink>
        </w:p>
        <w:p>
          <w:pPr>
            <w:pStyle w:val="Contents5"/>
            <w:tabs>
              <w:tab w:val="clear" w:pos="7892"/>
              <w:tab w:val="right" w:pos="9026" w:leader="dot"/>
            </w:tabs>
            <w:rPr/>
          </w:pPr>
          <w:hyperlink w:anchor="__RefHeading___Toc581194_774463916">
            <w:r>
              <w:rPr>
                <w:webHidden/>
                <w:rStyle w:val="IndexLink"/>
              </w:rPr>
              <w:t>1</w:t>
            </w:r>
            <w:r>
              <w:rPr>
                <w:rStyle w:val="IndexLink"/>
                <w:rtl w:val="true"/>
              </w:rPr>
              <w:t xml:space="preserve">- </w:t>
            </w:r>
            <w:r>
              <w:rPr>
                <w:rStyle w:val="IndexLink"/>
                <w:rtl w:val="true"/>
              </w:rPr>
              <w:t>دیة القتل عمداً</w:t>
            </w:r>
            <w:r>
              <w:rPr>
                <w:rStyle w:val="IndexLink"/>
                <w:rtl w:val="true"/>
              </w:rPr>
              <w:tab/>
            </w:r>
            <w:r>
              <w:rPr>
                <w:rStyle w:val="IndexLink"/>
              </w:rPr>
              <w:t>503</w:t>
            </w:r>
          </w:hyperlink>
        </w:p>
        <w:p>
          <w:pPr>
            <w:pStyle w:val="Contents5"/>
            <w:tabs>
              <w:tab w:val="clear" w:pos="7892"/>
              <w:tab w:val="right" w:pos="9026" w:leader="dot"/>
            </w:tabs>
            <w:rPr/>
          </w:pPr>
          <w:hyperlink w:anchor="__RefHeading___Toc581196_774463916">
            <w:r>
              <w:rPr>
                <w:webHidden/>
                <w:rStyle w:val="IndexLink"/>
              </w:rPr>
              <w:t>2</w:t>
            </w:r>
            <w:r>
              <w:rPr>
                <w:rStyle w:val="IndexLink"/>
                <w:rtl w:val="true"/>
              </w:rPr>
              <w:t xml:space="preserve">- </w:t>
            </w:r>
            <w:r>
              <w:rPr>
                <w:rStyle w:val="IndexLink"/>
                <w:rtl w:val="true"/>
              </w:rPr>
              <w:t>دیة القتل الشبیه بالعمد</w:t>
            </w:r>
            <w:r>
              <w:rPr>
                <w:rStyle w:val="IndexLink"/>
                <w:rtl w:val="true"/>
              </w:rPr>
              <w:tab/>
            </w:r>
            <w:r>
              <w:rPr>
                <w:rStyle w:val="IndexLink"/>
              </w:rPr>
              <w:t>504</w:t>
            </w:r>
          </w:hyperlink>
        </w:p>
        <w:p>
          <w:pPr>
            <w:pStyle w:val="Contents5"/>
            <w:tabs>
              <w:tab w:val="clear" w:pos="7892"/>
              <w:tab w:val="right" w:pos="9026" w:leader="dot"/>
            </w:tabs>
            <w:rPr/>
          </w:pPr>
          <w:hyperlink w:anchor="__RefHeading___Toc581198_774463916">
            <w:r>
              <w:rPr>
                <w:webHidden/>
                <w:rStyle w:val="IndexLink"/>
              </w:rPr>
              <w:t>3</w:t>
            </w:r>
            <w:r>
              <w:rPr>
                <w:rStyle w:val="IndexLink"/>
                <w:rtl w:val="true"/>
              </w:rPr>
              <w:t xml:space="preserve">- </w:t>
            </w:r>
            <w:r>
              <w:rPr>
                <w:rStyle w:val="IndexLink"/>
                <w:rtl w:val="true"/>
              </w:rPr>
              <w:t>دیة القتل خطأ</w:t>
            </w:r>
            <w:r>
              <w:rPr>
                <w:rStyle w:val="IndexLink"/>
                <w:rtl w:val="true"/>
              </w:rPr>
              <w:tab/>
            </w:r>
            <w:r>
              <w:rPr>
                <w:rStyle w:val="IndexLink"/>
              </w:rPr>
              <w:t>505</w:t>
            </w:r>
          </w:hyperlink>
        </w:p>
        <w:p>
          <w:pPr>
            <w:pStyle w:val="Contents5"/>
            <w:tabs>
              <w:tab w:val="clear" w:pos="7892"/>
              <w:tab w:val="right" w:pos="9026" w:leader="dot"/>
            </w:tabs>
            <w:rPr/>
          </w:pPr>
          <w:hyperlink w:anchor="__RefHeading___Toc581200_774463916">
            <w:r>
              <w:rPr>
                <w:webHidden/>
                <w:rStyle w:val="IndexLink"/>
              </w:rPr>
              <w:t>4</w:t>
            </w:r>
            <w:r>
              <w:rPr>
                <w:rStyle w:val="IndexLink"/>
                <w:rtl w:val="true"/>
              </w:rPr>
              <w:t xml:space="preserve">- </w:t>
            </w:r>
            <w:r>
              <w:rPr>
                <w:rStyle w:val="IndexLink"/>
                <w:rtl w:val="true"/>
              </w:rPr>
              <w:t>دیة الجوارح</w:t>
            </w:r>
            <w:r>
              <w:rPr>
                <w:rStyle w:val="IndexLink"/>
                <w:rtl w:val="true"/>
              </w:rPr>
              <w:tab/>
            </w:r>
            <w:r>
              <w:rPr>
                <w:rStyle w:val="IndexLink"/>
              </w:rPr>
              <w:t>505</w:t>
            </w:r>
          </w:hyperlink>
        </w:p>
        <w:p>
          <w:pPr>
            <w:pStyle w:val="Contents3"/>
            <w:tabs>
              <w:tab w:val="clear" w:pos="8459"/>
              <w:tab w:val="right" w:pos="9026" w:leader="dot"/>
            </w:tabs>
            <w:rPr/>
          </w:pPr>
          <w:hyperlink w:anchor="__RefHeading___Toc581202_774463916">
            <w:r>
              <w:rPr>
                <w:webHidden/>
                <w:rStyle w:val="IndexLink"/>
                <w:rtl w:val="true"/>
              </w:rPr>
              <w:t>الدرس</w:t>
            </w:r>
            <w:r>
              <w:rPr>
                <w:rStyle w:val="IndexLink"/>
              </w:rPr>
              <w:t>32</w:t>
            </w:r>
            <w:r>
              <w:rPr>
                <w:rStyle w:val="IndexLink"/>
                <w:rtl w:val="true"/>
              </w:rPr>
              <w:t xml:space="preserve"> - </w:t>
            </w:r>
            <w:r>
              <w:rPr>
                <w:rStyle w:val="IndexLink"/>
                <w:rtl w:val="true"/>
              </w:rPr>
              <w:t xml:space="preserve">کتاب الدیات </w:t>
            </w:r>
            <w:r>
              <w:rPr>
                <w:rStyle w:val="IndexLink"/>
                <w:rtl w:val="true"/>
              </w:rPr>
              <w:t>(</w:t>
            </w:r>
            <w:r>
              <w:rPr>
                <w:rStyle w:val="IndexLink"/>
              </w:rPr>
              <w:t>2</w:t>
            </w:r>
            <w:r>
              <w:rPr>
                <w:rStyle w:val="IndexLink"/>
                <w:rtl w:val="true"/>
              </w:rPr>
              <w:t>)</w:t>
              <w:tab/>
            </w:r>
            <w:r>
              <w:rPr>
                <w:rStyle w:val="IndexLink"/>
              </w:rPr>
              <w:t>506</w:t>
            </w:r>
          </w:hyperlink>
        </w:p>
        <w:p>
          <w:pPr>
            <w:pStyle w:val="Contents4"/>
            <w:tabs>
              <w:tab w:val="clear" w:pos="8176"/>
              <w:tab w:val="right" w:pos="9026" w:leader="dot"/>
            </w:tabs>
            <w:rPr/>
          </w:pPr>
          <w:hyperlink w:anchor="__RefHeading___Toc581204_774463916">
            <w:r>
              <w:rPr>
                <w:webHidden/>
                <w:rStyle w:val="IndexLink"/>
              </w:rPr>
              <w:t>5</w:t>
            </w:r>
            <w:r>
              <w:rPr>
                <w:rStyle w:val="IndexLink"/>
                <w:rtl w:val="true"/>
              </w:rPr>
              <w:t xml:space="preserve">- </w:t>
            </w:r>
            <w:r>
              <w:rPr>
                <w:rStyle w:val="IndexLink"/>
                <w:rtl w:val="true"/>
              </w:rPr>
              <w:t>دیة الأصابع والضرب</w:t>
            </w:r>
            <w:r>
              <w:rPr>
                <w:rStyle w:val="IndexLink"/>
                <w:rtl w:val="true"/>
              </w:rPr>
              <w:tab/>
            </w:r>
            <w:r>
              <w:rPr>
                <w:rStyle w:val="IndexLink"/>
              </w:rPr>
              <w:t>506</w:t>
            </w:r>
          </w:hyperlink>
        </w:p>
        <w:p>
          <w:pPr>
            <w:pStyle w:val="Contents4"/>
            <w:tabs>
              <w:tab w:val="clear" w:pos="8176"/>
              <w:tab w:val="right" w:pos="9026" w:leader="dot"/>
            </w:tabs>
            <w:rPr/>
          </w:pPr>
          <w:hyperlink w:anchor="__RefHeading___Toc581206_774463916">
            <w:r>
              <w:rPr>
                <w:webHidden/>
                <w:rStyle w:val="IndexLink"/>
              </w:rPr>
              <w:t>6</w:t>
            </w:r>
            <w:r>
              <w:rPr>
                <w:rStyle w:val="IndexLink"/>
                <w:rtl w:val="true"/>
              </w:rPr>
              <w:t xml:space="preserve">- </w:t>
            </w:r>
            <w:r>
              <w:rPr>
                <w:rStyle w:val="IndexLink"/>
                <w:rtl w:val="true"/>
              </w:rPr>
              <w:t>دیة الحمل</w:t>
            </w:r>
            <w:r>
              <w:rPr>
                <w:rStyle w:val="IndexLink"/>
                <w:rtl w:val="true"/>
              </w:rPr>
              <w:tab/>
            </w:r>
            <w:r>
              <w:rPr>
                <w:rStyle w:val="IndexLink"/>
              </w:rPr>
              <w:t>506</w:t>
            </w:r>
          </w:hyperlink>
        </w:p>
        <w:p>
          <w:pPr>
            <w:pStyle w:val="Contents4"/>
            <w:tabs>
              <w:tab w:val="clear" w:pos="8176"/>
              <w:tab w:val="right" w:pos="9026" w:leader="dot"/>
            </w:tabs>
            <w:rPr/>
          </w:pPr>
          <w:hyperlink w:anchor="__RefHeading___Toc581208_774463916">
            <w:r>
              <w:rPr>
                <w:webHidden/>
                <w:rStyle w:val="IndexLink"/>
                <w:rtl w:val="true"/>
              </w:rPr>
              <w:t>من أحکام القتل والدیات</w:t>
            </w:r>
            <w:r>
              <w:rPr>
                <w:rStyle w:val="IndexLink"/>
                <w:rtl w:val="true"/>
              </w:rPr>
              <w:tab/>
            </w:r>
            <w:r>
              <w:rPr>
                <w:rStyle w:val="IndexLink"/>
              </w:rPr>
              <w:t>507</w:t>
            </w:r>
          </w:hyperlink>
        </w:p>
        <w:p>
          <w:pPr>
            <w:pStyle w:val="Contents3"/>
            <w:tabs>
              <w:tab w:val="clear" w:pos="8459"/>
              <w:tab w:val="right" w:pos="9026" w:leader="dot"/>
            </w:tabs>
            <w:rPr/>
          </w:pPr>
          <w:hyperlink w:anchor="__RefHeading___Toc581210_774463916">
            <w:r>
              <w:rPr>
                <w:webHidden/>
                <w:rStyle w:val="IndexLink"/>
                <w:rtl w:val="true"/>
              </w:rPr>
              <w:t>الدرس</w:t>
            </w:r>
            <w:r>
              <w:rPr>
                <w:rStyle w:val="IndexLink"/>
              </w:rPr>
              <w:t>33</w:t>
            </w:r>
            <w:r>
              <w:rPr>
                <w:rStyle w:val="IndexLink"/>
                <w:rtl w:val="true"/>
              </w:rPr>
              <w:t xml:space="preserve"> - </w:t>
            </w:r>
            <w:r>
              <w:rPr>
                <w:rStyle w:val="IndexLink"/>
                <w:rtl w:val="true"/>
              </w:rPr>
              <w:t>کتاب الاجتهاد والتقلید</w:t>
            </w:r>
            <w:r>
              <w:rPr>
                <w:rStyle w:val="IndexLink"/>
                <w:rtl w:val="true"/>
              </w:rPr>
              <w:tab/>
            </w:r>
            <w:r>
              <w:rPr>
                <w:rStyle w:val="IndexLink"/>
              </w:rPr>
              <w:t>509</w:t>
            </w:r>
          </w:hyperlink>
        </w:p>
        <w:p>
          <w:pPr>
            <w:pStyle w:val="Contents3"/>
            <w:tabs>
              <w:tab w:val="clear" w:pos="8459"/>
              <w:tab w:val="right" w:pos="9026" w:leader="dot"/>
            </w:tabs>
            <w:rPr/>
          </w:pPr>
          <w:hyperlink w:anchor="__RefHeading___Toc581212_774463916">
            <w:r>
              <w:rPr>
                <w:webHidden/>
                <w:rStyle w:val="IndexLink"/>
                <w:rtl w:val="true"/>
              </w:rPr>
              <w:t>الدرس</w:t>
            </w:r>
            <w:r>
              <w:rPr>
                <w:rStyle w:val="IndexLink"/>
              </w:rPr>
              <w:t>34</w:t>
            </w:r>
            <w:r>
              <w:rPr>
                <w:rStyle w:val="IndexLink"/>
                <w:rtl w:val="true"/>
              </w:rPr>
              <w:t>-</w:t>
            </w:r>
            <w:r>
              <w:rPr>
                <w:rStyle w:val="IndexLink"/>
                <w:rtl w:val="true"/>
              </w:rPr>
              <w:t xml:space="preserve">کتاب الاجتهاد والتقلید </w:t>
            </w:r>
            <w:r>
              <w:rPr>
                <w:rStyle w:val="IndexLink"/>
                <w:rtl w:val="true"/>
              </w:rPr>
              <w:t>(</w:t>
            </w:r>
            <w:r>
              <w:rPr>
                <w:rStyle w:val="IndexLink"/>
              </w:rPr>
              <w:t>2</w:t>
            </w:r>
            <w:r>
              <w:rPr>
                <w:rStyle w:val="IndexLink"/>
                <w:rtl w:val="true"/>
              </w:rPr>
              <w:t>)</w:t>
              <w:tab/>
            </w:r>
            <w:r>
              <w:rPr>
                <w:rStyle w:val="IndexLink"/>
              </w:rPr>
              <w:t>511</w:t>
            </w:r>
          </w:hyperlink>
        </w:p>
        <w:p>
          <w:pPr>
            <w:pStyle w:val="Contents4"/>
            <w:tabs>
              <w:tab w:val="clear" w:pos="8176"/>
              <w:tab w:val="right" w:pos="9026" w:leader="dot"/>
            </w:tabs>
            <w:rPr/>
          </w:pPr>
          <w:hyperlink w:anchor="__RefHeading___Toc581214_774463916">
            <w:r>
              <w:rPr>
                <w:webHidden/>
                <w:rStyle w:val="IndexLink"/>
                <w:rtl w:val="true"/>
              </w:rPr>
              <w:t>شرائط مرجع التقلید</w:t>
            </w:r>
            <w:r>
              <w:rPr>
                <w:rStyle w:val="IndexLink"/>
                <w:rtl w:val="true"/>
              </w:rPr>
              <w:tab/>
            </w:r>
            <w:r>
              <w:rPr>
                <w:rStyle w:val="IndexLink"/>
              </w:rPr>
              <w:t>511</w:t>
            </w:r>
          </w:hyperlink>
        </w:p>
        <w:p>
          <w:pPr>
            <w:pStyle w:val="Contents3"/>
            <w:tabs>
              <w:tab w:val="clear" w:pos="8459"/>
              <w:tab w:val="right" w:pos="9026" w:leader="dot"/>
            </w:tabs>
            <w:rPr/>
          </w:pPr>
          <w:hyperlink w:anchor="__RefHeading___Toc581216_774463916">
            <w:r>
              <w:rPr>
                <w:webHidden/>
                <w:rStyle w:val="IndexLink"/>
                <w:rtl w:val="true"/>
              </w:rPr>
              <w:t>الدرس</w:t>
            </w:r>
            <w:r>
              <w:rPr>
                <w:rStyle w:val="IndexLink"/>
              </w:rPr>
              <w:t>35</w:t>
            </w:r>
            <w:r>
              <w:rPr>
                <w:rStyle w:val="IndexLink"/>
                <w:rtl w:val="true"/>
              </w:rPr>
              <w:t xml:space="preserve"> - </w:t>
            </w:r>
            <w:r>
              <w:rPr>
                <w:rStyle w:val="IndexLink"/>
                <w:rtl w:val="true"/>
              </w:rPr>
              <w:t xml:space="preserve">کتاب الاجتهاد والتقلید </w:t>
            </w:r>
            <w:r>
              <w:rPr>
                <w:rStyle w:val="IndexLink"/>
                <w:rtl w:val="true"/>
              </w:rPr>
              <w:t>(</w:t>
            </w:r>
            <w:r>
              <w:rPr>
                <w:rStyle w:val="IndexLink"/>
              </w:rPr>
              <w:t>3</w:t>
            </w:r>
            <w:r>
              <w:rPr>
                <w:rStyle w:val="IndexLink"/>
                <w:rtl w:val="true"/>
              </w:rPr>
              <w:t>)</w:t>
              <w:tab/>
            </w:r>
            <w:r>
              <w:rPr>
                <w:rStyle w:val="IndexLink"/>
              </w:rPr>
              <w:t>516</w:t>
            </w:r>
          </w:hyperlink>
        </w:p>
        <w:p>
          <w:pPr>
            <w:pStyle w:val="Contents2"/>
            <w:tabs>
              <w:tab w:val="clear" w:pos="8743"/>
              <w:tab w:val="right" w:pos="9026" w:leader="dot"/>
            </w:tabs>
            <w:rPr/>
          </w:pPr>
          <w:hyperlink w:anchor="__RefHeading___Toc581218_774463916">
            <w:r>
              <w:rPr>
                <w:webHidden/>
                <w:rStyle w:val="IndexLink"/>
                <w:rtl w:val="true"/>
              </w:rPr>
              <w:t>فهرس المنابع</w:t>
            </w:r>
            <w:r>
              <w:rPr>
                <w:rStyle w:val="IndexLink"/>
                <w:rtl w:val="true"/>
              </w:rPr>
              <w:tab/>
            </w:r>
            <w:r>
              <w:rPr>
                <w:rStyle w:val="IndexLink"/>
              </w:rPr>
              <w:t>519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021_49117"/>
      <w:bookmarkStart w:id="1" w:name="pg5021_49117"/>
      <w:bookmarkEnd w:id="1"/>
    </w:p>
    <w:p>
      <w:pPr>
        <w:pStyle w:val="Heading2"/>
        <w:numPr>
          <w:ilvl w:val="1"/>
          <w:numId w:val="1"/>
        </w:numPr>
        <w:rPr/>
      </w:pPr>
      <w:bookmarkStart w:id="2" w:name="pg5021_49117"/>
      <w:bookmarkStart w:id="3" w:name="__RefHeading___Toc580266_77446391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نجفی یزدی، سیدمحمد،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دراسات تمهیدیه فی فقه‌الامامیه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سیدمحمد نجفی‌یزدی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العالمی للدراسات و التحقیق،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۵۱۹</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العالمی للدراسات و التحقیق ؛ </w:t>
      </w:r>
      <w:r>
        <w:rPr>
          <w:rFonts w:ascii="IRNazanin" w:hAnsi="IRNazanin" w:eastAsia="IRNazanin"/>
          <w:color w:val="111111"/>
          <w:sz w:val="28"/>
          <w:sz w:val="28"/>
          <w:szCs w:val="28"/>
          <w:lang w:bidi="fa-IR"/>
        </w:rPr>
        <w:t>۶۷</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769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۱۷۰۰۰۰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۵۱۳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۵۱۹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۳۴۰۴۳۷۵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80268_774463916"/>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دراسات تمهیدیه فی فقه‌الامامیه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سیدمحمد نجفی‌یزدی</w:t>
      </w:r>
      <w:bookmarkStart w:id="7" w:name="pg5021_49121"/>
    </w:p>
    <w:p>
      <w:pPr>
        <w:pStyle w:val="Heading2"/>
        <w:numPr>
          <w:ilvl w:val="1"/>
          <w:numId w:val="1"/>
        </w:numPr>
        <w:rPr/>
      </w:pPr>
      <w:bookmarkStart w:id="8" w:name="__RefHeading___Toc580270_774463916"/>
      <w:bookmarkStart w:id="9" w:name="_Toc3"/>
      <w:bookmarkEnd w:id="7"/>
      <w:bookmarkEnd w:id="8"/>
      <w:r>
        <w:rPr>
          <w:rtl w:val="true"/>
        </w:rPr>
        <w:t>کلمة الناشر</w:t>
      </w:r>
      <w:bookmarkEnd w:id="9"/>
    </w:p>
    <w:p>
      <w:pPr>
        <w:pStyle w:val="BookText"/>
        <w:rPr/>
      </w:pPr>
      <w:r>
        <w:rPr>
          <w:rFonts w:ascii="IRNazanin" w:hAnsi="IRNazanin" w:eastAsia="IRNazanin"/>
          <w:color w:val="111111"/>
          <w:sz w:val="28"/>
          <w:sz w:val="28"/>
          <w:szCs w:val="28"/>
          <w:rtl w:val="true"/>
          <w:lang w:bidi="fa-IR"/>
        </w:rPr>
        <w:t>الحمد لله رب العالمین والصلاة والسلام علی سیدنا ونبینا محمد وعلی آله الطیبین الطاهرین المعصومین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w:t>
      </w:r>
    </w:p>
    <w:p>
      <w:pPr>
        <w:pStyle w:val="BookText"/>
        <w:rPr/>
      </w:pPr>
      <w:r>
        <w:rPr>
          <w:rFonts w:ascii="IRNazanin" w:hAnsi="IRNazanin" w:eastAsia="IRNazanin"/>
          <w:color w:val="111111"/>
          <w:sz w:val="28"/>
          <w:sz w:val="28"/>
          <w:szCs w:val="28"/>
          <w:rtl w:val="true"/>
          <w:lang w:bidi="fa-IR"/>
        </w:rPr>
        <w:t>إنّ التطوّر المعرفی الذی یشهده عالمنا الیوم فی مختلف المجالات، بخاصّة بعد ثورة الاتصالات الحدیثة التی هیأت فرصاً فریدة للاطلاع الواسع، ودفعت بعجلة الفکر والثقافة والتعلیم إلی آفاق واسعة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وغدا الإنسان یترقّب فی کلّ یوم تطوّراً جدیداً فی البحوث العلمیة، وفی المناهج التی تنسجم مع هذا التطوّر الهائل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کلّ ذلک بقیت بعض المناهج الدراسیة حبیسة الماضی ومقرراته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أن بزغ فجر الثورة الاسلامیة المبارکة بقیادة الإمام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انبثقت ثورة علمیة وثقافیة کبری، مما حدا برجال العلم والفکر فی الجمهوریة الإسلامیة أن یعملوا علی صیاغة مناهج دراسیة جدیدة لمجمل العلوم الإنسانیة، الإسلامیة بشکل خاص؛ فأحدث هذا الأمر تغییراً جذریاً وأساسیاً فی الکتب الدراسیة فی الحوزات العلمیة والجامعات الأکادیمیة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ظل إرشادات قائد الجمهوریة الإسلامیة الإمام الخامنئی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أخذت المؤسسات العلمیة والثقافیة علی عاتقها تجدید الکتب الدراسیة وتحدیثها علی مختلف الصعد، بخاصة مناهج الحوزة العلمیة، التی هی ثمرة جهود کبار الفقهاء والمفکرین عبر تاریخها المجید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 بادرت جامعة المصطفی صلی الله علیه و آله العالمیة إلی تبنّی المنهج العلمی الحدیث فی نظامها الدراسی، وفی التألیف، والتحقیق وتدوین الکتب الدراسیة لمختلف المراحل</w:t>
      </w:r>
    </w:p>
    <w:p>
      <w:pPr>
        <w:pStyle w:val="BookText"/>
        <w:rPr/>
      </w:pPr>
      <w:r>
        <w:rPr>
          <w:rFonts w:ascii="IRNazanin" w:hAnsi="IRNazanin" w:eastAsia="IRNazanin"/>
          <w:color w:val="111111"/>
          <w:sz w:val="28"/>
          <w:sz w:val="28"/>
          <w:szCs w:val="28"/>
          <w:rtl w:val="true"/>
          <w:lang w:bidi="fa-IR"/>
        </w:rPr>
        <w:t>الدراسیة ولجمیع الفروع العلمیة، ولشتی الموضوعات بما ینسجم مع المتغیّرات الحاصلة فی مجمل دوائر الفکر والمعرفة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فقامت بمخاطبة العلماء والأساتذة، لیساهموا فی تدوین کتب دراسیة علی الاُسس المنهجیة الحدیثة للعلوم الإسلامیة خاصّة، ولسائر العلوم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کعلوم القرآن، والحدیث والفقه، والتفسیر، والاُصول، وعلم الکلام والفلسفة، والسیرة والتأریخ، والأخلاق، والآداب، والاجتماع، والنفس، وغیرها، حملت هذه المناهج طابعاً أکادیمیاً مع حفاظها علی الجانب العلمی الأصیل المتّبع فی الحوزات العلمیة فی مدرسة أهل‌البیت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أجل نشر هذه المعارف والعلوم، بادرت جامعة المصطفی العالمیة صلی الله علیه و آله إلی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المصطفی صلی الله علیه و آله العالمی للترجمة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لتحقیق، وترجمة، ونشر کلِّ ما یصدر عن هذه الجامعة الکبیرة، مما ألّفه أو حقّقه العلماء والأساتذة فی مختلف الاختصاصات وبمختلف اللغات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والکتاب الذی بین یدیک عزیزی القارئ، دراسات تمهیدیة فی فقه الإمامیة هو مفردة من مفردات هذه المنظومة الدراسیة الواسعة، قام بتألیفه الأستاذ الفاضل السّید محمّد النجفی الیزدی، و نُودّ أن نُنوّه أنّ هذا الکتاب هو خلاصة لکتاب دروس تمهیدیة فی الفقه الإستدلالی، للأستاذ الفاضل الشیخ باقر الإیروانی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ویحرص مرکز المصطفی صلی الله علیه و آله العالمی علی تسجیل تقدیره لمؤلفه الجلیل علی مابذله من جهد وعنایة، کما یشکر کلَّ من ساهم بجهوده لإعداد هذا الکتاب وتقدیمه للقراء الکرام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الختام نتوجّه بالرجاء إلی العلماء والأساتذة وأصحاب الفضیلة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للمساهمة فی ترشید هذا المشروع الإسلامی بما لدیهم من آراء بنّاءة وخبرات علمیة ومنهجیة، وأن یبعثوا إلینا بما یستدرکون علیه من خطأ أو نقص یلازم الإنسان عادة، لتلافیهما فی الطبعات اللاحقة، نسأله تبارک وتعالی التوفیق والسداد، والله من وراء القصد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المصطفی صلی الله علیه و آله العالمی للترجمة والنشر</w:t>
      </w:r>
      <w:bookmarkStart w:id="10" w:name="pg5021_49123"/>
    </w:p>
    <w:p>
      <w:pPr>
        <w:pStyle w:val="Heading2"/>
        <w:numPr>
          <w:ilvl w:val="1"/>
          <w:numId w:val="1"/>
        </w:numPr>
        <w:rPr/>
      </w:pPr>
      <w:bookmarkStart w:id="11" w:name="__RefHeading___Toc580272_774463916"/>
      <w:bookmarkStart w:id="12" w:name="_Toc4"/>
      <w:bookmarkEnd w:id="10"/>
      <w:bookmarkEnd w:id="11"/>
      <w:r>
        <w:rPr>
          <w:rtl w:val="true"/>
        </w:rPr>
        <w:t>کلمة مرکز المصطفی صلی الله علیه و آله العالمی للدراسات والتحقیق</w:t>
      </w:r>
      <w:bookmarkEnd w:id="12"/>
    </w:p>
    <w:p>
      <w:pPr>
        <w:pStyle w:val="BookText"/>
        <w:rPr/>
      </w:pPr>
      <w:r>
        <w:rPr>
          <w:rFonts w:ascii="IRNazanin" w:hAnsi="IRNazanin" w:eastAsia="IRNazanin"/>
          <w:color w:val="111111"/>
          <w:sz w:val="28"/>
          <w:sz w:val="28"/>
          <w:szCs w:val="28"/>
          <w:rtl w:val="true"/>
          <w:lang w:bidi="fa-IR"/>
        </w:rPr>
        <w:t xml:space="preserve">وضعت الحوزات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تاریخها المجید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مهمّة التربیة والتعلیم علی رأس مهامهّا و جزءاً من رسالاتها الأساسیة، الأمر الذی ضمن إیصال معارف الإسلام السامیة وعلوم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إلینا خلال الأجیال المتعاقبة بأمانة علمیة صارمة، وفی هذا الإطار جاء اهتمام الحوزات العلمیّة بالمناهج الدراسیة التعلیمیة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لا شکّ فیه، أنّ التطوّر التکنولوجی الذی شهده عصرنا الحالی وثورة الاتصالات الکبری أفرزتا تحوّلاً هائلاً فی حقول العلم والمعرفة، حتی أصبح بمقدور البشریة فی عالم الیوم أن تحصل علی المعلومات والمعارف اللازمة فی جمیع الفروع بسرعة قیاسیة وبسهولة ویسر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حلّت الأسالیب التعلیمیة الحدیثة والمتطورة محلّ الأسالیب القدیمة والموروثة کمّا ونوعاً ، وسارت هذه التطّورات بسرعة نحو تحقیق الأهداف التعلیمیة المنشودة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وبرزت جامعة المصطفی صلی الله علیه و آله العالمیة فی هذا المجال کمؤسسة إسلامیة تعلیمیة حوزویة وأکادیمیة تأخذ علی عاتقها مسؤولیة إعداد الکوادر العلمیة والتعلیمیة غیر الإیرانیة فی مجال العلوم الإسلامیة، حیث تعکف أعداد غفیرة من الطلبة الأجانب الذین ینتمون إلی جنسیات مختلفة علی مواصلة الدراسة فی مختلف المستویات التعلیمیة وضمن العدید من فروع العلوم الإسلامیة والعلوم الإنسانیة التابعة لهذه الجامعة</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وبطبیعة الحال، إنّ العلوم والمعارف الإسلامیة التی یتوافر علیها الطلبة الأجانب تتمایز بتمایز البلدان والأصقاع التی ینتمون إلیها، مما یدفع جامعة المصطفی صلی الله علیه و آله العالمیة إلی تدوین</w:t>
      </w:r>
    </w:p>
    <w:p>
      <w:pPr>
        <w:pStyle w:val="BookText"/>
        <w:rPr/>
      </w:pPr>
      <w:r>
        <w:rPr>
          <w:rFonts w:ascii="IRNazanin" w:hAnsi="IRNazanin" w:eastAsia="IRNazanin"/>
          <w:color w:val="111111"/>
          <w:sz w:val="28"/>
          <w:sz w:val="28"/>
          <w:szCs w:val="28"/>
          <w:rtl w:val="true"/>
          <w:lang w:bidi="fa-IR"/>
        </w:rPr>
        <w:t>مناهج حدیثة وکتب دراسیة تستجیب لطبیعة التمایز الذی یفرضه تنوّع البلدان وتنوع حاجات مواطینها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لطالما أکّد أساتذة الحوزة ومفکّریها ولا سیّما الإمام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وسماحة قائد الثورة الإسلامیة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ضرورة أن یستند التعلیم الحوزوی إلی الأسالیب الحدیثة المستلهمة من مناهج الاستنباط فی الفقه الجواهری، وأن یتمّ سوقه نحو مسارات التألّق والازدهار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هذا السیاق، نشیر إلی مقطع من الکلمة المهمّة التی ألقاها سماحة قائد الثورة السید الخامنئی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عام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 مخاطباً فیها رجال الدین الأفاضل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بالطبع، إنّ حرکة العلم فی العقدین القادمین ستشهد تعجیلاً متسارعاً فی حقول العلم والتکنولوجیا مقارنة بما مرّ علینا فی العقدین المنصرمین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یتعلّق بالمناهج الدراسیة یجب علینا توضیح العبارات والأفکار التی تتضمّنها تلک المناهج إلی الدرجة التی تنزاح معها کلّ العقبات التی تقف فی طریق من یرید فهم تلک الأفکار، طبعاً، دون أن نُهبط بمستوی الفکرة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الحقیقة، لقد استطاعت الثورة الإسلامیة المبارکة فی إیران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ولله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تسند المحافل العلمیة والجامعات بطاقات وإمکانات هائلة لتفعیلها و تطویرها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المنطلق، واستلهاماً من نمیر علوم أهل‌البیت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وبفضل الأجواء التی أتاحتها هذه الثورة العظیمة لإحداث طفرة فی النظام التعلیمی، أناطت جامعة‌المصطفی صلی الله علیه و آله العالمیة مهمّة ترجمة وطباعة ونشر المناهج الدراسیة التی تنسجم مع النظام المذکور إلی مرکز المصطفی صلی الله علیه و آله العالمی، وذلک بالاعتماد علی اللّجان العلمیة والتربویة الکفوءة، وتنظیم هذه المناهج بالترکیز علی الأهمیة الإقلیمیة والدولیة الخاصّة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وللحقیقة فإنّ جامعة المصطفی صلی الله علیه و آله العالمیة تملک خبرة عالیة فی مجال تدوین المناهج الدراسیة والبحوث العلمیة، حیث حقّقت تحوّلاً جدیداً فی میدان انتاج المعرفة، وذلک من خلال تجربتها فی تدوین المناهج الدراسیة فی مختلف العلوم الإسلامیة والإنسانیة</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وکانت حصیلة الإنجازات العلمیة لهذه الجامعة فی مجال تدوین المناهج؛ إصدار أکثر من مئتی منهجٍ دراسی لداخل البلاد وخارجها، وإعداد أکثر من مئتی منهجٍ وکرّاسةٍ علمیّة، والتی نأمل بفضل العنایة الإلهیة وفی ظلّ رعایة الإمام المهدی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قد</w:t>
      </w:r>
    </w:p>
    <w:p>
      <w:pPr>
        <w:pStyle w:val="BookText"/>
        <w:rPr/>
      </w:pPr>
      <w:r>
        <w:rPr>
          <w:rFonts w:ascii="IRNazanin" w:hAnsi="IRNazanin" w:eastAsia="IRNazanin"/>
          <w:color w:val="111111"/>
          <w:sz w:val="28"/>
          <w:sz w:val="28"/>
          <w:szCs w:val="28"/>
          <w:rtl w:val="true"/>
          <w:lang w:bidi="fa-IR"/>
        </w:rPr>
        <w:t>ساهمت بقسط ولو غیر قلیل فی نشر الثقافة والمعارف الإسلامیة المحمدیة الأصیلة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وبدوره یشدّ مرکز المصطفی صلی الله علیه و آله العالمی علی أیدی الروّاد الأوائل ویثمّن جهودهم المخلصة، کما یعلن عن شکره للتعاون البنّاء للّجان العلمیة التابعة لجامعة المصطفی صلی الله علیه و آله العالمیة علی مواصلة هذه الانطلاقة المبارکة فی تلبیة المتطلبات التربویة والتعلیمیة من خلال توفیر المناهج الدراسیة طبقاً للمعاییر الجدیدة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والکتاب الذی بین یدی القارئ الکریم الذی یحمل عنوان دراساتٌ تمهیدیه فی فقه الإمامیه اعدَّخصّیصاً لطلبة مرحلة الماجستیر فرع الفقه والأصول، هو ثمرة جهود الأستاذ الفاضل السید محمد النجفی الیزدی، ویحرص مرکز المصطفی صلی الله علیه و آله العالمی علی تسجیل تقدیره و شکره لمؤلفه الجلیل علی مابذله من جهد وعنایة، کما یشکر کلّ من ساهم بجهوده لإعداد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یفوتنا أن نتوجّه بالرجاء إلی العلماء والأساتذة وأصحاب الفضیلة أن یبعثوا إلینا بإرشاداتهم، وبما یستدرکونه علیه منه خطأ أو اشتباه؛ لتلافیه فی الطبعات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نسأله تعالی التوفیق والسداد، والله من وراء القصد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المصطفی صلی الله علیه و آله العالمی للدراسات والتحقیق</w:t>
      </w:r>
      <w:bookmarkStart w:id="13" w:name="pg5021_49127"/>
    </w:p>
    <w:p>
      <w:pPr>
        <w:pStyle w:val="Heading2"/>
        <w:numPr>
          <w:ilvl w:val="1"/>
          <w:numId w:val="1"/>
        </w:numPr>
        <w:rPr/>
      </w:pPr>
      <w:bookmarkStart w:id="14" w:name="__RefHeading___Toc580274_774463916"/>
      <w:bookmarkStart w:id="15" w:name="_Toc5"/>
      <w:bookmarkEnd w:id="13"/>
      <w:bookmarkEnd w:id="14"/>
      <w:r>
        <w:rPr>
          <w:rtl w:val="true"/>
        </w:rPr>
        <w:t>الفهرس</w:t>
      </w:r>
      <w:bookmarkEnd w:id="15"/>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مزایا هذا الکتاب بالنسبة إلی الدروس التمهیدیة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العبادات</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الطهارة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الإسلام دین الطهارة والنظافة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الطهارة والنظافة فی القرآن والأحادیث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الطهارات الواجبة من الحدث والخبث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الطهارات المستحبة من الحدث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الطهارات المستحبّة من الخبث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الطهارة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أقسام المیاه وأحکامها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أحکام التخلّی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آداب التخلّی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الطهارة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الوضوء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کیفیة الوضوء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الطهارة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شرائط الوضوء </w:t>
      </w:r>
      <w:r>
        <w:rPr>
          <w:rFonts w:eastAsia="IRNazanin" w:cs="IRNazanin"/>
          <w:color w:val="111111"/>
          <w:sz w:val="28"/>
          <w:szCs w:val="28"/>
          <w:lang w:bidi="fa-IR"/>
        </w:rPr>
        <w:t>48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نواقض الوضوء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أحکام خاصّة بالوضوء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آداب الوضوء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الطهارة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الأغسال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غسل الجنابة وبعض أحکامه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أحکام غسل الجنابة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المحرّمات علی الجنب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الطهارة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الحیض وبعض أحکامه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الاستحاضة وبعض أحکامها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النفاس وبعض أحکامه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الطهارة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الموت ومسّ المیت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التحنیط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التکفین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الصلاة علی المیت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الدفن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مسّ المیت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الطهارة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کیفیة التیمّم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مسوّغات التیمّم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وضوء الجبیرة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الطهارة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النجاسات عشر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البول والغائط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المنیّ </w:t>
      </w:r>
      <w:r>
        <w:rPr>
          <w:rFonts w:eastAsia="Amiri" w:cs="Amiri" w:ascii="Amiri" w:hAnsi="Amiri"/>
          <w:color w:val="111111"/>
          <w:sz w:val="28"/>
          <w:szCs w:val="28"/>
          <w:lang w:bidi="ar-SA"/>
        </w:rPr>
        <w:t>67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المیتة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الدم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الطهارة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الخمر والفقاع وکلّ مسکر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الکافر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الکلب والخنزیر البرّیان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الطهارة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المطهّرات </w:t>
      </w:r>
      <w:r>
        <w:rPr>
          <w:rFonts w:eastAsia="Amiri" w:cs="Amiri" w:ascii="Amiri" w:hAnsi="Amiri"/>
          <w:color w:val="111111"/>
          <w:sz w:val="28"/>
          <w:szCs w:val="28"/>
          <w:lang w:bidi="ar-SA"/>
        </w:rPr>
        <w:t>72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الماء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الأرض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الشمس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الطهارة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الاستحالة </w:t>
      </w:r>
      <w:r>
        <w:rPr>
          <w:rFonts w:eastAsia="Amiri" w:cs="Amiri" w:ascii="Amiri" w:hAnsi="Amiri"/>
          <w:color w:val="111111"/>
          <w:sz w:val="28"/>
          <w:szCs w:val="28"/>
          <w:lang w:bidi="ar-SA"/>
        </w:rPr>
        <w:t>75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الانقلاب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الانتقال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الإسلام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الطهارة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التبعیة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زوال عین النجاسة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خروج الدم من الذبیحة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غیبة المسلم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الصلاة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الصلاة الواجبة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الصلاة الیومیة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الصلاة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الصلاة الواجبة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شرائط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أوقات الصلاة الیومیة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الصلاة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الصلاة الواجبة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الصلاة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فی مقدمات الصلاة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القبلة </w:t>
      </w:r>
      <w:r>
        <w:rPr>
          <w:rFonts w:eastAsia="Amiri" w:cs="Amiri" w:ascii="Amiri" w:hAnsi="Amiri"/>
          <w:color w:val="111111"/>
          <w:sz w:val="28"/>
          <w:szCs w:val="28"/>
          <w:lang w:bidi="ar-SA"/>
        </w:rPr>
        <w:t>86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الطهارة </w:t>
      </w:r>
      <w:r>
        <w:rPr>
          <w:rFonts w:eastAsia="Amiri" w:cs="Amiri" w:ascii="Amiri" w:hAnsi="Amiri"/>
          <w:color w:val="111111"/>
          <w:sz w:val="28"/>
          <w:szCs w:val="28"/>
          <w:lang w:bidi="ar-SA"/>
        </w:rPr>
        <w:t>86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ستر العورة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الصلاة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فی مقدمات الصلاة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مکان المصلّی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الأذان والإقامة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الصلاة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أجزاء الصلاة </w:t>
      </w:r>
      <w:r>
        <w:rPr>
          <w:rFonts w:eastAsia="Amiri" w:cs="Amiri" w:ascii="Amiri" w:hAnsi="Amiri"/>
          <w:color w:val="111111"/>
          <w:sz w:val="28"/>
          <w:szCs w:val="28"/>
          <w:lang w:bidi="ar-SA"/>
        </w:rPr>
        <w:t>91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النیّة </w:t>
      </w:r>
      <w:r>
        <w:rPr>
          <w:rFonts w:eastAsia="Amiri" w:cs="Amiri" w:ascii="Amiri" w:hAnsi="Amiri"/>
          <w:color w:val="111111"/>
          <w:sz w:val="28"/>
          <w:szCs w:val="28"/>
          <w:lang w:bidi="ar-SA"/>
        </w:rPr>
        <w:t>91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تکبیرة الإحرام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القیام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القراءة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الصلاة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أجزاء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تابع القراءة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مستحبّات القرائة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الصلاة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أجزاء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الرکوع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مستحبات الرکوع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الصلاة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أجزاء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السجود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واجبات السجود </w:t>
      </w:r>
      <w:r>
        <w:rPr>
          <w:rFonts w:eastAsia="IRNazanin" w:cs="IRNazanin"/>
          <w:color w:val="111111"/>
          <w:sz w:val="28"/>
          <w:szCs w:val="28"/>
          <w:lang w:bidi="fa-IR"/>
        </w:rPr>
        <w:t>99</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الصلاة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أجزاء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سنن السجود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التشهد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الصلاة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أجزاء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کیفیة التشهّد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الصلاة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أجزاء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فضل الصلاة علی النبیّ وآله صلی الله علیه و آله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التسلیم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سنن التشهد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الذکر فی الرکعة الثالثة والرابعة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الصلاة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مندوبات الصلاة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الصلاة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أحکام الشکوک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الصلاة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مبطلات الصلاة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مکروهات الصلاة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الصلاة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صلاة المسافر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شرائط القصر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الصلاة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صلاة المسافر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قواطع السفر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الصلاة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صلاة الجماعة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الصلاة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صلاة الجماعة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الجماعة فی النوافل بدعة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الصلاة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صلاة الجماعة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یشترط فی الجماعة أمور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یشترط فی إمام الجماعة أمور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الصلاة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صلاة الجماعة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والجمعة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مستحبات الجماعة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صلاة الجمعة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الصوم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مفطّرات الصوم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الصوم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شرائط صحّة الصوم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الصوم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أحکام عامّة للصوم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الاعتکاف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حقیقة الاعتکاف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حقیقة الزکاة وأهمیتها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الأشیاء التی تجب فیها الزکاة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شرائط عامّة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شرائط الوجوب فی الأنعام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شرائط الوجوب فی النقدین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المستحقّون للزکاة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أوصاف المستحقّین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زکاة الفطرة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شرائط وجوبها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لو وقت الوجوب بدایة ونهایة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المقدار الواجب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الخمس فی مذهب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ما یجب فیه الخمس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ما یجب فیه الخمس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قسمة الخمس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أحکام الحجّ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أحکام وجوبه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شرائط وجوب حجّة الإسلام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تحصیل الاستطاعة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الصورة الإجمالیة للحجّ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کیفیة حجّ التمتّع وبعض أحکامه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المواقیت </w:t>
      </w:r>
      <w:r>
        <w:rPr>
          <w:rFonts w:eastAsia="IRNazanin" w:cs="IRNazanin"/>
          <w:color w:val="111111"/>
          <w:sz w:val="28"/>
          <w:szCs w:val="28"/>
          <w:lang w:bidi="fa-IR"/>
        </w:rPr>
        <w:t>171</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مواقیت الإحرام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أعمال عمرة التمتّع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تفصیل أفعال العمرة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محرمات الإحرام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تابع محرّمات الإحرام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أعمال العمرة التمتّع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أعمال عمرة التمتّع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السعی </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التقصیر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أعمال الحجّ </w:t>
      </w:r>
      <w:r>
        <w:rPr>
          <w:rFonts w:eastAsia="Amiri" w:cs="Amiri" w:ascii="Amiri" w:hAnsi="Amiri"/>
          <w:color w:val="111111"/>
          <w:sz w:val="28"/>
          <w:szCs w:val="28"/>
          <w:lang w:bidi="ar-SA"/>
        </w:rPr>
        <w:t>185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الإحرام </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الوقوف فی عرفات </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الوقوف فی المزدلفة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أعمال الحج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رمی جمرة العقبة فی منی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شرائط الرمی </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الذبح أو النحر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أعمال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الحلق والتقصیر </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العود إلی مکّة المکرّمة </w:t>
      </w:r>
      <w:r>
        <w:rPr>
          <w:rFonts w:eastAsia="Amiri" w:cs="Amiri" w:ascii="Amiri" w:hAnsi="Amiri"/>
          <w:color w:val="111111"/>
          <w:sz w:val="28"/>
          <w:szCs w:val="28"/>
          <w:lang w:bidi="ar-SA"/>
        </w:rPr>
        <w:t>194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المبیت بمنی </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رمی الجمار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الجهاد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أهمیّة الجهاد وأحکامه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الأمر بالمعروف والنهی عن المنکر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شرائط الأمر بالمعروف والنهی عن المنکر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الأمر بالمعروف والنهی عن المنکر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شرائط الأمر بالمعروف والنهی عن المنکر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العقود</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البیع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شروط عقد البیع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الدرس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المعاطاة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شروط المتعاقدین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شروط المتعاقدین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ولایة الأب والجدّ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شروط العوضین فی البیع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شروط العوضین فی البیع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الاحتکار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الخیارات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حقیقة الخیارات وأقسامها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خیار المجلس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خیار الحیوان </w:t>
      </w:r>
      <w:r>
        <w:rPr>
          <w:rFonts w:eastAsia="IRNazanin" w:cs="IRNazanin"/>
          <w:color w:val="111111"/>
          <w:sz w:val="28"/>
          <w:szCs w:val="28"/>
          <w:lang w:bidi="fa-IR"/>
        </w:rPr>
        <w:t>228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خیار الشرط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الخیارات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خیار الغبن </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خیار التأخیر </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خیار الرّویة </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خیار العیب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الخیارات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خیار تخلّف الشرط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الرّبا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الصرف والسَلَم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بیع الصرف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بیع السلف أوالسلّم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شروط المتبایعین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القبض والتسلیم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النقد والنسیئة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الإجارة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حقیقة الإجارة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شرائط العوضین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الإجارة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من أحکام الإجارة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المزارعة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حقیقة المزارعة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المساقاة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حقیقة المساقاة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من أحکام المساقات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الشرکة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حقیقة الشرکة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أنواع الشرکة الفاسدة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المضاربة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حقیقة المضاربة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المضاربة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من أحکام المضاربة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الودیعة </w:t>
      </w:r>
      <w:r>
        <w:rPr>
          <w:rFonts w:eastAsia="IRNazanin" w:cs="IRNazanin"/>
          <w:color w:val="111111"/>
          <w:sz w:val="28"/>
          <w:szCs w:val="28"/>
          <w:lang w:bidi="fa-IR"/>
        </w:rPr>
        <w:t>262</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حقیقة الودیعة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العاریة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حقیقة العاریة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الجعالة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حقیقة الجعالة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الضمان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صور الضمان وحقیقته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من أحکام الضمان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الحوالة والکفالة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حقیقة الحوالة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من أحکام الحوالة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حقیقة الکفالة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الصلح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حقیقة الصلح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الصلح جائز بین المسلمین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الوکالة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حقیقة الوکالة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من أحکام الوکالة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الرهن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حقیقة الرهن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من أحکام الرهن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الهبة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حقیقة الهبة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القرض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حقیقة القرض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الربا فی القرض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من أحکام القرض </w:t>
      </w:r>
      <w:r>
        <w:rPr>
          <w:rFonts w:eastAsia="IRNazanin" w:cs="IRNazanin"/>
          <w:color w:val="111111"/>
          <w:sz w:val="28"/>
          <w:szCs w:val="28"/>
          <w:lang w:bidi="fa-IR"/>
        </w:rPr>
        <w:t>291</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النکاح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حقیقة النکاح وبعض أحکامه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أولیاء العقد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النکاح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ولایة الأبوین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أحکام الولایة علی البنت البالغة والصغیرة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النکاح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النظر والستر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أحکام النظر والستر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النکاح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النظر والستر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النکاح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النظر والستر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النظر إلی المماثل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النکاح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 xml:space="preserve">من یَحرمُ العقد علیهنّ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الرضاع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أسباب التحریم بالرضاع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المحرمات بالرضاع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الرضاع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شرائط الرضاع المحرّم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الرضاع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تحدید کمیّة الرضاع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أسباب تحریم النکاح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الزواج فی العدة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استیفاء العدد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أسباب تحریم النکاح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الکفر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التزویج فی الإحرام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اللعان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المتعة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حقیقة الزواج الموقت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المتعة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من أحکام الزواج الموقّت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الإیقاعات</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الطلاق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حقیقة الطلاق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 xml:space="preserve">شرائط صحّة الطلاق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الطلاق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 xml:space="preserve">تابع شرائط صحّة الطلاق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 xml:space="preserve">صیغة الطلاق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أقسام الطلاق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العدّة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حقیقة العدّة و أحکامها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العدة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تابع أحکام العدّة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الخلع والمباراة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حقیقة الخلع والمباراة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الظهار والإیلاء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حقیقة الظهار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حقیقة الإیلاء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الدرس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اللِّعان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 xml:space="preserve">حقیقة اللّعان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الیمین </w:t>
      </w:r>
      <w:r>
        <w:rPr>
          <w:rFonts w:eastAsia="IRNazanin" w:cs="IRNazanin"/>
          <w:color w:val="111111"/>
          <w:sz w:val="28"/>
          <w:szCs w:val="28"/>
          <w:lang w:bidi="fa-IR"/>
        </w:rPr>
        <w:t>362</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حقیقة الیمین وأحکامه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النذر والعهد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حقیقة النذر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حقیقة العهد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الشفعة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حقیقة الشفعة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الوصیة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حقیقة الوصیة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الوصیة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من أحکام الوصی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من أحکام الوصیة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الوصیة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تابع أحکام الوصیة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الوقف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حقیقة الوقف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الوقف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من أحکام الوقف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أحکام الحبس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حقیقة الحبس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الصدقة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حقیقة الصدقة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الأحکام</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القضاء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القضاء فی الشریعة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القضاء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شروط القاضی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القضاء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کیفیة القضاء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شرائط سماع الدعوی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طرق الإثبات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القضاء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أحکام عامة فی القضاء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الشهادات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شرائط الشاهد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الشهادات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أحکام عامة فی باب الشهادات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الشهادات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والإقرار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اختلاف الحقوق فی الإثبات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حقیقة الإقرار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اللقطة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حقیقة اللقطة وأقسامها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الأطعمة والأشربة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أفراد ما یحرم تناوله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الأطعمة والأشربة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أحکام الطیور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الصید والذباحة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وسائل تحقق التذکیة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الصید والذباحة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النحر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الاصطیاد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الصید والذباحة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الأنفال والمشترکات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حقیقة الأنفال وملکیتها </w:t>
      </w:r>
      <w:r>
        <w:rPr>
          <w:rFonts w:eastAsia="IRNazanin" w:cs="IRNazanin"/>
          <w:color w:val="111111"/>
          <w:sz w:val="28"/>
          <w:szCs w:val="28"/>
          <w:lang w:bidi="fa-IR"/>
        </w:rPr>
        <w:t>440</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الأنفال والمشترکات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المشترکات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أحکام المشترکات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الإرث </w:t>
      </w:r>
      <w:r>
        <w:rPr>
          <w:rFonts w:eastAsia="IRNazanin" w:cs="IRNazanin"/>
          <w:color w:val="111111"/>
          <w:sz w:val="28"/>
          <w:szCs w:val="28"/>
          <w:lang w:bidi="fa-IR"/>
        </w:rPr>
        <w:t>446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یوجب الإرث </w:t>
      </w:r>
      <w:r>
        <w:rPr>
          <w:rFonts w:eastAsia="IRNazanin" w:cs="IRNazanin"/>
          <w:color w:val="111111"/>
          <w:sz w:val="28"/>
          <w:szCs w:val="28"/>
          <w:lang w:bidi="fa-IR"/>
        </w:rPr>
        <w:t>446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الإرث تارة یکون بالفرض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الإرث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الإرث بالفرض وبالقرابة </w:t>
      </w:r>
      <w:r>
        <w:rPr>
          <w:rFonts w:eastAsia="Amiri" w:cs="Amiri" w:ascii="Amiri" w:hAnsi="Amiri"/>
          <w:color w:val="111111"/>
          <w:sz w:val="28"/>
          <w:szCs w:val="28"/>
          <w:lang w:bidi="ar-SA"/>
        </w:rPr>
        <w:t>450</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الإرث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الحَجْب </w:t>
      </w:r>
      <w:r>
        <w:rPr>
          <w:rFonts w:eastAsia="Amiri" w:cs="Amiri" w:ascii="Amiri" w:hAnsi="Amiri"/>
          <w:color w:val="111111"/>
          <w:sz w:val="28"/>
          <w:szCs w:val="28"/>
          <w:lang w:bidi="ar-SA"/>
        </w:rPr>
        <w:t>452</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الإرث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العول والتعصیب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الإرث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تفاصیل إرث الطبقات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إرث الطبقة الاولی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الإرث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إرث الطبقة الثانیة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الإرث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Amiri" w:hAnsi="Amiri" w:eastAsia="Amiri" w:cs="Amiri"/>
          <w:color w:val="111111"/>
          <w:sz w:val="28"/>
          <w:sz w:val="28"/>
          <w:szCs w:val="28"/>
          <w:rtl w:val="true"/>
          <w:lang w:bidi="ar-SA"/>
        </w:rPr>
        <w:t xml:space="preserve">إرث الطبقة الثالثة </w:t>
      </w:r>
      <w:r>
        <w:rPr>
          <w:rFonts w:eastAsia="Amiri" w:cs="Amiri" w:ascii="Amiri" w:hAnsi="Amiri"/>
          <w:color w:val="111111"/>
          <w:sz w:val="28"/>
          <w:szCs w:val="28"/>
          <w:lang w:bidi="ar-SA"/>
        </w:rPr>
        <w:t>466</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الإرث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میراث الزوج والزوجة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الحدود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تعریف الحد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موجبات الحد </w:t>
      </w:r>
      <w:r>
        <w:rPr>
          <w:rFonts w:eastAsia="IRNazanin" w:cs="IRNazanin"/>
          <w:color w:val="111111"/>
          <w:sz w:val="28"/>
          <w:szCs w:val="28"/>
          <w:lang w:bidi="fa-IR"/>
        </w:rPr>
        <w:t>471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الزنا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الحدود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الإحصان </w:t>
      </w:r>
      <w:r>
        <w:rPr>
          <w:rFonts w:eastAsia="IRNazanin" w:cs="IRNazanin"/>
          <w:color w:val="111111"/>
          <w:sz w:val="28"/>
          <w:szCs w:val="28"/>
          <w:lang w:bidi="fa-IR"/>
        </w:rPr>
        <w:t>475</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شرائط ثبوت حدّ الزنا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وسائل إثبات الزنا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الحدود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اللواط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الحدود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القذف </w:t>
      </w:r>
      <w:r>
        <w:rPr>
          <w:rFonts w:eastAsia="IRNazanin" w:cs="IRNazanin"/>
          <w:color w:val="111111"/>
          <w:sz w:val="28"/>
          <w:szCs w:val="28"/>
          <w:lang w:bidi="fa-IR"/>
        </w:rPr>
        <w:t>482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سابّ النبی صلی الله علیه و آله </w:t>
      </w:r>
      <w:r>
        <w:rPr>
          <w:rFonts w:eastAsia="IRNazanin" w:cs="IRNazanin"/>
          <w:color w:val="111111"/>
          <w:sz w:val="28"/>
          <w:szCs w:val="28"/>
          <w:lang w:bidi="fa-IR"/>
        </w:rPr>
        <w:t>484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شرب الخمر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الحدود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السرقة </w:t>
      </w:r>
      <w:r>
        <w:rPr>
          <w:rFonts w:eastAsia="Amiri" w:cs="Amiri" w:ascii="Amiri" w:hAnsi="Amiri"/>
          <w:color w:val="111111"/>
          <w:sz w:val="28"/>
          <w:szCs w:val="28"/>
          <w:lang w:bidi="ar-SA"/>
        </w:rPr>
        <w:t>486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المحاربة </w:t>
      </w:r>
      <w:r>
        <w:rPr>
          <w:rFonts w:eastAsia="Amiri" w:cs="Amiri" w:ascii="Amiri" w:hAnsi="Amiri"/>
          <w:color w:val="111111"/>
          <w:sz w:val="28"/>
          <w:szCs w:val="28"/>
          <w:lang w:bidi="ar-SA"/>
        </w:rPr>
        <w:t>488</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القصاص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حقیقة القصاص وأقسامه </w:t>
      </w:r>
      <w:r>
        <w:rPr>
          <w:rFonts w:eastAsia="IRNazanin" w:cs="IRNazanin"/>
          <w:color w:val="111111"/>
          <w:sz w:val="28"/>
          <w:szCs w:val="28"/>
          <w:lang w:bidi="fa-IR"/>
        </w:rPr>
        <w:t>490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القصاص فی النفس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القصاص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من أحکام قصاص النفس </w:t>
      </w:r>
      <w:r>
        <w:rPr>
          <w:rFonts w:eastAsia="IRNazanin" w:cs="IRNazanin"/>
          <w:color w:val="111111"/>
          <w:sz w:val="28"/>
          <w:szCs w:val="28"/>
          <w:lang w:bidi="fa-IR"/>
        </w:rPr>
        <w:t>494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القصاص فی ما دون النفس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حقیقة الدیة وأقسامها </w:t>
      </w:r>
      <w:r>
        <w:rPr>
          <w:rFonts w:eastAsia="IRNazanin" w:cs="IRNazanin"/>
          <w:color w:val="111111"/>
          <w:sz w:val="28"/>
          <w:szCs w:val="28"/>
          <w:lang w:bidi="fa-IR"/>
        </w:rPr>
        <w:t>497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دیة القتل عمداً </w:t>
      </w:r>
      <w:r>
        <w:rPr>
          <w:rFonts w:eastAsia="IRNazanin" w:cs="IRNazanin"/>
          <w:color w:val="111111"/>
          <w:sz w:val="28"/>
          <w:szCs w:val="28"/>
          <w:lang w:bidi="fa-IR"/>
        </w:rPr>
        <w:t>497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دیة القتل الشبیه بالعمد </w:t>
      </w:r>
      <w:r>
        <w:rPr>
          <w:rFonts w:eastAsia="IRNazanin" w:cs="IRNazanin"/>
          <w:color w:val="111111"/>
          <w:sz w:val="28"/>
          <w:szCs w:val="28"/>
          <w:lang w:bidi="fa-IR"/>
        </w:rPr>
        <w:t>498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دیة القتل خطأ </w:t>
      </w:r>
      <w:r>
        <w:rPr>
          <w:rFonts w:eastAsia="IRNazanin" w:cs="IRNazanin"/>
          <w:color w:val="111111"/>
          <w:sz w:val="28"/>
          <w:szCs w:val="28"/>
          <w:lang w:bidi="fa-IR"/>
        </w:rPr>
        <w:t>499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دیة الجوارح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دیة الأصابع والضرب </w:t>
      </w:r>
      <w:r>
        <w:rPr>
          <w:rFonts w:eastAsia="IRNazanin" w:cs="IRNazanin"/>
          <w:color w:val="111111"/>
          <w:sz w:val="28"/>
          <w:szCs w:val="28"/>
          <w:lang w:bidi="fa-IR"/>
        </w:rPr>
        <w:t>500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دیة الحمل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من أحکام القتل والدیات </w:t>
      </w:r>
      <w:r>
        <w:rPr>
          <w:rFonts w:eastAsia="IRNazanin" w:cs="IRNazanin"/>
          <w:color w:val="111111"/>
          <w:sz w:val="28"/>
          <w:szCs w:val="28"/>
          <w:lang w:bidi="fa-IR"/>
        </w:rPr>
        <w:t>501</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الاجتهاد والتقلید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الاجتهاد والتقلید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شرائط مرجع التقلید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الاجتهاد والتقلید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المنابع </w:t>
      </w:r>
      <w:r>
        <w:rPr>
          <w:rFonts w:eastAsia="IRNazanin" w:cs="IRNazanin"/>
          <w:color w:val="111111"/>
          <w:sz w:val="28"/>
          <w:szCs w:val="28"/>
          <w:lang w:bidi="fa-IR"/>
        </w:rPr>
        <w:t>513</w:t>
      </w:r>
      <w:bookmarkStart w:id="16" w:name="pg5021_49145"/>
    </w:p>
    <w:p>
      <w:pPr>
        <w:pStyle w:val="Heading2"/>
        <w:numPr>
          <w:ilvl w:val="1"/>
          <w:numId w:val="1"/>
        </w:numPr>
        <w:rPr/>
      </w:pPr>
      <w:bookmarkStart w:id="17" w:name="__RefHeading___Toc580276_774463916"/>
      <w:bookmarkStart w:id="18" w:name="_Toc6"/>
      <w:bookmarkEnd w:id="16"/>
      <w:bookmarkEnd w:id="17"/>
      <w:r>
        <w:rPr>
          <w:rtl w:val="true"/>
        </w:rPr>
        <w:t>مقدمة</w:t>
      </w:r>
      <w:bookmarkEnd w:id="18"/>
    </w:p>
    <w:p>
      <w:pPr>
        <w:pStyle w:val="BookText"/>
        <w:rPr/>
      </w:pPr>
      <w:r>
        <w:rPr>
          <w:rFonts w:ascii="IRNazanin" w:hAnsi="IRNazanin" w:eastAsia="IRNazanin"/>
          <w:color w:val="111111"/>
          <w:sz w:val="28"/>
          <w:sz w:val="28"/>
          <w:szCs w:val="28"/>
          <w:rtl w:val="true"/>
          <w:lang w:bidi="fa-IR"/>
        </w:rPr>
        <w:t>أهمّیة الفقه الاستدلالی وضرورة تدوین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نلفت نظر القاری العزیز إلی بیان الهدف من تدوین هذا الکتاب ضمن النقاط المهمّة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علی کلّ مسلم أهمّیة الفقه علماً وعملاً بعد تأکید الکتاب الکریم والسنّة الشریفة علیه وأنّه الإسلام المجسّم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غنی لأی لعالم الدین عن علم الفقه لا من حیث عمل نفسه فقط بل من جهة مسؤولیته قبال المسلمین وانتظاراتهم من العالم الدینی بلا فرق فی ذلک بین المفسّر والمحدّث والرجالی والأصولی والفیلسوف والفقیه؛ لأنّ الناس لا یقتنعون من العالم الدینی بالنسبة إلی الأحکام الشرعیة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لیس ضمن تخصّصی، سلنی عن الحدیث، أو سلنی عن التفسیر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لابدّ أن یکون له إلْمام بعلم الفقه بمقدار یمکنه إجابتهم بالقدر المتعارف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یکفی للعالم الدینی أن یکون علمه بالفقه علی حدّ علم عامّة الناس بالرسائل العملیة بل لابدّ له من دراسة الفقه بشکل أعمق من هذا لیکون بصیراً بدقائقه ومعیناً له علی أداء مسؤولیته؛ لأنّ للفقه دقائق لا یبلغها إلاّ المتفقهون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الفقه بالمستوی المذکور لا یکاد یتحصّل إلاّ بالاطّلاع علی مبانی الفقه وطرق</w:t>
      </w:r>
    </w:p>
    <w:p>
      <w:pPr>
        <w:pStyle w:val="BookText"/>
        <w:rPr/>
      </w:pPr>
      <w:r>
        <w:rPr>
          <w:rFonts w:ascii="IRNazanin" w:hAnsi="IRNazanin" w:eastAsia="IRNazanin"/>
          <w:color w:val="111111"/>
          <w:sz w:val="28"/>
          <w:sz w:val="28"/>
          <w:szCs w:val="28"/>
          <w:rtl w:val="true"/>
          <w:lang w:bidi="fa-IR"/>
        </w:rPr>
        <w:t>استنباطه ولو بالحدّ المتوسّط، وإلاّ فقد لا یوفّق طالب العلوم الدینیة لذلک إن لم یکن هدفه الوصول إلی مرحلة ملکة الاستنباط؛ وذلک للمسؤولیة الملقاة علی عاتقه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الفقه بحر واسع لا یبلغ کنهه إلاّ الأوحدی فلا بدّ من اتخاذ سبیل للانتفاع الأکثر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طلاّب العلوم الدینیة غالباً لا یوفّقون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الأسف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للحصول علی المراتب العالیة فی الاستنباط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لأسباب لسنا بصدد تحلیلها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سیّما غیر الإیرانیین منهم الذین یواجهون محدودیة الوقت، فلا بدّ من إعداد برامج وتهیئة الکتب اللازمة لذلک حتّی یستفیدوا الحدّ الأوفر فی هذا المجال المحدود، لیتمکّنوا من أداء مسؤولیّتهم أمام متطلبات الإسلام والمسلمین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الکتب الدارجة فی الحوزات العلمیة الدینیة قلّما تفی بالغرض لعدم تناسبها مع المدّة المحدودة ولا مع مستویاتهم العلمیة ولا مع مقتضیات زمانهم، ولا مع ما یأنسون من العبائر والمسائل، والسبب الأوّل هو عدم استدلالیة تلک الکتب فی المراحل الأوّلیة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للحصول علی الخبرة الفقهیة اللازمة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اختلاف مراتبها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وتقویة ملکة الاستنباط عند الطلبة، لابدّ من التدرّج فی دراسة و ممارسة الفقه الاستدلالی تدریجیّاً ولا یمکن القفز إلی المرتبة العلیا کالمکاسب من دون طی المراحل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للتدرّج والتکرار سهم وافر فی رسوخ المطالب وتعمّقها، ولا یکفی لهذا الغرض دراسة مثل کتاب الروضة البهیة، لسعة حجمها و انغلاق کثیر من عباراتها وقلّة ذکر الأدلّة فیها، ولذا نری أنّ الطلاب حینما یدرسون کتاب المکاسب بعد الروضة لا یرون فی أنفسهم قوّة تناسب فهم أدلّة کتاب المکاسب لتفاوت مستوی الکتابین من حیث الاستدلال</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ذکرنا من أسباب نجد أنّ القلیل من الطلاب من یفهم المکاسب حقّ الفهم، والأکثر لا نصیب لهم منه إلاّ الحفظ عن تعب ولهذا حینما یصلون إلی دروس البحث الخارج لا یجدون فی أنفسهم القدرة اللازمة للاستنباط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إذا تأملت ما ذکرناه تجد ضرورة تدوین کتب فی الفقه الاستدلالی تناسب المستوی العلمی للطلاب المبتدئین بالفقه ولا یکفی فی ذلک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للفقه مبادی نظریة، ومبادی تطبیقیه تجربیة، یتوقّف حصول قدرة الاستنباط علیها ولا بدّ للحصول علیها من الممارسة والتدریج،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الرجوع إلی مظانّ الحدیث بعد معرفته، ومنها کیفیة تطبیق الأصول والقواعد علی مواردها، ومنها کیفیة الجمع بین مفاد الروایات والردّ علی شبهاتها، ومنها إعمال الدقّة فی القرائن الحالیة والکلامیة والعقلیة، ومنها تطبیق الروایات مع ملاحظة شرائط صدورها کلّ ذلک علی نحو الملکة، وکم من نکتة دقیقة تطبیقیة کلیة تذکر فی الفقه الاستدلالی لا یتوفر علیها الطالب عند دراسته علم الأصول ولا حتی القواعد الفقهیة بل یجدها الممارس فی تحقیقه وتتبّعه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أعظم فوائد هذا الطریق حصول الجرأة علی عملیه الاستنباط، والغلبة علی القوة الواهمة التی تجعل الاستنباط کحصن لا یمکن فتحه ویری نفسه قاصرة عن الوصول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کلّه نری أن تدریس الفقه الاستدلالی قبل الدخول إلی دروس البحث الخارج یکون علی ثلاث مراحل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تمهیدیة، ومرحلة متوسّطة، ومرحلة مبسوطة وهی المکاسب</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فوائد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الطلاب یتعلّمون کلّیات الفقه وأهم مباحثها من البدو إلی الختم فی دورتین وبالتالی تحصل لهم قوّة استنباط وإشراف علی المباحث الفقهیة وأدلّتها وبذلک یکون طی المراحل التالیة لهم أسهل وبنحو أعمق کما یحصل لهم توفیق أکثر فی أداء مسؤولیتهم تجاه الدین والمؤمنین فی أمر التبلیغ حتّی ولو فرض عدم توفیقهم لنیل سائر المراتب العالیة ویکونوا قد حصلوا علی الفقه وکلّیاته وأدلّته بأحسن وجه وأتمّ فائدة بالنسبة إلی أقصر فترة زمنیة ممکنة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نشکر الله تعالی علی أن وفق المرکز العالمی لهذا الأمر المهم حیث استدعی الأستاذ الشیخ باقر الإیروانی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لتألیف کتاب لهذا الهدف وأجاب الأستاذ بتوفیق الله هذه الدعوة المبارکة بتدوین الکتاب الفقهی القیّم الموسوم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تمهیدیة فی الفقه الاستدلالی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وأصبح الکتاب من أحسن وأنفع الکتب الدراسیة للطلاب الناطقنی باللغة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مضمون الکتاب المذکور یناسب المرحلة المتوسطة، کما أنّ حجمه لا یتناسب مع المدّة المقرّرة للطلاب المبتدئین، ولذلک مسّت الحاجة إلی تدوین کتاب آخر یناسب المرحلة الأولی فی الفقه الاستدلالی من حیث المضمون والحجم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مزایا هذا الکتاب بالنسبة إلی الدروس التمهیدیة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تلخیص المطالب لتناسب الفترة الزمنیة المقرّرة للطلاب فی المرحلة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تطبیق المطالب حتی تنسجم مع المستوی العلمی للطلاب فی المرحلة الأولی وحذف بعض الأدلّة والمصطلحات التی لا تتناسب ومستواهم العلمی، إذ إنّ هذه المطالب إنّما وردت فی الکتاب المذکور للطلاب فی المرحلة المتوسطة دون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حذف بعض المطالب والروایات التی لا تناسب المبتدئین من الطلاب الذین لا یأنسون بها وأحیاناً یتضجرون منها، ولأجل هضمها لابدّ من ممارسة أکثر فی الفقه والروایات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مزج المتون بالمستندات رعایة للاختصار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زیادة أهم المستحبّات المبتلی بها فی قسم العبادات لاسیمّا الصلاة، لأثرها البالغ فی أذهان الشباب وارتقاء معنویاتهم ومعلوماتهم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بعض آراء أهل السنّة فی الموارد المهمة المختلف فیها لمزید الاطلاع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الاجتناب عن التعرض لآراء للمشهور لاسیمّا فی المسائل المبتلی بها؛ رعایة</w:t>
      </w:r>
    </w:p>
    <w:p>
      <w:pPr>
        <w:pStyle w:val="BookText"/>
        <w:rPr/>
      </w:pPr>
      <w:r>
        <w:rPr>
          <w:rFonts w:ascii="IRNazanin" w:hAnsi="IRNazanin" w:eastAsia="IRNazanin"/>
          <w:color w:val="111111"/>
          <w:sz w:val="28"/>
          <w:sz w:val="28"/>
          <w:szCs w:val="28"/>
          <w:rtl w:val="true"/>
          <w:lang w:bidi="fa-IR"/>
        </w:rPr>
        <w:t>لمستوی الطلاب المبتدئین وعدم تحمّلهم علمیاً و روحیاً، وحذراً من بعض المحاذیر التی ربّما نشاهدها عندما ندرّس مثل هذه المطالب التی لا تتوقّعها الأذهان البسیطة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إضافة بعض الفروع المهمّة التی نری أنها ضروریة فی هذه المرحلة الدراسیة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هذا الکتاب وإن کان قوامه وأرکانه ونظامه بُنی علی أساس کتاب الدروس التمهیدیة فی الفقه الاستدلالی إلاّ أنّ کثرة التغییرات والحذف والإضافة لاسیمّا بعض الأدلّة أو الآراء التی اختلف فیها مع صاحب الدروس، وکذلک التصرّف فی نثر الکتاب وعبائره حتّی یتّحد نسق الکتاب، ورعایة للأمانة والاحتیاط، لجئنا إلی العدول عن تسمیته بتلخیص الدروس التمهیدیة إلی عنوان دراسات تمهیدیة فی فقه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ولیعلم أن کتابنا هذا دوّن لغرض دراسی محض ولیس هو رسالة عملیة للمقلّدین، فهو أشبه برسالة علمیة فقهیة ولیست بآراء فقهیة عملیة</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والحمدلله أوّلاً وآخراً وأنا العبد السید محمّد النجفی الیزدی</w:t>
      </w:r>
      <w:bookmarkStart w:id="19" w:name="pg5021_49151"/>
    </w:p>
    <w:p>
      <w:pPr>
        <w:pStyle w:val="Heading2"/>
        <w:numPr>
          <w:ilvl w:val="1"/>
          <w:numId w:val="1"/>
        </w:numPr>
        <w:rPr/>
      </w:pPr>
      <w:bookmarkStart w:id="20" w:name="__RefHeading___Toc580278_774463916"/>
      <w:bookmarkStart w:id="21" w:name="_Toc7"/>
      <w:bookmarkEnd w:id="19"/>
      <w:bookmarkEnd w:id="20"/>
      <w:r>
        <w:rPr>
          <w:rtl w:val="true"/>
        </w:rPr>
        <w:t>القسم الأول</w:t>
      </w:r>
      <w:r>
        <w:rPr>
          <w:rtl w:val="true"/>
        </w:rPr>
        <w:t xml:space="preserve">: </w:t>
      </w:r>
      <w:r>
        <w:rPr>
          <w:rtl w:val="true"/>
        </w:rPr>
        <w:t>العبادات</w:t>
      </w:r>
      <w:bookmarkEnd w:id="21"/>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580280_774463916"/>
      <w:bookmarkStart w:id="23" w:name="_Toc8"/>
      <w:bookmarkEnd w:id="22"/>
      <w:r>
        <w:rPr>
          <w:rtl w:val="true"/>
        </w:rPr>
        <w:t>اشارة</w:t>
      </w:r>
      <w:bookmarkStart w:id="24" w:name="pg5021_49152"/>
      <w:bookmarkEnd w:id="23"/>
    </w:p>
    <w:p>
      <w:pPr>
        <w:pStyle w:val="Heading3"/>
        <w:numPr>
          <w:ilvl w:val="2"/>
          <w:numId w:val="1"/>
        </w:numPr>
        <w:rPr/>
      </w:pPr>
      <w:bookmarkStart w:id="25" w:name="__RefHeading___Toc580282_774463916"/>
      <w:bookmarkStart w:id="26" w:name="_Toc9"/>
      <w:bookmarkEnd w:id="24"/>
      <w:bookmarkEnd w:id="25"/>
      <w:r>
        <w:rPr>
          <w:rtl w:val="true"/>
        </w:rPr>
        <w:t>الدرس</w:t>
      </w:r>
      <w:r>
        <w:rPr/>
        <w:t>1</w:t>
      </w:r>
      <w:r>
        <w:rPr>
          <w:rtl w:val="true"/>
        </w:rPr>
        <w:t xml:space="preserve"> - </w:t>
      </w:r>
      <w:r>
        <w:rPr>
          <w:rtl w:val="true"/>
        </w:rPr>
        <w:t>کتاب الطهارة</w:t>
      </w:r>
      <w:bookmarkEnd w:id="26"/>
    </w:p>
    <w:p>
      <w:pPr>
        <w:pStyle w:val="Heading4"/>
        <w:numPr>
          <w:ilvl w:val="3"/>
          <w:numId w:val="1"/>
        </w:numPr>
        <w:rPr/>
      </w:pPr>
      <w:bookmarkStart w:id="27" w:name="__RefHeading___Toc580284_774463916"/>
      <w:bookmarkStart w:id="28" w:name="_Toc10"/>
      <w:bookmarkEnd w:id="27"/>
      <w:r>
        <w:rPr>
          <w:rtl w:val="true"/>
        </w:rPr>
        <w:t>الإسلام دین الطهارة والنظافة</w:t>
      </w:r>
      <w:bookmarkEnd w:id="28"/>
    </w:p>
    <w:p>
      <w:pPr>
        <w:pStyle w:val="BookText"/>
        <w:rPr/>
      </w:pPr>
      <w:r>
        <w:rPr>
          <w:rFonts w:ascii="IRNazanin" w:hAnsi="IRNazanin" w:eastAsia="IRNazanin"/>
          <w:color w:val="111111"/>
          <w:sz w:val="28"/>
          <w:sz w:val="28"/>
          <w:szCs w:val="28"/>
          <w:rtl w:val="true"/>
          <w:lang w:bidi="fa-IR"/>
        </w:rPr>
        <w:t xml:space="preserve">إنّ من الأحکام الرائعة للإسلام اهتمامه بأمر النظافة والطهارة الظاهریة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تأکیده علی الطهارة الروحیة والمعنویة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وَ ما سَوّاها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أَفْلَحَ مَنْ زَکّاها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لاسیمّا فی تلک الأزمنة مع قلّة الاهتمام فی الحجاز وأعجب من هذا، کیفیة المنهج الذی اتخذه لتحقیق هذا الأمر المهم بعد الأوامر الوجوبیة والاستحبابیة والنواهی التحریمیة والتنزیهیة، أعنی إناطة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أهمّ العبادات وأعلاها، والّتی هی معراج المؤمن، وعمود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والطهور فی الغالب هو الوضوء والغسل، انظر کیف جعل أمر دنیاهم مقدّمة لتحقیق غرضه الأعلی وهو العبادة وبذلک تحقّق الأمران وصلح خَلقهم وخُلقهم، دینهم ودنیاهم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وإلیک نماذج من هذه الأحکام الراقیة</w:t>
      </w:r>
      <w:r>
        <w:rPr>
          <w:rFonts w:eastAsia="IRNazanin" w:cs="IRNazanin"/>
          <w:color w:val="111111"/>
          <w:sz w:val="28"/>
          <w:szCs w:val="28"/>
          <w:rtl w:val="true"/>
          <w:lang w:bidi="fa-IR"/>
        </w:rPr>
        <w:t>.</w:t>
      </w:r>
    </w:p>
    <w:p>
      <w:pPr>
        <w:pStyle w:val="Heading4"/>
        <w:numPr>
          <w:ilvl w:val="3"/>
          <w:numId w:val="1"/>
        </w:numPr>
        <w:rPr/>
      </w:pPr>
      <w:bookmarkStart w:id="29" w:name="__RefHeading___Toc580286_774463916"/>
      <w:bookmarkStart w:id="30" w:name="_Toc11"/>
      <w:bookmarkEnd w:id="29"/>
      <w:r>
        <w:rPr>
          <w:rtl w:val="true"/>
        </w:rPr>
        <w:t>الطهارة والنظافة فی القرآن والأحادیث</w:t>
      </w:r>
      <w:bookmarkEnd w:id="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یُحِبُّ التَّوّابِینَ وَ یُحِبُّ الْمُتَطَهِّرِینَ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والتوبة طهارة الروح، والثانی طهارة الجسم</w:t>
      </w:r>
      <w:r>
        <w:rPr>
          <w:rFonts w:eastAsia="Amiri" w:cs="Amiri" w:ascii="Amiri" w:hAnsi="Amiri"/>
          <w:color w:val="111111"/>
          <w:sz w:val="28"/>
          <w:szCs w:val="28"/>
          <w:rtl w:val="true"/>
          <w:lang w:bidi="ar-SA"/>
        </w:rPr>
        <w:t>.</w:t>
      </w:r>
      <w:bookmarkStart w:id="31" w:name="pg5021_49153"/>
    </w:p>
    <w:p>
      <w:pPr>
        <w:pStyle w:val="BookText"/>
        <w:rPr/>
      </w:pPr>
      <w:bookmarkEnd w:id="3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تنظّفوا بالماء من الرائحة المنتنة؛ فإنّ الله تعالی یبغض من عباده القاذورة</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یحبّ الجمال والتجمّل ویکره البؤس والتباؤس وإنّ الله تعالی إذا أنعم علی عبده نعمة أحبّ أن یری علیه أثرها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ینظّف ثوبه، ویطیّب ریحه، ویجصّص دارهِ، ویکنس أفنیته، حتی أنّ السراج قبل مغیب الشمس ینفی الفقر ویزید فی الرزق</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الرضا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أخلاق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التنظّف</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تخلّلوا فإنّه من النظافة، والنظافة من الإیمان، والإیمان و صاحبه فی الجنّه</w:t>
      </w:r>
      <w:r>
        <w:rPr>
          <w:rFonts w:eastAsia="IRNazanin" w:cs="IRNazanin"/>
          <w:color w:val="111111"/>
          <w:sz w:val="28"/>
          <w:szCs w:val="28"/>
          <w:rtl w:val="true"/>
          <w:lang w:bidi="fa-IR"/>
        </w:rPr>
        <w:t xml:space="preserve">. </w:t>
      </w:r>
      <w:r>
        <w:rPr>
          <w:rStyle w:val="FootnoteAnchor"/>
          <w:rtl w:val="true"/>
        </w:rPr>
        <w:footnoteReference w:id="6"/>
      </w:r>
    </w:p>
    <w:p>
      <w:pPr>
        <w:pStyle w:val="Heading4"/>
        <w:numPr>
          <w:ilvl w:val="3"/>
          <w:numId w:val="1"/>
        </w:numPr>
        <w:rPr/>
      </w:pPr>
      <w:bookmarkStart w:id="32" w:name="__RefHeading___Toc580288_774463916"/>
      <w:bookmarkStart w:id="33" w:name="_Toc12"/>
      <w:bookmarkEnd w:id="32"/>
      <w:r>
        <w:rPr>
          <w:rtl w:val="true"/>
        </w:rPr>
        <w:t>الطهارات الواجبة من الحدث والخبث</w:t>
      </w:r>
      <w:bookmarkEnd w:id="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الوضوء للصلاة الواجبة والمستحبة، وبما أنّها موزّعة فی اللیل والنهار فلا بدّ للمسلم من غسل وجهه ویدیه مراراً و نحن نری أنّ للوجه والیدین تأثیراً تامّاً فی أمر الصحّة والعافیة إذا کانت طاهرة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الغسل من الجنابة والحیض والاستحاضة، وغیرها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غَسل البدن واللباس عن النجاسات المتعارفة، کالبول، والغائط، والدم، والمنی، والمیتة و</w:t>
      </w:r>
      <w:r>
        <w:rPr>
          <w:rFonts w:eastAsia="IRNazanin" w:cs="IRNazanin"/>
          <w:color w:val="111111"/>
          <w:sz w:val="28"/>
          <w:szCs w:val="28"/>
          <w:rtl w:val="true"/>
          <w:lang w:bidi="fa-IR"/>
        </w:rPr>
        <w:t>....</w:t>
      </w:r>
      <w:bookmarkStart w:id="34" w:name="pg5021_49154"/>
    </w:p>
    <w:p>
      <w:pPr>
        <w:pStyle w:val="BookText"/>
        <w:rPr/>
      </w:pPr>
      <w:bookmarkEnd w:id="34"/>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الید والأوانی المستعملة للأکل والشرب عن القذارات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تعلم أنّ المسلم بعد التزامه بالصلاة خمس مرات یحذر من الابتلاء بتلک النجاسات فی لیله ونهاره وبذلک تحصل له الطهارة غالباً</w:t>
      </w:r>
      <w:r>
        <w:rPr>
          <w:rFonts w:eastAsia="IRNazanin" w:cs="IRNazanin"/>
          <w:color w:val="111111"/>
          <w:sz w:val="28"/>
          <w:szCs w:val="28"/>
          <w:rtl w:val="true"/>
          <w:lang w:bidi="fa-IR"/>
        </w:rPr>
        <w:t>.</w:t>
      </w:r>
    </w:p>
    <w:p>
      <w:pPr>
        <w:pStyle w:val="Heading4"/>
        <w:numPr>
          <w:ilvl w:val="3"/>
          <w:numId w:val="1"/>
        </w:numPr>
        <w:rPr/>
      </w:pPr>
      <w:bookmarkStart w:id="35" w:name="__RefHeading___Toc580290_774463916"/>
      <w:bookmarkStart w:id="36" w:name="_Toc13"/>
      <w:bookmarkEnd w:id="35"/>
      <w:r>
        <w:rPr>
          <w:rtl w:val="true"/>
        </w:rPr>
        <w:t>الطهارات المستحبة من الحدث</w:t>
      </w:r>
      <w:bookmarkEnd w:id="36"/>
    </w:p>
    <w:p>
      <w:pPr>
        <w:pStyle w:val="BookText"/>
        <w:rPr/>
      </w:pPr>
      <w:r>
        <w:rPr>
          <w:rFonts w:ascii="IRNazanin" w:hAnsi="IRNazanin" w:eastAsia="IRNazanin"/>
          <w:color w:val="111111"/>
          <w:sz w:val="28"/>
          <w:sz w:val="28"/>
          <w:szCs w:val="28"/>
          <w:rtl w:val="true"/>
          <w:lang w:bidi="fa-IR"/>
        </w:rPr>
        <w:t>وهی کثیره جدّاً منها استحباب البقاء علی الطهارة دائماً المستلزم لتکرار الوضوء غالباً</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ومنها استحباب الطهارة للنوم، قال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بات علی طهر فکأنّما أحیی اللیل</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ومنها استحباب الوضوء لدخول المسجد، ولنوم الجنب، وأکله، ولصلاة الأموات وزیارة القبور، وقراءة القرآن وحمله ولمس حواشیه، و زیارة الائمّة ولو من بعید ولسجدة الشکر، والتلاوة، وللأذان والإقامة،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الأغسال المستحبة وهی کثیرة جداً أنهاها بعض العلماء إلی مئة وهی علی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أفضلها غسل الجمعة وقد عبّر فی بعض الروایات عنه بالوجوب وذهب إلیه جماعة لقوله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الغسل واجب یوم الجمعة</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ومکانیة لدخول حرم مکه وفیها ومسجدها وکعبتها وحرم المدینة والدخول</w:t>
      </w:r>
      <w:bookmarkStart w:id="37" w:name="pg5021_49155"/>
    </w:p>
    <w:p>
      <w:pPr>
        <w:pStyle w:val="BookText"/>
        <w:rPr/>
      </w:pPr>
      <w:bookmarkEnd w:id="37"/>
      <w:r>
        <w:rPr>
          <w:rFonts w:ascii="IRNazanin" w:hAnsi="IRNazanin" w:eastAsia="IRNazanin"/>
          <w:color w:val="111111"/>
          <w:sz w:val="28"/>
          <w:sz w:val="28"/>
          <w:szCs w:val="28"/>
          <w:rtl w:val="true"/>
          <w:lang w:bidi="fa-IR"/>
        </w:rPr>
        <w:t>فیها وفی مسجد النبی صلی الله علیه و آله وسائر المشاهد الشریفة للأئمة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وفعلّیة لبعض الافعال کالزیارة لاسیما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وللتوبة ونحوها مما هو کثیر</w:t>
      </w:r>
      <w:r>
        <w:rPr>
          <w:rFonts w:eastAsia="IRNazanin" w:cs="IRNazanin"/>
          <w:color w:val="111111"/>
          <w:sz w:val="28"/>
          <w:szCs w:val="28"/>
          <w:rtl w:val="true"/>
          <w:lang w:bidi="fa-IR"/>
        </w:rPr>
        <w:t>.</w:t>
      </w:r>
    </w:p>
    <w:p>
      <w:pPr>
        <w:pStyle w:val="Heading4"/>
        <w:numPr>
          <w:ilvl w:val="3"/>
          <w:numId w:val="1"/>
        </w:numPr>
        <w:rPr/>
      </w:pPr>
      <w:bookmarkStart w:id="38" w:name="__RefHeading___Toc580292_774463916"/>
      <w:bookmarkStart w:id="39" w:name="_Toc14"/>
      <w:bookmarkEnd w:id="38"/>
      <w:r>
        <w:rPr>
          <w:rtl w:val="true"/>
        </w:rPr>
        <w:t>الطهارات المستحبّة من الخبث</w:t>
      </w:r>
      <w:bookmarkEnd w:id="39"/>
    </w:p>
    <w:p>
      <w:pPr>
        <w:pStyle w:val="BookText"/>
        <w:rPr/>
      </w:pPr>
      <w:r>
        <w:rPr>
          <w:rFonts w:ascii="IRNazanin" w:hAnsi="IRNazanin" w:eastAsia="IRNazanin"/>
          <w:color w:val="111111"/>
          <w:sz w:val="28"/>
          <w:sz w:val="28"/>
          <w:szCs w:val="28"/>
          <w:rtl w:val="true"/>
          <w:lang w:bidi="fa-IR"/>
        </w:rPr>
        <w:t xml:space="preserve">وهی کثیرة منها استحباب غسل الیدین قبل الطعام وبعده </w:t>
      </w:r>
      <w:r>
        <w:rPr>
          <w:rStyle w:val="FootnoteAnchor"/>
          <w:rtl w:val="true"/>
        </w:rPr>
        <w:footnoteReference w:id="10"/>
      </w:r>
      <w:r>
        <w:rPr>
          <w:rFonts w:ascii="IRNazanin" w:hAnsi="IRNazanin" w:eastAsia="IRNazanin"/>
          <w:color w:val="111111"/>
          <w:sz w:val="28"/>
          <w:sz w:val="28"/>
          <w:szCs w:val="28"/>
          <w:rtl w:val="true"/>
          <w:lang w:bidi="fa-IR"/>
        </w:rPr>
        <w:t xml:space="preserve">ومنها تأکّد السواک والخلال وعنه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أوصانی جبرئیل بالسواک حتّی خفتُ علی أسنانی</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طهّروا أفواهکم فإنّها مسالک التسبیح</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ومنها استحباب المشط وإکرام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اتخذ شعراً فلیحسن ولایته أو لیجزّه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الشعر الحسن من کسوة الله فأکرموه</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ومنها استحباب قصّ الشارب وشعر الأبط والعانة، قال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الشیطان یتّخذه مخبئاً یستتر به</w:t>
      </w:r>
      <w:r>
        <w:rPr>
          <w:rFonts w:eastAsia="Amiri" w:cs="Amiri" w:ascii="Amiri" w:hAnsi="Amiri"/>
          <w:color w:val="111111"/>
          <w:sz w:val="28"/>
          <w:szCs w:val="28"/>
          <w:rtl w:val="true"/>
          <w:lang w:bidi="ar-SA"/>
        </w:rPr>
        <w:t xml:space="preserve">. </w:t>
      </w:r>
      <w:r>
        <w:rPr>
          <w:rStyle w:val="FootnoteAnchor"/>
          <w:rtl w:val="true"/>
        </w:rPr>
        <w:footnoteReference w:id="14"/>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ولذا قال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النورة طهور</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ومنها قصّ الأظافر، قال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لأنّها مقیل الشیطان</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 xml:space="preserve">ومنها أخذ شعر اللحیة والرأس وجزّ الشارب لإنها تزید الوضوء تطهیراً کما عن الباقر علیه السلام </w:t>
      </w:r>
      <w:r>
        <w:rPr>
          <w:rStyle w:val="FootnoteAnchor"/>
          <w:rtl w:val="true"/>
        </w:rPr>
        <w:footnoteReference w:id="17"/>
      </w:r>
      <w:r>
        <w:rPr>
          <w:rFonts w:ascii="IRNazanin" w:hAnsi="IRNazanin" w:eastAsia="IRNazanin"/>
          <w:color w:val="111111"/>
          <w:sz w:val="28"/>
          <w:sz w:val="28"/>
          <w:szCs w:val="28"/>
          <w:rtl w:val="true"/>
          <w:lang w:bidi="fa-IR"/>
        </w:rPr>
        <w:t>بل فی الروایة</w:t>
      </w:r>
    </w:p>
    <w:p>
      <w:pPr>
        <w:pStyle w:val="BookText"/>
        <w:rPr/>
      </w:pPr>
      <w:r>
        <w:rPr>
          <w:rFonts w:ascii="IRNazanin" w:hAnsi="IRNazanin" w:eastAsia="IRNazanin"/>
          <w:color w:val="111111"/>
          <w:sz w:val="28"/>
          <w:sz w:val="28"/>
          <w:szCs w:val="28"/>
          <w:rtl w:val="true"/>
          <w:lang w:bidi="fa-IR"/>
        </w:rPr>
        <w:t xml:space="preserve">أنّ الراوی قال لأبی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دعاء استنزل به الرزق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من شاربک وأظافرک ولیکن ذلک فی یوم الجمعة</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ومنها إزالة الرائحة المنتنة </w:t>
      </w:r>
      <w:r>
        <w:rPr>
          <w:rStyle w:val="FootnoteAnchor"/>
          <w:rtl w:val="true"/>
        </w:rPr>
        <w:footnoteReference w:id="19"/>
      </w:r>
      <w:r>
        <w:rPr>
          <w:rFonts w:ascii="IRNazanin" w:hAnsi="IRNazanin" w:eastAsia="IRNazanin"/>
          <w:color w:val="111111"/>
          <w:sz w:val="28"/>
          <w:sz w:val="28"/>
          <w:szCs w:val="28"/>
          <w:rtl w:val="true"/>
          <w:lang w:bidi="fa-IR"/>
        </w:rPr>
        <w:t xml:space="preserve">ومنها تنظیف الدار وکنسها وغسل الأوانی ورعایتها، قال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خمّروا آنیتکم وأوکؤا أسقیتکم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الشیطان لا یکشف غطاء</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ومنها قوله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اکنسوا أفنیتکم ولا تشبّهوا بالیهود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ومنها غسل الثیاب، قال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الثیاب یذهب الهمّ وهو طهور للصلاة</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ومنها التأکید علی الاستحمام، قال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البیت الحمام یذکّر النار ویذهب بالدرون</w:t>
      </w:r>
      <w:r>
        <w:rPr>
          <w:rFonts w:eastAsia="IRNazanin" w:cs="IRNazanin"/>
          <w:color w:val="111111"/>
          <w:sz w:val="28"/>
          <w:szCs w:val="28"/>
          <w:rtl w:val="true"/>
          <w:lang w:bidi="fa-IR"/>
        </w:rPr>
        <w:t xml:space="preserve">. </w:t>
      </w:r>
      <w:r>
        <w:rPr>
          <w:rStyle w:val="FootnoteAnchor"/>
          <w:rtl w:val="true"/>
        </w:rPr>
        <w:footnoteReference w:id="23"/>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استحباب المضمضة والاستنشاق </w:t>
      </w:r>
      <w:r>
        <w:rPr>
          <w:rStyle w:val="FootnoteAnchor"/>
          <w:rtl w:val="true"/>
        </w:rPr>
        <w:footnoteReference w:id="24"/>
      </w:r>
      <w:r>
        <w:rPr>
          <w:rFonts w:ascii="IRNazanin" w:hAnsi="IRNazanin" w:eastAsia="IRNazanin"/>
          <w:color w:val="111111"/>
          <w:sz w:val="28"/>
          <w:sz w:val="28"/>
          <w:szCs w:val="28"/>
          <w:rtl w:val="true"/>
          <w:lang w:bidi="fa-IR"/>
        </w:rPr>
        <w:t>عند الوضوء إلی غیر ذلک من التعالیم الراقیة الدالّة علی اهتمام الشارع المقدّس بهذا الأمر</w:t>
      </w:r>
      <w:r>
        <w:rPr>
          <w:rFonts w:eastAsia="IRNazanin" w:cs="IRNazanin"/>
          <w:color w:val="111111"/>
          <w:sz w:val="28"/>
          <w:szCs w:val="28"/>
          <w:rtl w:val="true"/>
          <w:lang w:bidi="fa-IR"/>
        </w:rPr>
        <w:t>.</w:t>
      </w:r>
      <w:bookmarkStart w:id="40" w:name="pg5021_49157"/>
    </w:p>
    <w:p>
      <w:pPr>
        <w:pStyle w:val="Heading3"/>
        <w:numPr>
          <w:ilvl w:val="2"/>
          <w:numId w:val="1"/>
        </w:numPr>
        <w:rPr/>
      </w:pPr>
      <w:bookmarkStart w:id="41" w:name="__RefHeading___Toc580294_774463916"/>
      <w:bookmarkStart w:id="42" w:name="_Toc15"/>
      <w:bookmarkEnd w:id="40"/>
      <w:bookmarkEnd w:id="41"/>
      <w:r>
        <w:rPr>
          <w:rtl w:val="true"/>
        </w:rPr>
        <w:t>الدرس</w:t>
      </w:r>
      <w:r>
        <w:rPr/>
        <w:t>2</w:t>
      </w:r>
      <w:r>
        <w:rPr>
          <w:rtl w:val="true"/>
        </w:rPr>
        <w:t>-</w:t>
      </w:r>
      <w:r>
        <w:rPr>
          <w:rtl w:val="true"/>
        </w:rPr>
        <w:t xml:space="preserve">کتاب الطهارة </w:t>
      </w:r>
      <w:r>
        <w:rPr>
          <w:rtl w:val="true"/>
        </w:rPr>
        <w:t>(</w:t>
      </w:r>
      <w:r>
        <w:rPr/>
        <w:t>2</w:t>
      </w:r>
      <w:r>
        <w:rPr>
          <w:rtl w:val="true"/>
        </w:rPr>
        <w:t>)</w:t>
      </w:r>
      <w:bookmarkEnd w:id="42"/>
    </w:p>
    <w:p>
      <w:pPr>
        <w:pStyle w:val="Heading4"/>
        <w:numPr>
          <w:ilvl w:val="3"/>
          <w:numId w:val="1"/>
        </w:numPr>
        <w:rPr/>
      </w:pPr>
      <w:bookmarkStart w:id="43" w:name="__RefHeading___Toc580296_774463916"/>
      <w:bookmarkStart w:id="44" w:name="_Toc16"/>
      <w:bookmarkEnd w:id="43"/>
      <w:r>
        <w:rPr>
          <w:rtl w:val="true"/>
        </w:rPr>
        <w:t>أقسام المیاه وأحکامها</w:t>
      </w:r>
      <w:bookmarkEnd w:id="44"/>
    </w:p>
    <w:p>
      <w:pPr>
        <w:pStyle w:val="BookText"/>
        <w:rPr/>
      </w:pPr>
      <w:r>
        <w:rPr>
          <w:rFonts w:ascii="IRNazanin" w:hAnsi="IRNazanin" w:eastAsia="IRNazanin"/>
          <w:color w:val="111111"/>
          <w:sz w:val="28"/>
          <w:sz w:val="28"/>
          <w:szCs w:val="28"/>
          <w:rtl w:val="true"/>
          <w:lang w:bidi="fa-IR"/>
        </w:rPr>
        <w:t>الماء إمّا مطلق أو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ینقسم الماء إلی مطلق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یصحّ إطلاق الماء علیه بلا إضافة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مضاف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لا یصحّ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دون مضاف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أحکام الماء المضاف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والماء المضاف طاهر لقاعدة الطهارة المستفادة من موثّقة عمّار الساباطی عن أبی عبدالله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شیء نظیف حتّی تعلم أنّه قذر</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ولیس بمطهّر لا من الحدث ولا من الخبث، علی المشهور، ویکفی لذلک استصحاب بقائهما بعد الشک فی رافعیّته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لاقی المضاف نجاسة تنجّس؛ وهو متسالم علیه ویستفاد ذلک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المطلق وأحکامه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 قد یکون کرّاً وقد یکون أقلّ منه، ویسمّی الأوّل بالکثیر، والثانی بالقلیل</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تحدید الکرّ أقوال والمعروف منها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ما یبلغ کلّ من أبعاده الثلاثة ثلاثة أشبار، وثانیهما ما یبلغ کلّ من أبعاده الثلاثة ثلاثة أشبار ونصفاً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والکرّ لا یتنجّس بملاقاة النجاسة؛ للروایات المستفیضة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صحیح معاویة بن عمّار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الماء قدر کرّ لم ینجّسه شیء</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نعم، إذا تغیّر أحد أوصافه الثلاثة الآتیه تنجّس؛ للروایات منها النبوی المتّفق علیه بین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الله الماء طهوراً لا ینجّسه شیء إلاّ ما غیّر لونه أو طعمه أو رائحته</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والقلیل الذی له مادّة؛ بحکم الکرّ، کماء العیون والآبار لعموم التعلیل الوارد فی صحیحة محمد بن إسماعیل بن بزیع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رجل أسأله أن یسال أباالحسن الرضا علیه السلام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ماء البئر واسع لا یفسده شیء إلاّ أن یتغیّر ریحه أو طعمه فینزح منه حتّی یذهب الریح ویطیب طعمه لأنّ له مادّة</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والماء القلیل یتنجس بملاقاة النجاسة؛ لمفهوم صحیح معاویة بن عمّار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یتنجّس العالی منه بتنجّس أسفله لعدم السرایة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ماء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المطر، کالکرِّ لا یتنجّس بالملاقاة؛ للروایات، ومنها صحیح هشام بن سالم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السطح یبال علیه فتصیبه السماء، فیکفّ فیصیب الثوب،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ما أصابه من الماء أکثر</w:t>
      </w:r>
      <w:r>
        <w:rPr>
          <w:rFonts w:eastAsia="IRNazanin" w:cs="IRNazanin"/>
          <w:color w:val="111111"/>
          <w:sz w:val="28"/>
          <w:szCs w:val="28"/>
          <w:rtl w:val="true"/>
          <w:lang w:bidi="fa-IR"/>
        </w:rPr>
        <w:t xml:space="preserve">. </w:t>
      </w:r>
      <w:r>
        <w:rPr>
          <w:rStyle w:val="FootnoteAnchor"/>
          <w:rtl w:val="true"/>
        </w:rPr>
        <w:footnoteReference w:id="29"/>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واذا اجتمع فی مکان وکان قلیلاً فما دام یتقاطر علیه فهو کالکر لوجود المادة له</w:t>
      </w:r>
      <w:r>
        <w:rPr>
          <w:rFonts w:eastAsia="IRNazanin" w:cs="IRNazanin"/>
          <w:color w:val="111111"/>
          <w:sz w:val="28"/>
          <w:szCs w:val="28"/>
          <w:rtl w:val="true"/>
          <w:lang w:bidi="fa-IR"/>
        </w:rPr>
        <w:t>.</w:t>
      </w:r>
      <w:bookmarkStart w:id="45" w:name="pg5021_49159"/>
    </w:p>
    <w:p>
      <w:pPr>
        <w:pStyle w:val="Heading4"/>
        <w:numPr>
          <w:ilvl w:val="3"/>
          <w:numId w:val="1"/>
        </w:numPr>
        <w:rPr/>
      </w:pPr>
      <w:bookmarkStart w:id="46" w:name="__RefHeading___Toc580298_774463916"/>
      <w:bookmarkStart w:id="47" w:name="_Toc17"/>
      <w:bookmarkEnd w:id="45"/>
      <w:bookmarkEnd w:id="46"/>
      <w:r>
        <w:rPr>
          <w:rtl w:val="true"/>
        </w:rPr>
        <w:t>أحکام التخلّی</w:t>
      </w:r>
      <w:bookmarkEnd w:id="47"/>
    </w:p>
    <w:p>
      <w:pPr>
        <w:pStyle w:val="BookText"/>
        <w:rPr/>
      </w:pPr>
      <w:r>
        <w:rPr>
          <w:rFonts w:ascii="Amiri" w:hAnsi="Amiri" w:eastAsia="Amiri" w:cs="Amiri"/>
          <w:color w:val="111111"/>
          <w:sz w:val="28"/>
          <w:sz w:val="28"/>
          <w:szCs w:val="28"/>
          <w:rtl w:val="true"/>
          <w:lang w:bidi="ar-SA"/>
        </w:rPr>
        <w:t>ستر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یجب علی المکلّف فی جمیع الحالات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حالة التخلّی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عورته عن کلّ ناظر ممیّز إجماعاً،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لِلْمُؤْمِنِینَ یَغُضُّوا مِنْ أَبْصارِهِمْ وَ یَحْفَظُوا فُرُوجَهُمْ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علی أنّ الحفظ هنا من النظر کما روی عن الصادق علیه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 ما کان فی کتاب الله من ذکر حفظ الفرج فهو من الزنا إلاّ فی هذا الموضع فإنّه للحفظ من أن ینظر إلیه</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 للروایات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یجب الستر عن الزوج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استقبال القبلة واستدبارها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 المتخلّی استقبال القبلة واستدبارها، لتسالم الأصحاب علیه إلاّ من شذّ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ویؤده المروی عن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دخلت المخرج فلا تستقبل القبلة ولا تستدبرها ولکن شرّقوا وغرّبوا</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أحکام الاستنجاء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یطهر موضع البول بغسله بالماء فقط، أمّا موضع الغائط فیطهر بکلّ قالع للنجاسة؛ لصحیح زرارة عن أبی جعفر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صلاة إلاّ بطهور ویجزیک من الاستنجاء ثلاثة أحجار، بذلک جرت السنّة من رسول‌الله صلی الله علیه و آله وأمّا البول فإنّه لابدّ من غسله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وفی صحیحة ابن المغیرة عن أبی الحسن علیه السلام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للإستنجاء 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ینقّی ما ثمّة</w:t>
      </w:r>
      <w:r>
        <w:rPr>
          <w:rFonts w:eastAsia="IRNazanin" w:cs="IRNazanin"/>
          <w:color w:val="111111"/>
          <w:sz w:val="28"/>
          <w:szCs w:val="28"/>
          <w:rtl w:val="true"/>
          <w:lang w:bidi="fa-IR"/>
        </w:rPr>
        <w:t xml:space="preserve">. </w:t>
      </w:r>
      <w:r>
        <w:rPr>
          <w:rStyle w:val="FootnoteAnchor"/>
          <w:rtl w:val="true"/>
        </w:rPr>
        <w:footnoteReference w:id="33"/>
      </w:r>
      <w:bookmarkStart w:id="48" w:name="pg5021_49160"/>
    </w:p>
    <w:p>
      <w:pPr>
        <w:pStyle w:val="Heading4"/>
        <w:numPr>
          <w:ilvl w:val="3"/>
          <w:numId w:val="1"/>
        </w:numPr>
        <w:rPr/>
      </w:pPr>
      <w:bookmarkStart w:id="49" w:name="__RefHeading___Toc580300_774463916"/>
      <w:bookmarkStart w:id="50" w:name="_Toc18"/>
      <w:bookmarkEnd w:id="48"/>
      <w:bookmarkEnd w:id="49"/>
      <w:r>
        <w:rPr>
          <w:rtl w:val="true"/>
        </w:rPr>
        <w:t>آداب التخلّی</w:t>
      </w:r>
      <w:bookmarkEnd w:id="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تغطیة الرأس؛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التسمیة؛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الرجل الیسری عند الدخول والیمنی عند الخروج؛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الاستبراء</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الجلوس للحاجة فی الشوارع والمشارع، ومواضع اللعن، وتحت الأشجار المثمرة وفیء النزال، وفی الماء جاریاً وراکداً، والأکل والشرب، والاستنجاء بالیمین، والکلام إلاّ بذکر الله أو لضرورة</w:t>
      </w:r>
      <w:r>
        <w:rPr>
          <w:rFonts w:eastAsia="IRNazanin" w:cs="IRNazanin"/>
          <w:color w:val="111111"/>
          <w:sz w:val="28"/>
          <w:szCs w:val="28"/>
          <w:rtl w:val="true"/>
          <w:lang w:bidi="fa-IR"/>
        </w:rPr>
        <w:t xml:space="preserve">. </w:t>
      </w:r>
      <w:r>
        <w:rPr>
          <w:rStyle w:val="FootnoteAnchor"/>
          <w:rtl w:val="true"/>
        </w:rPr>
        <w:footnoteReference w:id="34"/>
      </w:r>
      <w:bookmarkStart w:id="51" w:name="pg5021_49161"/>
    </w:p>
    <w:p>
      <w:pPr>
        <w:pStyle w:val="Heading3"/>
        <w:numPr>
          <w:ilvl w:val="2"/>
          <w:numId w:val="1"/>
        </w:numPr>
        <w:rPr/>
      </w:pPr>
      <w:bookmarkStart w:id="52" w:name="__RefHeading___Toc580302_774463916"/>
      <w:bookmarkStart w:id="53" w:name="_Toc19"/>
      <w:bookmarkEnd w:id="51"/>
      <w:bookmarkEnd w:id="52"/>
      <w:r>
        <w:rPr>
          <w:rtl w:val="true"/>
        </w:rPr>
        <w:t>الدرس</w:t>
      </w:r>
      <w:r>
        <w:rPr/>
        <w:t>3</w:t>
      </w:r>
      <w:r>
        <w:rPr>
          <w:rtl w:val="true"/>
        </w:rPr>
        <w:t xml:space="preserve">- </w:t>
      </w:r>
      <w:r>
        <w:rPr>
          <w:rtl w:val="true"/>
        </w:rPr>
        <w:t xml:space="preserve">کتاب الطهارة </w:t>
      </w:r>
      <w:r>
        <w:rPr>
          <w:rtl w:val="true"/>
        </w:rPr>
        <w:t>(</w:t>
      </w:r>
      <w:r>
        <w:rPr/>
        <w:t>3</w:t>
      </w:r>
      <w:r>
        <w:rPr>
          <w:rtl w:val="true"/>
        </w:rPr>
        <w:t>)</w:t>
      </w:r>
      <w:bookmarkEnd w:id="53"/>
    </w:p>
    <w:p>
      <w:pPr>
        <w:pStyle w:val="Heading4"/>
        <w:numPr>
          <w:ilvl w:val="3"/>
          <w:numId w:val="1"/>
        </w:numPr>
        <w:rPr/>
      </w:pPr>
      <w:bookmarkStart w:id="54" w:name="__RefHeading___Toc580304_774463916"/>
      <w:bookmarkStart w:id="55" w:name="_Toc20"/>
      <w:bookmarkEnd w:id="54"/>
      <w:r>
        <w:rPr>
          <w:rtl w:val="true"/>
        </w:rPr>
        <w:t>الوضوء</w:t>
      </w:r>
      <w:bookmarkEnd w:id="55"/>
    </w:p>
    <w:p>
      <w:pPr>
        <w:pStyle w:val="Heading4"/>
        <w:numPr>
          <w:ilvl w:val="3"/>
          <w:numId w:val="1"/>
        </w:numPr>
        <w:rPr/>
      </w:pPr>
      <w:bookmarkStart w:id="56" w:name="__RefHeading___Toc580306_774463916"/>
      <w:bookmarkStart w:id="57" w:name="_Toc21"/>
      <w:bookmarkEnd w:id="56"/>
      <w:r>
        <w:rPr>
          <w:rtl w:val="true"/>
        </w:rPr>
        <w:t>کیفیة الوضوء</w:t>
      </w:r>
      <w:bookmarkEnd w:id="57"/>
    </w:p>
    <w:p>
      <w:pPr>
        <w:pStyle w:val="BookText"/>
        <w:rPr/>
      </w:pPr>
      <w:r>
        <w:rPr>
          <w:rFonts w:ascii="Amiri" w:hAnsi="Amiri" w:eastAsia="Amiri" w:cs="Amiri"/>
          <w:color w:val="111111"/>
          <w:sz w:val="28"/>
          <w:sz w:val="28"/>
          <w:szCs w:val="28"/>
          <w:rtl w:val="true"/>
          <w:lang w:bidi="ar-SA"/>
        </w:rPr>
        <w:t>یجب فی الوضوء غسل الوجه والیدین ومسح الرأس والرجلین؛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إِذا قُمْتُمْ إِلَی الصَّلاةِ فَاغْسِلُوا وُجُوهَکُمْ وَ أَیْدِیَکُمْ إِلَی الْمَرافِقِ وَ امْسَحُوا بِرُؤُسِکُمْ وَ أَرْجُلَکُمْ إِلَی الْکَعْبَیْنِ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الأرجل عطف علی محلّ المجرور علی قراءة النصب کما یقتضیه الظهور، وصحیحة زرارة الآتیة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وحدّ الوجه، ما بین قصاص الشعر والذقن طولاً وما بین الإبهام والوسطی عرضاً؛ لصحیح زرارة عن أبی جعفر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عن حدّ الوجه الذی ینبغی أن یوضّأ الذی قال الله عزّ وجلّ،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الوجه الّذی قال الله، وأمرالله عزّ وجل بغسلة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دارت علیه الوسطی والإبهام من قصاص الشعر إلی الذقن</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وحدّ الیدین، من المرفق إلی اطراف الأصابع، کما هو مقتضی الآیة الکریمة</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ویجب الغسل من المرفق إلی أطراف الأصابع دون النکس، ولم ینسب الخلاف</w:t>
      </w:r>
    </w:p>
    <w:p>
      <w:pPr>
        <w:pStyle w:val="BookText"/>
        <w:rPr/>
      </w:pPr>
      <w:r>
        <w:rPr>
          <w:rFonts w:ascii="IRNazanin" w:hAnsi="IRNazanin" w:eastAsia="IRNazanin"/>
          <w:color w:val="111111"/>
          <w:sz w:val="28"/>
          <w:sz w:val="28"/>
          <w:szCs w:val="28"/>
          <w:rtl w:val="true"/>
          <w:lang w:bidi="fa-IR"/>
        </w:rPr>
        <w:t>إلاّ إلی السید المرتضی علم الهدی، وابن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کاد أن یصیر من شعار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الآیة الکریمة عبرّت ب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علی شرعیة النکس، کان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یتم لو کان الجارمتعلّقاً ب فاغسلوا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لیکون تحدیداً لنهایة الغسل دون ما لو کان قیداً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أیدیکم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 الید لها اطلاقات متعدّدة ویراد بذکر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المقدار الواجب غسله منها دون بیان کیفیة الغسل نظیر ما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الجدار إلی السقف، وممّا یؤکّد ذلک أنّ التعلّق لو کان بالفعل یلزم دلالة الآیة علی وجوب النکس والحال أنّ أحداً لم یقل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ویجب تقدیم الیمنی؛ وهو متسالم علیه ویدّل علیه صحیح منصور بن حازم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الرجل یتوضّأ فیبدأ بالشمال قبل الیمین،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الیمین ویعید الیسار</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ویجب بعد غسل الیدین مسح الرأس؛ للآیة الکریمة وأن یکون علی مقدّم الرأس فإنّ مقتضی إطلاق الآیة الکریمة وإن کان جواز المسح کیف اتفق إلاّ أنّ صحیحة محمّد بن مسلم عن أبی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مسح الرأس علی مقدّمه</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دلّت علی التقیید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ویجب بعد مسح الرأس مسح الرجلین؛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امْسَحُوا بِرُؤُسِکُمْ وَ أَرْجُلَکُمْ إِلَی الْکَعْبَیْنِ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الأرجل إمّا عطف علی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علی محلّها، علی اختلاف القراءتین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أنّ العطف علی وجوهکم فیجب الغسل؛ غایته علی قراءة الجرّ یکون ذلک من باب المجاورة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جحر ضبّ خرب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بإباء الذوق السلیم عنه بعد طول الفصل بین المعطوف والمعطوف علیه بکلام أجنبی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ویجب مسح الیمنی بالیمینی والیسری؛ بالیسری؛ لصحیحة زرارة عن أبی جعفر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وتمسح ببلّة یمناک ناصیتک وما بقی من بلّة یمناک ظهر قدمک الیمنی، وتمسح ببلّة یُسراک ظهر قدمک الیسری</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ومنها یعلم لزوم کون المسح بماء الوضوء دون غیره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ویجب تقدیم مسح الیمنی؛ لصحیح محمد بن مسلم عن 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امسح علی القدمین وابدأ بالشقّ الأیمن</w:t>
      </w:r>
      <w:r>
        <w:rPr>
          <w:rFonts w:eastAsia="IRNazanin" w:cs="IRNazanin"/>
          <w:color w:val="111111"/>
          <w:sz w:val="28"/>
          <w:szCs w:val="28"/>
          <w:rtl w:val="true"/>
          <w:lang w:bidi="fa-IR"/>
        </w:rPr>
        <w:t xml:space="preserve">. </w:t>
      </w:r>
      <w:r>
        <w:rPr>
          <w:rStyle w:val="FootnoteAnchor"/>
          <w:rtl w:val="true"/>
        </w:rPr>
        <w:footnoteReference w:id="39"/>
      </w:r>
      <w:bookmarkStart w:id="58" w:name="pg5021_49164"/>
    </w:p>
    <w:p>
      <w:pPr>
        <w:pStyle w:val="Heading3"/>
        <w:numPr>
          <w:ilvl w:val="2"/>
          <w:numId w:val="1"/>
        </w:numPr>
        <w:rPr/>
      </w:pPr>
      <w:bookmarkStart w:id="59" w:name="__RefHeading___Toc580308_774463916"/>
      <w:bookmarkStart w:id="60" w:name="_Toc22"/>
      <w:bookmarkEnd w:id="58"/>
      <w:bookmarkEnd w:id="59"/>
      <w:r>
        <w:rPr>
          <w:rtl w:val="true"/>
        </w:rPr>
        <w:t>الدرس</w:t>
      </w:r>
      <w:r>
        <w:rPr/>
        <w:t>4</w:t>
      </w:r>
      <w:r>
        <w:rPr>
          <w:rtl w:val="true"/>
        </w:rPr>
        <w:t xml:space="preserve"> - </w:t>
      </w:r>
      <w:r>
        <w:rPr>
          <w:rtl w:val="true"/>
        </w:rPr>
        <w:t xml:space="preserve">کتاب الطهارة </w:t>
      </w:r>
      <w:r>
        <w:rPr>
          <w:rtl w:val="true"/>
        </w:rPr>
        <w:t>(</w:t>
      </w:r>
      <w:r>
        <w:rPr/>
        <w:t>4</w:t>
      </w:r>
      <w:r>
        <w:rPr>
          <w:rtl w:val="true"/>
        </w:rPr>
        <w:t>)</w:t>
      </w:r>
      <w:bookmarkEnd w:id="60"/>
    </w:p>
    <w:p>
      <w:pPr>
        <w:pStyle w:val="Heading4"/>
        <w:numPr>
          <w:ilvl w:val="3"/>
          <w:numId w:val="1"/>
        </w:numPr>
        <w:rPr/>
      </w:pPr>
      <w:bookmarkStart w:id="61" w:name="__RefHeading___Toc580310_774463916"/>
      <w:bookmarkStart w:id="62" w:name="_Toc23"/>
      <w:bookmarkEnd w:id="61"/>
      <w:r>
        <w:rPr>
          <w:rtl w:val="true"/>
        </w:rPr>
        <w:t>شرائط الوضوء</w:t>
      </w:r>
      <w:bookmarkEnd w:id="62"/>
    </w:p>
    <w:p>
      <w:pPr>
        <w:pStyle w:val="BookText"/>
        <w:rPr/>
      </w:pPr>
      <w:r>
        <w:rPr>
          <w:rFonts w:ascii="IRNazanin" w:hAnsi="IRNazanin" w:eastAsia="IRNazanin"/>
          <w:color w:val="111111"/>
          <w:sz w:val="28"/>
          <w:sz w:val="28"/>
          <w:szCs w:val="28"/>
          <w:rtl w:val="true"/>
          <w:lang w:bidi="fa-IR"/>
        </w:rPr>
        <w:t>یلزم فی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قصد الفعل بداعی امتثال أمرالله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لوضوء عبادة علی ما هو المرتکز فی ذهن جمیع المتشرّعة، والعبادة معناها إتیان العمل مضافاً إلی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ویجب إخلاص النیّة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إتیان العبادة لله تعالی محضاً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فیبطل بالریاء کمافی کلّ عمل عبادی بل هو محرّم وقد عُدّ المرائی فی بعض الروایات مشرکاً؛ ففی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لوأنّ عبداً عمل عملاً یطلب به وجه الله والدارالآخرة وأدخل فیه رضا أحد من الناس کان مشرکاً</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وعن النبی صلی الله علیه و آله فی حدیث</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فاتقوا الله فی الریاء، فإنّه الشرک بالله، إنّ المرائی یدعی یوم القیامة بأربعة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کافر، یا فاجر، یا غادر، یا خاسر، حبط عملُکَ، وبطل أجرک فلا خلاص لک الیوم، فالتمس أجرک ممّن کنت تعمل له</w:t>
      </w:r>
      <w:r>
        <w:rPr>
          <w:rFonts w:eastAsia="IRNazanin" w:cs="IRNazanin"/>
          <w:color w:val="111111"/>
          <w:sz w:val="28"/>
          <w:szCs w:val="28"/>
          <w:rtl w:val="true"/>
          <w:lang w:bidi="fa-IR"/>
        </w:rPr>
        <w:t xml:space="preserve">. </w:t>
      </w:r>
      <w:r>
        <w:rPr>
          <w:rStyle w:val="FootnoteAnchor"/>
          <w:rtl w:val="true"/>
        </w:rPr>
        <w:footnoteReference w:id="41"/>
      </w:r>
      <w:bookmarkStart w:id="63" w:name="pg5021_49165"/>
    </w:p>
    <w:p>
      <w:pPr>
        <w:pStyle w:val="BookText"/>
        <w:rPr/>
      </w:pPr>
      <w:bookmarkEnd w:id="63"/>
      <w:r>
        <w:rPr>
          <w:rFonts w:ascii="IRNazanin" w:hAnsi="IRNazanin" w:eastAsia="IRNazanin"/>
          <w:color w:val="111111"/>
          <w:sz w:val="28"/>
          <w:sz w:val="28"/>
          <w:szCs w:val="28"/>
          <w:rtl w:val="true"/>
          <w:lang w:bidi="fa-IR"/>
        </w:rPr>
        <w:t>شرائط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طهارة الماء واباحته؛ للروایات الکثیرة؛ وإطلاق الماء، لانصراف الأمر بالغسل إلیه وکذا یعتبر إباحته إذ بدونها یکون التوضوء تصرّفاً غصبیاً محرّماً لا یمکن أن یتصف بالعبادیة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والترتیب فی أفعال الوضوء؛ لصحیح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بدأ بیده قبل وجهه وبرجلیه قبل یدیه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یبدأ بما بدأ الله به ولیعد ما کان</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والموالاة؛ لصحیح معاویة بن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توضّأت فنفذ الماء فدعوت الجاریة، فابطأت علّی بالماء فیجفّ وضوئی،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دلّت علی اعتبار الموالاة بمعنی عدم الجفاف</w:t>
      </w:r>
      <w:r>
        <w:rPr>
          <w:rFonts w:eastAsia="IRNazanin" w:cs="IRNazanin"/>
          <w:color w:val="111111"/>
          <w:sz w:val="28"/>
          <w:szCs w:val="28"/>
          <w:rtl w:val="true"/>
          <w:lang w:bidi="fa-IR"/>
        </w:rPr>
        <w:t>.</w:t>
      </w:r>
    </w:p>
    <w:p>
      <w:pPr>
        <w:pStyle w:val="Heading4"/>
        <w:numPr>
          <w:ilvl w:val="3"/>
          <w:numId w:val="1"/>
        </w:numPr>
        <w:rPr/>
      </w:pPr>
      <w:bookmarkStart w:id="64" w:name="__RefHeading___Toc580312_774463916"/>
      <w:bookmarkStart w:id="65" w:name="_Toc24"/>
      <w:bookmarkEnd w:id="64"/>
      <w:r>
        <w:rPr>
          <w:rtl w:val="true"/>
        </w:rPr>
        <w:t>نواقض الوضوء</w:t>
      </w:r>
      <w:bookmarkEnd w:id="65"/>
    </w:p>
    <w:p>
      <w:pPr>
        <w:pStyle w:val="BookText"/>
        <w:rPr/>
      </w:pPr>
      <w:r>
        <w:rPr>
          <w:rFonts w:ascii="IRNazanin" w:hAnsi="IRNazanin" w:eastAsia="IRNazanin"/>
          <w:color w:val="111111"/>
          <w:sz w:val="28"/>
          <w:sz w:val="28"/>
          <w:szCs w:val="28"/>
          <w:rtl w:val="true"/>
          <w:lang w:bidi="fa-IR"/>
        </w:rPr>
        <w:t>ینتقض الوضوء؛ بالبول، والغائط، وخروج الریح، والمنی، والنوم؛ ویدّل علیه مضافاً إلی أنّه متسالم علیه صحیح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جعفر وأبی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ینقض الوضوء؟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یخرج من طرفیک الأسفلین من الذکر والدبر، من الغائط والبول أو منیً‌ّ أو ریح والنومُ حتی یذهب العقل</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وکذا ینتقض بالاستحاضة القلیلة والمتوسّطة بل والکبیرة علی ما یستفاد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 یجب الوضوء؟</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یجب الوضوء للصلاة الواجبة؛ للآیة المتقدّمة، وما دلّ من الأحادیث علی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bookmarkStart w:id="66" w:name="pg5021_49166"/>
    </w:p>
    <w:p>
      <w:pPr>
        <w:pStyle w:val="BookText"/>
        <w:rPr/>
      </w:pPr>
      <w:bookmarkEnd w:id="66"/>
      <w:r>
        <w:rPr>
          <w:rFonts w:ascii="Amiri" w:hAnsi="Amiri" w:eastAsia="Amiri" w:cs="Amiri"/>
          <w:color w:val="111111"/>
          <w:sz w:val="28"/>
          <w:sz w:val="28"/>
          <w:szCs w:val="28"/>
          <w:rtl w:val="true"/>
          <w:lang w:bidi="ar-SA"/>
        </w:rPr>
        <w:t>صلاة إلاّ بطهور</w:t>
      </w:r>
      <w:r>
        <w:rPr>
          <w:rFonts w:eastAsia="Amiri" w:cs="Amiri" w:ascii="Amiri" w:hAnsi="Amiri"/>
          <w:color w:val="111111"/>
          <w:sz w:val="28"/>
          <w:szCs w:val="28"/>
          <w:rtl w:val="true"/>
          <w:lang w:bidi="ar-SA"/>
        </w:rPr>
        <w:t xml:space="preserve">» </w:t>
      </w:r>
      <w:r>
        <w:rPr>
          <w:rStyle w:val="FootnoteAnchor"/>
          <w:rtl w:val="true"/>
        </w:rPr>
        <w:footnoteReference w:id="45"/>
      </w:r>
      <w:r>
        <w:rPr>
          <w:rFonts w:ascii="IRNazanin" w:hAnsi="IRNazanin" w:eastAsia="IRNazanin"/>
          <w:color w:val="111111"/>
          <w:sz w:val="28"/>
          <w:sz w:val="28"/>
          <w:szCs w:val="28"/>
          <w:rtl w:val="true"/>
          <w:lang w:bidi="fa-IR"/>
        </w:rPr>
        <w:t>نعم، لا یجب للصلاة علی المیّت؛ لما یأتی عند البحث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یجب للأجزاء المنسیة من الصلاة، ولصلاة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فلأنّهما من أجزاء الصلاة، ویجب للطواف؛ لصحیح علی بن جعفر عن أخیه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طاف ثم ذکر إنّه علی غیر وضوء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یقطع طوافه ولا یعتدّ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الشیعة باب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الطواف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67" w:name="__RefHeading___Toc580314_774463916"/>
      <w:bookmarkStart w:id="68" w:name="_Toc25"/>
      <w:bookmarkEnd w:id="67"/>
      <w:r>
        <w:rPr>
          <w:rtl w:val="true"/>
        </w:rPr>
        <w:t>أحکام خاصّة بالوضوء</w:t>
      </w:r>
      <w:bookmarkEnd w:id="68"/>
    </w:p>
    <w:p>
      <w:pPr>
        <w:pStyle w:val="BookText"/>
        <w:rPr/>
      </w:pPr>
      <w:r>
        <w:rPr>
          <w:rFonts w:ascii="IRNazanin" w:hAnsi="IRNazanin" w:eastAsia="IRNazanin"/>
          <w:color w:val="111111"/>
          <w:sz w:val="28"/>
          <w:sz w:val="28"/>
          <w:szCs w:val="28"/>
          <w:rtl w:val="true"/>
          <w:lang w:bidi="fa-IR"/>
        </w:rPr>
        <w:t>من تیقّن الحدث وشکّ فی الطهارة أو بالعکس، بنی علی الحالة السابقة؛ لقاعدة الاستصحاب المستفادة من قوله علیه السلام فی صحیح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ومن شکّ فی الطهارة بعد الصلاة بنی علی صحّتها؛ لقاعدة الفراغ المستفادة من موثّقة محمّد بن مسلم عن أبی جعفر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ما شککت فیه ممّا قد مضی فامضه کما هو </w:t>
      </w:r>
      <w:r>
        <w:rPr>
          <w:rStyle w:val="FootnoteAnchor"/>
          <w:rtl w:val="true"/>
        </w:rPr>
        <w:footnoteReference w:id="47"/>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شکّ فیها أثنائها ولم یکن محکوماً بالطهارة ظاهراً، استأنفها بعد الوضوء، لاستصحاب عدم الوضوء ولزوم إحراز شرط العمل</w:t>
      </w:r>
      <w:r>
        <w:rPr>
          <w:rFonts w:eastAsia="IRNazanin" w:cs="IRNazanin"/>
          <w:color w:val="111111"/>
          <w:sz w:val="28"/>
          <w:szCs w:val="28"/>
          <w:rtl w:val="true"/>
          <w:lang w:bidi="fa-IR"/>
        </w:rPr>
        <w:t>.</w:t>
      </w:r>
    </w:p>
    <w:p>
      <w:pPr>
        <w:pStyle w:val="Heading4"/>
        <w:numPr>
          <w:ilvl w:val="3"/>
          <w:numId w:val="1"/>
        </w:numPr>
        <w:rPr/>
      </w:pPr>
      <w:bookmarkStart w:id="69" w:name="__RefHeading___Toc580316_774463916"/>
      <w:bookmarkStart w:id="70" w:name="_Toc26"/>
      <w:bookmarkEnd w:id="69"/>
      <w:r>
        <w:rPr>
          <w:rtl w:val="true"/>
        </w:rPr>
        <w:t>آداب الوضوء</w:t>
      </w:r>
      <w:bookmarkEnd w:id="70"/>
    </w:p>
    <w:p>
      <w:pPr>
        <w:pStyle w:val="BookText"/>
        <w:rPr/>
      </w:pPr>
      <w:r>
        <w:rPr>
          <w:rFonts w:ascii="IRNazanin" w:hAnsi="IRNazanin" w:eastAsia="IRNazanin"/>
          <w:color w:val="111111"/>
          <w:sz w:val="28"/>
          <w:sz w:val="28"/>
          <w:szCs w:val="28"/>
          <w:rtl w:val="true"/>
          <w:lang w:bidi="fa-IR"/>
        </w:rPr>
        <w:t>ویستحبّ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التسمیة، والمضمضة والاستنشاق، وأن یبدأ الرجل بظاهر ذراعیه، والمرأة بباطنها، والدعاء عند غسل الأعضاء، والوضوء بِمُدّ، والسواک عنده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ویکره الاستعانة فیه والتمندل منه</w:t>
      </w:r>
      <w:r>
        <w:rPr>
          <w:rFonts w:eastAsia="IRNazanin" w:cs="IRNazanin"/>
          <w:color w:val="111111"/>
          <w:sz w:val="28"/>
          <w:szCs w:val="28"/>
          <w:rtl w:val="true"/>
          <w:lang w:bidi="fa-IR"/>
        </w:rPr>
        <w:t xml:space="preserve">. </w:t>
      </w:r>
      <w:r>
        <w:rPr>
          <w:rStyle w:val="FootnoteAnchor"/>
          <w:rtl w:val="true"/>
        </w:rPr>
        <w:footnoteReference w:id="48"/>
      </w:r>
      <w:bookmarkStart w:id="71" w:name="pg5021_49167"/>
    </w:p>
    <w:p>
      <w:pPr>
        <w:pStyle w:val="Heading3"/>
        <w:numPr>
          <w:ilvl w:val="2"/>
          <w:numId w:val="1"/>
        </w:numPr>
        <w:rPr/>
      </w:pPr>
      <w:bookmarkStart w:id="72" w:name="__RefHeading___Toc580318_774463916"/>
      <w:bookmarkStart w:id="73" w:name="_Toc27"/>
      <w:bookmarkEnd w:id="71"/>
      <w:bookmarkEnd w:id="72"/>
      <w:r>
        <w:rPr>
          <w:rtl w:val="true"/>
        </w:rPr>
        <w:t>الدرس</w:t>
      </w:r>
      <w:r>
        <w:rPr/>
        <w:t>5</w:t>
      </w:r>
      <w:r>
        <w:rPr>
          <w:rtl w:val="true"/>
        </w:rPr>
        <w:t xml:space="preserve"> - </w:t>
      </w:r>
      <w:r>
        <w:rPr>
          <w:rtl w:val="true"/>
        </w:rPr>
        <w:t xml:space="preserve">کتاب الطهارة </w:t>
      </w:r>
      <w:r>
        <w:rPr>
          <w:rtl w:val="true"/>
        </w:rPr>
        <w:t>(</w:t>
      </w:r>
      <w:r>
        <w:rPr/>
        <w:t>5</w:t>
      </w:r>
      <w:r>
        <w:rPr>
          <w:rtl w:val="true"/>
        </w:rPr>
        <w:t>)</w:t>
      </w:r>
      <w:bookmarkEnd w:id="73"/>
    </w:p>
    <w:p>
      <w:pPr>
        <w:pStyle w:val="Heading4"/>
        <w:numPr>
          <w:ilvl w:val="3"/>
          <w:numId w:val="1"/>
        </w:numPr>
        <w:rPr/>
      </w:pPr>
      <w:bookmarkStart w:id="74" w:name="__RefHeading___Toc580320_774463916"/>
      <w:bookmarkStart w:id="75" w:name="_Toc28"/>
      <w:bookmarkEnd w:id="74"/>
      <w:r>
        <w:rPr>
          <w:rtl w:val="true"/>
        </w:rPr>
        <w:t>الأغسال</w:t>
      </w:r>
      <w:bookmarkEnd w:id="75"/>
    </w:p>
    <w:p>
      <w:pPr>
        <w:pStyle w:val="Heading4"/>
        <w:numPr>
          <w:ilvl w:val="3"/>
          <w:numId w:val="1"/>
        </w:numPr>
        <w:rPr/>
      </w:pPr>
      <w:bookmarkStart w:id="76" w:name="__RefHeading___Toc580322_774463916"/>
      <w:bookmarkStart w:id="77" w:name="_Toc29"/>
      <w:bookmarkEnd w:id="76"/>
      <w:r>
        <w:rPr>
          <w:rtl w:val="true"/>
        </w:rPr>
        <w:t>غسل الجنابة وبعض أحکامه</w:t>
      </w:r>
      <w:bookmarkEnd w:id="77"/>
    </w:p>
    <w:p>
      <w:pPr>
        <w:pStyle w:val="BookText"/>
        <w:rPr/>
      </w:pPr>
      <w:r>
        <w:rPr>
          <w:rFonts w:ascii="Amiri" w:hAnsi="Amiri" w:eastAsia="Amiri" w:cs="Amiri"/>
          <w:color w:val="111111"/>
          <w:sz w:val="28"/>
          <w:sz w:val="28"/>
          <w:szCs w:val="28"/>
          <w:rtl w:val="true"/>
          <w:lang w:bidi="ar-SA"/>
        </w:rPr>
        <w:t>یجب الغسل للجنابة المتحقّقة بخروج المنی والجماع وان لم ینزل اجماعاً؛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کُنْتُمْ جُنُباً فَاطَّهَّرُوا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لامَسْتُمُ النِّساءَ فَلَمْ تَجِدُوا ماءً فَتَیَمَّمُوا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وللروایات الکثیرة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وجوبه غیری لا نفسی؛ لعدم الدلیل علیه وإنّما یجب مقدّمة للواجب المشروط بالطهارة، ویمکن أن یستدلّ علیه أیضاً بصحیح الیمانی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الغسل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ارتماسی، یغمس فیه جمیع البدن فی الماء دفعة واحدة عرفیة ویدلّ علی جوازه صحیح زرارة،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أنّ رجلاً جنباً ارتمس فی الماء ارتماسة واحدة أجزأه ذلک وإن لم یدْلک جسده</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وترتیبی، یغسل فیه الرأس والرقبة أوّلاً، ثمّ الطرف الأیمن، ثمّ الأیسر؛ لصحیحة زرارة</w:t>
      </w:r>
      <w:r>
        <w:rPr>
          <w:rFonts w:eastAsia="IRNazanin" w:cs="IRNazanin"/>
          <w:color w:val="111111"/>
          <w:sz w:val="28"/>
          <w:szCs w:val="28"/>
          <w:rtl w:val="true"/>
          <w:lang w:bidi="fa-IR"/>
        </w:rPr>
        <w:t>:</w:t>
      </w:r>
      <w:bookmarkStart w:id="78" w:name="pg5021_49168"/>
    </w:p>
    <w:p>
      <w:pPr>
        <w:pStyle w:val="BookText"/>
        <w:rPr/>
      </w:pPr>
      <w:bookmarkEnd w:id="78"/>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یغتسل الجنب؟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یکن أصاب کفّه شیء غمسها فی الماء، ثمّ بدأ بفرجه فأنقاه بثلاث غرف ثمّ صبّ علی رأسه ثلاث أکف، ثمّ صبّ علی منکبه الأیمن مرّتین؛ وعلی منکبه الأیسر فما جری علیه الماء فقد أجزأه</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ولا یضرّها الأضمار بعد کون المضمر من أجلّاء الأصحاب الذین لا تلیق بهم الروایة عن غیرالإمام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تعتبر الموالاة؛ لعدم الدلیل علیها؛ ولصحیحة إبراهیم بن عمر الیمانی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علیاً علیه السلام لم یر بأساً أن یغسل الجنب رأسه غدوة، ویغسل سائر جسده عند الصلاة</w:t>
      </w:r>
      <w:r>
        <w:rPr>
          <w:rFonts w:eastAsia="IRNazanin" w:cs="IRNazanin"/>
          <w:color w:val="111111"/>
          <w:sz w:val="28"/>
          <w:szCs w:val="28"/>
          <w:rtl w:val="true"/>
          <w:lang w:bidi="fa-IR"/>
        </w:rPr>
        <w:t xml:space="preserve">. </w:t>
      </w:r>
      <w:r>
        <w:rPr>
          <w:rStyle w:val="FootnoteAnchor"/>
          <w:rtl w:val="true"/>
        </w:rPr>
        <w:footnoteReference w:id="51"/>
      </w:r>
    </w:p>
    <w:p>
      <w:pPr>
        <w:pStyle w:val="Heading4"/>
        <w:numPr>
          <w:ilvl w:val="3"/>
          <w:numId w:val="1"/>
        </w:numPr>
        <w:rPr/>
      </w:pPr>
      <w:bookmarkStart w:id="79" w:name="__RefHeading___Toc580324_774463916"/>
      <w:bookmarkStart w:id="80" w:name="_Toc30"/>
      <w:bookmarkEnd w:id="79"/>
      <w:r>
        <w:rPr>
          <w:rtl w:val="true"/>
        </w:rPr>
        <w:t>أحکام غسل الجنابة</w:t>
      </w:r>
      <w:bookmarkEnd w:id="80"/>
    </w:p>
    <w:p>
      <w:pPr>
        <w:pStyle w:val="BookText"/>
        <w:rPr/>
      </w:pPr>
      <w:r>
        <w:rPr>
          <w:rFonts w:ascii="Amiri" w:hAnsi="Amiri" w:eastAsia="Amiri" w:cs="Amiri"/>
          <w:color w:val="111111"/>
          <w:sz w:val="28"/>
          <w:sz w:val="28"/>
          <w:szCs w:val="28"/>
          <w:rtl w:val="true"/>
          <w:lang w:bidi="ar-SA"/>
        </w:rPr>
        <w:t>غسل الجنابة یجزی عن الوضوء؛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قُمْتُمْ إِلَی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کُنْتُمْ جُنُباً فَاطَّهَّرُوا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علی أنّ وظیفة الجنب الغسل، ووظیفة غیره الوضوء والتفصیل قاطع للشرکة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شکّ فی صدور غسل الجنابة منه، بنی علی عدمه؛ للا 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شکّ فی صحته بعد الفراغ منه بنی علی الصحّة، لقاعدة الفراغ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شک فی صدوره بعد الصلاة بنی علی عدمه؛ للاستصحاب، ولا یلزمه إعادتها؛ لقاعدة الفراغ</w:t>
      </w:r>
      <w:r>
        <w:rPr>
          <w:rFonts w:eastAsia="IRNazanin" w:cs="IRNazanin"/>
          <w:color w:val="111111"/>
          <w:sz w:val="28"/>
          <w:szCs w:val="28"/>
          <w:rtl w:val="true"/>
          <w:lang w:bidi="fa-IR"/>
        </w:rPr>
        <w:t>.</w:t>
      </w:r>
    </w:p>
    <w:p>
      <w:pPr>
        <w:pStyle w:val="Heading4"/>
        <w:numPr>
          <w:ilvl w:val="3"/>
          <w:numId w:val="1"/>
        </w:numPr>
        <w:rPr/>
      </w:pPr>
      <w:bookmarkStart w:id="81" w:name="__RefHeading___Toc580326_774463916"/>
      <w:bookmarkStart w:id="82" w:name="_Toc31"/>
      <w:bookmarkEnd w:id="81"/>
      <w:r>
        <w:rPr>
          <w:rtl w:val="true"/>
        </w:rPr>
        <w:t>المحرّمات علی الجنب</w:t>
      </w:r>
      <w:bookmarkEnd w:id="8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یحرم علی الجنب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کتابة القرآن الکریم؛ لموثّق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 علیه السلام</w:t>
      </w:r>
    </w:p>
    <w:p>
      <w:pPr>
        <w:pStyle w:val="BookText"/>
        <w:rPr/>
      </w:pPr>
      <w:r>
        <w:rPr>
          <w:rFonts w:ascii="IRNazanin" w:hAnsi="IRNazanin" w:eastAsia="IRNazanin"/>
          <w:color w:val="111111"/>
          <w:sz w:val="28"/>
          <w:sz w:val="28"/>
          <w:szCs w:val="28"/>
          <w:rtl w:val="true"/>
          <w:lang w:bidi="fa-IR"/>
        </w:rPr>
        <w:t>عمّن قرأ فی المصحف وهو علی غیر وضوء،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ولا یمسّ الکتاب</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وأُلحق بذلک، لفظ الجلالة والصفات الخاصة بالذات المقدسة، علی المشهور؛ لموثّق عمّار،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یمسّ الجنب درهماً ولا دیناراً علیه اسم الله</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ویحرم علیه أیضاً قراءة آیة السجدة من سور العزائم، بلا خلاف وتدلّ علیه صحیحة زرارة، عن أبی جعفر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الحائض والجنب هل یقرءان من القرآن شیئاً؟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ما شاءالله إلاّالسجدة</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وهل تشمل آیات السور مطلقاً أو تختص بآیات السجدة منها؟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وکذا یحرم علیه دخول المساجد إلاّ بنحو الاجتیاز، بالدخول من باب والخروج من آخر إلاّ بالنسبة إلی المسجدین الشریفین، فإنّه یحرم ذلک فیهما أیضاً، ویدلّ علی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تَقْرَبُوا الصَّلاةَ وَ أَنْتُمْ سُکاری حَتّی تَعْلَمُوا ما تَقُولُونَ وَ لا جُنُباً إِلاّ عابِرِی سَبِیلٍ</w:t>
      </w:r>
      <w:r>
        <w:rPr>
          <w:rFonts w:eastAsia="Amiri" w:cs="Amiri" w:ascii="Amiri" w:hAnsi="Amiri"/>
          <w:color w:val="111111"/>
          <w:sz w:val="28"/>
          <w:szCs w:val="28"/>
          <w:rtl w:val="true"/>
          <w:lang w:bidi="ar-SA"/>
        </w:rPr>
        <w:t xml:space="preserve">... . </w:t>
      </w:r>
      <w:r>
        <w:rPr>
          <w:rStyle w:val="FootnoteAnchor"/>
          <w:rtl w:val="true"/>
        </w:rPr>
        <w:footnoteReference w:id="55"/>
      </w:r>
      <w:r>
        <w:rPr>
          <w:rFonts w:ascii="IRNazanin" w:hAnsi="IRNazanin" w:eastAsia="IRNazanin"/>
          <w:color w:val="111111"/>
          <w:sz w:val="28"/>
          <w:sz w:val="28"/>
          <w:szCs w:val="28"/>
          <w:rtl w:val="true"/>
          <w:lang w:bidi="fa-IR"/>
        </w:rPr>
        <w:t xml:space="preserve">بعد تفسیره فی صحیح ابن مسلم عن أبی جعفر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الحائض والجنب لا یدخلان المسجد إلاّ مجتازین إنّ الله تبارک وتعالی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جُنُباً إِلاّ عابِرِی سَبِیلٍ</w:t>
      </w:r>
      <w:r>
        <w:rPr>
          <w:rFonts w:eastAsia="Amiri" w:cs="Amiri" w:ascii="Amiri" w:hAnsi="Amiri"/>
          <w:color w:val="111111"/>
          <w:sz w:val="28"/>
          <w:szCs w:val="28"/>
          <w:rtl w:val="true"/>
          <w:lang w:bidi="ar-SA"/>
        </w:rPr>
        <w:t xml:space="preserve">... . </w:t>
      </w:r>
      <w:r>
        <w:rPr>
          <w:rStyle w:val="FootnoteAnchor"/>
          <w:rtl w:val="true"/>
        </w:rPr>
        <w:footnoteReference w:id="56"/>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عدم الجواز فی المسجدین الشریفین حتی بنحو الاجتیاز؛ لصحیحة ابن مسلم الأخری عنه فی حدیث الجنب والحائض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ویدخلان المسجد مجتازین ولا یقعدان فیه ولا یقربان المسجدین الحرمین</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وأمّا المشاهد المشرّفة، فقیل بإلحاقها بالمساجد؛ لأنّ روح المسجدیة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شرافة المکان ولکونه محلّاً للعبادة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متحقّقة فیها ویؤیده قول الصادق علیه السلام لأبی بصیر، حینما دخل علیه جنباً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محمّد، أمّا تعلم إنّه لا ینبغی لجنب أن یدخل بیوت الأنبیاء؟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أبوبصیر ودخلنا</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ولا ریب أنّه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یحرم علی الجنب والحائض وضع شیء فی المسجد بلا خلاف لقول الصادق علیه السلام فی صحیح ابن سنان</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لا یضعان فی المسجد شیئاً</w:t>
      </w:r>
      <w:r>
        <w:rPr>
          <w:rFonts w:eastAsia="IRNazanin" w:cs="IRNazanin"/>
          <w:color w:val="111111"/>
          <w:sz w:val="28"/>
          <w:szCs w:val="28"/>
          <w:rtl w:val="true"/>
          <w:lang w:bidi="fa-IR"/>
        </w:rPr>
        <w:t xml:space="preserve">. </w:t>
      </w:r>
      <w:r>
        <w:rPr>
          <w:rStyle w:val="FootnoteAnchor"/>
          <w:rtl w:val="true"/>
        </w:rPr>
        <w:footnoteReference w:id="59"/>
      </w:r>
      <w:bookmarkStart w:id="83" w:name="pg5021_49171"/>
    </w:p>
    <w:p>
      <w:pPr>
        <w:pStyle w:val="Heading3"/>
        <w:numPr>
          <w:ilvl w:val="2"/>
          <w:numId w:val="1"/>
        </w:numPr>
        <w:rPr/>
      </w:pPr>
      <w:bookmarkStart w:id="84" w:name="__RefHeading___Toc580328_774463916"/>
      <w:bookmarkStart w:id="85" w:name="_Toc32"/>
      <w:bookmarkEnd w:id="83"/>
      <w:bookmarkEnd w:id="84"/>
      <w:r>
        <w:rPr>
          <w:rtl w:val="true"/>
        </w:rPr>
        <w:t>الدرس</w:t>
      </w:r>
      <w:r>
        <w:rPr/>
        <w:t>6</w:t>
      </w:r>
      <w:r>
        <w:rPr>
          <w:rtl w:val="true"/>
        </w:rPr>
        <w:t xml:space="preserve"> - </w:t>
      </w:r>
      <w:r>
        <w:rPr>
          <w:rtl w:val="true"/>
        </w:rPr>
        <w:t xml:space="preserve">کتاب الطهارة </w:t>
      </w:r>
      <w:r>
        <w:rPr>
          <w:rtl w:val="true"/>
        </w:rPr>
        <w:t>(</w:t>
      </w:r>
      <w:r>
        <w:rPr/>
        <w:t>6</w:t>
      </w:r>
      <w:r>
        <w:rPr>
          <w:rtl w:val="true"/>
        </w:rPr>
        <w:t>)</w:t>
      </w:r>
      <w:bookmarkEnd w:id="85"/>
    </w:p>
    <w:p>
      <w:pPr>
        <w:pStyle w:val="Heading4"/>
        <w:numPr>
          <w:ilvl w:val="3"/>
          <w:numId w:val="1"/>
        </w:numPr>
        <w:rPr/>
      </w:pPr>
      <w:bookmarkStart w:id="86" w:name="__RefHeading___Toc580330_774463916"/>
      <w:bookmarkStart w:id="87" w:name="_Toc33"/>
      <w:bookmarkEnd w:id="86"/>
      <w:r>
        <w:rPr>
          <w:rtl w:val="true"/>
        </w:rPr>
        <w:t>الحیض وبعض أحکامه</w:t>
      </w:r>
      <w:bookmarkEnd w:id="87"/>
    </w:p>
    <w:p>
      <w:pPr>
        <w:pStyle w:val="BookText"/>
        <w:rPr/>
      </w:pPr>
      <w:r>
        <w:rPr>
          <w:rFonts w:ascii="IRNazanin" w:hAnsi="IRNazanin" w:eastAsia="IRNazanin"/>
          <w:color w:val="111111"/>
          <w:sz w:val="28"/>
          <w:sz w:val="28"/>
          <w:szCs w:val="28"/>
          <w:rtl w:val="true"/>
          <w:lang w:bidi="fa-IR"/>
        </w:rPr>
        <w:t>الحیض دم یخرج من المرأة فی کلّ شهر غالباً وهو أسود أو أحمر حارّ عبیط یخرج بدفق وحرقة فی الغالب وقد یتخلّف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وأقلّه ثلاثة أیام وأکثره عشرة؛ لصحیح معاویة بن عمّار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أقلّ ما یکون الحیض ثلاثة أیام وأکثره ما یکون عشرة أیام</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ویعتبر کونه بعد البلوغ وقبل الیأس وهو خمسون سنه فی غیر القرشیة والستون فیها للروایات</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ولا تصحّ من الحائض، الصلاة والصوم والطواف والاعتکاف إلاّ بعد الانقطاع والاغتسال؛ للروایات، منها صحیح زرارة عن أبی جعفر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کانت المرأة طامثاً فلا تحلّ لها الصلاة</w:t>
      </w:r>
      <w:r>
        <w:rPr>
          <w:rFonts w:eastAsia="IRNazanin" w:cs="IRNazanin"/>
          <w:color w:val="111111"/>
          <w:sz w:val="28"/>
          <w:szCs w:val="28"/>
          <w:rtl w:val="true"/>
          <w:lang w:bidi="fa-IR"/>
        </w:rPr>
        <w:t xml:space="preserve">. </w:t>
      </w:r>
      <w:r>
        <w:rPr>
          <w:rStyle w:val="FootnoteAnchor"/>
          <w:rtl w:val="true"/>
        </w:rPr>
        <w:footnoteReference w:id="62"/>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وموثقة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 عن المستحاضة، قال</w:t>
      </w:r>
      <w:r>
        <w:rPr>
          <w:rFonts w:eastAsia="Amiri" w:cs="Amiri" w:ascii="Amiri" w:hAnsi="Amiri"/>
          <w:color w:val="111111"/>
          <w:sz w:val="28"/>
          <w:szCs w:val="28"/>
          <w:rtl w:val="true"/>
          <w:lang w:bidi="ar-SA"/>
        </w:rPr>
        <w:t>:</w:t>
      </w:r>
      <w:bookmarkStart w:id="88" w:name="pg5021_49172"/>
    </w:p>
    <w:p>
      <w:pPr>
        <w:pStyle w:val="BookText"/>
        <w:rPr/>
      </w:pPr>
      <w:bookmarkEnd w:id="88"/>
      <w:r>
        <w:rPr>
          <w:rFonts w:ascii="IRNazanin" w:hAnsi="IRNazanin" w:eastAsia="IRNazanin"/>
          <w:color w:val="111111"/>
          <w:sz w:val="28"/>
          <w:sz w:val="28"/>
          <w:szCs w:val="28"/>
          <w:rtl w:val="true"/>
          <w:lang w:bidi="fa-IR"/>
        </w:rPr>
        <w:t>تصوم شهر رمضان إلاّ الأیام التی کانت تحیض فیها ثمّ تقضیها بعد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ومنه یعلم عدم صحّة اعتکافها بعد اشتراطه بالصوم، وأمّا الطواف فلما یأتی فی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وتقضی الصوم دون الصلاة بلا خلاف؛ ویدل علیه صحیح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أباجعفر علیه السلام عن قضاء الحائض الصلاة ثم تقضی الصیام،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علیها أن تقضی الصلاة، وعلیها أن تقضی صوم شهر رمضان</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ویحرم علیها ما یحرم علی الجنب؛ لذکر الحائض مع الجنب فی معظم الروایات الواردة فی بیان محرمات الجنابة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ویحرم لزوجها وطؤها قبل الانقطاع؛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یَسْئَلُونَکَ عَنِ الْمَحِیضِ قُلْ هُوَ أَذیً فَاعْتَزِلُوا النِّساءَ فِی الْمَحِیضِ وَ لا تَقْرَبُوهُنَّ حَتّی یَطْهُرْنَ</w:t>
      </w:r>
      <w:r>
        <w:rPr>
          <w:rFonts w:eastAsia="Amiri" w:cs="Amiri" w:ascii="Amiri" w:hAnsi="Amiri"/>
          <w:color w:val="111111"/>
          <w:sz w:val="28"/>
          <w:szCs w:val="28"/>
          <w:rtl w:val="true"/>
          <w:lang w:bidi="ar-SA"/>
        </w:rPr>
        <w:t xml:space="preserve">... .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ولا یصحّ طلاقها علی تفصیل مذکور فی کتاب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وکیفیة غسلها؛ کغسل الجنابة، لموثّق الحلبی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الجنابة والحیض واحد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ویدلّ علیه أیضاً عدم البیان لکیفیة أخری مغایرة لغسل الجنابة بعد شدة الابتلاء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یکفی لإثبات الوحدة</w:t>
      </w:r>
      <w:r>
        <w:rPr>
          <w:rFonts w:eastAsia="IRNazanin" w:cs="IRNazanin"/>
          <w:color w:val="111111"/>
          <w:sz w:val="28"/>
          <w:szCs w:val="28"/>
          <w:rtl w:val="true"/>
          <w:lang w:bidi="fa-IR"/>
        </w:rPr>
        <w:t>.</w:t>
      </w:r>
    </w:p>
    <w:p>
      <w:pPr>
        <w:pStyle w:val="Heading4"/>
        <w:numPr>
          <w:ilvl w:val="3"/>
          <w:numId w:val="1"/>
        </w:numPr>
        <w:rPr/>
      </w:pPr>
      <w:bookmarkStart w:id="89" w:name="__RefHeading___Toc580332_774463916"/>
      <w:bookmarkStart w:id="90" w:name="_Toc34"/>
      <w:bookmarkEnd w:id="89"/>
      <w:r>
        <w:rPr>
          <w:rtl w:val="true"/>
        </w:rPr>
        <w:t>الاستحاضة وبعض أحکامها</w:t>
      </w:r>
      <w:bookmarkEnd w:id="9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یخرج فی غیر وقت العادة الشهریة والولادة، ولیس من جرح أو وکما هو من الأمور الواضحة الوجدانیة، ویکون فی الغالب أصفر بارداً رقیقاً لا حرقة فیه عکس دم 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جاء فی صحیح حفص بن البختری عن أبی عبدالله علیه السلام </w:t>
      </w:r>
      <w:r>
        <w:rPr>
          <w:rFonts w:eastAsia="IRNazanin" w:cs="IRNazanin"/>
          <w:color w:val="111111"/>
          <w:sz w:val="28"/>
          <w:szCs w:val="28"/>
          <w:rtl w:val="true"/>
          <w:lang w:bidi="fa-IR"/>
        </w:rPr>
        <w:t>:</w:t>
      </w:r>
      <w:bookmarkStart w:id="91" w:name="pg5021_49173"/>
    </w:p>
    <w:p>
      <w:pPr>
        <w:pStyle w:val="BookText"/>
        <w:rPr/>
      </w:pPr>
      <w:bookmarkEnd w:id="91"/>
      <w:r>
        <w:rPr>
          <w:rFonts w:ascii="IRNazanin" w:hAnsi="IRNazanin" w:eastAsia="IRNazanin"/>
          <w:color w:val="111111"/>
          <w:sz w:val="28"/>
          <w:sz w:val="28"/>
          <w:szCs w:val="28"/>
          <w:rtl w:val="true"/>
          <w:lang w:bidi="fa-IR"/>
        </w:rPr>
        <w:t>إن دم الحیض حارّ عبیط أسود له دفع وحرارة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ودم الاستحاضة أصفر بارد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ولا حدّ لقلیله ولا لکثیره؛ لاطلاق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علی حکم الاستحاضة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ودم الاستحاضة علی أقسام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 لا یغمس القطنة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ومتوسّط یغمسها ولا یسیل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وکثیریغمسها ویسیل، ولا یسقط عنها الصوم والصلاة فی شیء منها، لعدم الدلیل علی سقوطهما عنها بعد إطلاق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أحکام الاستحاضة</w:t>
      </w:r>
    </w:p>
    <w:p>
      <w:pPr>
        <w:pStyle w:val="BookText"/>
        <w:rPr/>
      </w:pPr>
      <w:r>
        <w:rPr>
          <w:rFonts w:ascii="IRNazanin" w:hAnsi="IRNazanin" w:eastAsia="IRNazanin"/>
          <w:color w:val="111111"/>
          <w:sz w:val="28"/>
          <w:sz w:val="28"/>
          <w:szCs w:val="28"/>
          <w:rtl w:val="true"/>
          <w:lang w:bidi="fa-IR"/>
        </w:rPr>
        <w:t>إن کان الدم قلیلاً، تتوضأ لکلّ صلاة؛ لقول الصادق علیه السلام فی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الدم لا یثقب الکرسف توضأت ودخلت المسجد وصلّت کلّ صلاة بوضوء</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وإن کان متوسطاً فعلیها الاغتسال مرّة واحدة، وإن کان کثیراً؛ فثلاث مر لصلاة الصبح ومرّة للظهرین ومرّة للعشائین؛ لصحیح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جاز الدم الکرسف تعصّبت واغتسلت ثمّ صلّت الغداة بغسل والظهر والعصر بغسل، والمغرب والعشاء بغسل وإن لم یجز الدم الکرسف صلّت بغسل واحد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وعلیها الوضوء لکلّ صلاة کما فی روایة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 باب من ابواب الاستحاضة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یجب علی الکثیرة الوضوء لکلّ صلاة؟وجهان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والمشهور الوجوب</w:t>
      </w:r>
      <w:r>
        <w:rPr>
          <w:rFonts w:eastAsia="IRNazanin" w:cs="IRNazanin"/>
          <w:color w:val="111111"/>
          <w:sz w:val="28"/>
          <w:szCs w:val="28"/>
          <w:rtl w:val="true"/>
          <w:lang w:bidi="fa-IR"/>
        </w:rPr>
        <w:t>.</w:t>
      </w:r>
    </w:p>
    <w:p>
      <w:pPr>
        <w:pStyle w:val="Heading4"/>
        <w:numPr>
          <w:ilvl w:val="3"/>
          <w:numId w:val="1"/>
        </w:numPr>
        <w:rPr/>
      </w:pPr>
      <w:bookmarkStart w:id="92" w:name="__RefHeading___Toc580334_774463916"/>
      <w:bookmarkStart w:id="93" w:name="_Toc35"/>
      <w:bookmarkEnd w:id="92"/>
      <w:r>
        <w:rPr>
          <w:rtl w:val="true"/>
        </w:rPr>
        <w:t>النفاس وبعض أحکامه</w:t>
      </w:r>
      <w:bookmarkEnd w:id="9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الدم الخارج حین الولادة وبعدها لا قبلها؛ لقول الصادق علیه السلام فی موثّقة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سأله عن المرأة یصیبها الطلق أیاماً أو یوماً أو یومین فتری الصفرة أودماً؟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ما لم تلد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وأکثره عشرة، کما هو المشهور ولا حدّ لأقله؛ لإطلاق الأخبار، فإذا تجاوز العشرة فمقدار العادة فی المحیض نفاس والزائد استحاضة؛ لصحیح زرارة عن أبی جعفر علیه السلام</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النفساء متی تصلّی؟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تقعد قدر حیضها، وتستظهر بیومین، فإن انقطع الدم وإلاّ اغتسلت واحتشت واستثفرت وصلّت</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بتقریب أن الاستظهار بیومین لطلب ظهور الحال وأنّه یتجاوز العشرة لترجع إلی عادتها أو لا یتجاوزها لیکون مجموعه نفاساً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ویحرم وطؤها ولا یصحّ طلاقها، وتترک الصلاة والصوم مع قضاء الثانی، کلّ ذلک‌للروایات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وغسلها کغسل الجنابة للنکتة المشار إلیها فی غسل الحیض</w:t>
      </w:r>
      <w:r>
        <w:rPr>
          <w:rFonts w:eastAsia="IRNazanin" w:cs="IRNazanin"/>
          <w:color w:val="111111"/>
          <w:sz w:val="28"/>
          <w:szCs w:val="28"/>
          <w:rtl w:val="true"/>
          <w:lang w:bidi="fa-IR"/>
        </w:rPr>
        <w:t>.</w:t>
      </w:r>
      <w:bookmarkStart w:id="94" w:name="pg5021_49175"/>
    </w:p>
    <w:p>
      <w:pPr>
        <w:pStyle w:val="Heading3"/>
        <w:numPr>
          <w:ilvl w:val="2"/>
          <w:numId w:val="1"/>
        </w:numPr>
        <w:rPr/>
      </w:pPr>
      <w:bookmarkStart w:id="95" w:name="__RefHeading___Toc580336_774463916"/>
      <w:bookmarkStart w:id="96" w:name="_Toc36"/>
      <w:bookmarkEnd w:id="94"/>
      <w:bookmarkEnd w:id="95"/>
      <w:r>
        <w:rPr>
          <w:rtl w:val="true"/>
        </w:rPr>
        <w:t>الدرس</w:t>
      </w:r>
      <w:r>
        <w:rPr/>
        <w:t>7</w:t>
      </w:r>
      <w:r>
        <w:rPr>
          <w:rtl w:val="true"/>
        </w:rPr>
        <w:t xml:space="preserve"> - </w:t>
      </w:r>
      <w:r>
        <w:rPr>
          <w:rtl w:val="true"/>
        </w:rPr>
        <w:t xml:space="preserve">کتاب الطهارة </w:t>
      </w:r>
      <w:r>
        <w:rPr>
          <w:rtl w:val="true"/>
        </w:rPr>
        <w:t>(</w:t>
      </w:r>
      <w:r>
        <w:rPr/>
        <w:t>7</w:t>
      </w:r>
      <w:r>
        <w:rPr>
          <w:rtl w:val="true"/>
        </w:rPr>
        <w:t>)</w:t>
      </w:r>
      <w:bookmarkEnd w:id="96"/>
    </w:p>
    <w:p>
      <w:pPr>
        <w:pStyle w:val="Heading4"/>
        <w:numPr>
          <w:ilvl w:val="3"/>
          <w:numId w:val="1"/>
        </w:numPr>
        <w:rPr/>
      </w:pPr>
      <w:bookmarkStart w:id="97" w:name="__RefHeading___Toc580338_774463916"/>
      <w:bookmarkStart w:id="98" w:name="_Toc37"/>
      <w:bookmarkEnd w:id="97"/>
      <w:r>
        <w:rPr>
          <w:rtl w:val="true"/>
        </w:rPr>
        <w:t>الموت ومسّ المیت</w:t>
      </w:r>
      <w:bookmarkEnd w:id="98"/>
    </w:p>
    <w:p>
      <w:pPr>
        <w:pStyle w:val="BookText"/>
        <w:rPr/>
      </w:pPr>
      <w:r>
        <w:rPr>
          <w:rFonts w:ascii="IRNazanin" w:hAnsi="IRNazanin" w:eastAsia="IRNazanin"/>
          <w:color w:val="111111"/>
          <w:sz w:val="28"/>
          <w:sz w:val="28"/>
          <w:szCs w:val="28"/>
          <w:rtl w:val="true"/>
          <w:lang w:bidi="fa-IR"/>
        </w:rPr>
        <w:t>آداب الاحتضار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عند الاحتضار نقل المحتضر إلی مصلّاه وتلقینه الشهادتین والإقرار بالنبی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وکلمات الفرج، وأن تغمض عیناه، ویطبق فوه، وتمدّ یداه إلی جنبیه، ویغطی بثوب، وأن یقرأ عنده القرآن، ویسرج عنده إن مات لیلاً، ویُعلم المؤمنون بموته، ویعجّل تجهیزه إلاّ مع الاشتباه</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إذا حضرت الإنسانَ الوفاةُ یجب، توجیهه إلی القبلة علی المشهور، لما 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رسول‌الله صلی الله علیه و آله دخل علی رجل من ولد عبد المطلب وهو فی السَوق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وجّه إلی غیر القبلة،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وجهوه إلی القبلة، فإنّکم إذا فعلتم ذلک أقبلت علیه الملائکة</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وللسیرة المستمرة من المسلمین</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ویلزم تغسیل المیت المسلم، إجماعاً وتدلّ علیه موثّقة سماعة عن أبی عبدالله علیه السلام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غسل المیت واجب</w:t>
      </w:r>
      <w:r>
        <w:rPr>
          <w:rFonts w:eastAsia="IRNazanin" w:cs="IRNazanin"/>
          <w:color w:val="111111"/>
          <w:sz w:val="28"/>
          <w:szCs w:val="28"/>
          <w:rtl w:val="true"/>
          <w:lang w:bidi="fa-IR"/>
        </w:rPr>
        <w:t xml:space="preserve">». </w:t>
      </w:r>
      <w:r>
        <w:rPr>
          <w:rStyle w:val="FootnoteAnchor"/>
          <w:rtl w:val="true"/>
        </w:rPr>
        <w:footnoteReference w:id="74"/>
      </w:r>
      <w:bookmarkStart w:id="99" w:name="pg5021_49176"/>
    </w:p>
    <w:p>
      <w:pPr>
        <w:pStyle w:val="BookText"/>
        <w:rPr/>
      </w:pPr>
      <w:bookmarkEnd w:id="99"/>
      <w:r>
        <w:rPr>
          <w:rFonts w:ascii="IRNazanin" w:hAnsi="IRNazanin" w:eastAsia="IRNazanin"/>
          <w:color w:val="111111"/>
          <w:sz w:val="28"/>
          <w:sz w:val="28"/>
          <w:szCs w:val="28"/>
          <w:rtl w:val="true"/>
          <w:lang w:bidi="fa-IR"/>
        </w:rPr>
        <w:t>والواجب ثلاثة أغسال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بماءالسدر أوّلاً، وبماء الکافور ثانیاً، وبالماء القراح ثالثاً، للروایات، ومنها صحیح ابن مسکان</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وکیفیّته کغسل الجنابة، لما تقدّم فی کیفیة غسل الحیض، ولبعض الروایات</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وتلزم فی المغِسّل المماثلة، لصحیحة الحلبی عن أبی عبد 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سأله عن المرأة تموت فی السفر ولیس معها ذو محرم ولا نساء،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تدفن کما هی فی ثیابها، وعن الرجل یموت ولیس معه إلاّ النساء ولیس معهّن رجال؟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یدفن کما هو بثیابه</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هذا فی غیر الزوجین والمحارم کما یستفاد من التقریر بالنسبة إلی روایة الحلبی وروایات أخری صریحة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یشترط علی المشهور فی الطفل الذی تجاوز الثلاث سنین لبعض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تجب المماثله اذا کان أقل سنّاً</w:t>
      </w:r>
      <w:r>
        <w:rPr>
          <w:rFonts w:eastAsia="IRNazanin" w:cs="IRNazanin"/>
          <w:color w:val="111111"/>
          <w:sz w:val="28"/>
          <w:szCs w:val="28"/>
          <w:rtl w:val="true"/>
          <w:lang w:bidi="fa-IR"/>
        </w:rPr>
        <w:t>.</w:t>
      </w:r>
    </w:p>
    <w:p>
      <w:pPr>
        <w:pStyle w:val="Heading4"/>
        <w:numPr>
          <w:ilvl w:val="3"/>
          <w:numId w:val="1"/>
        </w:numPr>
        <w:rPr/>
      </w:pPr>
      <w:bookmarkStart w:id="100" w:name="__RefHeading___Toc580340_774463916"/>
      <w:bookmarkStart w:id="101" w:name="_Toc38"/>
      <w:bookmarkEnd w:id="100"/>
      <w:r>
        <w:rPr>
          <w:rtl w:val="true"/>
        </w:rPr>
        <w:t>التحنیط</w:t>
      </w:r>
      <w:bookmarkEnd w:id="101"/>
    </w:p>
    <w:p>
      <w:pPr>
        <w:pStyle w:val="BookText"/>
        <w:rPr/>
      </w:pPr>
      <w:r>
        <w:rPr>
          <w:rFonts w:ascii="IRNazanin" w:hAnsi="IRNazanin" w:eastAsia="IRNazanin"/>
          <w:color w:val="111111"/>
          <w:sz w:val="28"/>
          <w:sz w:val="28"/>
          <w:szCs w:val="28"/>
          <w:rtl w:val="true"/>
          <w:lang w:bidi="fa-IR"/>
        </w:rPr>
        <w:t>یجب التحنیط؛ کفایة بعد التغسیل بمسح المساجد السبعة بالکافور المسحوق؛ للروایات ومنها صحیحة زرارة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جففت المیت عمدت إلی الکافور فمسحت به آثار السجود</w:t>
      </w:r>
      <w:r>
        <w:rPr>
          <w:rFonts w:eastAsia="IRNazanin" w:cs="IRNazanin"/>
          <w:color w:val="111111"/>
          <w:sz w:val="28"/>
          <w:szCs w:val="28"/>
          <w:rtl w:val="true"/>
          <w:lang w:bidi="fa-IR"/>
        </w:rPr>
        <w:t xml:space="preserve">.... </w:t>
      </w:r>
      <w:r>
        <w:rPr>
          <w:rStyle w:val="FootnoteAnchor"/>
          <w:rtl w:val="true"/>
        </w:rPr>
        <w:footnoteReference w:id="78"/>
      </w:r>
    </w:p>
    <w:p>
      <w:pPr>
        <w:pStyle w:val="Heading4"/>
        <w:numPr>
          <w:ilvl w:val="3"/>
          <w:numId w:val="1"/>
        </w:numPr>
        <w:rPr/>
      </w:pPr>
      <w:bookmarkStart w:id="102" w:name="__RefHeading___Toc580342_774463916"/>
      <w:bookmarkStart w:id="103" w:name="_Toc39"/>
      <w:bookmarkEnd w:id="102"/>
      <w:r>
        <w:rPr>
          <w:rtl w:val="true"/>
        </w:rPr>
        <w:t>التکفین</w:t>
      </w:r>
      <w:bookmarkEnd w:id="10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تکفین المسلم بعد تغسیله بثلاث قطع، إحداها ساترة ما بین سرّته ورکبته</w:t>
      </w:r>
      <w:bookmarkStart w:id="104" w:name="pg5021_49177"/>
    </w:p>
    <w:p>
      <w:pPr>
        <w:pStyle w:val="BookText"/>
        <w:rPr/>
      </w:pPr>
      <w:bookmarkEnd w:id="104"/>
      <w:r>
        <w:rPr>
          <w:rFonts w:ascii="IRNazanin" w:hAnsi="IRNazanin" w:eastAsia="IRNazanin"/>
          <w:color w:val="111111"/>
          <w:sz w:val="28"/>
          <w:sz w:val="28"/>
          <w:szCs w:val="28"/>
          <w:rtl w:val="true"/>
          <w:lang w:bidi="fa-IR"/>
        </w:rPr>
        <w:t>تسمّی بالمئزر، والأخری ما بین المنکبین إلی نصف الساق تسمّی بالقمیص، والثالثة تغطّی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البدن وهی الأزار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الکیفیة المذکورة، السیرة المستمرة وارتکاز المتشرعة علی لزومها فإنّه لو کانت هناک طریقة أخری لذاعت بعد کون المسألة عامة البلوی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الشهید الذی قتل فی المعرکة لا یغسّل ولا یکفّن بل یصلّی علیه ویدفن بثیابه؛ للروایات، منها صحیح أبان بن تغلب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قتل فی سبیل الله یدفن فی ثیابه ولا یغسّل إلاّ أن یدرکه المسلمون وبه رمق، ثمّ یموت بعد، فإنّه یغسّل ویکفّن ویحنّط، إنّ رسول‌الله صلی الله علیه و آله کفّن حمزة فی ثیابه ولم یغسّله ولکنّه صلّی علیه</w:t>
      </w:r>
      <w:r>
        <w:rPr>
          <w:rFonts w:eastAsia="IRNazanin" w:cs="IRNazanin"/>
          <w:color w:val="111111"/>
          <w:sz w:val="28"/>
          <w:szCs w:val="28"/>
          <w:rtl w:val="true"/>
          <w:lang w:bidi="fa-IR"/>
        </w:rPr>
        <w:t xml:space="preserve">. </w:t>
      </w:r>
      <w:r>
        <w:rPr>
          <w:rStyle w:val="FootnoteAnchor"/>
          <w:rtl w:val="true"/>
        </w:rPr>
        <w:footnoteReference w:id="79"/>
      </w:r>
    </w:p>
    <w:p>
      <w:pPr>
        <w:pStyle w:val="Heading4"/>
        <w:numPr>
          <w:ilvl w:val="3"/>
          <w:numId w:val="1"/>
        </w:numPr>
        <w:rPr/>
      </w:pPr>
      <w:bookmarkStart w:id="105" w:name="__RefHeading___Toc580344_774463916"/>
      <w:bookmarkStart w:id="106" w:name="_Toc40"/>
      <w:bookmarkEnd w:id="105"/>
      <w:r>
        <w:rPr>
          <w:rtl w:val="true"/>
        </w:rPr>
        <w:t>الصلاة علی المیت</w:t>
      </w:r>
      <w:bookmarkEnd w:id="106"/>
    </w:p>
    <w:p>
      <w:pPr>
        <w:pStyle w:val="BookText"/>
        <w:rPr/>
      </w:pPr>
      <w:r>
        <w:rPr>
          <w:rFonts w:ascii="IRNazanin" w:hAnsi="IRNazanin" w:eastAsia="IRNazanin"/>
          <w:color w:val="111111"/>
          <w:sz w:val="28"/>
          <w:sz w:val="28"/>
          <w:szCs w:val="28"/>
          <w:rtl w:val="true"/>
          <w:lang w:bidi="fa-IR"/>
        </w:rPr>
        <w:t>تجب الصلاة علی المیت المسلم بعد تغسیله وتکفینه، بضرورة الإسلام، ولقول الصادق علیه السلام من روایة طلحة 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 علی من مات من أهل القبلة وحسابه علی الله</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ولا تجب علی غیر المسلم؛ للسیرة وعموم التعلیل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تُصَلِّ عَلی أَحَدٍ مِنْهُمْ ماتَ أَبَداً وَ لا تَقُمْ عَلی قَبْرِهِ إِنَّهُمْ کَفَرُوا بِاللّهِ وَ رَسُولِهِ</w:t>
      </w:r>
      <w:r>
        <w:rPr>
          <w:rFonts w:eastAsia="Amiri" w:cs="Amiri" w:ascii="Amiri" w:hAnsi="Amiri"/>
          <w:color w:val="111111"/>
          <w:sz w:val="28"/>
          <w:szCs w:val="28"/>
          <w:rtl w:val="true"/>
          <w:lang w:bidi="ar-SA"/>
        </w:rPr>
        <w:t xml:space="preserve">... .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نعم، لا تجب الصلاة علی الطفل إذا کان دون ستّ سنین؛ لقول أبی جعفر علیه السلام حین سأله زرارة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فمتی تجب علیه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عقل الصلاة وکان ابن ستّ سنین</w:t>
      </w:r>
      <w:r>
        <w:rPr>
          <w:rFonts w:eastAsia="IRNazanin" w:cs="IRNazanin"/>
          <w:color w:val="111111"/>
          <w:sz w:val="28"/>
          <w:szCs w:val="28"/>
          <w:rtl w:val="true"/>
          <w:lang w:bidi="fa-IR"/>
        </w:rPr>
        <w:t xml:space="preserve">. </w:t>
      </w:r>
      <w:r>
        <w:rPr>
          <w:rStyle w:val="FootnoteAnchor"/>
          <w:rtl w:val="true"/>
        </w:rPr>
        <w:footnoteReference w:id="82"/>
      </w:r>
      <w:bookmarkStart w:id="107" w:name="pg5021_49178"/>
    </w:p>
    <w:p>
      <w:pPr>
        <w:pStyle w:val="BookText"/>
        <w:rPr/>
      </w:pPr>
      <w:bookmarkEnd w:id="107"/>
      <w:r>
        <w:rPr>
          <w:rFonts w:ascii="IRNazanin" w:hAnsi="IRNazanin" w:eastAsia="IRNazanin"/>
          <w:color w:val="111111"/>
          <w:sz w:val="28"/>
          <w:sz w:val="28"/>
          <w:szCs w:val="28"/>
          <w:rtl w:val="true"/>
          <w:lang w:bidi="fa-IR"/>
        </w:rPr>
        <w:t>وکیفیّتها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یکبّر خمساً، ویکفی أن یأتی بها بهذه الکیفیة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یکبّر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 لا إله إلاّ الله وأنّ محمّداً رسول‌الله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یکبّر ثانیة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یکبّر ثالثة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للمؤمنین والمؤمنات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یکبّر رابعة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لهذا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امرأة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لهذه 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یکبّر خامسة، وینصرف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وجوب خمس تکبیرات؛ فتدلّ علیها الأخبار الکثیرة منها صحیحة عبد الله بن سنان عن أبی عبد 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التکبیر علی المیت خمس تکبیرات</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ولا تعتبر فیها الطهارة بقسمیها؛ ویستفاد ذلک من صحیحة یونس بن یعقوب،</w:t>
      </w:r>
    </w:p>
    <w:p>
      <w:pPr>
        <w:pStyle w:val="BookText"/>
        <w:rPr/>
      </w:pPr>
      <w:r>
        <w:rPr>
          <w:rFonts w:ascii="IRNazanin" w:hAnsi="IRNazanin" w:eastAsia="IRNazanin"/>
          <w:color w:val="111111"/>
          <w:sz w:val="28"/>
          <w:sz w:val="28"/>
          <w:szCs w:val="28"/>
          <w:rtl w:val="true"/>
          <w:lang w:bidi="fa-IR"/>
        </w:rPr>
        <w:t>سألت أبا عبد الله علیه السلام ، عن الجنازة أصلّی علیها علی غیر وضوء؟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إنّما هی تکبیر وتسبیح، وتحمید، وتهلیل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تنفی اعتبار الطهارة الحدثیة بصراحة، والخبثیة بالتعلیل</w:t>
      </w:r>
      <w:r>
        <w:rPr>
          <w:rFonts w:eastAsia="IRNazanin" w:cs="IRNazanin"/>
          <w:color w:val="111111"/>
          <w:sz w:val="28"/>
          <w:szCs w:val="28"/>
          <w:rtl w:val="true"/>
          <w:lang w:bidi="fa-IR"/>
        </w:rPr>
        <w:t>.</w:t>
      </w:r>
    </w:p>
    <w:p>
      <w:pPr>
        <w:pStyle w:val="Heading4"/>
        <w:numPr>
          <w:ilvl w:val="3"/>
          <w:numId w:val="1"/>
        </w:numPr>
        <w:rPr/>
      </w:pPr>
      <w:bookmarkStart w:id="108" w:name="__RefHeading___Toc580346_774463916"/>
      <w:bookmarkStart w:id="109" w:name="_Toc41"/>
      <w:bookmarkEnd w:id="108"/>
      <w:r>
        <w:rPr>
          <w:rtl w:val="true"/>
        </w:rPr>
        <w:t>الدفن</w:t>
      </w:r>
      <w:bookmarkEnd w:id="109"/>
    </w:p>
    <w:p>
      <w:pPr>
        <w:pStyle w:val="BookText"/>
        <w:rPr/>
      </w:pPr>
      <w:r>
        <w:rPr>
          <w:rFonts w:ascii="IRNazanin" w:hAnsi="IRNazanin" w:eastAsia="IRNazanin"/>
          <w:color w:val="111111"/>
          <w:sz w:val="28"/>
          <w:sz w:val="28"/>
          <w:szCs w:val="28"/>
          <w:rtl w:val="true"/>
          <w:lang w:bidi="fa-IR"/>
        </w:rPr>
        <w:t>یجب بعد ذلک دفنه بلا خلاف، ویقتضیه ارتکاز المتشرعة والنصوص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والمقدار الواجب مواراته فی الأرض لاقتضاء ظاهر لفظ الدفن الوارد فی الروایات ذلک بحیث یؤمَن علی جسده من السباع وإیذاء رائحته الناس، إذ المستفاد من الروایات أنّ الدفن احترام للمیّت وهو لا یتحقّق إلاّ بما ذکر</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ویوضع فی القبر موضوعاً علی جانبه الأیمن موجّهاً به إلی القبلة، بلا خلاف فی ذلک وعلیه السیرة، ویستفاد من بعض الروایات</w:t>
      </w:r>
      <w:r>
        <w:rPr>
          <w:rFonts w:eastAsia="IRNazanin" w:cs="IRNazanin"/>
          <w:color w:val="111111"/>
          <w:sz w:val="28"/>
          <w:szCs w:val="28"/>
          <w:rtl w:val="true"/>
          <w:lang w:bidi="fa-IR"/>
        </w:rPr>
        <w:t>.</w:t>
      </w:r>
      <w:bookmarkStart w:id="110" w:name="pg5021_49179"/>
    </w:p>
    <w:p>
      <w:pPr>
        <w:pStyle w:val="BookText"/>
        <w:rPr/>
      </w:pPr>
      <w:bookmarkEnd w:id="110"/>
      <w:r>
        <w:rPr>
          <w:rFonts w:ascii="IRNazanin" w:hAnsi="IRNazanin" w:eastAsia="IRNazanin"/>
          <w:color w:val="111111"/>
          <w:sz w:val="28"/>
          <w:sz w:val="28"/>
          <w:szCs w:val="28"/>
          <w:rtl w:val="true"/>
          <w:lang w:bidi="fa-IR"/>
        </w:rPr>
        <w:t>وسننه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 الجنازة، وأن ینقل المیّت مرّتین ویصبر علیه وینزّل فی الثالثة سابقاً برأسه إن کان رجلاً و عرضاً إن کان امرأة ویضع الحاضرون الأیدی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تراب 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مترحّمین، ویلقّنه الولی بعد انصراف المشیّعینی</w:t>
      </w:r>
      <w:r>
        <w:rPr>
          <w:rFonts w:eastAsia="IRNazanin" w:cs="IRNazanin"/>
          <w:color w:val="111111"/>
          <w:sz w:val="28"/>
          <w:szCs w:val="28"/>
          <w:rtl w:val="true"/>
          <w:lang w:bidi="fa-IR"/>
        </w:rPr>
        <w:t>.</w:t>
      </w:r>
    </w:p>
    <w:p>
      <w:pPr>
        <w:pStyle w:val="Heading4"/>
        <w:numPr>
          <w:ilvl w:val="3"/>
          <w:numId w:val="1"/>
        </w:numPr>
        <w:rPr/>
      </w:pPr>
      <w:bookmarkStart w:id="111" w:name="__RefHeading___Toc580348_774463916"/>
      <w:bookmarkStart w:id="112" w:name="_Toc42"/>
      <w:bookmarkEnd w:id="111"/>
      <w:r>
        <w:rPr>
          <w:rtl w:val="true"/>
        </w:rPr>
        <w:t>مسّ المیت</w:t>
      </w:r>
      <w:bookmarkEnd w:id="112"/>
    </w:p>
    <w:p>
      <w:pPr>
        <w:pStyle w:val="BookText"/>
        <w:rPr/>
      </w:pPr>
      <w:r>
        <w:rPr>
          <w:rFonts w:ascii="IRNazanin" w:hAnsi="IRNazanin" w:eastAsia="IRNazanin"/>
          <w:color w:val="111111"/>
          <w:sz w:val="28"/>
          <w:sz w:val="28"/>
          <w:szCs w:val="28"/>
          <w:rtl w:val="true"/>
          <w:lang w:bidi="fa-IR"/>
        </w:rPr>
        <w:t>مسّ المیت قبل تغسیله سبب 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تنجّس العضو الماسّ مع الرطوبة لصحیحة الحلبی عن أبی عبد 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الرجل یصیب ثوبه جسد المیت،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ما أصاب الثوب</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و الأمر بالغسل إرشاد إلی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الغسل علی من مسّه بعد برده؛ لصحیح محمّد بن مسلم، عن أحدهما علیه السلام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رجل یغمّض المیت أعلیه غسل؟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مسّه بحرارته فلا ولکن إذا مسّه بعد ما یبرد فلیغتسل</w:t>
      </w:r>
      <w:r>
        <w:rPr>
          <w:rFonts w:eastAsia="IRNazanin" w:cs="IRNazanin"/>
          <w:color w:val="111111"/>
          <w:sz w:val="28"/>
          <w:szCs w:val="28"/>
          <w:rtl w:val="true"/>
          <w:lang w:bidi="fa-IR"/>
        </w:rPr>
        <w:t xml:space="preserve">. </w:t>
      </w:r>
      <w:r>
        <w:rPr>
          <w:rStyle w:val="FootnoteAnchor"/>
          <w:rtl w:val="true"/>
        </w:rPr>
        <w:footnoteReference w:id="85"/>
      </w:r>
      <w:bookmarkStart w:id="113" w:name="pg5021_49180"/>
    </w:p>
    <w:p>
      <w:pPr>
        <w:pStyle w:val="Heading3"/>
        <w:numPr>
          <w:ilvl w:val="2"/>
          <w:numId w:val="1"/>
        </w:numPr>
        <w:rPr/>
      </w:pPr>
      <w:bookmarkStart w:id="114" w:name="__RefHeading___Toc580350_774463916"/>
      <w:bookmarkStart w:id="115" w:name="_Toc43"/>
      <w:bookmarkEnd w:id="113"/>
      <w:bookmarkEnd w:id="114"/>
      <w:r>
        <w:rPr>
          <w:rtl w:val="true"/>
        </w:rPr>
        <w:t>الدرس</w:t>
      </w:r>
      <w:r>
        <w:rPr/>
        <w:t>8</w:t>
      </w:r>
      <w:r>
        <w:rPr>
          <w:rtl w:val="true"/>
        </w:rPr>
        <w:t xml:space="preserve"> - </w:t>
      </w:r>
      <w:r>
        <w:rPr>
          <w:rtl w:val="true"/>
        </w:rPr>
        <w:t xml:space="preserve">کتاب الطهارة </w:t>
      </w:r>
      <w:r>
        <w:rPr>
          <w:rtl w:val="true"/>
        </w:rPr>
        <w:t>(</w:t>
      </w:r>
      <w:r>
        <w:rPr/>
        <w:t>8</w:t>
      </w:r>
      <w:r>
        <w:rPr>
          <w:rtl w:val="true"/>
        </w:rPr>
        <w:t>)</w:t>
      </w:r>
      <w:bookmarkEnd w:id="115"/>
    </w:p>
    <w:p>
      <w:pPr>
        <w:pStyle w:val="Heading4"/>
        <w:numPr>
          <w:ilvl w:val="3"/>
          <w:numId w:val="1"/>
        </w:numPr>
        <w:rPr/>
      </w:pPr>
      <w:bookmarkStart w:id="116" w:name="__RefHeading___Toc580352_774463916"/>
      <w:bookmarkStart w:id="117" w:name="_Toc44"/>
      <w:bookmarkEnd w:id="116"/>
      <w:r>
        <w:rPr>
          <w:rtl w:val="true"/>
        </w:rPr>
        <w:t>التیمم</w:t>
      </w:r>
      <w:bookmarkEnd w:id="117"/>
    </w:p>
    <w:p>
      <w:pPr>
        <w:pStyle w:val="Heading4"/>
        <w:numPr>
          <w:ilvl w:val="3"/>
          <w:numId w:val="1"/>
        </w:numPr>
        <w:rPr/>
      </w:pPr>
      <w:bookmarkStart w:id="118" w:name="__RefHeading___Toc580354_774463916"/>
      <w:bookmarkStart w:id="119" w:name="_Toc45"/>
      <w:bookmarkEnd w:id="118"/>
      <w:r>
        <w:rPr>
          <w:rtl w:val="true"/>
        </w:rPr>
        <w:t>کیفیة التیمّم</w:t>
      </w:r>
      <w:bookmarkEnd w:id="119"/>
    </w:p>
    <w:p>
      <w:pPr>
        <w:pStyle w:val="BookText"/>
        <w:rPr/>
      </w:pPr>
      <w:r>
        <w:rPr>
          <w:rFonts w:ascii="IRNazanin" w:hAnsi="IRNazanin" w:eastAsia="IRNazanin"/>
          <w:color w:val="111111"/>
          <w:sz w:val="28"/>
          <w:sz w:val="28"/>
          <w:szCs w:val="28"/>
          <w:rtl w:val="true"/>
          <w:lang w:bidi="fa-IR"/>
        </w:rPr>
        <w:t>یتحقّق التیمّم بضرب باطن الیدین علی الأرض، ولا یکفی الوضع؛ لصحیح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جعفر علیه السلام</w:t>
      </w:r>
    </w:p>
    <w:p>
      <w:pPr>
        <w:pStyle w:val="BookText"/>
        <w:rPr/>
      </w:pPr>
      <w:r>
        <w:rPr>
          <w:rFonts w:ascii="IRNazanin" w:hAnsi="IRNazanin" w:eastAsia="IRNazanin"/>
          <w:color w:val="111111"/>
          <w:sz w:val="28"/>
          <w:sz w:val="28"/>
          <w:szCs w:val="28"/>
          <w:rtl w:val="true"/>
          <w:lang w:bidi="fa-IR"/>
        </w:rPr>
        <w:t>عن التیمم، فضرب بیده علی الأرض</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ثمّ مسحهما علی الجبهة إجماعا محصّلاً ومستفیضاً بل متواتراً،کما فی الجواهر، وفی المستند، هو محلّ الوفاق بین المسلمین، بل هو ضروری الدین</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وعلی الجبینین من قصاص الشعر إلی طرف الأنف الأعلی دون الحاجبین؛ لعدم الدلیل علی وجوب مسحهما إلاّ من باب المقدّمة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مسح باطن الید الیسری علی تمام ظاهر الیمنی، من الزند إلی أطراف الأصابع، ثمّ مسح ظاهر الیسری بباطن الیمنی کذلک، لقوله علیه السلام فی صحیح زرارة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مسح جبینه بأصابعه وکفّیه إحداهما بالأخری</w:t>
      </w:r>
      <w:r>
        <w:rPr>
          <w:rFonts w:eastAsia="IRNazanin" w:cs="IRNazanin"/>
          <w:color w:val="111111"/>
          <w:sz w:val="28"/>
          <w:szCs w:val="28"/>
          <w:rtl w:val="true"/>
          <w:lang w:bidi="fa-IR"/>
        </w:rPr>
        <w:t xml:space="preserve">.... </w:t>
      </w:r>
      <w:r>
        <w:rPr>
          <w:rStyle w:val="FootnoteAnchor"/>
          <w:rtl w:val="true"/>
        </w:rPr>
        <w:footnoteReference w:id="88"/>
      </w:r>
      <w:bookmarkStart w:id="120" w:name="pg5021_49181"/>
    </w:p>
    <w:p>
      <w:pPr>
        <w:pStyle w:val="BookText"/>
        <w:rPr/>
      </w:pPr>
      <w:bookmarkEnd w:id="120"/>
      <w:r>
        <w:rPr>
          <w:rFonts w:ascii="IRNazanin" w:hAnsi="IRNazanin" w:eastAsia="IRNazanin"/>
          <w:color w:val="111111"/>
          <w:sz w:val="28"/>
          <w:sz w:val="28"/>
          <w:szCs w:val="28"/>
          <w:rtl w:val="true"/>
          <w:lang w:bidi="fa-IR"/>
        </w:rPr>
        <w:t>وهل تکفی الضربة الواحدة؟ أو یلزم التعدّد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ویصحّ التیمّم علی مطلق وجه الأرض،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فَتَیَمَّمُوا صَعِیداً طَیِّباً</w:t>
      </w:r>
      <w:r>
        <w:rPr>
          <w:rFonts w:eastAsia="Amiri" w:cs="Amiri" w:ascii="Amiri" w:hAnsi="Amiri"/>
          <w:color w:val="111111"/>
          <w:sz w:val="28"/>
          <w:szCs w:val="28"/>
          <w:rtl w:val="true"/>
          <w:lang w:bidi="ar-SA"/>
        </w:rPr>
        <w:t xml:space="preserve">... .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والصعید علی ما علیه أکثر اللغویین، هو مطلق وجه الأرض وهذا هو المشهور، خلافاً للسید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خصّه بالتراب کما هو منسوب إلی بعض اللغویین</w:t>
      </w:r>
      <w:r>
        <w:rPr>
          <w:rFonts w:eastAsia="IRNazanin" w:cs="IRNazanin"/>
          <w:color w:val="111111"/>
          <w:sz w:val="28"/>
          <w:szCs w:val="28"/>
          <w:rtl w:val="true"/>
          <w:lang w:bidi="fa-IR"/>
        </w:rPr>
        <w:t>.</w:t>
      </w:r>
    </w:p>
    <w:p>
      <w:pPr>
        <w:pStyle w:val="Heading4"/>
        <w:numPr>
          <w:ilvl w:val="3"/>
          <w:numId w:val="1"/>
        </w:numPr>
        <w:rPr/>
      </w:pPr>
      <w:bookmarkStart w:id="121" w:name="__RefHeading___Toc580356_774463916"/>
      <w:bookmarkStart w:id="122" w:name="_Toc46"/>
      <w:bookmarkEnd w:id="121"/>
      <w:r>
        <w:rPr>
          <w:rtl w:val="true"/>
        </w:rPr>
        <w:t>مسوّغات التیمّم</w:t>
      </w:r>
      <w:bookmarkEnd w:id="122"/>
    </w:p>
    <w:p>
      <w:pPr>
        <w:pStyle w:val="BookText"/>
        <w:rPr/>
      </w:pPr>
      <w:r>
        <w:rPr>
          <w:rFonts w:ascii="Amiri" w:hAnsi="Amiri" w:eastAsia="Amiri" w:cs="Amiri"/>
          <w:color w:val="111111"/>
          <w:sz w:val="28"/>
          <w:sz w:val="28"/>
          <w:szCs w:val="28"/>
          <w:rtl w:val="true"/>
          <w:lang w:bidi="ar-SA"/>
        </w:rPr>
        <w:t>یجب التیمّم فی موارد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عدم الوجدان، الماء،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کُنْتُمْ مَرْضی أَوْ عَلی سَفَرٍ أَوْ جاءَ أَحَدٌ مِنْکُمْ مِنَ الْغائِطِ أَوْ لامَسْتُمُ النِّساءَ فَلَمْ تَجِدُوا ماءً فَتَیَمَّمُوا صَعِیداً طَیِّباً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وللروایات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احتمل وجدانه یجب علیه الفحص، لقاعدة الاشتغال، إذ لو تیمّم بلا فحص کان امتثاله احتمالیاً بمقدار غلوة سهم فی الأرض الحزنة وسهمین فی السهلة، کما فی معتبرة السکونی عن الصادق علیه السلام </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ومنها عند الخوف من الوصول إلی الماء، أو الخوف من استعماله علی نفسه أو غیره؛ إذ عدم الوجدان المذکور فی الآیة الکریمة یراد به عدم التمکّن من استعماله بقرینة ذکر المریض فیها، ولا یتمکّن الخائف علی النفس والعرض من الماء عرفاً وشرعاً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 عند وجود الحرج من تحصیله؛ لقاعدة نفی الحرج المستفادة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 عَلَیْکُمْ فِی الدِّینِ مِنْ حَرَجٍ</w:t>
      </w:r>
      <w:r>
        <w:rPr>
          <w:rFonts w:eastAsia="Amiri" w:cs="Amiri" w:ascii="Amiri" w:hAnsi="Amiri"/>
          <w:color w:val="111111"/>
          <w:sz w:val="28"/>
          <w:szCs w:val="28"/>
          <w:rtl w:val="true"/>
          <w:lang w:bidi="ar-SA"/>
        </w:rPr>
        <w:t xml:space="preserve">... . </w:t>
      </w:r>
      <w:r>
        <w:rPr>
          <w:rStyle w:val="FootnoteAnchor"/>
          <w:rtl w:val="true"/>
        </w:rPr>
        <w:footnoteReference w:id="91"/>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عند ضیق الوقت؛ لقوله علیه السلام فی صحیح زرارة</w:t>
      </w:r>
      <w:r>
        <w:rPr>
          <w:rFonts w:eastAsia="IRNazanin" w:cs="IRNazanin"/>
          <w:color w:val="111111"/>
          <w:sz w:val="28"/>
          <w:szCs w:val="28"/>
          <w:rtl w:val="true"/>
          <w:lang w:bidi="fa-IR"/>
        </w:rPr>
        <w:t>:</w:t>
      </w:r>
      <w:bookmarkStart w:id="123" w:name="pg5021_49182"/>
    </w:p>
    <w:p>
      <w:pPr>
        <w:pStyle w:val="BookText"/>
        <w:rPr/>
      </w:pPr>
      <w:bookmarkEnd w:id="123"/>
      <w:r>
        <w:rPr>
          <w:rFonts w:ascii="IRNazanin" w:hAnsi="IRNazanin" w:eastAsia="IRNazanin"/>
          <w:color w:val="111111"/>
          <w:sz w:val="28"/>
          <w:sz w:val="28"/>
          <w:szCs w:val="28"/>
          <w:rtl w:val="true"/>
          <w:lang w:bidi="fa-IR"/>
        </w:rPr>
        <w:t>فإذا خاف أن یفوته الوقت فلیتیمّم ولیصلّ</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ومنها عند المزاحمة بواجب أهمّ، لصدق عدم الوجدان بعد وجوب الاشتغال بالأهمّ واشتغاله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 عند المرض کما تدّل علیه الآیة الکریمة المتقدّمة</w:t>
      </w:r>
      <w:r>
        <w:rPr>
          <w:rFonts w:eastAsia="IRNazanin" w:cs="IRNazanin"/>
          <w:color w:val="111111"/>
          <w:sz w:val="28"/>
          <w:szCs w:val="28"/>
          <w:rtl w:val="true"/>
          <w:lang w:bidi="fa-IR"/>
        </w:rPr>
        <w:t>.</w:t>
      </w:r>
    </w:p>
    <w:p>
      <w:pPr>
        <w:pStyle w:val="Heading4"/>
        <w:numPr>
          <w:ilvl w:val="3"/>
          <w:numId w:val="1"/>
        </w:numPr>
        <w:rPr/>
      </w:pPr>
      <w:bookmarkStart w:id="124" w:name="__RefHeading___Toc580358_774463916"/>
      <w:bookmarkStart w:id="125" w:name="_Toc47"/>
      <w:bookmarkEnd w:id="124"/>
      <w:r>
        <w:rPr>
          <w:rtl w:val="true"/>
        </w:rPr>
        <w:t>وضوء الجبیرة</w:t>
      </w:r>
      <w:bookmarkEnd w:id="125"/>
    </w:p>
    <w:p>
      <w:pPr>
        <w:pStyle w:val="BookText"/>
        <w:rPr/>
      </w:pPr>
      <w:r>
        <w:rPr>
          <w:rFonts w:ascii="IRNazanin" w:hAnsi="IRNazanin" w:eastAsia="IRNazanin"/>
          <w:color w:val="111111"/>
          <w:sz w:val="28"/>
          <w:sz w:val="28"/>
          <w:szCs w:val="28"/>
          <w:rtl w:val="true"/>
          <w:lang w:bidi="fa-IR"/>
        </w:rPr>
        <w:t xml:space="preserve">إذا کان علی بعض أعضاء الوضوء جبیرة وهی ما یوضع علی الجرح ونحو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لجرح أو قرح أو 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إمکان ایصال الماء تحتها بلا ضرر ولو بغمسها أو نزعها؛ یجب ذلک لوجوب الوضوء علی المتمکّن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إلاّ لزم المسح علیها؛ لصحیح الحلبی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 عن الرجل تکون به القرحة فی ذراعه أو نحو ذلک فی مواضع الوضوء، فیعصبها بالخرقة، ویتوضّأ، ویمسح علیها إذا توضّأ؟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یؤذیه الماء فلیمسح علی الخرقة</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ولا خصوصیة للقرحة بعد کون الملاک فی کلامه علیه السلام إیذاء الماء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واللاصق الحاجب کالقیر، تجب إزالته، لتوقّف الغسل والمسح علیه ومع عدم إمکانها یجب التیمّم؛ لأنّه لا یمکنه استعمال الماء، نعم، إذا کان الحاجب فی موضع التیمّم یجمع بین التیمم والوضوء؛ لقاعدة الاشتغال؛ إذ لا یحصل العلم بالطهارة إلاّ به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والحکم فی غسل المجبور حکمه فی الوضوء؛ ویدلّ علیه إطلاق صحیح کلیب‌الأسدی</w:t>
      </w:r>
      <w:r>
        <w:rPr>
          <w:rFonts w:eastAsia="IRNazanin" w:cs="IRNazanin"/>
          <w:color w:val="111111"/>
          <w:sz w:val="28"/>
          <w:szCs w:val="28"/>
          <w:rtl w:val="true"/>
          <w:lang w:bidi="fa-IR"/>
        </w:rPr>
        <w:t xml:space="preserve">. </w:t>
      </w:r>
      <w:r>
        <w:rPr>
          <w:rStyle w:val="FootnoteAnchor"/>
          <w:rtl w:val="true"/>
        </w:rPr>
        <w:footnoteReference w:id="94"/>
      </w:r>
      <w:bookmarkStart w:id="126" w:name="pg5021_49183"/>
    </w:p>
    <w:p>
      <w:pPr>
        <w:pStyle w:val="Heading3"/>
        <w:numPr>
          <w:ilvl w:val="2"/>
          <w:numId w:val="1"/>
        </w:numPr>
        <w:rPr/>
      </w:pPr>
      <w:bookmarkStart w:id="127" w:name="__RefHeading___Toc580360_774463916"/>
      <w:bookmarkStart w:id="128" w:name="_Toc48"/>
      <w:bookmarkEnd w:id="126"/>
      <w:bookmarkEnd w:id="127"/>
      <w:r>
        <w:rPr>
          <w:rtl w:val="true"/>
        </w:rPr>
        <w:t>الدرس</w:t>
      </w:r>
      <w:r>
        <w:rPr/>
        <w:t>9</w:t>
      </w:r>
      <w:r>
        <w:rPr>
          <w:rtl w:val="true"/>
        </w:rPr>
        <w:t xml:space="preserve"> - </w:t>
      </w:r>
      <w:r>
        <w:rPr>
          <w:rtl w:val="true"/>
        </w:rPr>
        <w:t xml:space="preserve">کتاب الطهارة </w:t>
      </w:r>
      <w:r>
        <w:rPr>
          <w:rtl w:val="true"/>
        </w:rPr>
        <w:t>(</w:t>
      </w:r>
      <w:r>
        <w:rPr/>
        <w:t>9</w:t>
      </w:r>
      <w:r>
        <w:rPr>
          <w:rtl w:val="true"/>
        </w:rPr>
        <w:t>)</w:t>
      </w:r>
      <w:bookmarkEnd w:id="128"/>
    </w:p>
    <w:p>
      <w:pPr>
        <w:pStyle w:val="Heading4"/>
        <w:numPr>
          <w:ilvl w:val="3"/>
          <w:numId w:val="1"/>
        </w:numPr>
        <w:rPr/>
      </w:pPr>
      <w:bookmarkStart w:id="129" w:name="__RefHeading___Toc580362_774463916"/>
      <w:bookmarkStart w:id="130" w:name="_Toc49"/>
      <w:bookmarkEnd w:id="129"/>
      <w:r>
        <w:rPr>
          <w:rtl w:val="true"/>
        </w:rPr>
        <w:t>النجاسات عشر</w:t>
      </w:r>
      <w:bookmarkEnd w:id="130"/>
    </w:p>
    <w:p>
      <w:pPr>
        <w:pStyle w:val="Heading4"/>
        <w:numPr>
          <w:ilvl w:val="3"/>
          <w:numId w:val="1"/>
        </w:numPr>
        <w:rPr/>
      </w:pPr>
      <w:bookmarkStart w:id="131" w:name="__RefHeading___Toc580364_774463916"/>
      <w:bookmarkStart w:id="132" w:name="_Toc50"/>
      <w:bookmarkEnd w:id="131"/>
      <w:r>
        <w:rPr>
          <w:rtl w:val="true"/>
        </w:rPr>
        <w:t>البول والغائط</w:t>
      </w:r>
      <w:bookmarkEnd w:id="132"/>
    </w:p>
    <w:p>
      <w:pPr>
        <w:pStyle w:val="BookText"/>
        <w:rPr/>
      </w:pPr>
      <w:r>
        <w:rPr>
          <w:rFonts w:ascii="IRNazanin" w:hAnsi="IRNazanin" w:eastAsia="IRNazanin"/>
          <w:color w:val="111111"/>
          <w:sz w:val="28"/>
          <w:sz w:val="28"/>
          <w:szCs w:val="28"/>
          <w:rtl w:val="true"/>
          <w:lang w:bidi="fa-IR"/>
        </w:rPr>
        <w:t xml:space="preserve">وهما نجسان بلا خلاف فی ذلک بین المسلمین من کلّ حیوان محرّم الأکل؛ لمفهوم موثّق عمّار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ما أکل لحمه فلا بأس بما یخرج منه</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نعم، هما من غیرذی النفس السائلة طاهران؛ لقوله علیه السلام فی موثّقة الساباطی فی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ما لیس له دم فلا بأس</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وبول الطائر وذرقه طاهر مطلقاً؛ لصحیح أبی بصیر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شیء یطیر فلا بأس ببوله وخرءه</w:t>
      </w:r>
      <w:r>
        <w:rPr>
          <w:rFonts w:eastAsia="IRNazanin" w:cs="IRNazanin"/>
          <w:color w:val="111111"/>
          <w:sz w:val="28"/>
          <w:szCs w:val="28"/>
          <w:rtl w:val="true"/>
          <w:lang w:bidi="fa-IR"/>
        </w:rPr>
        <w:t>.</w:t>
      </w:r>
    </w:p>
    <w:p>
      <w:pPr>
        <w:pStyle w:val="Heading4"/>
        <w:numPr>
          <w:ilvl w:val="3"/>
          <w:numId w:val="1"/>
        </w:numPr>
        <w:rPr/>
      </w:pPr>
      <w:bookmarkStart w:id="133" w:name="__RefHeading___Toc580366_774463916"/>
      <w:bookmarkStart w:id="134" w:name="_Toc51"/>
      <w:bookmarkEnd w:id="133"/>
      <w:r>
        <w:rPr>
          <w:rtl w:val="true"/>
        </w:rPr>
        <w:t>المنیّ</w:t>
      </w:r>
      <w:bookmarkEnd w:id="13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النجاسة‌المنی إذا کان من الإنسان فللتسالم، وقضاء ضرورة المذهب، وبعض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المنی من ذی النفس إجماعاً وأمّا مِن غیر ذی النفس فطاهر؛ لقاعدة الطهارة بعد قصور الأدلّة عن شموله</w:t>
      </w:r>
      <w:r>
        <w:rPr>
          <w:rFonts w:eastAsia="IRNazanin" w:cs="IRNazanin"/>
          <w:color w:val="111111"/>
          <w:sz w:val="28"/>
          <w:szCs w:val="28"/>
          <w:rtl w:val="true"/>
          <w:lang w:bidi="fa-IR"/>
        </w:rPr>
        <w:t>.</w:t>
      </w:r>
      <w:bookmarkStart w:id="135" w:name="pg5021_49184"/>
    </w:p>
    <w:p>
      <w:pPr>
        <w:pStyle w:val="Heading4"/>
        <w:numPr>
          <w:ilvl w:val="3"/>
          <w:numId w:val="1"/>
        </w:numPr>
        <w:rPr/>
      </w:pPr>
      <w:bookmarkStart w:id="136" w:name="__RefHeading___Toc580368_774463916"/>
      <w:bookmarkStart w:id="137" w:name="_Toc52"/>
      <w:bookmarkEnd w:id="135"/>
      <w:bookmarkEnd w:id="136"/>
      <w:r>
        <w:rPr>
          <w:rtl w:val="true"/>
        </w:rPr>
        <w:t>المیتة</w:t>
      </w:r>
      <w:bookmarkEnd w:id="137"/>
    </w:p>
    <w:p>
      <w:pPr>
        <w:pStyle w:val="BookText"/>
        <w:rPr/>
      </w:pPr>
      <w:r>
        <w:rPr>
          <w:rFonts w:ascii="IRNazanin" w:hAnsi="IRNazanin" w:eastAsia="IRNazanin"/>
          <w:color w:val="111111"/>
          <w:sz w:val="28"/>
          <w:sz w:val="28"/>
          <w:szCs w:val="28"/>
          <w:rtl w:val="true"/>
          <w:lang w:bidi="fa-IR"/>
        </w:rPr>
        <w:t xml:space="preserve">وهی الحیوان الذی زهق روحه من غیر تزکیة نجس من ذی النفس؛ للتسالم، والروایات الکثیرة، منها صحیحة زرارة عن الباقر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وقعت الفأرة فی السمن فماتت فیه فإن کان جامداً فألقها وما یلیها، وإن کان ذائباً فلا تأکله واستصبح به</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وأمّا إذا کانت ممّا لا نفس له، فطاهر؛ لما تقدّم من موثّقة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ما لیس له دم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والمأخوذ من سوق المسلمین مع الشکّ فی التذکیة محکوم بالحلّ والطهارة؛ لأنّ سوق المسلمین أمارة التذکیة بمقتضی صحیحة فضیل، وزرارة، ومحمّد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سألوا أبا جعفر علیه السلام عن شراء اللحوم من الأسواق ولا یدری ما صنع القصابون؟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إذا کان ذلک من سوق المسلمین ولا تسأل عنه</w:t>
      </w:r>
      <w:r>
        <w:rPr>
          <w:rFonts w:eastAsia="IRNazanin" w:cs="IRNazanin"/>
          <w:color w:val="111111"/>
          <w:sz w:val="28"/>
          <w:szCs w:val="28"/>
          <w:rtl w:val="true"/>
          <w:lang w:bidi="fa-IR"/>
        </w:rPr>
        <w:t xml:space="preserve">. </w:t>
      </w:r>
      <w:r>
        <w:rPr>
          <w:rStyle w:val="FootnoteAnchor"/>
          <w:rtl w:val="true"/>
        </w:rPr>
        <w:footnoteReference w:id="98"/>
      </w:r>
    </w:p>
    <w:p>
      <w:pPr>
        <w:pStyle w:val="Heading4"/>
        <w:numPr>
          <w:ilvl w:val="3"/>
          <w:numId w:val="1"/>
        </w:numPr>
        <w:rPr/>
      </w:pPr>
      <w:bookmarkStart w:id="138" w:name="__RefHeading___Toc580370_774463916"/>
      <w:bookmarkStart w:id="139" w:name="_Toc53"/>
      <w:bookmarkEnd w:id="138"/>
      <w:r>
        <w:rPr>
          <w:rtl w:val="true"/>
        </w:rPr>
        <w:t>الدم</w:t>
      </w:r>
      <w:bookmarkEnd w:id="139"/>
    </w:p>
    <w:p>
      <w:pPr>
        <w:pStyle w:val="BookText"/>
        <w:rPr/>
      </w:pPr>
      <w:r>
        <w:rPr>
          <w:rFonts w:ascii="Amiri" w:hAnsi="Amiri" w:eastAsia="Amiri" w:cs="Amiri"/>
          <w:color w:val="111111"/>
          <w:sz w:val="28"/>
          <w:sz w:val="28"/>
          <w:szCs w:val="28"/>
          <w:rtl w:val="true"/>
          <w:lang w:bidi="ar-SA"/>
        </w:rPr>
        <w:t>وهو نجس من ذی النفس؛ للتسالم، بل ضرورة الفقه علی نجاسته، وقد دلّت علیها روایات کثیرة فی موارد خاصّة، وهل یستفاد منها نجاسة طبیعی الدم مطلقاً؟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ویترتّب علی ذلک حکم دم البیضة، نعم، لا إشکال فی حرمة تناوله مطلقاً،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 عَلَیْکُمُ الْمَیْتَةَ وَ الدَّمَ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وأمّا الدم من غیر ذی النفس، فطاهر، إمّا لعدم تمامیة العموم، أو لما تقدّم من موثّق الساباطی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ما لیس له دم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الشک فی القید یحکم بطهارته لقاعدة الطهارة وکذلک المشکوک فی دمیّته ولو من جهة الظلمة، ولا یجب الفحص؛ لعدم الدلیل علیه فی الشبهة الموضوعیة، ویدلّ علیه قول الإمام علیه السلام فی صحیح زرارة حیث سأله عن الثوب إذا شکّ فی تنجّسه، فقال</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علّی إن شککت فی أنّه أصابه شیء أن أنظر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ولکنّک ترید أن تذهب الشکّ الذی وقع فی نفسک</w:t>
      </w:r>
      <w:r>
        <w:rPr>
          <w:rFonts w:eastAsia="IRNazanin" w:cs="IRNazanin"/>
          <w:color w:val="111111"/>
          <w:sz w:val="28"/>
          <w:szCs w:val="28"/>
          <w:rtl w:val="true"/>
          <w:lang w:bidi="fa-IR"/>
        </w:rPr>
        <w:t xml:space="preserve">.... </w:t>
      </w:r>
      <w:r>
        <w:rPr>
          <w:rStyle w:val="FootnoteAnchor"/>
          <w:rtl w:val="true"/>
        </w:rPr>
        <w:footnoteReference w:id="99"/>
      </w:r>
      <w:bookmarkStart w:id="140" w:name="pg5021_49186"/>
    </w:p>
    <w:p>
      <w:pPr>
        <w:pStyle w:val="Heading3"/>
        <w:numPr>
          <w:ilvl w:val="2"/>
          <w:numId w:val="1"/>
        </w:numPr>
        <w:rPr/>
      </w:pPr>
      <w:bookmarkStart w:id="141" w:name="__RefHeading___Toc580372_774463916"/>
      <w:bookmarkStart w:id="142" w:name="_Toc54"/>
      <w:bookmarkEnd w:id="140"/>
      <w:bookmarkEnd w:id="141"/>
      <w:r>
        <w:rPr>
          <w:rtl w:val="true"/>
        </w:rPr>
        <w:t>الدرس</w:t>
      </w:r>
      <w:r>
        <w:rPr/>
        <w:t>10</w:t>
      </w:r>
      <w:r>
        <w:rPr>
          <w:rtl w:val="true"/>
        </w:rPr>
        <w:t xml:space="preserve"> - </w:t>
      </w:r>
      <w:r>
        <w:rPr>
          <w:rtl w:val="true"/>
        </w:rPr>
        <w:t xml:space="preserve">کتاب الطهارة </w:t>
      </w:r>
      <w:r>
        <w:rPr>
          <w:rtl w:val="true"/>
        </w:rPr>
        <w:t>(</w:t>
      </w:r>
      <w:r>
        <w:rPr/>
        <w:t>10</w:t>
      </w:r>
      <w:r>
        <w:rPr>
          <w:rtl w:val="true"/>
        </w:rPr>
        <w:t>)</w:t>
      </w:r>
      <w:bookmarkEnd w:id="142"/>
    </w:p>
    <w:p>
      <w:pPr>
        <w:pStyle w:val="Heading4"/>
        <w:numPr>
          <w:ilvl w:val="3"/>
          <w:numId w:val="1"/>
        </w:numPr>
        <w:rPr/>
      </w:pPr>
      <w:bookmarkStart w:id="143" w:name="__RefHeading___Toc580374_774463916"/>
      <w:bookmarkStart w:id="144" w:name="_Toc55"/>
      <w:bookmarkEnd w:id="143"/>
      <w:r>
        <w:rPr>
          <w:rtl w:val="true"/>
        </w:rPr>
        <w:t>الخمر والفقاع وکلّ مسکر</w:t>
      </w:r>
      <w:bookmarkEnd w:id="144"/>
    </w:p>
    <w:p>
      <w:pPr>
        <w:pStyle w:val="BookText"/>
        <w:rPr/>
      </w:pPr>
      <w:r>
        <w:rPr>
          <w:rFonts w:ascii="IRNazanin" w:hAnsi="IRNazanin" w:eastAsia="IRNazanin"/>
          <w:color w:val="111111"/>
          <w:sz w:val="28"/>
          <w:sz w:val="28"/>
          <w:szCs w:val="28"/>
          <w:rtl w:val="true"/>
          <w:lang w:bidi="fa-IR"/>
        </w:rPr>
        <w:t>الخمر نجس علی المشهور؛ ویدلّ علیها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لظاهر بعض الروایات وأمّا المسکر المائع والفقّاع؛ فیستفاد نجاستهما من تنزیلهما منزلة الخمر فی الروایات کصحیح علی بن یقطین عن أبی الحسن الماضی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عزّ وجلّ لم یحرّم الخمر لاسمها، ولکن حرمّها لعاقبتها فما کان عاقبته عاقبة الخمر فهو خمر</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وفی مکاتبة ابن فضال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کتبت إلی أبی الحسن علیه السلام أسأله عن الفقّاع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الخمر وفیه حدّ شارب الخمر</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بتقریب أنّ مقتضی إطلاق التنزیل الحکم بالنجاسة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العصیر العنبی، فلا إشکال فی حرمته بالغلیان واشتراط حلّیته بالغلیان حتّی یذهب ثلثاه ویبقی ثلثه کما فی الروایات، وإنّما الإشکال فی نجاسته به قبل ذهاب ثلثیه، والمعروف طهارته</w:t>
      </w:r>
      <w:r>
        <w:rPr>
          <w:rFonts w:eastAsia="IRNazanin" w:cs="IRNazanin"/>
          <w:color w:val="111111"/>
          <w:sz w:val="28"/>
          <w:szCs w:val="28"/>
          <w:rtl w:val="true"/>
          <w:lang w:bidi="fa-IR"/>
        </w:rPr>
        <w:t>.</w:t>
      </w:r>
      <w:bookmarkStart w:id="145" w:name="pg5021_49187"/>
    </w:p>
    <w:p>
      <w:pPr>
        <w:pStyle w:val="Heading4"/>
        <w:numPr>
          <w:ilvl w:val="3"/>
          <w:numId w:val="1"/>
        </w:numPr>
        <w:rPr/>
      </w:pPr>
      <w:bookmarkStart w:id="146" w:name="__RefHeading___Toc580376_774463916"/>
      <w:bookmarkStart w:id="147" w:name="_Toc56"/>
      <w:bookmarkEnd w:id="145"/>
      <w:bookmarkEnd w:id="146"/>
      <w:r>
        <w:rPr>
          <w:rtl w:val="true"/>
        </w:rPr>
        <w:t>الکافر</w:t>
      </w:r>
      <w:bookmarkEnd w:id="147"/>
    </w:p>
    <w:p>
      <w:pPr>
        <w:pStyle w:val="BookText"/>
        <w:rPr/>
      </w:pPr>
      <w:r>
        <w:rPr>
          <w:rFonts w:ascii="IRNazanin" w:hAnsi="IRNazanin" w:eastAsia="IRNazanin"/>
          <w:color w:val="111111"/>
          <w:sz w:val="28"/>
          <w:sz w:val="28"/>
          <w:szCs w:val="28"/>
          <w:rtl w:val="true"/>
          <w:lang w:bidi="fa-IR"/>
        </w:rPr>
        <w:t>والکافر ینقسم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الکتابی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الیهود والنصاری والمجوس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فالمشهور فیهم النجاسة، وقد تأمّل فیها جماعة من المتأخّرین، ومنشأ الخلاف، اختلاف الاستظهار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غیر الکتابی، فکادت نجاسته متسالماً علیها، وقد یستدلّ علیها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الْمُشْرِکُونَ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أی حال فالناصبی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یظهر عداوته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نجس؛ لموثقة عبدالله بن أبی یعفور عن أبی عبدالله علیه السلام فی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تبارک وتعالی لم یخلق خلقاً أنجس من الکلب، وإنّ الناصب لنا أهل البیت لأنجس منه</w:t>
      </w:r>
      <w:r>
        <w:rPr>
          <w:rFonts w:eastAsia="IRNazanin" w:cs="IRNazanin"/>
          <w:color w:val="111111"/>
          <w:sz w:val="28"/>
          <w:szCs w:val="28"/>
          <w:rtl w:val="true"/>
          <w:lang w:bidi="fa-IR"/>
        </w:rPr>
        <w:t xml:space="preserve">. </w:t>
      </w:r>
      <w:r>
        <w:rPr>
          <w:rStyle w:val="FootnoteAnchor"/>
          <w:rtl w:val="true"/>
        </w:rPr>
        <w:footnoteReference w:id="102"/>
      </w:r>
    </w:p>
    <w:p>
      <w:pPr>
        <w:pStyle w:val="Heading4"/>
        <w:numPr>
          <w:ilvl w:val="3"/>
          <w:numId w:val="1"/>
        </w:numPr>
        <w:rPr/>
      </w:pPr>
      <w:bookmarkStart w:id="148" w:name="__RefHeading___Toc580378_774463916"/>
      <w:bookmarkStart w:id="149" w:name="_Toc57"/>
      <w:bookmarkEnd w:id="148"/>
      <w:r>
        <w:rPr>
          <w:rtl w:val="true"/>
        </w:rPr>
        <w:t>الکلب والخنزیر البرّیان</w:t>
      </w:r>
      <w:bookmarkEnd w:id="149"/>
    </w:p>
    <w:p>
      <w:pPr>
        <w:pStyle w:val="BookText"/>
        <w:rPr/>
      </w:pPr>
      <w:r>
        <w:rPr>
          <w:rFonts w:ascii="IRNazanin" w:hAnsi="IRNazanin" w:eastAsia="IRNazanin"/>
          <w:color w:val="111111"/>
          <w:sz w:val="28"/>
          <w:sz w:val="28"/>
          <w:szCs w:val="28"/>
          <w:rtl w:val="true"/>
          <w:lang w:bidi="fa-IR"/>
        </w:rPr>
        <w:t>وهما نجسان إجماعاً؛ ویدلّ علیها الروایات، منها موثّقة ابن أبی یعفور المتقدّمة، وصحیحة علی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سألته عن خنزیر یشرب من إناء کیف یصنع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سبع مرّات</w:t>
      </w:r>
      <w:r>
        <w:rPr>
          <w:rFonts w:eastAsia="IRNazanin" w:cs="IRNazanin"/>
          <w:color w:val="111111"/>
          <w:sz w:val="28"/>
          <w:szCs w:val="28"/>
          <w:rtl w:val="true"/>
          <w:lang w:bidi="fa-IR"/>
        </w:rPr>
        <w:t xml:space="preserve">. </w:t>
      </w:r>
      <w:r>
        <w:rPr>
          <w:rStyle w:val="FootnoteAnchor"/>
          <w:rtl w:val="true"/>
        </w:rPr>
        <w:footnoteReference w:id="103"/>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والتقیید بالبرییّن، لأنّ لفظ الکلب والخنزیر حقیقة فی البریّین، واستعماله فی البحرییّن مجاز للمشابهة</w:t>
      </w:r>
      <w:r>
        <w:rPr>
          <w:rFonts w:eastAsia="IRNazanin" w:cs="IRNazanin"/>
          <w:color w:val="111111"/>
          <w:sz w:val="28"/>
          <w:szCs w:val="28"/>
          <w:rtl w:val="true"/>
          <w:lang w:bidi="fa-IR"/>
        </w:rPr>
        <w:t>.</w:t>
      </w:r>
      <w:bookmarkStart w:id="150" w:name="pg5021_49188"/>
    </w:p>
    <w:p>
      <w:pPr>
        <w:pStyle w:val="Heading3"/>
        <w:numPr>
          <w:ilvl w:val="2"/>
          <w:numId w:val="1"/>
        </w:numPr>
        <w:rPr/>
      </w:pPr>
      <w:bookmarkStart w:id="151" w:name="__RefHeading___Toc580380_774463916"/>
      <w:bookmarkStart w:id="152" w:name="_Toc58"/>
      <w:bookmarkEnd w:id="150"/>
      <w:bookmarkEnd w:id="151"/>
      <w:r>
        <w:rPr>
          <w:rtl w:val="true"/>
        </w:rPr>
        <w:t>الدرس</w:t>
      </w:r>
      <w:r>
        <w:rPr/>
        <w:t>11</w:t>
      </w:r>
      <w:r>
        <w:rPr>
          <w:rtl w:val="true"/>
        </w:rPr>
        <w:t xml:space="preserve"> - </w:t>
      </w:r>
      <w:r>
        <w:rPr>
          <w:rtl w:val="true"/>
        </w:rPr>
        <w:t xml:space="preserve">کتاب الطهارة </w:t>
      </w:r>
      <w:r>
        <w:rPr>
          <w:rtl w:val="true"/>
        </w:rPr>
        <w:t>(</w:t>
      </w:r>
      <w:r>
        <w:rPr/>
        <w:t>11</w:t>
      </w:r>
      <w:r>
        <w:rPr>
          <w:rtl w:val="true"/>
        </w:rPr>
        <w:t>)</w:t>
      </w:r>
      <w:bookmarkEnd w:id="152"/>
    </w:p>
    <w:p>
      <w:pPr>
        <w:pStyle w:val="Heading4"/>
        <w:numPr>
          <w:ilvl w:val="3"/>
          <w:numId w:val="1"/>
        </w:numPr>
        <w:rPr/>
      </w:pPr>
      <w:bookmarkStart w:id="153" w:name="__RefHeading___Toc580382_774463916"/>
      <w:bookmarkStart w:id="154" w:name="_Toc59"/>
      <w:bookmarkEnd w:id="153"/>
      <w:r>
        <w:rPr>
          <w:rtl w:val="true"/>
        </w:rPr>
        <w:t>المطهّرات</w:t>
      </w:r>
      <w:bookmarkEnd w:id="154"/>
    </w:p>
    <w:p>
      <w:pPr>
        <w:pStyle w:val="Heading5"/>
        <w:numPr>
          <w:ilvl w:val="4"/>
          <w:numId w:val="1"/>
        </w:numPr>
        <w:rPr/>
      </w:pPr>
      <w:bookmarkStart w:id="155" w:name="__RefHeading___Toc580384_774463916"/>
      <w:bookmarkStart w:id="156" w:name="_Toc60"/>
      <w:bookmarkEnd w:id="155"/>
      <w:r>
        <w:rPr/>
        <w:t>1</w:t>
      </w:r>
      <w:r>
        <w:rPr>
          <w:rtl w:val="true"/>
        </w:rPr>
        <w:t xml:space="preserve">- </w:t>
      </w:r>
      <w:r>
        <w:rPr>
          <w:rtl w:val="true"/>
        </w:rPr>
        <w:t>الماء</w:t>
      </w:r>
      <w:bookmarkEnd w:id="156"/>
    </w:p>
    <w:p>
      <w:pPr>
        <w:pStyle w:val="BookText"/>
        <w:rPr/>
      </w:pPr>
      <w:r>
        <w:rPr>
          <w:rFonts w:ascii="IRNazanin" w:hAnsi="IRNazanin" w:eastAsia="IRNazanin"/>
          <w:color w:val="111111"/>
          <w:sz w:val="28"/>
          <w:sz w:val="28"/>
          <w:szCs w:val="28"/>
          <w:rtl w:val="true"/>
          <w:lang w:bidi="fa-IR"/>
        </w:rPr>
        <w:t xml:space="preserve">وهو مطهّر لکلّ متنجّس إجماعاً بما فی ذلک الماء المتنجّس، إذا اتّصل بذی المادة الطاهر؛ لعموم التعلیل فی صحیحة ابن بزیع المتقدّمة عن الرضا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ماء البئر واسع لا یفسده شیء إلاّ أن یتغیر ریحه أو طعمه فینزح حتّی یذهب الریح ویطیب طعمه؛ لأنّ له مادّة</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أجل لا یطهر به المضاف؛ لعدم الدلیل علیه ومقتضی الاستصحاب بقاء نجاسته إلاّ أن یُستهلک فی الکرّ بلا 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ویلزم فی تطهیر الأوانی، الغسل ثلاثاً إذا کان بالقلیل؛ علی ما دلّ علیه موثّقة عمّار </w:t>
      </w:r>
      <w:r>
        <w:rPr>
          <w:rStyle w:val="FootnoteAnchor"/>
          <w:rtl w:val="true"/>
        </w:rPr>
        <w:footnoteReference w:id="105"/>
      </w:r>
      <w:r>
        <w:rPr>
          <w:rFonts w:ascii="IRNazanin" w:hAnsi="IRNazanin" w:eastAsia="IRNazanin"/>
          <w:color w:val="111111"/>
          <w:sz w:val="28"/>
          <w:sz w:val="28"/>
          <w:szCs w:val="28"/>
          <w:rtl w:val="true"/>
          <w:lang w:bidi="fa-IR"/>
        </w:rPr>
        <w:t>وإذا تنجّست بولوغ الکلب، فیغسل بالتراب أوّل مرّة ثمّ بالماء؛ لصحیحة البقباق</w:t>
      </w:r>
      <w:r>
        <w:rPr>
          <w:rFonts w:eastAsia="IRNazanin" w:cs="IRNazanin"/>
          <w:color w:val="111111"/>
          <w:sz w:val="28"/>
          <w:szCs w:val="28"/>
          <w:rtl w:val="true"/>
          <w:lang w:bidi="fa-IR"/>
        </w:rPr>
        <w:t xml:space="preserve">. </w:t>
      </w:r>
      <w:r>
        <w:rPr>
          <w:rStyle w:val="FootnoteAnchor"/>
          <w:rtl w:val="true"/>
        </w:rPr>
        <w:footnoteReference w:id="106"/>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تنجّست بشرب الخنزیر؛ طهرت بالغسل سبعاً علی ما جاء فی صحیح علی بن جعفر </w:t>
      </w:r>
      <w:r>
        <w:rPr>
          <w:rStyle w:val="FootnoteAnchor"/>
          <w:rtl w:val="true"/>
        </w:rPr>
        <w:footnoteReference w:id="107"/>
      </w:r>
      <w:bookmarkStart w:id="157" w:name="pg5021_49189"/>
    </w:p>
    <w:p>
      <w:pPr>
        <w:pStyle w:val="BookText"/>
        <w:rPr/>
      </w:pPr>
      <w:bookmarkEnd w:id="157"/>
      <w:r>
        <w:rPr>
          <w:rFonts w:ascii="IRNazanin" w:hAnsi="IRNazanin" w:eastAsia="IRNazanin"/>
          <w:color w:val="111111"/>
          <w:sz w:val="28"/>
          <w:sz w:val="28"/>
          <w:szCs w:val="28"/>
          <w:rtl w:val="true"/>
          <w:lang w:bidi="fa-IR"/>
        </w:rPr>
        <w:t>عن أخیه علیه السلام وعلیه فالإناء جمیعه یطهر بالغسل ثلاث مرّات إلاّ فی المتنجّس بولوغ الکلب والخنزیر کما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الغسل بالقلیل أمّا الکثیر ففیه تفصیل یطلب من مظانّه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الأوانی وأمّا الثیاب والبدن، فإذا تنجّست بالبول فتطهر بغسلها بالقلیل مرّتین وفی الکثیر مرّة؛ لصحیح محمّد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أباعبدالله علیه السلام عن الثوب یصیبه البول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اغسله فی المرکن مرّتین فإن غسلته فی ماء جار فمرّة واحدة</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وأمّا إن تنجّست بغیره فیکفی الغسل مرّة واحدة؛ لإطلاق دلیل مطهّریة الغسل</w:t>
      </w:r>
      <w:r>
        <w:rPr>
          <w:rFonts w:eastAsia="IRNazanin" w:cs="IRNazanin"/>
          <w:color w:val="111111"/>
          <w:sz w:val="28"/>
          <w:szCs w:val="28"/>
          <w:rtl w:val="true"/>
          <w:lang w:bidi="fa-IR"/>
        </w:rPr>
        <w:t>.</w:t>
      </w:r>
    </w:p>
    <w:p>
      <w:pPr>
        <w:pStyle w:val="Heading5"/>
        <w:numPr>
          <w:ilvl w:val="4"/>
          <w:numId w:val="1"/>
        </w:numPr>
        <w:rPr/>
      </w:pPr>
      <w:bookmarkStart w:id="158" w:name="__RefHeading___Toc580386_774463916"/>
      <w:bookmarkStart w:id="159" w:name="_Toc61"/>
      <w:bookmarkEnd w:id="158"/>
      <w:r>
        <w:rPr/>
        <w:t>2</w:t>
      </w:r>
      <w:r>
        <w:rPr>
          <w:rtl w:val="true"/>
        </w:rPr>
        <w:t xml:space="preserve">- </w:t>
      </w:r>
      <w:r>
        <w:rPr>
          <w:rtl w:val="true"/>
        </w:rPr>
        <w:t>الأرض</w:t>
      </w:r>
      <w:bookmarkEnd w:id="159"/>
    </w:p>
    <w:p>
      <w:pPr>
        <w:pStyle w:val="BookText"/>
        <w:rPr/>
      </w:pPr>
      <w:r>
        <w:rPr>
          <w:rFonts w:ascii="IRNazanin" w:hAnsi="IRNazanin" w:eastAsia="IRNazanin"/>
          <w:color w:val="111111"/>
          <w:sz w:val="28"/>
          <w:sz w:val="28"/>
          <w:szCs w:val="28"/>
          <w:rtl w:val="true"/>
          <w:lang w:bidi="fa-IR"/>
        </w:rPr>
        <w:t xml:space="preserve">تطهّر الأرض باطن القدم والحذاء بلا خلاف إلّا من الخلاف، </w:t>
      </w:r>
      <w:r>
        <w:rPr>
          <w:rStyle w:val="FootnoteAnchor"/>
          <w:rtl w:val="true"/>
        </w:rPr>
        <w:footnoteReference w:id="109"/>
      </w:r>
      <w:r>
        <w:rPr>
          <w:rFonts w:ascii="IRNazanin" w:hAnsi="IRNazanin" w:eastAsia="IRNazanin"/>
          <w:color w:val="111111"/>
          <w:sz w:val="28"/>
          <w:sz w:val="28"/>
          <w:szCs w:val="28"/>
          <w:rtl w:val="true"/>
          <w:lang w:bidi="fa-IR"/>
        </w:rPr>
        <w:t xml:space="preserve">ویدلّ علیه قول الصادق علیه السلام فی صحیح الحلبی حیث نزلوا فی مکان بینهم وبین المسجد زقاق قذر فقال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بأس، إنّ الأرض تطهّر بعضها بعضاً</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ویکفی مجرّد المسح بالأرض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زوال عین النجاسة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مشی؛ لعموم التعلیل، نعم الأحوط المشی خمس عشرة خطوة ولا بدّ من إحراز کون الممشی علیه أرضاً؛ إذ مع الشکّ لا یمکن التمسّک بالدلیل بعد عدم جواز التمسّک بالعموم فی الشبهة المصداقیة</w:t>
      </w:r>
      <w:r>
        <w:rPr>
          <w:rFonts w:eastAsia="IRNazanin" w:cs="IRNazanin"/>
          <w:color w:val="111111"/>
          <w:sz w:val="28"/>
          <w:szCs w:val="28"/>
          <w:rtl w:val="true"/>
          <w:lang w:bidi="fa-IR"/>
        </w:rPr>
        <w:t>.</w:t>
      </w:r>
    </w:p>
    <w:p>
      <w:pPr>
        <w:pStyle w:val="Heading5"/>
        <w:numPr>
          <w:ilvl w:val="4"/>
          <w:numId w:val="1"/>
        </w:numPr>
        <w:rPr/>
      </w:pPr>
      <w:bookmarkStart w:id="160" w:name="__RefHeading___Toc580388_774463916"/>
      <w:bookmarkStart w:id="161" w:name="_Toc62"/>
      <w:bookmarkEnd w:id="160"/>
      <w:r>
        <w:rPr/>
        <w:t>3</w:t>
      </w:r>
      <w:r>
        <w:rPr>
          <w:rtl w:val="true"/>
        </w:rPr>
        <w:t xml:space="preserve">- </w:t>
      </w:r>
      <w:r>
        <w:rPr>
          <w:rtl w:val="true"/>
        </w:rPr>
        <w:t>الشمس</w:t>
      </w:r>
      <w:bookmarkEnd w:id="16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تطهّر الأرض، لصحیح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أباجعفر علیه السلام عن البول یکون علی السطح أو فی المکان الذی یصلّی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جفّفته الشمس فصلّ علیه فهو طاهر</w:t>
      </w:r>
      <w:r>
        <w:rPr>
          <w:rFonts w:eastAsia="IRNazanin" w:cs="IRNazanin"/>
          <w:color w:val="111111"/>
          <w:sz w:val="28"/>
          <w:szCs w:val="28"/>
          <w:rtl w:val="true"/>
          <w:lang w:bidi="fa-IR"/>
        </w:rPr>
        <w:t xml:space="preserve">. </w:t>
      </w:r>
      <w:r>
        <w:rPr>
          <w:rStyle w:val="FootnoteAnchor"/>
          <w:rtl w:val="true"/>
        </w:rPr>
        <w:footnoteReference w:id="111"/>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تطهّر کلّ غیر منقول، کالأشجار والأبواب لإطلاق الصحیح المتقدّم الشامل لغیر الأرض من الألواح والأخشاب المفروشة علیها وقد یتعدّی إلی غیر المفروشة، مثل الأبواب وغیرها بعدم القول بالفصل</w:t>
      </w:r>
      <w:r>
        <w:rPr>
          <w:rFonts w:eastAsia="IRNazanin" w:cs="IRNazanin"/>
          <w:color w:val="111111"/>
          <w:sz w:val="28"/>
          <w:szCs w:val="28"/>
          <w:rtl w:val="true"/>
          <w:lang w:bidi="fa-IR"/>
        </w:rPr>
        <w:t>.</w:t>
      </w:r>
      <w:bookmarkStart w:id="162" w:name="pg5021_49191"/>
    </w:p>
    <w:p>
      <w:pPr>
        <w:pStyle w:val="Heading3"/>
        <w:numPr>
          <w:ilvl w:val="2"/>
          <w:numId w:val="1"/>
        </w:numPr>
        <w:rPr/>
      </w:pPr>
      <w:bookmarkStart w:id="163" w:name="__RefHeading___Toc580390_774463916"/>
      <w:bookmarkStart w:id="164" w:name="_Toc63"/>
      <w:bookmarkEnd w:id="162"/>
      <w:bookmarkEnd w:id="163"/>
      <w:r>
        <w:rPr>
          <w:rtl w:val="true"/>
        </w:rPr>
        <w:t>الدرس</w:t>
      </w:r>
      <w:r>
        <w:rPr/>
        <w:t>12</w:t>
      </w:r>
      <w:r>
        <w:rPr>
          <w:rtl w:val="true"/>
        </w:rPr>
        <w:t xml:space="preserve"> - </w:t>
      </w:r>
      <w:r>
        <w:rPr>
          <w:rtl w:val="true"/>
        </w:rPr>
        <w:t xml:space="preserve">کتاب الطهارة </w:t>
      </w:r>
      <w:r>
        <w:rPr>
          <w:rtl w:val="true"/>
        </w:rPr>
        <w:t>(</w:t>
      </w:r>
      <w:r>
        <w:rPr/>
        <w:t>12</w:t>
      </w:r>
      <w:r>
        <w:rPr>
          <w:rtl w:val="true"/>
        </w:rPr>
        <w:t>)</w:t>
      </w:r>
      <w:bookmarkEnd w:id="164"/>
    </w:p>
    <w:p>
      <w:pPr>
        <w:pStyle w:val="Heading4"/>
        <w:numPr>
          <w:ilvl w:val="3"/>
          <w:numId w:val="1"/>
        </w:numPr>
        <w:rPr/>
      </w:pPr>
      <w:bookmarkStart w:id="165" w:name="__RefHeading___Toc580392_774463916"/>
      <w:bookmarkStart w:id="166" w:name="_Toc64"/>
      <w:bookmarkEnd w:id="165"/>
      <w:r>
        <w:rPr/>
        <w:t>4</w:t>
      </w:r>
      <w:r>
        <w:rPr>
          <w:rtl w:val="true"/>
        </w:rPr>
        <w:t xml:space="preserve">- </w:t>
      </w:r>
      <w:r>
        <w:rPr>
          <w:rtl w:val="true"/>
        </w:rPr>
        <w:t>الاستحالة</w:t>
      </w:r>
      <w:bookmarkEnd w:id="166"/>
    </w:p>
    <w:p>
      <w:pPr>
        <w:pStyle w:val="BookText"/>
        <w:rPr/>
      </w:pPr>
      <w:r>
        <w:rPr>
          <w:rFonts w:ascii="IRNazanin" w:hAnsi="IRNazanin" w:eastAsia="IRNazanin"/>
          <w:color w:val="111111"/>
          <w:sz w:val="28"/>
          <w:sz w:val="28"/>
          <w:szCs w:val="28"/>
          <w:rtl w:val="true"/>
          <w:lang w:bidi="fa-IR"/>
        </w:rPr>
        <w:t>إذا استحال النجس أو المتنجّس إلی جسم آخر یطهر، کالخشب إذا صار رماداً؛ لزوال الموضوع المحکوم علیه بالنجاسة والحکم تابع لموضوعه، دون مثل الطین إذا تحوّل خزفاً لاتحادهما عرفاً وإن اختلفا وصفاً، ومع الشکّ فی الاستحالة یبنی علی النجاسة؛ لقاعدة الاستصحاب</w:t>
      </w:r>
      <w:r>
        <w:rPr>
          <w:rFonts w:eastAsia="IRNazanin" w:cs="IRNazanin"/>
          <w:color w:val="111111"/>
          <w:sz w:val="28"/>
          <w:szCs w:val="28"/>
          <w:rtl w:val="true"/>
          <w:lang w:bidi="fa-IR"/>
        </w:rPr>
        <w:t>.</w:t>
      </w:r>
    </w:p>
    <w:p>
      <w:pPr>
        <w:pStyle w:val="Heading4"/>
        <w:numPr>
          <w:ilvl w:val="3"/>
          <w:numId w:val="1"/>
        </w:numPr>
        <w:rPr/>
      </w:pPr>
      <w:bookmarkStart w:id="167" w:name="__RefHeading___Toc580394_774463916"/>
      <w:bookmarkStart w:id="168" w:name="_Toc65"/>
      <w:bookmarkEnd w:id="167"/>
      <w:r>
        <w:rPr/>
        <w:t>5</w:t>
      </w:r>
      <w:r>
        <w:rPr>
          <w:rtl w:val="true"/>
        </w:rPr>
        <w:t xml:space="preserve">- </w:t>
      </w:r>
      <w:r>
        <w:rPr>
          <w:rtl w:val="true"/>
        </w:rPr>
        <w:t>الانقلاب</w:t>
      </w:r>
      <w:bookmarkEnd w:id="168"/>
    </w:p>
    <w:p>
      <w:pPr>
        <w:pStyle w:val="BookText"/>
        <w:rPr/>
      </w:pPr>
      <w:r>
        <w:rPr>
          <w:rFonts w:ascii="IRNazanin" w:hAnsi="IRNazanin" w:eastAsia="IRNazanin"/>
          <w:color w:val="111111"/>
          <w:sz w:val="28"/>
          <w:sz w:val="28"/>
          <w:szCs w:val="28"/>
          <w:rtl w:val="true"/>
          <w:lang w:bidi="fa-IR"/>
        </w:rPr>
        <w:t xml:space="preserve">وهو مطهّر للخمر فقط إذا انقلب خلّاً؛ لموثّق عبید بن زرارة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الرجل إذا باع عصیراً فحبسه السلطان حتّی صار خمراً فجعله صاحبه خلّاً،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تحوّل عن اسم الخمر فلا بأس</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ویطهر الإناء الذی هو فیه بالتبع؛ للموثّق المذکور بعد عدم إمکان الطهارة والحلّیة مع بقاء الإناء علی نجاسته</w:t>
      </w:r>
      <w:r>
        <w:rPr>
          <w:rFonts w:eastAsia="IRNazanin" w:cs="IRNazanin"/>
          <w:color w:val="111111"/>
          <w:sz w:val="28"/>
          <w:szCs w:val="28"/>
          <w:rtl w:val="true"/>
          <w:lang w:bidi="fa-IR"/>
        </w:rPr>
        <w:t>.</w:t>
      </w:r>
    </w:p>
    <w:p>
      <w:pPr>
        <w:pStyle w:val="Heading4"/>
        <w:numPr>
          <w:ilvl w:val="3"/>
          <w:numId w:val="1"/>
        </w:numPr>
        <w:rPr/>
      </w:pPr>
      <w:bookmarkStart w:id="169" w:name="__RefHeading___Toc580396_774463916"/>
      <w:bookmarkStart w:id="170" w:name="_Toc66"/>
      <w:bookmarkEnd w:id="169"/>
      <w:r>
        <w:rPr/>
        <w:t>6</w:t>
      </w:r>
      <w:r>
        <w:rPr>
          <w:rtl w:val="true"/>
        </w:rPr>
        <w:t xml:space="preserve">- </w:t>
      </w:r>
      <w:r>
        <w:rPr>
          <w:rtl w:val="true"/>
        </w:rPr>
        <w:t>الانتقال</w:t>
      </w:r>
      <w:bookmarkEnd w:id="17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إذاصار النجس جزءً من حیوان طهر، کدم الإنسان إذا صار جزءً من البقّ ونحوه إذا</w:t>
      </w:r>
      <w:bookmarkStart w:id="171" w:name="pg5021_49192"/>
    </w:p>
    <w:p>
      <w:pPr>
        <w:pStyle w:val="BookText"/>
        <w:rPr/>
      </w:pPr>
      <w:bookmarkEnd w:id="171"/>
      <w:r>
        <w:rPr>
          <w:rFonts w:ascii="IRNazanin" w:hAnsi="IRNazanin" w:eastAsia="IRNazanin"/>
          <w:color w:val="111111"/>
          <w:sz w:val="28"/>
          <w:sz w:val="28"/>
          <w:szCs w:val="28"/>
          <w:rtl w:val="true"/>
          <w:lang w:bidi="fa-IR"/>
        </w:rPr>
        <w:t>أصاب شیئاً؛ لإطلاق ما دلّ علی طهارة أجزاء البقّ، کموثّقة غیاث عن جعفر عن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 بدم البراغیث والبق وبول الخشاشیف</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وإطلاقه یدلّ علی الطهارة وإن لم یستحلّ فی جوف الحیوان، و یؤیده سیرة المتشرعة</w:t>
      </w:r>
      <w:r>
        <w:rPr>
          <w:rFonts w:eastAsia="IRNazanin" w:cs="IRNazanin"/>
          <w:color w:val="111111"/>
          <w:sz w:val="28"/>
          <w:szCs w:val="28"/>
          <w:rtl w:val="true"/>
          <w:lang w:bidi="fa-IR"/>
        </w:rPr>
        <w:t>.</w:t>
      </w:r>
    </w:p>
    <w:p>
      <w:pPr>
        <w:pStyle w:val="Heading4"/>
        <w:numPr>
          <w:ilvl w:val="3"/>
          <w:numId w:val="1"/>
        </w:numPr>
        <w:rPr/>
      </w:pPr>
      <w:bookmarkStart w:id="172" w:name="__RefHeading___Toc580398_774463916"/>
      <w:bookmarkStart w:id="173" w:name="_Toc67"/>
      <w:bookmarkEnd w:id="172"/>
      <w:r>
        <w:rPr/>
        <w:t>7</w:t>
      </w:r>
      <w:r>
        <w:rPr>
          <w:rtl w:val="true"/>
        </w:rPr>
        <w:t xml:space="preserve">- </w:t>
      </w:r>
      <w:r>
        <w:rPr>
          <w:rtl w:val="true"/>
        </w:rPr>
        <w:t>الإسلام</w:t>
      </w:r>
      <w:bookmarkEnd w:id="17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الإسلام مطهّر للکافر بجمیع أجزائه؛ لزوال موضوع النجاسة بل لما دلّ علی طهارة‌المسلم، وتطهر أیضاً الأجزاء المنفصلة منه، کالعرق والبصاق؛ لأنّ نجاستها کانت تبعاً لنجاسته وقد زالت؛ و للسیرة، وعدم أمره صلی الله علیه و آله من یسلم بتطهیر بدنه مع عدم خلوّه عنها غالباً، وکذلک ثیابه؛ لنفس السیرة المذکورة وعدم أمره صلی الله علیه و آله بتطهیرها</w:t>
      </w:r>
      <w:r>
        <w:rPr>
          <w:rFonts w:eastAsia="IRNazanin" w:cs="IRNazanin"/>
          <w:color w:val="111111"/>
          <w:sz w:val="28"/>
          <w:szCs w:val="28"/>
          <w:rtl w:val="true"/>
          <w:lang w:bidi="fa-IR"/>
        </w:rPr>
        <w:t>.</w:t>
      </w:r>
      <w:bookmarkStart w:id="174" w:name="pg5021_49193"/>
    </w:p>
    <w:p>
      <w:pPr>
        <w:pStyle w:val="Heading3"/>
        <w:numPr>
          <w:ilvl w:val="2"/>
          <w:numId w:val="1"/>
        </w:numPr>
        <w:rPr/>
      </w:pPr>
      <w:bookmarkStart w:id="175" w:name="__RefHeading___Toc580400_774463916"/>
      <w:bookmarkStart w:id="176" w:name="_Toc68"/>
      <w:bookmarkEnd w:id="174"/>
      <w:bookmarkEnd w:id="175"/>
      <w:r>
        <w:rPr>
          <w:rtl w:val="true"/>
        </w:rPr>
        <w:t>الدرس</w:t>
      </w:r>
      <w:r>
        <w:rPr/>
        <w:t>13</w:t>
      </w:r>
      <w:r>
        <w:rPr>
          <w:rtl w:val="true"/>
        </w:rPr>
        <w:t xml:space="preserve"> - </w:t>
      </w:r>
      <w:r>
        <w:rPr>
          <w:rtl w:val="true"/>
        </w:rPr>
        <w:t xml:space="preserve">کتاب الطهارة </w:t>
      </w:r>
      <w:r>
        <w:rPr>
          <w:rtl w:val="true"/>
        </w:rPr>
        <w:t>(</w:t>
      </w:r>
      <w:r>
        <w:rPr/>
        <w:t>13</w:t>
      </w:r>
      <w:r>
        <w:rPr>
          <w:rtl w:val="true"/>
        </w:rPr>
        <w:t>)</w:t>
      </w:r>
      <w:bookmarkEnd w:id="176"/>
    </w:p>
    <w:p>
      <w:pPr>
        <w:pStyle w:val="Heading4"/>
        <w:numPr>
          <w:ilvl w:val="3"/>
          <w:numId w:val="1"/>
        </w:numPr>
        <w:rPr/>
      </w:pPr>
      <w:bookmarkStart w:id="177" w:name="__RefHeading___Toc580402_774463916"/>
      <w:bookmarkStart w:id="178" w:name="_Toc69"/>
      <w:bookmarkEnd w:id="177"/>
      <w:r>
        <w:rPr/>
        <w:t>8</w:t>
      </w:r>
      <w:r>
        <w:rPr>
          <w:rtl w:val="true"/>
        </w:rPr>
        <w:t xml:space="preserve">- </w:t>
      </w:r>
      <w:r>
        <w:rPr>
          <w:rtl w:val="true"/>
        </w:rPr>
        <w:t>التبعیة</w:t>
      </w:r>
      <w:bookmarkEnd w:id="178"/>
    </w:p>
    <w:p>
      <w:pPr>
        <w:pStyle w:val="BookText"/>
        <w:rPr/>
      </w:pPr>
      <w:r>
        <w:rPr>
          <w:rFonts w:ascii="IRNazanin" w:hAnsi="IRNazanin" w:eastAsia="IRNazanin"/>
          <w:color w:val="111111"/>
          <w:sz w:val="28"/>
          <w:sz w:val="28"/>
          <w:szCs w:val="28"/>
          <w:rtl w:val="true"/>
          <w:lang w:bidi="fa-IR"/>
        </w:rPr>
        <w:t>إذا أسلم الکافر تبعه فی الطهارة ثیابه کما تقدّم وولده الصغار؛ إمّا لأنّ الولد تابع لأحد الأبوین فی الإسلام، وإمّا لقاعدة الطهارة بعد قصور دلیل نجاسة ولد الکافر، وهو الإجماع الذی هو دلیل لبّی یقتصر فیه علی القدر المتیقّن وهو ما إذا لم یسلم أحد أبویه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 المغسّل للمیّت وکذا السدّة التی یغسل علیها والثیاب التی یغسل فیها تتبع المیت فی الطهارة؛ للسیرة القطعیة علی عدم تطهیرها بعد التغسیل، أو للإطلاق المقامی فإنّ سکوت النصوص عن التعرّض لوجوب تطهیرها یدلّ علی طهارتها تبعاً لطهارة المیت</w:t>
      </w:r>
      <w:r>
        <w:rPr>
          <w:rFonts w:eastAsia="IRNazanin" w:cs="IRNazanin"/>
          <w:color w:val="111111"/>
          <w:sz w:val="28"/>
          <w:szCs w:val="28"/>
          <w:rtl w:val="true"/>
          <w:lang w:bidi="fa-IR"/>
        </w:rPr>
        <w:t>.</w:t>
      </w:r>
    </w:p>
    <w:p>
      <w:pPr>
        <w:pStyle w:val="Heading4"/>
        <w:numPr>
          <w:ilvl w:val="3"/>
          <w:numId w:val="1"/>
        </w:numPr>
        <w:rPr/>
      </w:pPr>
      <w:bookmarkStart w:id="179" w:name="__RefHeading___Toc580404_774463916"/>
      <w:bookmarkStart w:id="180" w:name="_Toc70"/>
      <w:bookmarkEnd w:id="179"/>
      <w:r>
        <w:rPr/>
        <w:t>9</w:t>
      </w:r>
      <w:r>
        <w:rPr>
          <w:rtl w:val="true"/>
        </w:rPr>
        <w:t xml:space="preserve">- </w:t>
      </w:r>
      <w:r>
        <w:rPr>
          <w:rtl w:val="true"/>
        </w:rPr>
        <w:t>زوال عین النجاسة</w:t>
      </w:r>
      <w:bookmarkEnd w:id="180"/>
    </w:p>
    <w:p>
      <w:pPr>
        <w:pStyle w:val="BookText"/>
        <w:rPr/>
      </w:pPr>
      <w:r>
        <w:rPr>
          <w:rFonts w:ascii="IRNazanin" w:hAnsi="IRNazanin" w:eastAsia="IRNazanin"/>
          <w:color w:val="111111"/>
          <w:sz w:val="28"/>
          <w:sz w:val="28"/>
          <w:szCs w:val="28"/>
          <w:rtl w:val="true"/>
          <w:lang w:bidi="fa-IR"/>
        </w:rPr>
        <w:t>تطهر بواطن الإنسان بزوال عین النجاسة عنها؛ إمّا لانعقاد السیرة علی عدم غسل باطن الإذن إذا خرج منه الدم، وکذا باطن الأنف، أو لقصور أدلّة التنجّس بالملاقاة عن تنجّس البواطن، وإمّا لموثّقة عمّار</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اسئل أبوعبداللّه علیه السلام عن رجل یسیل من أنفه الدم، هل علیه أن یغسل باطنه یعنی جوفه؟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علیه أن یغسل ما ظهرمنه</w:t>
      </w:r>
      <w:r>
        <w:rPr>
          <w:rFonts w:eastAsia="IRNazanin" w:cs="IRNazanin"/>
          <w:color w:val="111111"/>
          <w:sz w:val="28"/>
          <w:szCs w:val="28"/>
          <w:rtl w:val="true"/>
          <w:lang w:bidi="fa-IR"/>
        </w:rPr>
        <w:t xml:space="preserve">. </w:t>
      </w:r>
      <w:r>
        <w:rPr>
          <w:rStyle w:val="FootnoteAnchor"/>
          <w:rtl w:val="true"/>
        </w:rPr>
        <w:footnoteReference w:id="114"/>
      </w:r>
      <w:bookmarkStart w:id="181" w:name="pg5021_49194"/>
    </w:p>
    <w:p>
      <w:pPr>
        <w:pStyle w:val="BookText"/>
        <w:rPr/>
      </w:pPr>
      <w:bookmarkEnd w:id="181"/>
      <w:r>
        <w:rPr>
          <w:rFonts w:ascii="IRNazanin" w:hAnsi="IRNazanin" w:eastAsia="IRNazanin"/>
          <w:color w:val="111111"/>
          <w:sz w:val="28"/>
          <w:sz w:val="28"/>
          <w:szCs w:val="28"/>
          <w:rtl w:val="true"/>
          <w:lang w:bidi="fa-IR"/>
        </w:rPr>
        <w:t>وکذلک جسد الحیوان؛ للسیرة حیث لا یتحرّزون عن الهّرة والدجاج ونحوهما مع</w:t>
      </w:r>
    </w:p>
    <w:p>
      <w:pPr>
        <w:pStyle w:val="BookText"/>
        <w:rPr/>
      </w:pPr>
      <w:r>
        <w:rPr>
          <w:rFonts w:ascii="IRNazanin" w:hAnsi="IRNazanin" w:eastAsia="IRNazanin"/>
          <w:color w:val="111111"/>
          <w:sz w:val="28"/>
          <w:sz w:val="28"/>
          <w:szCs w:val="28"/>
          <w:rtl w:val="true"/>
          <w:lang w:bidi="fa-IR"/>
        </w:rPr>
        <w:t>العلم بإصابة الدم وسائر النجاسات لِفَمها وسائر إعضائها مع الشکّ فی ورود المطهّرعلیه بل العلم بعدمه أحیانا</w:t>
      </w:r>
      <w:r>
        <w:rPr>
          <w:rFonts w:eastAsia="IRNazanin" w:cs="IRNazanin"/>
          <w:color w:val="111111"/>
          <w:sz w:val="28"/>
          <w:szCs w:val="28"/>
          <w:rtl w:val="true"/>
          <w:lang w:bidi="fa-IR"/>
        </w:rPr>
        <w:t>.</w:t>
      </w:r>
    </w:p>
    <w:p>
      <w:pPr>
        <w:pStyle w:val="Heading4"/>
        <w:numPr>
          <w:ilvl w:val="3"/>
          <w:numId w:val="1"/>
        </w:numPr>
        <w:rPr/>
      </w:pPr>
      <w:bookmarkStart w:id="182" w:name="__RefHeading___Toc580406_774463916"/>
      <w:bookmarkStart w:id="183" w:name="_Toc71"/>
      <w:bookmarkEnd w:id="182"/>
      <w:r>
        <w:rPr/>
        <w:t>10</w:t>
      </w:r>
      <w:r>
        <w:rPr>
          <w:rtl w:val="true"/>
        </w:rPr>
        <w:t xml:space="preserve">- </w:t>
      </w:r>
      <w:r>
        <w:rPr>
          <w:rtl w:val="true"/>
        </w:rPr>
        <w:t>خروج الدم من الذبیحة</w:t>
      </w:r>
      <w:bookmarkEnd w:id="183"/>
    </w:p>
    <w:p>
      <w:pPr>
        <w:pStyle w:val="BookText"/>
        <w:rPr/>
      </w:pPr>
      <w:r>
        <w:rPr>
          <w:rFonts w:ascii="IRNazanin" w:hAnsi="IRNazanin" w:eastAsia="IRNazanin"/>
          <w:color w:val="111111"/>
          <w:sz w:val="28"/>
          <w:sz w:val="28"/>
          <w:szCs w:val="28"/>
          <w:rtl w:val="true"/>
          <w:lang w:bidi="fa-IR"/>
        </w:rPr>
        <w:t>إذا خرج الدم من الذبیحة بالمقدار المتعارف، حکم علی المتخلّف بالطهارة، لاستقرار سیرة المتشرّعة علی عدم الاجتناب عمّا یتخلّف فی الذبیحة من الدم مع کثرة الابتلاء بالذبائح، بل یلزم عدم جواز أکل اللحم؛ لاتصال بعض قطع الدم به عادة التی لا یمکن إزالتها وإن بالغ الشخص فی إزالتها</w:t>
      </w:r>
      <w:r>
        <w:rPr>
          <w:rFonts w:eastAsia="IRNazanin" w:cs="IRNazanin"/>
          <w:color w:val="111111"/>
          <w:sz w:val="28"/>
          <w:szCs w:val="28"/>
          <w:rtl w:val="true"/>
          <w:lang w:bidi="fa-IR"/>
        </w:rPr>
        <w:t>.</w:t>
      </w:r>
    </w:p>
    <w:p>
      <w:pPr>
        <w:pStyle w:val="Heading4"/>
        <w:numPr>
          <w:ilvl w:val="3"/>
          <w:numId w:val="1"/>
        </w:numPr>
        <w:rPr/>
      </w:pPr>
      <w:bookmarkStart w:id="184" w:name="__RefHeading___Toc580408_774463916"/>
      <w:bookmarkStart w:id="185" w:name="_Toc72"/>
      <w:bookmarkEnd w:id="184"/>
      <w:r>
        <w:rPr/>
        <w:t>11</w:t>
      </w:r>
      <w:r>
        <w:rPr>
          <w:rtl w:val="true"/>
        </w:rPr>
        <w:t xml:space="preserve">- </w:t>
      </w:r>
      <w:r>
        <w:rPr>
          <w:rtl w:val="true"/>
        </w:rPr>
        <w:t>غیبة المسلم</w:t>
      </w:r>
      <w:bookmarkEnd w:id="18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تنجّس ثوب المسلم أو بعض توابعه، وشکّ فی تطهیره له، حکم علیه بالطهارة، اذا غاب واحتمل تطهیره له لسیرة المتشرعة المخصّصة لعموم أدّلة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ویعتبر فی ذلک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کونه ممّن لا یبالی بالنجاسة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استعمالها فیما تعتبر فیه الطهارة إذ السیرة دلیل لبّی یقتصر فیه علی المتیقّن، وهو ما ذکر</w:t>
      </w:r>
      <w:r>
        <w:rPr>
          <w:rFonts w:eastAsia="IRNazanin" w:cs="IRNazanin"/>
          <w:color w:val="111111"/>
          <w:sz w:val="28"/>
          <w:szCs w:val="28"/>
          <w:rtl w:val="true"/>
          <w:lang w:bidi="fa-IR"/>
        </w:rPr>
        <w:t>.</w:t>
      </w:r>
      <w:bookmarkStart w:id="186" w:name="pg5021_49195"/>
    </w:p>
    <w:p>
      <w:pPr>
        <w:pStyle w:val="Heading3"/>
        <w:numPr>
          <w:ilvl w:val="2"/>
          <w:numId w:val="1"/>
        </w:numPr>
        <w:rPr/>
      </w:pPr>
      <w:bookmarkStart w:id="187" w:name="__RefHeading___Toc580410_774463916"/>
      <w:bookmarkStart w:id="188" w:name="_Toc73"/>
      <w:bookmarkEnd w:id="186"/>
      <w:bookmarkEnd w:id="187"/>
      <w:r>
        <w:rPr>
          <w:rtl w:val="true"/>
        </w:rPr>
        <w:t>الدرس</w:t>
      </w:r>
      <w:r>
        <w:rPr/>
        <w:t>14</w:t>
      </w:r>
      <w:r>
        <w:rPr>
          <w:rtl w:val="true"/>
        </w:rPr>
        <w:t xml:space="preserve"> - </w:t>
      </w:r>
      <w:r>
        <w:rPr>
          <w:rtl w:val="true"/>
        </w:rPr>
        <w:t>کتاب الصلاة</w:t>
      </w:r>
      <w:bookmarkEnd w:id="188"/>
    </w:p>
    <w:p>
      <w:pPr>
        <w:pStyle w:val="Heading4"/>
        <w:numPr>
          <w:ilvl w:val="3"/>
          <w:numId w:val="1"/>
        </w:numPr>
        <w:rPr/>
      </w:pPr>
      <w:bookmarkStart w:id="189" w:name="__RefHeading___Toc580412_774463916"/>
      <w:bookmarkStart w:id="190" w:name="_Toc74"/>
      <w:bookmarkEnd w:id="189"/>
      <w:r>
        <w:rPr>
          <w:rtl w:val="true"/>
        </w:rPr>
        <w:t>الصلاة الواجبة</w:t>
      </w:r>
      <w:bookmarkEnd w:id="190"/>
    </w:p>
    <w:p>
      <w:pPr>
        <w:pStyle w:val="BookText"/>
        <w:rPr/>
      </w:pPr>
      <w:r>
        <w:rPr>
          <w:rFonts w:ascii="IRNazanin" w:hAnsi="IRNazanin" w:eastAsia="IRNazanin"/>
          <w:color w:val="111111"/>
          <w:sz w:val="28"/>
          <w:sz w:val="28"/>
          <w:szCs w:val="28"/>
          <w:rtl w:val="true"/>
          <w:lang w:bidi="fa-IR"/>
        </w:rPr>
        <w:t>والواجب من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الیومیة بما فی ذلک صلاة الجمعة، وصلاة الطواف الواجب، والصلاة علی المیت، وصلاة الآیات، وما التزم بنذر وشبهه، وقضاء الولد الأکبر لما فات عن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نذکر الأهمّ منها وهی الیومیة، والجمعة، والصلاة علی المیت</w:t>
      </w:r>
      <w:r>
        <w:rPr>
          <w:rFonts w:eastAsia="IRNazanin" w:cs="IRNazanin"/>
          <w:color w:val="111111"/>
          <w:sz w:val="28"/>
          <w:szCs w:val="28"/>
          <w:rtl w:val="true"/>
          <w:lang w:bidi="fa-IR"/>
        </w:rPr>
        <w:t>.</w:t>
      </w:r>
    </w:p>
    <w:p>
      <w:pPr>
        <w:pStyle w:val="Heading4"/>
        <w:numPr>
          <w:ilvl w:val="3"/>
          <w:numId w:val="1"/>
        </w:numPr>
        <w:rPr/>
      </w:pPr>
      <w:bookmarkStart w:id="191" w:name="__RefHeading___Toc580414_774463916"/>
      <w:bookmarkStart w:id="192" w:name="_Toc75"/>
      <w:bookmarkEnd w:id="191"/>
      <w:r>
        <w:rPr>
          <w:rtl w:val="true"/>
        </w:rPr>
        <w:t>الصلاة الیومیة</w:t>
      </w:r>
      <w:bookmarkEnd w:id="192"/>
    </w:p>
    <w:p>
      <w:pPr>
        <w:pStyle w:val="BookText"/>
        <w:rPr/>
      </w:pPr>
      <w:r>
        <w:rPr>
          <w:rFonts w:ascii="IRNazanin" w:hAnsi="IRNazanin" w:eastAsia="IRNazanin"/>
          <w:color w:val="111111"/>
          <w:sz w:val="28"/>
          <w:sz w:val="28"/>
          <w:szCs w:val="28"/>
          <w:rtl w:val="true"/>
          <w:lang w:bidi="fa-IR"/>
        </w:rPr>
        <w:t>وهی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الصبح رکعتان، والمغرب ثلاث، والظهرأربع، وکذا العصر، والعشاء، کلّ ذلک؛ للضرورة الدینیة، والروایات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نوافل الصلوات الخمس وفضلها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أربع وثلاثون رکعةً علی الأشهر فی الحضر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 للظهر قبلها وکذا العصر، وأربع للمغرب بعدها، وبعد العشاء رکعتان من جلوس تعدّان بواحدة، وثمان للّیل، ورکعتان للشفع، ورکعة للوتر، ورکعتان للغداة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ویسقط فی السفر نوافل الظهرین، وفی سقوط الوتیرة قولان، ولکلّ رکعتین من هذه النوافل تشهّد وتسلیم، وللوتر بانفراده</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فضل النوافل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وفضلها کثیرجداً؛ فعن الباقر علیه السلام فی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جلّ جلاله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یتقرّب إلیّ عبد من عبادی بشیء أحبّ إلیّ ممّا افترضت علیه؛ وأنّه لیتقرّب إلیّ بالنافلة حتّی أحبّه، فإذا أحببته کنت سمعه الذی یسمع به، وبصره الذی یبصر به، ولسانه الذی ینطق به، ویده التی یبطش بها، إن دعانی أجبته وإن سألنی أعطیته</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ومن أعظم فوائدها إتمام الفرائض بها، روی أبوبصیر عن أبی عبدالله علیه السلام فی حدیث قال علیه السلام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أبامحمّد، إنّ العبد یُرفع له ثلثُ صلاته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ونصفُها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وثلاثةُ أرباعها، وأقلّ وأکثر علی قدر سهوه فیها، لکنّه یتمّ له من النوافل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أری النوافل ینبغی أن تترک علی حال، فقال أبوعبدالله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لا</w:t>
      </w:r>
      <w:r>
        <w:rPr>
          <w:rFonts w:eastAsia="IRNazanin" w:cs="IRNazanin"/>
          <w:color w:val="111111"/>
          <w:sz w:val="28"/>
          <w:szCs w:val="28"/>
          <w:rtl w:val="true"/>
          <w:lang w:bidi="fa-IR"/>
        </w:rPr>
        <w:t xml:space="preserve">. </w:t>
      </w:r>
      <w:r>
        <w:rPr>
          <w:rStyle w:val="FootnoteAnchor"/>
          <w:rtl w:val="true"/>
        </w:rPr>
        <w:footnoteReference w:id="117"/>
      </w:r>
      <w:bookmarkStart w:id="193" w:name="pg5021_49197"/>
    </w:p>
    <w:p>
      <w:pPr>
        <w:pStyle w:val="Heading3"/>
        <w:numPr>
          <w:ilvl w:val="2"/>
          <w:numId w:val="1"/>
        </w:numPr>
        <w:rPr/>
      </w:pPr>
      <w:bookmarkStart w:id="194" w:name="__RefHeading___Toc580416_774463916"/>
      <w:bookmarkStart w:id="195" w:name="_Toc76"/>
      <w:bookmarkEnd w:id="193"/>
      <w:bookmarkEnd w:id="194"/>
      <w:r>
        <w:rPr>
          <w:rtl w:val="true"/>
        </w:rPr>
        <w:t>الدرس</w:t>
      </w:r>
      <w:r>
        <w:rPr/>
        <w:t>15</w:t>
      </w:r>
      <w:r>
        <w:rPr>
          <w:rtl w:val="true"/>
        </w:rPr>
        <w:t xml:space="preserve"> - </w:t>
      </w:r>
      <w:r>
        <w:rPr>
          <w:rtl w:val="true"/>
        </w:rPr>
        <w:t xml:space="preserve">کتاب الصلاة </w:t>
      </w:r>
      <w:r>
        <w:rPr>
          <w:rtl w:val="true"/>
        </w:rPr>
        <w:t>(</w:t>
      </w:r>
      <w:r>
        <w:rPr/>
        <w:t>2</w:t>
      </w:r>
      <w:r>
        <w:rPr>
          <w:rtl w:val="true"/>
        </w:rPr>
        <w:t>)</w:t>
      </w:r>
      <w:bookmarkEnd w:id="195"/>
    </w:p>
    <w:p>
      <w:pPr>
        <w:pStyle w:val="Heading4"/>
        <w:numPr>
          <w:ilvl w:val="3"/>
          <w:numId w:val="1"/>
        </w:numPr>
        <w:rPr/>
      </w:pPr>
      <w:bookmarkStart w:id="196" w:name="__RefHeading___Toc580418_774463916"/>
      <w:bookmarkStart w:id="197" w:name="_Toc77"/>
      <w:bookmarkEnd w:id="196"/>
      <w:r>
        <w:rPr>
          <w:rtl w:val="true"/>
        </w:rPr>
        <w:t xml:space="preserve">الصلاة الواجبة </w:t>
      </w:r>
      <w:r>
        <w:rPr>
          <w:rtl w:val="true"/>
        </w:rPr>
        <w:t>(</w:t>
      </w:r>
      <w:r>
        <w:rPr/>
        <w:t>2</w:t>
      </w:r>
      <w:r>
        <w:rPr>
          <w:rtl w:val="true"/>
        </w:rPr>
        <w:t>)</w:t>
      </w:r>
      <w:bookmarkEnd w:id="197"/>
    </w:p>
    <w:p>
      <w:pPr>
        <w:pStyle w:val="Heading4"/>
        <w:numPr>
          <w:ilvl w:val="3"/>
          <w:numId w:val="1"/>
        </w:numPr>
        <w:rPr/>
      </w:pPr>
      <w:bookmarkStart w:id="198" w:name="__RefHeading___Toc580420_774463916"/>
      <w:bookmarkStart w:id="199" w:name="_Toc78"/>
      <w:bookmarkEnd w:id="198"/>
      <w:r>
        <w:rPr>
          <w:rtl w:val="true"/>
        </w:rPr>
        <w:t>شرائط الصلاة</w:t>
      </w:r>
      <w:r>
        <w:rPr>
          <w:rtl w:val="true"/>
        </w:rPr>
        <w:t xml:space="preserve">: </w:t>
      </w:r>
      <w:r>
        <w:rPr>
          <w:rtl w:val="true"/>
        </w:rPr>
        <w:t>أوقات الصلاة الیومیة</w:t>
      </w:r>
      <w:bookmarkEnd w:id="199"/>
    </w:p>
    <w:p>
      <w:pPr>
        <w:pStyle w:val="BookText"/>
        <w:rPr/>
      </w:pPr>
      <w:r>
        <w:rPr>
          <w:rFonts w:ascii="Amiri" w:hAnsi="Amiri" w:eastAsia="Amiri" w:cs="Amiri"/>
          <w:color w:val="111111"/>
          <w:sz w:val="28"/>
          <w:sz w:val="28"/>
          <w:szCs w:val="28"/>
          <w:rtl w:val="true"/>
          <w:lang w:bidi="ar-SA"/>
        </w:rPr>
        <w:t>وقت الظهرین من الزوال إلی الغروب، أمّا الزوال فقد اتّفق علیه المسلمون إلاّ الشاذّ منهم ممّن جوّز التقدیم للمسافر؛ ویدلّ علیه قوله تعالی أَقِمِ الصَّلاةَ لِدُلُوکِ الشَّمْسِ إِلی غَسَقِ اللَّیْلِ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السنّة الشریفة روایات تتجاوز الثلاثین، منها صحیحة زرارة عن أبی جعفر علیه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زالت الشمس دخل الوقتان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الظهر والعصر، فإذا غابت الشمس دخل الوقتان المغرب والعشاء</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ویمتدّ وقتهما إلی الغروب، کما هو المشهور؛ وتدلّ علیه روایة عبید بن زرارة،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 الله علیه السلام عن وقت الظهر والعصر، فقال</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زالت الشمس فقد دخل وقت الظهر والعصر جمیعاً إلاّ أنّ هذه قبل هذه، ثمّ أنت فی وقت منهما جمیعاً حتّی تغیب الشمس</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نعم أوّل الوقت أفضله، وینبغی لغیر ذوی الأعذار عدم التأخیر وقد أفتی بذلک وجوباً جماعةٌ، ففی الصحیح عن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لکلّ صلاة وقتان وأوّل الوقت أفضله ولیس لأحد أن یجعل آخر الوقت وقتاً إلاّ فی عذر من غیر علّة</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وقت العشائین یبتدء من المغرب إلی نصف اللیل، ولا خلاف فی ذلک بالنسبة إلی بدایة صلاة المغرب، وقد دلّ علیه الروایات الکثیرة، وقد تقدّم بعضها وإنّما الاختلاف فیما یتحقّق به الغروب، فالمشهور أنّه یتحقّق بذهاب الحمرة المشرقیة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والقائل غیر قلیل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یتحقّق باستتار قرص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نهایته، فالمشهور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إلی نصف اللیل؛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الصَّلاةَ لِدُلُوکِ الشَّمْسِ إِلی غَسَقِ اللَّیْلِ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الدلوک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وغسق اللیل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صحیحة زرارة، </w:t>
      </w:r>
      <w:r>
        <w:rPr>
          <w:rStyle w:val="FootnoteAnchor"/>
          <w:rtl w:val="true"/>
        </w:rPr>
        <w:footnoteReference w:id="121"/>
      </w:r>
      <w:r>
        <w:rPr>
          <w:rFonts w:ascii="IRNazanin" w:hAnsi="IRNazanin" w:eastAsia="IRNazanin"/>
          <w:color w:val="111111"/>
          <w:sz w:val="28"/>
          <w:sz w:val="28"/>
          <w:szCs w:val="28"/>
          <w:rtl w:val="true"/>
          <w:lang w:bidi="fa-IR"/>
        </w:rPr>
        <w:t>بتقریب أنّه بعد خروج وقت الظهرین بالغروب عن مدلول الآیة یبقی وقت العشائین ممتدّاً إلی نصف اللیل</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یمتدّ وقته إلی غیبوبة الشفق؛ لبعض الروایات المحمولة علی الفضیلة دون الاختصاص</w:t>
      </w:r>
      <w:r>
        <w:rPr>
          <w:rFonts w:eastAsia="IRNazanin" w:cs="IRNazanin"/>
          <w:color w:val="111111"/>
          <w:sz w:val="28"/>
          <w:szCs w:val="28"/>
          <w:rtl w:val="true"/>
          <w:lang w:bidi="fa-IR"/>
        </w:rPr>
        <w:t>.</w:t>
      </w:r>
      <w:bookmarkStart w:id="200" w:name="pg5021_49199"/>
    </w:p>
    <w:p>
      <w:pPr>
        <w:pStyle w:val="Heading3"/>
        <w:numPr>
          <w:ilvl w:val="2"/>
          <w:numId w:val="1"/>
        </w:numPr>
        <w:rPr/>
      </w:pPr>
      <w:bookmarkStart w:id="201" w:name="__RefHeading___Toc580422_774463916"/>
      <w:bookmarkStart w:id="202" w:name="_Toc79"/>
      <w:bookmarkEnd w:id="200"/>
      <w:bookmarkEnd w:id="201"/>
      <w:r>
        <w:rPr>
          <w:rtl w:val="true"/>
        </w:rPr>
        <w:t>الدرس</w:t>
      </w:r>
      <w:r>
        <w:rPr/>
        <w:t>16</w:t>
      </w:r>
      <w:r>
        <w:rPr>
          <w:rtl w:val="true"/>
        </w:rPr>
        <w:t xml:space="preserve"> - </w:t>
      </w:r>
      <w:r>
        <w:rPr>
          <w:rtl w:val="true"/>
        </w:rPr>
        <w:t xml:space="preserve">کتاب الصلاة </w:t>
      </w:r>
      <w:r>
        <w:rPr>
          <w:rtl w:val="true"/>
        </w:rPr>
        <w:t>(</w:t>
      </w:r>
      <w:r>
        <w:rPr/>
        <w:t>3</w:t>
      </w:r>
      <w:r>
        <w:rPr>
          <w:rtl w:val="true"/>
        </w:rPr>
        <w:t>)</w:t>
      </w:r>
      <w:bookmarkEnd w:id="202"/>
    </w:p>
    <w:p>
      <w:pPr>
        <w:pStyle w:val="Heading4"/>
        <w:numPr>
          <w:ilvl w:val="3"/>
          <w:numId w:val="1"/>
        </w:numPr>
        <w:rPr/>
      </w:pPr>
      <w:bookmarkStart w:id="203" w:name="__RefHeading___Toc580424_774463916"/>
      <w:bookmarkStart w:id="204" w:name="_Toc80"/>
      <w:bookmarkEnd w:id="203"/>
      <w:r>
        <w:rPr>
          <w:rtl w:val="true"/>
        </w:rPr>
        <w:t xml:space="preserve">الصلاة الواجبة </w:t>
      </w:r>
      <w:r>
        <w:rPr>
          <w:rtl w:val="true"/>
        </w:rPr>
        <w:t>(</w:t>
      </w:r>
      <w:r>
        <w:rPr/>
        <w:t>3</w:t>
      </w:r>
      <w:r>
        <w:rPr>
          <w:rtl w:val="true"/>
        </w:rPr>
        <w:t>)</w:t>
      </w:r>
      <w:bookmarkEnd w:id="204"/>
    </w:p>
    <w:p>
      <w:pPr>
        <w:pStyle w:val="BookText"/>
        <w:rPr/>
      </w:pPr>
      <w:r>
        <w:rPr>
          <w:rFonts w:ascii="Amiri" w:hAnsi="Amiri" w:eastAsia="Amiri" w:cs="Amiri"/>
          <w:color w:val="111111"/>
          <w:sz w:val="28"/>
          <w:sz w:val="28"/>
          <w:szCs w:val="28"/>
          <w:rtl w:val="true"/>
          <w:lang w:bidi="ar-SA"/>
        </w:rPr>
        <w:t>وقت صلاة العشاء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وبدایة وقت صلاة العشاء ما بعد صلاة المغرب علی ما هو المعروف،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سقوط الشفق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والمناسب الأوّل؛ لصحیح زرارة المتقدّم الدالّ علی أنّه إذا غابت الشمس دخل الوقتان وفی صحیحته الأخری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رسول‌الله صلی الله علیه و آله بالناس المغرب والعشاء الآخرة قبل الشفق من غیر علّة فی جماعة، وإنّما فعل ذلک لیتّسع الوقت علی أمّته</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ویمتدّ وقت العشاء ایضاً إلی نصف اللیل علی المشهور؛ لإطلاق آیة الغسق، وصحیح أبی بصیر عن أبی جعفر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رسول‌الله صلی الله علیه و آله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لولا أنّی أخاف أن أشقّ علی أمّتی لأخّرت العتمة إلی ثلث اللیل، وأنت فی رخصة إلی نصف اللیل وهو غسق اللیل</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ویمتدّ وقتهما للمضطرّ إلی الفجر الصادق، ویدلّ علیه صحیح أبی بصیر عن أبی‌عبدالله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نام رجل ولم یصلِّ صلاة المغرب والعشاء أو نسی، فإن استیقظ قبل الفجر قدر ما یصلّهما کلتیهما، فلیصلّهما وإن خشی أن تفوته إحداهما فلیبدأ بالعشاء الآخرة</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وقت صلاة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بدایته طلوع الفجر، بلا خلاف فیه؛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 لِدُلُوکِ الشَّمْسِ إِلی غَسَقِ اللَّیْلِ وَ قُرْآنَ 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من قرآن الفجر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لنسبتها إلی الفجر إلاّ کون بدایتها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والمشهور أنّ نهایتها طلوع الشمس؛ لصحیح زرارة عن أبی جعفر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صلاة الغداة ما بین طلوع الفجر إلی طلوع الشمس</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علامات الأوقات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بالفجر فی بدایة صلاة الصبح، هو الصادق دون الکاذب بإجماع المسلمین؛ وتدلّ علیه روایات شبّه فیها الفجرُ الصادق بالقبطیة البیضاء، والنورُ المنبسطُ فی عرض الأفق کأنّه بیاض نهر سوراء، بخلاف الکاذب الذی یظهر صاعداً کالعمود منفصلاً عن الأفق وسرعان ما ینعدم، الذی بذَنَب السرحان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وعلامة الزوال، زیادة فی الظلّ أو حدوثه علی الشاخص إلی جانب الشرق عند عبور الشمس عن خط نصف النهار</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ومنتصف اللیل، هو نصف ما بین الغروب إلی طلوع الفجر دون طلوع الشمس</w:t>
      </w:r>
    </w:p>
    <w:p>
      <w:pPr>
        <w:pStyle w:val="BookText"/>
        <w:rPr/>
      </w:pPr>
      <w:r>
        <w:rPr>
          <w:rFonts w:ascii="IRNazanin" w:hAnsi="IRNazanin" w:eastAsia="IRNazanin"/>
          <w:color w:val="111111"/>
          <w:sz w:val="28"/>
          <w:sz w:val="28"/>
          <w:szCs w:val="28"/>
          <w:rtl w:val="true"/>
          <w:lang w:bidi="fa-IR"/>
        </w:rPr>
        <w:t>للوجدان العرفی القاضی بعدم کون فترة ما بین الطلوعین من اللیل</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تجزئ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إلاّ مع إحراز دخول الوقت بعلم أو اطمئنان أو بینّة أو خبر الثقة، إذ العلم حجّة بذاته عقلاً، والاطمئنان حجّة عقلائیة کخبر الثقة، والبینّة حجّة فی مطلق الموضوعات ومنها الوقت</w:t>
      </w:r>
      <w:r>
        <w:rPr>
          <w:rFonts w:eastAsia="IRNazanin" w:cs="IRNazanin"/>
          <w:color w:val="111111"/>
          <w:sz w:val="28"/>
          <w:szCs w:val="28"/>
          <w:rtl w:val="true"/>
          <w:lang w:bidi="fa-IR"/>
        </w:rPr>
        <w:t>.</w:t>
      </w:r>
      <w:bookmarkStart w:id="205" w:name="pg5021_49202"/>
    </w:p>
    <w:p>
      <w:pPr>
        <w:pStyle w:val="Heading3"/>
        <w:numPr>
          <w:ilvl w:val="2"/>
          <w:numId w:val="1"/>
        </w:numPr>
        <w:rPr/>
      </w:pPr>
      <w:bookmarkStart w:id="206" w:name="__RefHeading___Toc580426_774463916"/>
      <w:bookmarkStart w:id="207" w:name="_Toc81"/>
      <w:bookmarkEnd w:id="205"/>
      <w:bookmarkEnd w:id="206"/>
      <w:r>
        <w:rPr>
          <w:rtl w:val="true"/>
        </w:rPr>
        <w:t>الدرس</w:t>
      </w:r>
      <w:r>
        <w:rPr/>
        <w:t>17</w:t>
      </w:r>
      <w:r>
        <w:rPr>
          <w:rtl w:val="true"/>
        </w:rPr>
        <w:t xml:space="preserve"> - </w:t>
      </w:r>
      <w:r>
        <w:rPr>
          <w:rtl w:val="true"/>
        </w:rPr>
        <w:t xml:space="preserve">کتاب الصلاة </w:t>
      </w:r>
      <w:r>
        <w:rPr>
          <w:rtl w:val="true"/>
        </w:rPr>
        <w:t>(</w:t>
      </w:r>
      <w:r>
        <w:rPr/>
        <w:t>4</w:t>
      </w:r>
      <w:r>
        <w:rPr>
          <w:rtl w:val="true"/>
        </w:rPr>
        <w:t>)</w:t>
      </w:r>
      <w:bookmarkEnd w:id="207"/>
    </w:p>
    <w:p>
      <w:pPr>
        <w:pStyle w:val="Heading4"/>
        <w:numPr>
          <w:ilvl w:val="3"/>
          <w:numId w:val="1"/>
        </w:numPr>
        <w:rPr/>
      </w:pPr>
      <w:bookmarkStart w:id="208" w:name="__RefHeading___Toc580428_774463916"/>
      <w:bookmarkStart w:id="209" w:name="_Toc82"/>
      <w:bookmarkEnd w:id="208"/>
      <w:r>
        <w:rPr>
          <w:rtl w:val="true"/>
        </w:rPr>
        <w:t>فی مقدمات الصلاة</w:t>
      </w:r>
      <w:bookmarkEnd w:id="209"/>
    </w:p>
    <w:p>
      <w:pPr>
        <w:pStyle w:val="Heading5"/>
        <w:numPr>
          <w:ilvl w:val="4"/>
          <w:numId w:val="1"/>
        </w:numPr>
        <w:rPr/>
      </w:pPr>
      <w:bookmarkStart w:id="210" w:name="__RefHeading___Toc580430_774463916"/>
      <w:bookmarkStart w:id="211" w:name="_Toc83"/>
      <w:bookmarkEnd w:id="210"/>
      <w:r>
        <w:rPr/>
        <w:t>1</w:t>
      </w:r>
      <w:r>
        <w:rPr>
          <w:rtl w:val="true"/>
        </w:rPr>
        <w:t xml:space="preserve">- </w:t>
      </w:r>
      <w:r>
        <w:rPr>
          <w:rtl w:val="true"/>
        </w:rPr>
        <w:t>القبلة</w:t>
      </w:r>
      <w:bookmarkEnd w:id="211"/>
    </w:p>
    <w:p>
      <w:pPr>
        <w:pStyle w:val="BookText"/>
        <w:rPr/>
      </w:pPr>
      <w:r>
        <w:rPr>
          <w:rFonts w:ascii="IRNazanin" w:hAnsi="IRNazanin" w:eastAsia="IRNazanin"/>
          <w:color w:val="111111"/>
          <w:sz w:val="28"/>
          <w:sz w:val="28"/>
          <w:szCs w:val="28"/>
          <w:rtl w:val="true"/>
          <w:lang w:bidi="fa-IR"/>
        </w:rPr>
        <w:t>یجب استقبال القبلة فی جمیع الصلوات الواجبة؛ للضرورة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النافلة فکذلک؛ لإطلاق قوله علیه السلام فی صحیح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صلاة إلاّ إلی القبلة</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ویستثنی من ذلک حالة المشی؛ لصحیح یعقوب بن شعیب فی حدیث عن أبی عبدالله علیه السلام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وهو یمشی؟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یومئ إیماءً، ولیجعل السجود أخفض من 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ولازم جواز المشی عرفاً سقوط شرطیة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والقبلة هی المکان الذی فیه الکعبة المشرّفة، دون نفس البنیة؛ للزوم انعدام القبلة بانعدامها، والمدار علی المواجهة العرفیة دون الدقّیة وهی تتّسع بزیادة البُعد</w:t>
      </w:r>
      <w:r>
        <w:rPr>
          <w:rFonts w:eastAsia="IRNazanin" w:cs="IRNazanin"/>
          <w:color w:val="111111"/>
          <w:sz w:val="28"/>
          <w:szCs w:val="28"/>
          <w:rtl w:val="true"/>
          <w:lang w:bidi="fa-IR"/>
        </w:rPr>
        <w:t>.</w:t>
      </w:r>
    </w:p>
    <w:p>
      <w:pPr>
        <w:pStyle w:val="Heading5"/>
        <w:numPr>
          <w:ilvl w:val="4"/>
          <w:numId w:val="1"/>
        </w:numPr>
        <w:rPr/>
      </w:pPr>
      <w:bookmarkStart w:id="212" w:name="__RefHeading___Toc580432_774463916"/>
      <w:bookmarkStart w:id="213" w:name="_Toc84"/>
      <w:bookmarkEnd w:id="212"/>
      <w:r>
        <w:rPr/>
        <w:t>2</w:t>
      </w:r>
      <w:r>
        <w:rPr>
          <w:rtl w:val="true"/>
        </w:rPr>
        <w:t xml:space="preserve">- </w:t>
      </w:r>
      <w:r>
        <w:rPr>
          <w:rtl w:val="true"/>
        </w:rPr>
        <w:t>الطهارة</w:t>
      </w:r>
      <w:bookmarkEnd w:id="21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تصحّ الصلاة إلاّ مع الطهارة من الحدث، وهو من المسلمات؛ ویدلّ علیه قوله</w:t>
      </w:r>
      <w:bookmarkStart w:id="214" w:name="pg5021_49203"/>
    </w:p>
    <w:p>
      <w:pPr>
        <w:pStyle w:val="BookText"/>
        <w:rPr/>
      </w:pPr>
      <w:bookmarkEnd w:id="214"/>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إِذا قُمْتُمْ إِلَی الصَّلاةِ فَاغْسِلُوا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کُنْتُمْ جُنُباً فَاطَّهَّرُوا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وصحیح زرارة عن أبی جعفر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وکذا تجب طهارة اللباس والبدن من الخبث؛ للروایات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یستثنی من ذلک دم الجروح والقروح والدم الأقل من الدرهم وما لا تتم فیه الصلاة من الملابس، کالجورب ولحمول المتنجّس من غیرها، کالسکین، والدرهم، والدینار علی ما یستفاد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والمصلّی مع الحدیث یعید ولو کان ناسیاً أو جاهلاً؛ لإطلاق الشرطیة المستفادة من الآیة والروایة وأمّا المصلّی مع الخبث فإنّه یعید مع النسیان، دون الجاهل؛ وقد دلّ علی الحکمین صحیح زرارة</w:t>
      </w:r>
      <w:r>
        <w:rPr>
          <w:rFonts w:eastAsia="IRNazanin" w:cs="IRNazanin"/>
          <w:color w:val="111111"/>
          <w:sz w:val="28"/>
          <w:szCs w:val="28"/>
          <w:rtl w:val="true"/>
          <w:lang w:bidi="fa-IR"/>
        </w:rPr>
        <w:t xml:space="preserve">. </w:t>
      </w:r>
      <w:r>
        <w:rPr>
          <w:rStyle w:val="FootnoteAnchor"/>
          <w:rtl w:val="true"/>
        </w:rPr>
        <w:footnoteReference w:id="128"/>
      </w:r>
    </w:p>
    <w:p>
      <w:pPr>
        <w:pStyle w:val="Heading5"/>
        <w:numPr>
          <w:ilvl w:val="4"/>
          <w:numId w:val="1"/>
        </w:numPr>
        <w:rPr/>
      </w:pPr>
      <w:bookmarkStart w:id="215" w:name="__RefHeading___Toc580434_774463916"/>
      <w:bookmarkStart w:id="216" w:name="_Toc85"/>
      <w:bookmarkEnd w:id="215"/>
      <w:r>
        <w:rPr/>
        <w:t>3</w:t>
      </w:r>
      <w:r>
        <w:rPr>
          <w:rtl w:val="true"/>
        </w:rPr>
        <w:t xml:space="preserve">- </w:t>
      </w:r>
      <w:r>
        <w:rPr>
          <w:rtl w:val="true"/>
        </w:rPr>
        <w:t>ستر العورة</w:t>
      </w:r>
      <w:bookmarkEnd w:id="216"/>
    </w:p>
    <w:p>
      <w:pPr>
        <w:pStyle w:val="BookText"/>
        <w:rPr/>
      </w:pPr>
      <w:r>
        <w:rPr>
          <w:rFonts w:ascii="IRNazanin" w:hAnsi="IRNazanin" w:eastAsia="IRNazanin"/>
          <w:color w:val="111111"/>
          <w:sz w:val="28"/>
          <w:sz w:val="28"/>
          <w:szCs w:val="28"/>
          <w:rtl w:val="true"/>
          <w:lang w:bidi="fa-IR"/>
        </w:rPr>
        <w:t>لا تصحّ الصلاة إلاّ مع ستر العورة، للإجماع، ولبعض الروایات، والعورة فی الرجل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القضیب والاُنثیان، والدبر، ولا دلیل علی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المرأة فیلزمها ستر جمیع بدنها؛ بإجماع علماء الإسلام کما عن المعتبر والتذکرة، </w:t>
      </w:r>
      <w:r>
        <w:rPr>
          <w:rStyle w:val="FootnoteAnchor"/>
          <w:rtl w:val="true"/>
        </w:rPr>
        <w:footnoteReference w:id="129"/>
      </w:r>
      <w:r>
        <w:rPr>
          <w:rFonts w:ascii="IRNazanin" w:hAnsi="IRNazanin" w:eastAsia="IRNazanin"/>
          <w:color w:val="111111"/>
          <w:sz w:val="28"/>
          <w:sz w:val="28"/>
          <w:szCs w:val="28"/>
          <w:rtl w:val="true"/>
          <w:lang w:bidi="fa-IR"/>
        </w:rPr>
        <w:t>دون الوجه والکفّین إلی الزندین ودون القدمین إلی الساقین؛ لموثّقة ابن أبی یعفور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المرأة فی ثلاثة أثواب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إزار ودرع وخمار</w:t>
      </w:r>
      <w:r>
        <w:rPr>
          <w:rFonts w:eastAsia="IRNazanin" w:cs="IRNazanin"/>
          <w:color w:val="111111"/>
          <w:sz w:val="28"/>
          <w:szCs w:val="28"/>
          <w:rtl w:val="true"/>
          <w:lang w:bidi="fa-IR"/>
        </w:rPr>
        <w:t xml:space="preserve">.... </w:t>
      </w:r>
      <w:r>
        <w:rPr>
          <w:rStyle w:val="FootnoteAnchor"/>
          <w:rtl w:val="true"/>
        </w:rPr>
        <w:footnoteReference w:id="130"/>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واضح أنّ الخمار لایستر الوجه، کما أنّ الإزار لایستر القدمین، وکذلک الدرع لایستر الکفّین</w:t>
      </w:r>
      <w:r>
        <w:rPr>
          <w:rFonts w:eastAsia="IRNazanin" w:cs="IRNazanin"/>
          <w:color w:val="111111"/>
          <w:sz w:val="28"/>
          <w:szCs w:val="28"/>
          <w:rtl w:val="true"/>
          <w:lang w:bidi="fa-IR"/>
        </w:rPr>
        <w:t>.</w:t>
      </w:r>
      <w:bookmarkStart w:id="217" w:name="pg5021_49204"/>
    </w:p>
    <w:p>
      <w:pPr>
        <w:pStyle w:val="Heading3"/>
        <w:numPr>
          <w:ilvl w:val="2"/>
          <w:numId w:val="1"/>
        </w:numPr>
        <w:rPr/>
      </w:pPr>
      <w:bookmarkStart w:id="218" w:name="__RefHeading___Toc580436_774463916"/>
      <w:bookmarkStart w:id="219" w:name="_Toc86"/>
      <w:bookmarkEnd w:id="217"/>
      <w:bookmarkEnd w:id="218"/>
      <w:r>
        <w:rPr>
          <w:rtl w:val="true"/>
        </w:rPr>
        <w:t>الدرس</w:t>
      </w:r>
      <w:r>
        <w:rPr/>
        <w:t>18</w:t>
      </w:r>
      <w:r>
        <w:rPr>
          <w:rtl w:val="true"/>
        </w:rPr>
        <w:t xml:space="preserve"> - </w:t>
      </w:r>
      <w:r>
        <w:rPr>
          <w:rtl w:val="true"/>
        </w:rPr>
        <w:t xml:space="preserve">کتاب الصلاة </w:t>
      </w:r>
      <w:r>
        <w:rPr>
          <w:rtl w:val="true"/>
        </w:rPr>
        <w:t>(</w:t>
      </w:r>
      <w:r>
        <w:rPr/>
        <w:t>5</w:t>
      </w:r>
      <w:r>
        <w:rPr>
          <w:rtl w:val="true"/>
        </w:rPr>
        <w:t>)</w:t>
      </w:r>
      <w:bookmarkEnd w:id="219"/>
    </w:p>
    <w:p>
      <w:pPr>
        <w:pStyle w:val="Heading4"/>
        <w:numPr>
          <w:ilvl w:val="3"/>
          <w:numId w:val="1"/>
        </w:numPr>
        <w:rPr/>
      </w:pPr>
      <w:bookmarkStart w:id="220" w:name="__RefHeading___Toc580438_774463916"/>
      <w:bookmarkStart w:id="221" w:name="_Toc87"/>
      <w:bookmarkEnd w:id="220"/>
      <w:r>
        <w:rPr>
          <w:rtl w:val="true"/>
        </w:rPr>
        <w:t xml:space="preserve">فی مقدمات الصلاة </w:t>
      </w:r>
      <w:r>
        <w:rPr>
          <w:rtl w:val="true"/>
        </w:rPr>
        <w:t>(</w:t>
      </w:r>
      <w:r>
        <w:rPr/>
        <w:t>2</w:t>
      </w:r>
      <w:r>
        <w:rPr>
          <w:rtl w:val="true"/>
        </w:rPr>
        <w:t>)</w:t>
      </w:r>
      <w:bookmarkEnd w:id="221"/>
    </w:p>
    <w:p>
      <w:pPr>
        <w:pStyle w:val="Heading5"/>
        <w:numPr>
          <w:ilvl w:val="4"/>
          <w:numId w:val="1"/>
        </w:numPr>
        <w:rPr/>
      </w:pPr>
      <w:bookmarkStart w:id="222" w:name="__RefHeading___Toc580440_774463916"/>
      <w:bookmarkStart w:id="223" w:name="_Toc88"/>
      <w:bookmarkEnd w:id="222"/>
      <w:r>
        <w:rPr>
          <w:rtl w:val="true"/>
        </w:rPr>
        <w:t>اشارة</w:t>
      </w:r>
      <w:bookmarkEnd w:id="223"/>
    </w:p>
    <w:p>
      <w:pPr>
        <w:pStyle w:val="BookText"/>
        <w:rPr/>
      </w:pPr>
      <w:r>
        <w:rPr>
          <w:rFonts w:ascii="IRNazanin" w:hAnsi="IRNazanin" w:eastAsia="IRNazanin"/>
          <w:color w:val="111111"/>
          <w:sz w:val="28"/>
          <w:sz w:val="28"/>
          <w:szCs w:val="28"/>
          <w:rtl w:val="true"/>
          <w:lang w:bidi="fa-IR"/>
        </w:rPr>
        <w:t>ویعتبر فی الساتر مضافاً إلی طهارته کما تقدّم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إباحته علی المشهور؛ لاستحالة أن یکون الحرام مصداقاً للواجب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یکون من أجزاء ما لا یؤکل لحمه؛ لموثّقة ابن بکیر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حکم علیه السلام بفساد الصلاة فی أیّ جزء من أجزاء ما لا یؤکل أو ما یکون غیر ذکیّ</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من أجزاء غیر المذکّی کما هو مقتضی ذیل موثّقة ابن بکیرالمتقدّمة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یکون من الذهب للرجال، ولو کان حلیاً کالخاتم؛ لموثّقة عمّار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یلبس الرجل الذهب ولا یصلّی فیه</w:t>
      </w:r>
      <w:r>
        <w:rPr>
          <w:rFonts w:eastAsia="IRNazanin" w:cs="IRNazanin"/>
          <w:color w:val="111111"/>
          <w:sz w:val="28"/>
          <w:szCs w:val="28"/>
          <w:rtl w:val="true"/>
          <w:lang w:bidi="fa-IR"/>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النهی المذکور إمّا إرشاد إلی المانعیة أو مولوی موجب لفساد العبادة لأنّ النهی فیها یفسد</w:t>
      </w:r>
      <w:r>
        <w:rPr>
          <w:rFonts w:eastAsia="IRNazanin" w:cs="IRNazanin"/>
          <w:color w:val="111111"/>
          <w:sz w:val="28"/>
          <w:szCs w:val="28"/>
          <w:rtl w:val="true"/>
          <w:lang w:bidi="fa-IR"/>
        </w:rPr>
        <w:t>.</w:t>
      </w:r>
      <w:bookmarkStart w:id="224" w:name="pg5021_49205"/>
    </w:p>
    <w:p>
      <w:pPr>
        <w:pStyle w:val="BookText"/>
        <w:rPr/>
      </w:pPr>
      <w:bookmarkEnd w:id="224"/>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من الحریر الخالص؛ لقوله علیه السلام فی مکاتبة محمّد بن عبد الجبار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تحلّ الصلاة فی حریر محض</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والحکم مختصّ بالرجال لجواز لبسه للنساء</w:t>
      </w:r>
      <w:r>
        <w:rPr>
          <w:rFonts w:eastAsia="IRNazanin" w:cs="IRNazanin"/>
          <w:color w:val="111111"/>
          <w:sz w:val="28"/>
          <w:szCs w:val="28"/>
          <w:rtl w:val="true"/>
          <w:lang w:bidi="fa-IR"/>
        </w:rPr>
        <w:t>.</w:t>
      </w:r>
    </w:p>
    <w:p>
      <w:pPr>
        <w:pStyle w:val="Heading5"/>
        <w:numPr>
          <w:ilvl w:val="4"/>
          <w:numId w:val="1"/>
        </w:numPr>
        <w:rPr/>
      </w:pPr>
      <w:bookmarkStart w:id="225" w:name="__RefHeading___Toc580442_774463916"/>
      <w:bookmarkStart w:id="226" w:name="_Toc89"/>
      <w:bookmarkEnd w:id="225"/>
      <w:r>
        <w:rPr/>
        <w:t>4</w:t>
      </w:r>
      <w:r>
        <w:rPr>
          <w:rtl w:val="true"/>
        </w:rPr>
        <w:t xml:space="preserve">- </w:t>
      </w:r>
      <w:r>
        <w:rPr>
          <w:rtl w:val="true"/>
        </w:rPr>
        <w:t>مکان المصلّی</w:t>
      </w:r>
      <w:bookmarkEnd w:id="226"/>
    </w:p>
    <w:p>
      <w:pPr>
        <w:pStyle w:val="BookText"/>
        <w:rPr/>
      </w:pPr>
      <w:r>
        <w:rPr>
          <w:rFonts w:ascii="IRNazanin" w:hAnsi="IRNazanin" w:eastAsia="IRNazanin"/>
          <w:color w:val="111111"/>
          <w:sz w:val="28"/>
          <w:sz w:val="28"/>
          <w:szCs w:val="28"/>
          <w:rtl w:val="true"/>
          <w:lang w:bidi="fa-IR"/>
        </w:rPr>
        <w:t>یشترط فی مکان المصلّی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الغصب؛ لامتناع اجتماع الأمر والنهی، فیقدّم النهی کما هو مقرّر فی الأصول فتکون منهیة وفاسدة ومنه یعلم عدم جواز الصلاة فی المکان المشترک إلاّ مع إذن جمیع الشرکاء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استقراره بنحو تتحقّق فیه الطمأنینة؛ للتسالم وبعض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لزوم تقدّم الرجل المصلّی علی المرأة المصلّیة وبحذائه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لزوم التأخّر عن مشهد الإمام علیه السلام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وتکره الصلاة فی المکان القذرعرفاً وفی بیت الخمر والمسکر، والطرق، وبیت فیه تمثال، وما کان قدامه شیء شاغل کنقش أو کتاب مفتوح، والمقابر، وبیت فیه کلب غیر الصائد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الصلاة فی المساجد والأفضل للنساء بیوتهنّ، کما یستحب الصلاة فی مشاهد الأئمة، بل هی أفضل من المساجد کما فی العروة الوثقی</w:t>
      </w:r>
      <w:r>
        <w:rPr>
          <w:rFonts w:eastAsia="IRNazanin" w:cs="IRNazanin"/>
          <w:color w:val="111111"/>
          <w:sz w:val="28"/>
          <w:szCs w:val="28"/>
          <w:rtl w:val="true"/>
          <w:lang w:bidi="fa-IR"/>
        </w:rPr>
        <w:t>.</w:t>
      </w:r>
    </w:p>
    <w:p>
      <w:pPr>
        <w:pStyle w:val="Heading5"/>
        <w:numPr>
          <w:ilvl w:val="4"/>
          <w:numId w:val="1"/>
        </w:numPr>
        <w:rPr/>
      </w:pPr>
      <w:bookmarkStart w:id="227" w:name="__RefHeading___Toc580444_774463916"/>
      <w:bookmarkStart w:id="228" w:name="_Toc90"/>
      <w:bookmarkEnd w:id="227"/>
      <w:r>
        <w:rPr/>
        <w:t>5</w:t>
      </w:r>
      <w:r>
        <w:rPr>
          <w:rtl w:val="true"/>
        </w:rPr>
        <w:t xml:space="preserve">- </w:t>
      </w:r>
      <w:r>
        <w:rPr>
          <w:rtl w:val="true"/>
        </w:rPr>
        <w:t>الأذان والإقامة</w:t>
      </w:r>
      <w:bookmarkEnd w:id="228"/>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إشکال فی تأکّد رجحانهما فی الفرائض الیومیة، اداءً وقضاً، حضراً وسفراً، جماعة وفرادی للرجال والنساء وذهب بعضهم إلی وجوبهما، لاسیّما الإقامة وقد احتاط صاحب العروة فیها لزوماً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للرجال فی غیر حال الاستعجال والسفر وضیق الوقت وموارد السقوط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أبی عبدالله علیه السلام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صلّی بأذان وإقامة صلّی خلفه صفّان من الملائکة، ومن صلّی بإقامة بغیر أذان صلّی خلفه صفّ واحد من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 مقدار کلّ صفّ؟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أقلّه ما بین المشرق والمغرب وأکثره ما بین السماء والأرض</w:t>
      </w:r>
      <w:r>
        <w:rPr>
          <w:rFonts w:eastAsia="IRNazanin" w:cs="IRNazanin"/>
          <w:color w:val="111111"/>
          <w:sz w:val="28"/>
          <w:szCs w:val="28"/>
          <w:rtl w:val="true"/>
          <w:lang w:bidi="fa-IR"/>
        </w:rPr>
        <w:t xml:space="preserve">. </w:t>
      </w:r>
      <w:r>
        <w:rPr>
          <w:rStyle w:val="FootnoteAnchor"/>
          <w:rtl w:val="true"/>
        </w:rPr>
        <w:footnoteReference w:id="134"/>
      </w:r>
      <w:bookmarkStart w:id="229" w:name="pg5021_49207"/>
    </w:p>
    <w:p>
      <w:pPr>
        <w:pStyle w:val="Heading3"/>
        <w:numPr>
          <w:ilvl w:val="2"/>
          <w:numId w:val="1"/>
        </w:numPr>
        <w:rPr/>
      </w:pPr>
      <w:bookmarkStart w:id="230" w:name="__RefHeading___Toc580446_774463916"/>
      <w:bookmarkStart w:id="231" w:name="_Toc91"/>
      <w:bookmarkEnd w:id="229"/>
      <w:bookmarkEnd w:id="230"/>
      <w:r>
        <w:rPr>
          <w:rtl w:val="true"/>
        </w:rPr>
        <w:t>الدرس</w:t>
      </w:r>
      <w:r>
        <w:rPr/>
        <w:t>19</w:t>
      </w:r>
      <w:r>
        <w:rPr>
          <w:rtl w:val="true"/>
        </w:rPr>
        <w:t xml:space="preserve"> - </w:t>
      </w:r>
      <w:r>
        <w:rPr>
          <w:rtl w:val="true"/>
        </w:rPr>
        <w:t xml:space="preserve">کتاب الصلاة </w:t>
      </w:r>
      <w:r>
        <w:rPr>
          <w:rtl w:val="true"/>
        </w:rPr>
        <w:t>(</w:t>
      </w:r>
      <w:r>
        <w:rPr/>
        <w:t>6</w:t>
      </w:r>
      <w:r>
        <w:rPr>
          <w:rtl w:val="true"/>
        </w:rPr>
        <w:t>)</w:t>
      </w:r>
      <w:bookmarkEnd w:id="231"/>
    </w:p>
    <w:p>
      <w:pPr>
        <w:pStyle w:val="Heading4"/>
        <w:numPr>
          <w:ilvl w:val="3"/>
          <w:numId w:val="1"/>
        </w:numPr>
        <w:rPr/>
      </w:pPr>
      <w:bookmarkStart w:id="232" w:name="__RefHeading___Toc580448_774463916"/>
      <w:bookmarkStart w:id="233" w:name="_Toc92"/>
      <w:bookmarkEnd w:id="232"/>
      <w:r>
        <w:rPr>
          <w:rtl w:val="true"/>
        </w:rPr>
        <w:t>أجزاء الصلاة</w:t>
      </w:r>
      <w:bookmarkEnd w:id="233"/>
    </w:p>
    <w:p>
      <w:pPr>
        <w:pStyle w:val="Heading5"/>
        <w:numPr>
          <w:ilvl w:val="4"/>
          <w:numId w:val="1"/>
        </w:numPr>
        <w:rPr/>
      </w:pPr>
      <w:bookmarkStart w:id="234" w:name="__RefHeading___Toc580450_774463916"/>
      <w:bookmarkStart w:id="235" w:name="_Toc93"/>
      <w:bookmarkEnd w:id="234"/>
      <w:r>
        <w:rPr/>
        <w:t>1</w:t>
      </w:r>
      <w:r>
        <w:rPr>
          <w:rtl w:val="true"/>
        </w:rPr>
        <w:t xml:space="preserve">- </w:t>
      </w:r>
      <w:r>
        <w:rPr>
          <w:rtl w:val="true"/>
        </w:rPr>
        <w:t>النیّة</w:t>
      </w:r>
      <w:bookmarkEnd w:id="235"/>
    </w:p>
    <w:p>
      <w:pPr>
        <w:pStyle w:val="BookText"/>
        <w:rPr/>
      </w:pPr>
      <w:r>
        <w:rPr>
          <w:rFonts w:ascii="IRNazanin" w:hAnsi="IRNazanin" w:eastAsia="IRNazanin"/>
          <w:color w:val="111111"/>
          <w:sz w:val="28"/>
          <w:sz w:val="28"/>
          <w:szCs w:val="28"/>
          <w:rtl w:val="true"/>
          <w:lang w:bidi="fa-IR"/>
        </w:rPr>
        <w:t>وخلوصها کما تقدّم فی بحث الوضوء</w:t>
      </w:r>
      <w:r>
        <w:rPr>
          <w:rFonts w:eastAsia="IRNazanin" w:cs="IRNazanin"/>
          <w:color w:val="111111"/>
          <w:sz w:val="28"/>
          <w:szCs w:val="28"/>
          <w:rtl w:val="true"/>
          <w:lang w:bidi="fa-IR"/>
        </w:rPr>
        <w:t>.</w:t>
      </w:r>
    </w:p>
    <w:p>
      <w:pPr>
        <w:pStyle w:val="Heading5"/>
        <w:numPr>
          <w:ilvl w:val="4"/>
          <w:numId w:val="1"/>
        </w:numPr>
        <w:rPr/>
      </w:pPr>
      <w:bookmarkStart w:id="236" w:name="__RefHeading___Toc580452_774463916"/>
      <w:bookmarkStart w:id="237" w:name="_Toc94"/>
      <w:bookmarkEnd w:id="236"/>
      <w:r>
        <w:rPr/>
        <w:t>2</w:t>
      </w:r>
      <w:r>
        <w:rPr>
          <w:rtl w:val="true"/>
        </w:rPr>
        <w:t xml:space="preserve">- </w:t>
      </w:r>
      <w:r>
        <w:rPr>
          <w:rtl w:val="true"/>
        </w:rPr>
        <w:t>تکبیرة الإحرام</w:t>
      </w:r>
      <w:bookmarkEnd w:id="237"/>
    </w:p>
    <w:p>
      <w:pPr>
        <w:pStyle w:val="BookText"/>
        <w:rPr/>
      </w:pPr>
      <w:r>
        <w:rPr>
          <w:rFonts w:ascii="IRNazanin" w:hAnsi="IRNazanin" w:eastAsia="IRNazanin"/>
          <w:color w:val="111111"/>
          <w:sz w:val="28"/>
          <w:sz w:val="28"/>
          <w:szCs w:val="28"/>
          <w:rtl w:val="true"/>
          <w:lang w:bidi="fa-IR"/>
        </w:rPr>
        <w:t xml:space="preserve">والمراد افتتاح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سائر الصیغ وإن أفادت معناه؛ لأنّه المتبادر من لفظ التکبیرعند المتشرعة ووجوبه ضروری، وهو رکن تبطل الصلاة بترکه عمداً وسهواً، ففی الصحیح عن زرارة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أباجعفر علیه السلام عن الرجل ینسی تکبیرة الافتتاح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وتبطل الصلاة بزیادته العمدیة؛ لقول الصادق علیه السلام فی صحیح أبی 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زاد فی صلاته فعلیه الإعادة</w:t>
      </w:r>
      <w:r>
        <w:rPr>
          <w:rFonts w:eastAsia="IRNazanin" w:cs="IRNazanin"/>
          <w:color w:val="111111"/>
          <w:sz w:val="28"/>
          <w:szCs w:val="28"/>
          <w:rtl w:val="true"/>
          <w:lang w:bidi="fa-IR"/>
        </w:rPr>
        <w:t xml:space="preserve">. </w:t>
      </w:r>
      <w:r>
        <w:rPr>
          <w:rStyle w:val="FootnoteAnchor"/>
          <w:rtl w:val="true"/>
        </w:rPr>
        <w:footnoteReference w:id="136"/>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بطلانها بالزیادة السهویة خلاف</w:t>
      </w:r>
      <w:r>
        <w:rPr>
          <w:rFonts w:eastAsia="IRNazanin" w:cs="IRNazanin"/>
          <w:color w:val="111111"/>
          <w:sz w:val="28"/>
          <w:szCs w:val="28"/>
          <w:rtl w:val="true"/>
          <w:lang w:bidi="fa-IR"/>
        </w:rPr>
        <w:t>.</w:t>
      </w:r>
      <w:bookmarkStart w:id="238" w:name="pg5021_49208"/>
    </w:p>
    <w:p>
      <w:pPr>
        <w:pStyle w:val="Heading5"/>
        <w:numPr>
          <w:ilvl w:val="4"/>
          <w:numId w:val="1"/>
        </w:numPr>
        <w:rPr/>
      </w:pPr>
      <w:bookmarkStart w:id="239" w:name="__RefHeading___Toc580454_774463916"/>
      <w:bookmarkStart w:id="240" w:name="_Toc95"/>
      <w:bookmarkEnd w:id="238"/>
      <w:bookmarkEnd w:id="239"/>
      <w:r>
        <w:rPr/>
        <w:t>3</w:t>
      </w:r>
      <w:r>
        <w:rPr>
          <w:rtl w:val="true"/>
        </w:rPr>
        <w:t xml:space="preserve">- </w:t>
      </w:r>
      <w:r>
        <w:rPr>
          <w:rtl w:val="true"/>
        </w:rPr>
        <w:t>القیام</w:t>
      </w:r>
      <w:bookmarkEnd w:id="240"/>
    </w:p>
    <w:p>
      <w:pPr>
        <w:pStyle w:val="BookText"/>
        <w:rPr/>
      </w:pPr>
      <w:r>
        <w:rPr>
          <w:rFonts w:ascii="IRNazanin" w:hAnsi="IRNazanin" w:eastAsia="IRNazanin"/>
          <w:color w:val="111111"/>
          <w:sz w:val="28"/>
          <w:sz w:val="28"/>
          <w:szCs w:val="28"/>
          <w:rtl w:val="true"/>
          <w:lang w:bidi="fa-IR"/>
        </w:rPr>
        <w:t xml:space="preserve">وهو واجب عند علماء الإسلام؛ لقوله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لم یقم صلبه فی الصلاة فلا صلاة له</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ومن لا یتمکّن من القیام یصلّی جالساً ومن یقدر علی البعض یتبعّض، 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سقوط الصلاة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الضرورات تقدّر بقدرها، ویدلّ علیه ما رواه جمیل فی الصحیح عن أبی عبدالله علیه السلام فی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الرجل لیوعک ویحرج ولکنّه أعلم بنفسه، إذا قوی فلیقم</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وهو رکن حالة تکبیرة الإحرام وقبیل الرکوع، أمّا الأوّل لموثّق عمّار عن الصادق علیه السلام ، </w:t>
      </w:r>
      <w:r>
        <w:rPr>
          <w:rStyle w:val="FootnoteAnchor"/>
          <w:rtl w:val="true"/>
        </w:rPr>
        <w:footnoteReference w:id="139"/>
      </w:r>
      <w:r>
        <w:rPr>
          <w:rFonts w:ascii="IRNazanin" w:hAnsi="IRNazanin" w:eastAsia="IRNazanin"/>
          <w:color w:val="111111"/>
          <w:sz w:val="28"/>
          <w:sz w:val="28"/>
          <w:szCs w:val="28"/>
          <w:rtl w:val="true"/>
          <w:lang w:bidi="fa-IR"/>
        </w:rPr>
        <w:t>وأمّا الثانی لتقوّم الرکوع بالانحناء عن قیام والإخلال به إخلال بالرکوع</w:t>
      </w:r>
      <w:r>
        <w:rPr>
          <w:rFonts w:eastAsia="IRNazanin" w:cs="IRNazanin"/>
          <w:color w:val="111111"/>
          <w:sz w:val="28"/>
          <w:szCs w:val="28"/>
          <w:rtl w:val="true"/>
          <w:lang w:bidi="fa-IR"/>
        </w:rPr>
        <w:t>.</w:t>
      </w:r>
    </w:p>
    <w:p>
      <w:pPr>
        <w:pStyle w:val="Heading5"/>
        <w:numPr>
          <w:ilvl w:val="4"/>
          <w:numId w:val="1"/>
        </w:numPr>
        <w:rPr/>
      </w:pPr>
      <w:bookmarkStart w:id="241" w:name="__RefHeading___Toc580456_774463916"/>
      <w:bookmarkStart w:id="242" w:name="_Toc96"/>
      <w:bookmarkEnd w:id="241"/>
      <w:r>
        <w:rPr/>
        <w:t>4</w:t>
      </w:r>
      <w:r>
        <w:rPr>
          <w:rtl w:val="true"/>
        </w:rPr>
        <w:t xml:space="preserve">- </w:t>
      </w:r>
      <w:r>
        <w:rPr>
          <w:rtl w:val="true"/>
        </w:rPr>
        <w:t>القراءة</w:t>
      </w:r>
      <w:bookmarkEnd w:id="242"/>
    </w:p>
    <w:p>
      <w:pPr>
        <w:pStyle w:val="BookText"/>
        <w:rPr/>
      </w:pPr>
      <w:r>
        <w:rPr>
          <w:rFonts w:ascii="IRNazanin" w:hAnsi="IRNazanin" w:eastAsia="IRNazanin"/>
          <w:color w:val="111111"/>
          <w:sz w:val="28"/>
          <w:sz w:val="28"/>
          <w:szCs w:val="28"/>
          <w:rtl w:val="true"/>
          <w:lang w:bidi="fa-IR"/>
        </w:rPr>
        <w:t>یجب فی الرکعتین الأولیتین قراءة الحمد، إجماعاً وبه قال الشافعی، ومالک، وأحمد وقال أبوحنیفة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مقدار آیة</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ویدّل علیه صحیح محّمد بن مسلم عن أبی جعفر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الذی لایقرأ بفاتحة الکتاب فی صلاته؟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له إلاّ أن یقرأ بها فی جهر أو إخفات</w:t>
      </w:r>
      <w:r>
        <w:rPr>
          <w:rFonts w:eastAsia="IRNazanin" w:cs="IRNazanin"/>
          <w:color w:val="111111"/>
          <w:sz w:val="28"/>
          <w:szCs w:val="28"/>
          <w:rtl w:val="true"/>
          <w:lang w:bidi="fa-IR"/>
        </w:rPr>
        <w:t xml:space="preserve">. </w:t>
      </w:r>
      <w:r>
        <w:rPr>
          <w:rStyle w:val="FootnoteAnchor"/>
          <w:rtl w:val="true"/>
        </w:rPr>
        <w:footnoteReference w:id="141"/>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وإطلاقها یشمل النافلة کالفریضة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وقراءة سورة کاملة فی الفریضة علی المشهور شهرة 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والبسملة جزء من کلّ سورة إلاّ سورة التوبة، بإجماع علمائنا کما فی المعتبر، بل هی أفضل آیات الحمد، لما رواه محمّد بن مسلم فی الصحیح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أباعبدالله علیه السلام عن السبع المثانی والقرآن العظیم أهی الفاتحة؟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من السبع؟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هی أفضلهنّ</w:t>
      </w:r>
      <w:r>
        <w:rPr>
          <w:rFonts w:eastAsia="IRNazanin" w:cs="IRNazanin"/>
          <w:color w:val="111111"/>
          <w:sz w:val="28"/>
          <w:szCs w:val="28"/>
          <w:rtl w:val="true"/>
          <w:lang w:bidi="fa-IR"/>
        </w:rPr>
        <w:t xml:space="preserve">. </w:t>
      </w:r>
      <w:r>
        <w:rPr>
          <w:rStyle w:val="FootnoteAnchor"/>
          <w:rtl w:val="true"/>
        </w:rPr>
        <w:footnoteReference w:id="142"/>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والمحکی عن العامّة فی ذلک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آیة من أوّل کلّ سورة کما عن أحمد،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لیست من فاتحة الکتاب ولا من سائر السور کما عن أبی حنیفة ومالک،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قرائتها فی الصلاة إلاّ فی شهر رمضان کما عن مالک</w:t>
      </w:r>
      <w:r>
        <w:rPr>
          <w:rFonts w:eastAsia="IRNazanin" w:cs="IRNazanin"/>
          <w:color w:val="111111"/>
          <w:sz w:val="28"/>
          <w:szCs w:val="28"/>
          <w:rtl w:val="true"/>
          <w:lang w:bidi="fa-IR"/>
        </w:rPr>
        <w:t xml:space="preserve">! </w:t>
      </w:r>
      <w:r>
        <w:rPr>
          <w:rStyle w:val="FootnoteAnchor"/>
          <w:rtl w:val="true"/>
        </w:rPr>
        <w:footnoteReference w:id="143"/>
      </w:r>
      <w:bookmarkStart w:id="243" w:name="pg5021_49210"/>
    </w:p>
    <w:p>
      <w:pPr>
        <w:pStyle w:val="Heading3"/>
        <w:numPr>
          <w:ilvl w:val="2"/>
          <w:numId w:val="1"/>
        </w:numPr>
        <w:rPr/>
      </w:pPr>
      <w:bookmarkStart w:id="244" w:name="__RefHeading___Toc580458_774463916"/>
      <w:bookmarkStart w:id="245" w:name="_Toc97"/>
      <w:bookmarkEnd w:id="243"/>
      <w:bookmarkEnd w:id="244"/>
      <w:r>
        <w:rPr>
          <w:rtl w:val="true"/>
        </w:rPr>
        <w:t>الدرس</w:t>
      </w:r>
      <w:r>
        <w:rPr/>
        <w:t>20</w:t>
      </w:r>
      <w:r>
        <w:rPr>
          <w:rtl w:val="true"/>
        </w:rPr>
        <w:t xml:space="preserve"> - </w:t>
      </w:r>
      <w:r>
        <w:rPr>
          <w:rtl w:val="true"/>
        </w:rPr>
        <w:t xml:space="preserve">کتاب الصلاة </w:t>
      </w:r>
      <w:r>
        <w:rPr>
          <w:rtl w:val="true"/>
        </w:rPr>
        <w:t>(</w:t>
      </w:r>
      <w:r>
        <w:rPr/>
        <w:t>7</w:t>
      </w:r>
      <w:r>
        <w:rPr>
          <w:rtl w:val="true"/>
        </w:rPr>
        <w:t>)</w:t>
      </w:r>
      <w:bookmarkEnd w:id="245"/>
    </w:p>
    <w:p>
      <w:pPr>
        <w:pStyle w:val="Heading4"/>
        <w:numPr>
          <w:ilvl w:val="3"/>
          <w:numId w:val="1"/>
        </w:numPr>
        <w:rPr/>
      </w:pPr>
      <w:bookmarkStart w:id="246" w:name="__RefHeading___Toc580460_774463916"/>
      <w:bookmarkStart w:id="247" w:name="_Toc98"/>
      <w:bookmarkEnd w:id="246"/>
      <w:r>
        <w:rPr>
          <w:rtl w:val="true"/>
        </w:rPr>
        <w:t xml:space="preserve">أجزاء الصلاة </w:t>
      </w:r>
      <w:r>
        <w:rPr>
          <w:rtl w:val="true"/>
        </w:rPr>
        <w:t>(</w:t>
      </w:r>
      <w:r>
        <w:rPr/>
        <w:t>2</w:t>
      </w:r>
      <w:r>
        <w:rPr>
          <w:rtl w:val="true"/>
        </w:rPr>
        <w:t>)</w:t>
      </w:r>
      <w:bookmarkEnd w:id="247"/>
    </w:p>
    <w:p>
      <w:pPr>
        <w:pStyle w:val="Heading4"/>
        <w:numPr>
          <w:ilvl w:val="3"/>
          <w:numId w:val="1"/>
        </w:numPr>
        <w:rPr/>
      </w:pPr>
      <w:bookmarkStart w:id="248" w:name="__RefHeading___Toc580462_774463916"/>
      <w:bookmarkStart w:id="249" w:name="_Toc99"/>
      <w:bookmarkEnd w:id="248"/>
      <w:r>
        <w:rPr>
          <w:rtl w:val="true"/>
        </w:rPr>
        <w:t>تابع القراءة</w:t>
      </w:r>
      <w:bookmarkEnd w:id="249"/>
    </w:p>
    <w:p>
      <w:pPr>
        <w:pStyle w:val="BookText"/>
        <w:rPr/>
      </w:pPr>
      <w:r>
        <w:rPr>
          <w:rFonts w:ascii="IRNazanin" w:hAnsi="IRNazanin" w:eastAsia="IRNazanin"/>
          <w:color w:val="111111"/>
          <w:sz w:val="28"/>
          <w:sz w:val="28"/>
          <w:szCs w:val="28"/>
          <w:rtl w:val="true"/>
          <w:lang w:bidi="fa-IR"/>
        </w:rPr>
        <w:t>یجب الجهر بالقرائة علی الرجال فی الرکعتین الأولیتین فی الصبح والمغرب والعشاء علی المشهور، بل عن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یجب الجهر علی النساء فی الصلوات الجهریة، بل یتخیّرن؛ إجماعاً، ویدلّ علیه ما رواه علی بن جعفر عن أخیه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الجهر بالبسملة، فی الظهرین إجماعاً کما عن التذکرة، بل جعله فی المعتبر من منفردات الأصحاب، ویشهد له صحیح صفوان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صلیت خلف أبی عبدالله علیه السلام أیاماً فکان إذا کانت صلاة لا یجهر فیها، جهر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وکان یجهر فی السورتین معاً</w:t>
      </w:r>
      <w:r>
        <w:rPr>
          <w:rFonts w:eastAsia="IRNazanin" w:cs="IRNazanin"/>
          <w:color w:val="111111"/>
          <w:sz w:val="28"/>
          <w:szCs w:val="28"/>
          <w:rtl w:val="true"/>
          <w:lang w:bidi="fa-IR"/>
        </w:rPr>
        <w:t xml:space="preserve">. </w:t>
      </w:r>
      <w:r>
        <w:rPr>
          <w:rStyle w:val="FootnoteAnchor"/>
          <w:rtl w:val="true"/>
        </w:rPr>
        <w:footnoteReference w:id="144"/>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وغیرها من الروایات بل عدّ ذلک فی بعضها من علامات المؤمن، </w:t>
      </w:r>
      <w:r>
        <w:rPr>
          <w:rStyle w:val="FootnoteAnchor"/>
          <w:rtl w:val="true"/>
        </w:rPr>
        <w:footnoteReference w:id="145"/>
      </w:r>
      <w:r>
        <w:rPr>
          <w:rFonts w:ascii="IRNazanin" w:hAnsi="IRNazanin" w:eastAsia="IRNazanin"/>
          <w:color w:val="111111"/>
          <w:sz w:val="28"/>
          <w:sz w:val="28"/>
          <w:szCs w:val="28"/>
          <w:rtl w:val="true"/>
          <w:lang w:bidi="fa-IR"/>
        </w:rPr>
        <w:t xml:space="preserve">وذکر البیهقی فی الخلافیات أنّه اجتمع آل رسول‌الله صلی الله علیه و آله علی الجهر بسم الله الرحمن الرحیم </w:t>
      </w:r>
      <w:r>
        <w:rPr>
          <w:rStyle w:val="FootnoteAnchor"/>
          <w:rtl w:val="true"/>
        </w:rPr>
        <w:footnoteReference w:id="146"/>
      </w:r>
      <w:r>
        <w:rPr>
          <w:rFonts w:ascii="IRNazanin" w:hAnsi="IRNazanin" w:eastAsia="IRNazanin"/>
          <w:color w:val="111111"/>
          <w:sz w:val="28"/>
          <w:sz w:val="28"/>
          <w:szCs w:val="28"/>
          <w:rtl w:val="true"/>
          <w:lang w:bidi="fa-IR"/>
        </w:rPr>
        <w:t>وللإمام</w:t>
      </w:r>
      <w:bookmarkStart w:id="250" w:name="pg5021_49211"/>
    </w:p>
    <w:p>
      <w:pPr>
        <w:pStyle w:val="BookText"/>
        <w:rPr/>
      </w:pPr>
      <w:bookmarkEnd w:id="250"/>
      <w:r>
        <w:rPr>
          <w:rFonts w:ascii="IRNazanin" w:hAnsi="IRNazanin" w:eastAsia="IRNazanin"/>
          <w:color w:val="111111"/>
          <w:sz w:val="28"/>
          <w:sz w:val="28"/>
          <w:szCs w:val="28"/>
          <w:rtl w:val="true"/>
          <w:lang w:bidi="fa-IR"/>
        </w:rPr>
        <w:t>الرازی کلام یعجبنی نقله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أنّ علی بن ابی طالب علیه السلام کان یجهر بالتسمیة، فقد ثبت بالتواتر، ومن اقتدی فی دینه بعلی بن أبی طالب فقد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 فی کلام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اتّخذ علیاً إماماً لدینه فقد استمسک بالعروة الوثقی فی دینه ونفسه</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ویجب کون القرائة صحیحة فلو أخلّ من یتمکّن من القرائة الصحیحة بشیء من الکلمات أو الحروف أو بدّل حرفاً أو أخلّ بحرکة أو أخرج حرفاً من غیر مخرجه بحیث یخرج عن صدق ذلک الحرف فی عرف العرب بطلت، کلّ ذلک لوجوب قرائة القرآن والملحون لیس قرآناً</w:t>
      </w:r>
      <w:r>
        <w:rPr>
          <w:rFonts w:eastAsia="IRNazanin" w:cs="IRNazanin"/>
          <w:color w:val="111111"/>
          <w:sz w:val="28"/>
          <w:szCs w:val="28"/>
          <w:rtl w:val="true"/>
          <w:lang w:bidi="fa-IR"/>
        </w:rPr>
        <w:t>.</w:t>
      </w:r>
    </w:p>
    <w:p>
      <w:pPr>
        <w:pStyle w:val="Heading4"/>
        <w:numPr>
          <w:ilvl w:val="3"/>
          <w:numId w:val="1"/>
        </w:numPr>
        <w:rPr/>
      </w:pPr>
      <w:bookmarkStart w:id="251" w:name="__RefHeading___Toc580464_774463916"/>
      <w:bookmarkStart w:id="252" w:name="_Toc100"/>
      <w:bookmarkEnd w:id="251"/>
      <w:r>
        <w:rPr>
          <w:rtl w:val="true"/>
        </w:rPr>
        <w:t>مستحبّات القرائة</w:t>
      </w:r>
      <w:bookmarkEnd w:id="2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الاستعاذة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الشروع فیها فی الرکعة الأولی 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الإخفات فیها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الترتیل أی التأنّی فی القراءة وتبیین الحروف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تحسین الصوت بلا غناء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القلب وملاحظة معانی ما یقرأ؛ لأنّه لا خیر فی قراءة لیس فیها تدبّر کما فی الروایة</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الله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قراءة سورة التوحید</w:t>
      </w:r>
      <w:r>
        <w:rPr>
          <w:rFonts w:eastAsia="IRNazanin" w:cs="IRNazanin"/>
          <w:color w:val="111111"/>
          <w:sz w:val="28"/>
          <w:szCs w:val="28"/>
          <w:rtl w:val="true"/>
          <w:lang w:bidi="fa-IR"/>
        </w:rPr>
        <w:t xml:space="preserve">. </w:t>
      </w:r>
      <w:r>
        <w:rPr>
          <w:rStyle w:val="FootnoteAnchor"/>
          <w:rtl w:val="true"/>
        </w:rPr>
        <w:footnoteReference w:id="149"/>
      </w:r>
      <w:bookmarkStart w:id="253" w:name="pg5021_49212"/>
    </w:p>
    <w:p>
      <w:pPr>
        <w:pStyle w:val="Heading3"/>
        <w:numPr>
          <w:ilvl w:val="2"/>
          <w:numId w:val="1"/>
        </w:numPr>
        <w:rPr/>
      </w:pPr>
      <w:bookmarkStart w:id="254" w:name="__RefHeading___Toc580466_774463916"/>
      <w:bookmarkStart w:id="255" w:name="_Toc101"/>
      <w:bookmarkEnd w:id="253"/>
      <w:bookmarkEnd w:id="254"/>
      <w:r>
        <w:rPr>
          <w:rtl w:val="true"/>
        </w:rPr>
        <w:t>الدرس</w:t>
      </w:r>
      <w:r>
        <w:rPr/>
        <w:t>21</w:t>
      </w:r>
      <w:r>
        <w:rPr>
          <w:rtl w:val="true"/>
        </w:rPr>
        <w:t xml:space="preserve"> - </w:t>
      </w:r>
      <w:r>
        <w:rPr>
          <w:rtl w:val="true"/>
        </w:rPr>
        <w:t xml:space="preserve">کتاب الصلاة </w:t>
      </w:r>
      <w:r>
        <w:rPr>
          <w:rtl w:val="true"/>
        </w:rPr>
        <w:t>(</w:t>
      </w:r>
      <w:r>
        <w:rPr/>
        <w:t>8</w:t>
      </w:r>
      <w:r>
        <w:rPr>
          <w:rtl w:val="true"/>
        </w:rPr>
        <w:t>)</w:t>
      </w:r>
      <w:bookmarkEnd w:id="255"/>
    </w:p>
    <w:p>
      <w:pPr>
        <w:pStyle w:val="Heading4"/>
        <w:numPr>
          <w:ilvl w:val="3"/>
          <w:numId w:val="1"/>
        </w:numPr>
        <w:rPr/>
      </w:pPr>
      <w:bookmarkStart w:id="256" w:name="__RefHeading___Toc580468_774463916"/>
      <w:bookmarkStart w:id="257" w:name="_Toc102"/>
      <w:bookmarkEnd w:id="256"/>
      <w:r>
        <w:rPr>
          <w:rtl w:val="true"/>
        </w:rPr>
        <w:t xml:space="preserve">أجزاء الصلاة </w:t>
      </w:r>
      <w:r>
        <w:rPr>
          <w:rtl w:val="true"/>
        </w:rPr>
        <w:t>(</w:t>
      </w:r>
      <w:r>
        <w:rPr/>
        <w:t>3</w:t>
      </w:r>
      <w:r>
        <w:rPr>
          <w:rtl w:val="true"/>
        </w:rPr>
        <w:t>)</w:t>
      </w:r>
      <w:bookmarkEnd w:id="257"/>
    </w:p>
    <w:p>
      <w:pPr>
        <w:pStyle w:val="Heading5"/>
        <w:numPr>
          <w:ilvl w:val="4"/>
          <w:numId w:val="1"/>
        </w:numPr>
        <w:rPr/>
      </w:pPr>
      <w:bookmarkStart w:id="258" w:name="__RefHeading___Toc580470_774463916"/>
      <w:bookmarkStart w:id="259" w:name="_Toc103"/>
      <w:bookmarkEnd w:id="258"/>
      <w:r>
        <w:rPr/>
        <w:t>5</w:t>
      </w:r>
      <w:r>
        <w:rPr>
          <w:rtl w:val="true"/>
        </w:rPr>
        <w:t xml:space="preserve">- </w:t>
      </w:r>
      <w:r>
        <w:rPr>
          <w:rtl w:val="true"/>
        </w:rPr>
        <w:t>الرکوع</w:t>
      </w:r>
      <w:bookmarkEnd w:id="259"/>
    </w:p>
    <w:p>
      <w:pPr>
        <w:pStyle w:val="BookText"/>
        <w:rPr/>
      </w:pPr>
      <w:r>
        <w:rPr>
          <w:rFonts w:ascii="IRNazanin" w:hAnsi="IRNazanin" w:eastAsia="IRNazanin"/>
          <w:color w:val="111111"/>
          <w:sz w:val="28"/>
          <w:sz w:val="28"/>
          <w:szCs w:val="28"/>
          <w:rtl w:val="true"/>
          <w:lang w:bidi="fa-IR"/>
        </w:rPr>
        <w:t>وهو واجب فی کلّ رکعة مرّة إلاّ فی صلاة الآیات، ووجوبه ضروری وعلیه إجماع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وحدّه الانحناء قدر ما تصل أطراف الأصابع إلی الرکبتین؛ للروایات، ومنها صحیح زرارة عن أبی جعفر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وصلت أطراف أصابعک فی رکوعک إلی رکبتیک أجزأک ذلک</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وهو رکن تبطل الصلاة بزیادته ونقیصته عمداً وسهواً 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المستفادة من صحیح زرارة عن أبی جعفر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تعاد الصلاة إلاّ من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الطهور، والوقت والقبلة، والرکوع، والسجود</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نعم یستثنی من ذلک صلاة الجماعة للمتابعة؛ ویدلّ علیه صحیح علی بن یقطین قال</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سألت أباالحسن علیه السلام عن الرجل یرکع مع الإمام یقتدی به ثمّ یرفع رأسه قبل الأمام؟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یعید برکوعه معه</w:t>
      </w:r>
      <w:r>
        <w:rPr>
          <w:rFonts w:eastAsia="IRNazanin" w:cs="IRNazanin"/>
          <w:color w:val="111111"/>
          <w:sz w:val="28"/>
          <w:szCs w:val="28"/>
          <w:rtl w:val="true"/>
          <w:lang w:bidi="fa-IR"/>
        </w:rPr>
        <w:t xml:space="preserve">». </w:t>
      </w:r>
      <w:r>
        <w:rPr>
          <w:rStyle w:val="FootnoteAnchor"/>
          <w:rtl w:val="true"/>
        </w:rPr>
        <w:footnoteReference w:id="152"/>
      </w:r>
      <w:bookmarkStart w:id="260" w:name="pg5021_49213"/>
    </w:p>
    <w:p>
      <w:pPr>
        <w:pStyle w:val="BookText"/>
        <w:rPr/>
      </w:pPr>
      <w:bookmarkEnd w:id="260"/>
      <w:r>
        <w:rPr>
          <w:rFonts w:ascii="IRNazanin" w:hAnsi="IRNazanin" w:eastAsia="IRNazanin"/>
          <w:color w:val="111111"/>
          <w:sz w:val="28"/>
          <w:sz w:val="28"/>
          <w:szCs w:val="28"/>
          <w:rtl w:val="true"/>
          <w:lang w:bidi="fa-IR"/>
        </w:rPr>
        <w:t>والذکر واجب حین الرکوع، ویجزی من التسبیح، الصغری، 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ففی موثّق سماعة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یجزیک من الرکوع فثلاث تسبیحات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سبحان الله سبحان الله، ثلاثاًً</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ویجب الطمأنینة عند الذکر؛ إجماعاً من المسلمین، وللروایات، منها صحیح زرارة عن أبی جعفر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بینا رسول‌الله صلی الله علیه و آله جالس فی المسجد إذا دخل رجل فقام یصلّی فلم یتمّ رکوعه ولاسجوده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 کنقر الغراب، لئن مات هذا وهکذا صلاته لیموتنّ علی غیر دینی</w:t>
      </w:r>
      <w:r>
        <w:rPr>
          <w:rFonts w:eastAsia="IRNazanin" w:cs="IRNazanin"/>
          <w:color w:val="111111"/>
          <w:sz w:val="28"/>
          <w:szCs w:val="28"/>
          <w:rtl w:val="true"/>
          <w:lang w:bidi="fa-IR"/>
        </w:rPr>
        <w:t xml:space="preserve">. </w:t>
      </w:r>
      <w:r>
        <w:rPr>
          <w:rStyle w:val="FootnoteAnchor"/>
          <w:rtl w:val="true"/>
        </w:rPr>
        <w:footnoteReference w:id="154"/>
      </w:r>
    </w:p>
    <w:p>
      <w:pPr>
        <w:pStyle w:val="Heading4"/>
        <w:numPr>
          <w:ilvl w:val="3"/>
          <w:numId w:val="1"/>
        </w:numPr>
        <w:rPr/>
      </w:pPr>
      <w:bookmarkStart w:id="261" w:name="__RefHeading___Toc580472_774463916"/>
      <w:bookmarkStart w:id="262" w:name="_Toc104"/>
      <w:bookmarkEnd w:id="261"/>
      <w:r>
        <w:rPr>
          <w:rtl w:val="true"/>
        </w:rPr>
        <w:t>مستحبات الرکوع</w:t>
      </w:r>
      <w:bookmarkEnd w:id="2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التکبیر له وهو قائم منتصب، ورفع الیدین حاله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 الرکبتین إلی الخلف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تسویة الظهر بحیث لو صبّ علیه قطرة من الماء استقرّ فی مکانه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 العنق موازیاً للظهر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یکون نظره بین قدمیه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یقول بعد الانتصاب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یصلّی علی النبی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الذکر أو قبله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وغیر ذلک ممّا جاء فی الروایات ولعلّ أجمعها صحیح زرارة عن أبی جعفر علیه السلام فی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وتصفُّ فی رکوعک بین قدمیک وتجعل بینهما قدر شبر، وتمکّن راحتک من رکبتیک، وتضع یدک الیمنی علی رکبتک الیمنی قبل الیسری، وبلّغ بأطراف أصابعک عین الرکبة وفرّج أصابعک إذا وضعتها علی رکبتیک، وأقم صلبک، ومدّ عنقک، ولیکن نظرک بین قدمیک، ثمّ 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منتصب قائم</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قال فی رکوعه وسجوده وقیامه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له بمثل الرکوع أو السجود، والقیام</w:t>
      </w:r>
      <w:r>
        <w:rPr>
          <w:rFonts w:eastAsia="IRNazanin" w:cs="IRNazanin"/>
          <w:color w:val="111111"/>
          <w:sz w:val="28"/>
          <w:szCs w:val="28"/>
          <w:rtl w:val="true"/>
          <w:lang w:bidi="fa-IR"/>
        </w:rPr>
        <w:t xml:space="preserve">. </w:t>
      </w:r>
      <w:r>
        <w:rPr>
          <w:rStyle w:val="FootnoteAnchor"/>
          <w:rtl w:val="true"/>
        </w:rPr>
        <w:footnoteReference w:id="156"/>
      </w:r>
      <w:bookmarkStart w:id="263" w:name="pg5021_49215"/>
    </w:p>
    <w:p>
      <w:pPr>
        <w:pStyle w:val="Heading3"/>
        <w:numPr>
          <w:ilvl w:val="2"/>
          <w:numId w:val="1"/>
        </w:numPr>
        <w:rPr/>
      </w:pPr>
      <w:bookmarkStart w:id="264" w:name="__RefHeading___Toc580474_774463916"/>
      <w:bookmarkStart w:id="265" w:name="_Toc105"/>
      <w:bookmarkEnd w:id="263"/>
      <w:bookmarkEnd w:id="264"/>
      <w:r>
        <w:rPr>
          <w:rtl w:val="true"/>
        </w:rPr>
        <w:t>الدرس</w:t>
      </w:r>
      <w:r>
        <w:rPr/>
        <w:t>22</w:t>
      </w:r>
      <w:r>
        <w:rPr>
          <w:rtl w:val="true"/>
        </w:rPr>
        <w:t xml:space="preserve"> - </w:t>
      </w:r>
      <w:r>
        <w:rPr>
          <w:rtl w:val="true"/>
        </w:rPr>
        <w:t xml:space="preserve">کتاب الصلاة </w:t>
      </w:r>
      <w:r>
        <w:rPr>
          <w:rtl w:val="true"/>
        </w:rPr>
        <w:t>(</w:t>
      </w:r>
      <w:r>
        <w:rPr/>
        <w:t>9</w:t>
      </w:r>
      <w:r>
        <w:rPr>
          <w:rtl w:val="true"/>
        </w:rPr>
        <w:t>)</w:t>
      </w:r>
      <w:bookmarkEnd w:id="265"/>
    </w:p>
    <w:p>
      <w:pPr>
        <w:pStyle w:val="Heading4"/>
        <w:numPr>
          <w:ilvl w:val="3"/>
          <w:numId w:val="1"/>
        </w:numPr>
        <w:rPr/>
      </w:pPr>
      <w:bookmarkStart w:id="266" w:name="__RefHeading___Toc580476_774463916"/>
      <w:bookmarkStart w:id="267" w:name="_Toc106"/>
      <w:bookmarkEnd w:id="266"/>
      <w:r>
        <w:rPr>
          <w:rtl w:val="true"/>
        </w:rPr>
        <w:t xml:space="preserve">أجزاء الصلاة </w:t>
      </w:r>
      <w:r>
        <w:rPr>
          <w:rtl w:val="true"/>
        </w:rPr>
        <w:t>(</w:t>
      </w:r>
      <w:r>
        <w:rPr/>
        <w:t>4</w:t>
      </w:r>
      <w:r>
        <w:rPr>
          <w:rtl w:val="true"/>
        </w:rPr>
        <w:t>)</w:t>
      </w:r>
      <w:bookmarkEnd w:id="267"/>
    </w:p>
    <w:p>
      <w:pPr>
        <w:pStyle w:val="Heading5"/>
        <w:numPr>
          <w:ilvl w:val="4"/>
          <w:numId w:val="1"/>
        </w:numPr>
        <w:rPr/>
      </w:pPr>
      <w:bookmarkStart w:id="268" w:name="__RefHeading___Toc580478_774463916"/>
      <w:bookmarkStart w:id="269" w:name="_Toc107"/>
      <w:bookmarkEnd w:id="268"/>
      <w:r>
        <w:rPr/>
        <w:t>6</w:t>
      </w:r>
      <w:r>
        <w:rPr>
          <w:rtl w:val="true"/>
        </w:rPr>
        <w:t xml:space="preserve">- </w:t>
      </w:r>
      <w:r>
        <w:rPr>
          <w:rtl w:val="true"/>
        </w:rPr>
        <w:t>السجود</w:t>
      </w:r>
      <w:bookmarkEnd w:id="269"/>
    </w:p>
    <w:p>
      <w:pPr>
        <w:pStyle w:val="BookText"/>
        <w:rPr/>
      </w:pPr>
      <w:r>
        <w:rPr>
          <w:rFonts w:ascii="IRNazanin" w:hAnsi="IRNazanin" w:eastAsia="IRNazanin"/>
          <w:color w:val="111111"/>
          <w:sz w:val="28"/>
          <w:sz w:val="28"/>
          <w:szCs w:val="28"/>
          <w:rtl w:val="true"/>
          <w:lang w:bidi="fa-IR"/>
        </w:rPr>
        <w:t>تجب فی کلّ رکعة سجدتان بضرورة الدین، وهما رکن تبطل بنقصانهما وزیادتهما عمداً وسهواً؛ لأنّهما من الخمسة المستثناة من حدیث لا تعاد،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تبطل بزیادة أو نقص سجدة واحدة سهواً؛ للروایات الخاصة الدالة علی ذلک بالرغم من اقتضاء حدیث لا تعاد وکذا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زاد فی صلاته فعلیه 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فبها تخصّصان</w:t>
      </w:r>
      <w:r>
        <w:rPr>
          <w:rFonts w:eastAsia="IRNazanin" w:cs="IRNazanin"/>
          <w:color w:val="111111"/>
          <w:sz w:val="28"/>
          <w:szCs w:val="28"/>
          <w:rtl w:val="true"/>
          <w:lang w:bidi="fa-IR"/>
        </w:rPr>
        <w:t>.</w:t>
      </w:r>
    </w:p>
    <w:p>
      <w:pPr>
        <w:pStyle w:val="Heading4"/>
        <w:numPr>
          <w:ilvl w:val="3"/>
          <w:numId w:val="1"/>
        </w:numPr>
        <w:rPr/>
      </w:pPr>
      <w:bookmarkStart w:id="270" w:name="__RefHeading___Toc580480_774463916"/>
      <w:bookmarkStart w:id="271" w:name="_Toc108"/>
      <w:bookmarkEnd w:id="270"/>
      <w:r>
        <w:rPr>
          <w:rtl w:val="true"/>
        </w:rPr>
        <w:t>واجبات السجود</w:t>
      </w:r>
      <w:bookmarkEnd w:id="271"/>
    </w:p>
    <w:p>
      <w:pPr>
        <w:pStyle w:val="BookText"/>
        <w:rPr/>
      </w:pPr>
      <w:r>
        <w:rPr>
          <w:rFonts w:ascii="IRNazanin" w:hAnsi="IRNazanin" w:eastAsia="IRNazanin"/>
          <w:color w:val="111111"/>
          <w:sz w:val="28"/>
          <w:sz w:val="28"/>
          <w:szCs w:val="28"/>
          <w:rtl w:val="true"/>
          <w:lang w:bidi="fa-IR"/>
        </w:rPr>
        <w:t xml:space="preserve">منها أن یکون علی الأرض أو ما أنبتته من غیر المأکول والملبوس؛ إجماعاً کما عن الخلاف؛ وللروایات منها صحیحة هشام بن الحکم عن أبی عبدالله علیه السلام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أخبرنی عمّا یجوز، السجود علیه وعمّا لا یجوز،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لا یجوز إلاّ علی الأرض أو علی ما أنبتت إلاّ ما أکل أو 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العلّة فی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السجود خضوع لله عزّوجل؛ فلا ینبغی أن یکون علی ما یؤکل ویلبس؛ لأنّ أبناء الدنیا عبید ما یأکلون ویلبسون، والساجد فی سجوده فی</w:t>
      </w:r>
    </w:p>
    <w:p>
      <w:pPr>
        <w:pStyle w:val="BookText"/>
        <w:rPr/>
      </w:pPr>
      <w:r>
        <w:rPr>
          <w:rFonts w:ascii="IRNazanin" w:hAnsi="IRNazanin" w:eastAsia="IRNazanin"/>
          <w:color w:val="111111"/>
          <w:sz w:val="28"/>
          <w:sz w:val="28"/>
          <w:szCs w:val="28"/>
          <w:rtl w:val="true"/>
          <w:lang w:bidi="fa-IR"/>
        </w:rPr>
        <w:t>عبادة‌الله عزّوجلّ، فلا ینبغی أن یضع جبهته فی سجوده علی معبود أبناء الدنیا الذین اغترّوا بغرورها</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وخالف فی ذلک جمیع الفقهاء، وأجازوا السجود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القطن والکتان، والشعر، والصوف، وغیر ذلک</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روی البخاری فی صحیحه عن میمونة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آله یصلّی علی الخُمرة</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وروی مسلم عن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رسول‌الله صلی الله علیه و آله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ناولینی الخمرة من المسجد،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حائض،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حیضک لیس فی یدک</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والخُمْرة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قطعة نسیج من خوص یُسجد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العجب اتهام الشیعة الإمامیة بالشرک وعبادة غیرالله تعالی لالتزامهم السجود علی الأرض مع أنّ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رأیت إنّما التزموا ذلک، لأنّ السجود علی غیرها من الملبوس والمأکول لا یناسب عبادة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أن یکون علی سبعة أعضاء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الجبهة، والکفّان، والرکبتان، والإبهامان من الرجلین، إجماعاً؛ لصحیح زرارة الدال علی ذلک صریحاً</w:t>
      </w:r>
      <w:r>
        <w:rPr>
          <w:rFonts w:eastAsia="IRNazanin" w:cs="IRNazanin"/>
          <w:color w:val="111111"/>
          <w:sz w:val="28"/>
          <w:szCs w:val="28"/>
          <w:rtl w:val="true"/>
          <w:lang w:bidi="fa-IR"/>
        </w:rPr>
        <w:t xml:space="preserve">. </w:t>
      </w:r>
      <w:r>
        <w:rPr>
          <w:rStyle w:val="FootnoteAnchor"/>
          <w:rtl w:val="true"/>
        </w:rPr>
        <w:footnoteReference w:id="161"/>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یلزم غیر الجبهة مماسة ما یصحّ السجود علیه؛ إجماعاً، بل لضرورة المذهب أو الدین کما عن الجواهر، وللروایات منها صحیحة فضیل، وبرید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ومنها الذکر کما فی الرکوع؛ إجماعاً إلاّ أنّ فی التسبیحة الکبری یبدل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الطمأنینة فیه بمقدار الذکر الواجب إجماعاً، فلو شرع فی الذکر قبل الوضع علی ما یصّح السجود علیه أو الاستقرار عمداً بطلت صلاته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الجلوس بعد رفع الرأس منه إجماعاً؛ ویدلّ علیه بعض النصوص</w:t>
      </w:r>
      <w:r>
        <w:rPr>
          <w:rFonts w:eastAsia="IRNazanin" w:cs="IRNazanin"/>
          <w:color w:val="111111"/>
          <w:sz w:val="28"/>
          <w:szCs w:val="28"/>
          <w:rtl w:val="true"/>
          <w:lang w:bidi="fa-IR"/>
        </w:rPr>
        <w:t>.</w:t>
      </w:r>
      <w:bookmarkStart w:id="272" w:name="pg5021_49218"/>
    </w:p>
    <w:p>
      <w:pPr>
        <w:pStyle w:val="Heading3"/>
        <w:numPr>
          <w:ilvl w:val="2"/>
          <w:numId w:val="1"/>
        </w:numPr>
        <w:rPr/>
      </w:pPr>
      <w:bookmarkStart w:id="273" w:name="__RefHeading___Toc580482_774463916"/>
      <w:bookmarkStart w:id="274" w:name="_Toc109"/>
      <w:bookmarkEnd w:id="272"/>
      <w:bookmarkEnd w:id="273"/>
      <w:r>
        <w:rPr>
          <w:rtl w:val="true"/>
        </w:rPr>
        <w:t>الدرس</w:t>
      </w:r>
      <w:r>
        <w:rPr/>
        <w:t>23</w:t>
      </w:r>
      <w:r>
        <w:rPr>
          <w:rtl w:val="true"/>
        </w:rPr>
        <w:t xml:space="preserve"> - </w:t>
      </w:r>
      <w:r>
        <w:rPr>
          <w:rtl w:val="true"/>
        </w:rPr>
        <w:t xml:space="preserve">کتاب الصلاة </w:t>
      </w:r>
      <w:r>
        <w:rPr>
          <w:rtl w:val="true"/>
        </w:rPr>
        <w:t>(</w:t>
      </w:r>
      <w:r>
        <w:rPr/>
        <w:t>10</w:t>
      </w:r>
      <w:r>
        <w:rPr>
          <w:rtl w:val="true"/>
        </w:rPr>
        <w:t>)</w:t>
      </w:r>
      <w:bookmarkEnd w:id="274"/>
    </w:p>
    <w:p>
      <w:pPr>
        <w:pStyle w:val="Heading4"/>
        <w:numPr>
          <w:ilvl w:val="3"/>
          <w:numId w:val="1"/>
        </w:numPr>
        <w:rPr/>
      </w:pPr>
      <w:bookmarkStart w:id="275" w:name="__RefHeading___Toc580484_774463916"/>
      <w:bookmarkStart w:id="276" w:name="_Toc110"/>
      <w:bookmarkEnd w:id="275"/>
      <w:r>
        <w:rPr>
          <w:rtl w:val="true"/>
        </w:rPr>
        <w:t xml:space="preserve">أجزاء الصلاة </w:t>
      </w:r>
      <w:r>
        <w:rPr>
          <w:rtl w:val="true"/>
        </w:rPr>
        <w:t>(</w:t>
      </w:r>
      <w:r>
        <w:rPr/>
        <w:t>5</w:t>
      </w:r>
      <w:r>
        <w:rPr>
          <w:rtl w:val="true"/>
        </w:rPr>
        <w:t>)</w:t>
      </w:r>
      <w:bookmarkEnd w:id="276"/>
    </w:p>
    <w:p>
      <w:pPr>
        <w:pStyle w:val="Heading4"/>
        <w:numPr>
          <w:ilvl w:val="3"/>
          <w:numId w:val="1"/>
        </w:numPr>
        <w:rPr/>
      </w:pPr>
      <w:bookmarkStart w:id="277" w:name="__RefHeading___Toc580486_774463916"/>
      <w:bookmarkStart w:id="278" w:name="_Toc111"/>
      <w:bookmarkEnd w:id="277"/>
      <w:r>
        <w:rPr>
          <w:rtl w:val="true"/>
        </w:rPr>
        <w:t>سنن السجود</w:t>
      </w:r>
      <w:bookmarkEnd w:id="278"/>
    </w:p>
    <w:p>
      <w:pPr>
        <w:pStyle w:val="Heading5"/>
        <w:numPr>
          <w:ilvl w:val="4"/>
          <w:numId w:val="1"/>
        </w:numPr>
        <w:rPr/>
      </w:pPr>
      <w:bookmarkStart w:id="279" w:name="__RefHeading___Toc580488_774463916"/>
      <w:bookmarkStart w:id="280" w:name="_Toc112"/>
      <w:bookmarkEnd w:id="279"/>
      <w:r>
        <w:rPr>
          <w:rtl w:val="true"/>
        </w:rPr>
        <w:t>اشارة</w:t>
      </w:r>
      <w:bookmarkEnd w:id="280"/>
    </w:p>
    <w:p>
      <w:pPr>
        <w:pStyle w:val="BookText"/>
        <w:rPr/>
      </w:pPr>
      <w:r>
        <w:rPr>
          <w:rStyle w:val="FootnoteAnchor"/>
          <w:rtl w:val="true"/>
        </w:rPr>
        <w:footnoteReference w:id="16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الیدین حال التکبیر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السبق بالیدین إلی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الهویّ إلی السّجود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استیعاب الجبهة علی ما یصحّ السجود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الإرغام بالأنف علی ما یصحّ السجود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بسط الیدین مضمومتی الأصابع حتی الإبهام حذاء الأذنین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مساواة موضع الجبهة مع الموقف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الدعاء فی السجود بما یرید من حاجات الدنیا والآخرة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یصلّی علی النبیّ وآله فی السجدتین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یقول عند النهوض للقیام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الله وقوّته أقوم وأقعد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إطالة السجود والإکثار فیه من التسبیح والذکر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والنصوص فی ذلک مستفیضة ففی خبر زیاد القندی أنّ أباالحسن علیه السلام کتب إلیه</w:t>
      </w:r>
      <w:r>
        <w:rPr>
          <w:rFonts w:eastAsia="IRNazanin" w:cs="IRNazanin"/>
          <w:color w:val="111111"/>
          <w:sz w:val="28"/>
          <w:szCs w:val="28"/>
          <w:rtl w:val="true"/>
          <w:lang w:bidi="fa-IR"/>
        </w:rPr>
        <w:t>:</w:t>
      </w:r>
      <w:bookmarkStart w:id="281" w:name="pg5021_49219"/>
    </w:p>
    <w:p>
      <w:pPr>
        <w:pStyle w:val="BookText"/>
        <w:rPr/>
      </w:pPr>
      <w:bookmarkEnd w:id="281"/>
      <w:r>
        <w:rPr>
          <w:rFonts w:ascii="IRNazanin" w:hAnsi="IRNazanin" w:eastAsia="IRNazanin"/>
          <w:color w:val="111111"/>
          <w:sz w:val="28"/>
          <w:sz w:val="28"/>
          <w:szCs w:val="28"/>
          <w:rtl w:val="true"/>
          <w:lang w:bidi="fa-IR"/>
        </w:rPr>
        <w:t>إذا صلّیت فأطل السجود</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وعن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محمد علیک بطول السجود فأن ذلک من سنن الأوّابین</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وقال حفص بن غیاث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رکع و سجد فأحصیت فی سجود خمسمأة تسبیحة</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ولا ینحصر استحبابه بالصلاة، روی عبدالله بن سنان فی الصحیح، عن أبی عبدالله علیه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 بالنبی صلی الله علیه و آله رجلٌ وهو یعالج بعض حجراته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ألا أکفیک؟ فقال شأنک، فلمّا فرغ قال 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 رسول الله صلی الله علیه و آله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فلمّا ولّی،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عبدالله،أعنّا بطول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الأفضل أن یکون السجودعلی التربة الحسینیة علی مشرّفها آلاف التحیة والسلام لما روی عن الصادق علیه السلام من أنّه لا یسجد إلاّ علی تربة الحسین؛ تذلّلاً لله واستکانة إلیه </w:t>
      </w:r>
      <w:r>
        <w:rPr>
          <w:rStyle w:val="FootnoteAnchor"/>
          <w:rtl w:val="true"/>
        </w:rPr>
        <w:footnoteReference w:id="167"/>
      </w:r>
      <w:r>
        <w:rPr>
          <w:rFonts w:ascii="IRNazanin" w:hAnsi="IRNazanin" w:eastAsia="IRNazanin"/>
          <w:color w:val="111111"/>
          <w:sz w:val="28"/>
          <w:sz w:val="28"/>
          <w:szCs w:val="28"/>
          <w:rtl w:val="true"/>
          <w:lang w:bidi="fa-IR"/>
        </w:rPr>
        <w:t>وما روی من أنّه علیه السلام کان له خریطة دیباج صفراء فیها تربة أبی عبدالله الحسین علیه السلام فکان إذا حضرته الصلاة صبّه علی سجادته، وسجد علیه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السجود علی تربة أبی عبدالله علیه السلام یخرق الحجب السبع</w:t>
      </w:r>
      <w:r>
        <w:rPr>
          <w:rFonts w:eastAsia="IRNazanin" w:cs="IRNazanin"/>
          <w:color w:val="111111"/>
          <w:sz w:val="28"/>
          <w:szCs w:val="28"/>
          <w:rtl w:val="true"/>
          <w:lang w:bidi="fa-IR"/>
        </w:rPr>
        <w:t xml:space="preserve">. </w:t>
      </w:r>
      <w:r>
        <w:rPr>
          <w:rStyle w:val="FootnoteAnchor"/>
          <w:rtl w:val="true"/>
        </w:rPr>
        <w:footnoteReference w:id="168"/>
      </w:r>
    </w:p>
    <w:p>
      <w:pPr>
        <w:pStyle w:val="Heading5"/>
        <w:numPr>
          <w:ilvl w:val="4"/>
          <w:numId w:val="1"/>
        </w:numPr>
        <w:rPr/>
      </w:pPr>
      <w:bookmarkStart w:id="282" w:name="__RefHeading___Toc580490_774463916"/>
      <w:bookmarkStart w:id="283" w:name="_Toc113"/>
      <w:bookmarkEnd w:id="282"/>
      <w:r>
        <w:rPr/>
        <w:t>7</w:t>
      </w:r>
      <w:r>
        <w:rPr>
          <w:rtl w:val="true"/>
        </w:rPr>
        <w:t xml:space="preserve">- </w:t>
      </w:r>
      <w:r>
        <w:rPr>
          <w:rtl w:val="true"/>
        </w:rPr>
        <w:t>التشهد</w:t>
      </w:r>
      <w:bookmarkEnd w:id="28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واجب فی کلّ ثنائیة مرة بعد رفع الرأس من السجدة الثانیة فی الرکعة</w:t>
      </w:r>
    </w:p>
    <w:p>
      <w:pPr>
        <w:pStyle w:val="BookText"/>
        <w:rPr/>
      </w:pPr>
      <w:r>
        <w:rPr>
          <w:rFonts w:ascii="IRNazanin" w:hAnsi="IRNazanin" w:eastAsia="IRNazanin"/>
          <w:color w:val="111111"/>
          <w:sz w:val="28"/>
          <w:sz w:val="28"/>
          <w:szCs w:val="28"/>
          <w:rtl w:val="true"/>
          <w:lang w:bidi="fa-IR"/>
        </w:rPr>
        <w:t>الثانیة، وفی الثلاثیة والرباعیة مرتین، الثانیة منهما بعد رفع الرأس من السجدة الأخیرة؛ فی الرکعة الأخیرة کلّ ذلک للإجماع، بل عن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مذهب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دین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واجب عندنا بل الضرورة من مذهبنا</w:t>
      </w:r>
      <w:r>
        <w:rPr>
          <w:rFonts w:eastAsia="IRNazanin" w:cs="IRNazanin"/>
          <w:color w:val="111111"/>
          <w:sz w:val="28"/>
          <w:szCs w:val="28"/>
          <w:rtl w:val="true"/>
          <w:lang w:bidi="fa-IR"/>
        </w:rPr>
        <w:t xml:space="preserve">. </w:t>
      </w:r>
      <w:r>
        <w:rPr>
          <w:rStyle w:val="FootnoteAnchor"/>
          <w:rtl w:val="true"/>
        </w:rPr>
        <w:footnoteReference w:id="169"/>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العامّة فلم یوجبوه فی الرکعة الثانیة إلاّ أحمد فی روایة، وأمّا الرکعة الأخیرة فکذلک إلاّ أحمد والشافعی</w:t>
      </w:r>
      <w:r>
        <w:rPr>
          <w:rFonts w:eastAsia="IRNazanin" w:cs="IRNazanin"/>
          <w:color w:val="111111"/>
          <w:sz w:val="28"/>
          <w:szCs w:val="28"/>
          <w:rtl w:val="true"/>
          <w:lang w:bidi="fa-IR"/>
        </w:rPr>
        <w:t xml:space="preserve">. </w:t>
      </w:r>
      <w:r>
        <w:rPr>
          <w:rStyle w:val="FootnoteAnchor"/>
          <w:rtl w:val="true"/>
        </w:rPr>
        <w:footnoteReference w:id="170"/>
      </w:r>
      <w:bookmarkStart w:id="284" w:name="pg5021_49221"/>
    </w:p>
    <w:p>
      <w:pPr>
        <w:pStyle w:val="Heading3"/>
        <w:numPr>
          <w:ilvl w:val="2"/>
          <w:numId w:val="1"/>
        </w:numPr>
        <w:rPr/>
      </w:pPr>
      <w:bookmarkStart w:id="285" w:name="__RefHeading___Toc580492_774463916"/>
      <w:bookmarkStart w:id="286" w:name="_Toc114"/>
      <w:bookmarkEnd w:id="284"/>
      <w:bookmarkEnd w:id="285"/>
      <w:r>
        <w:rPr>
          <w:rtl w:val="true"/>
        </w:rPr>
        <w:t>الدرس</w:t>
      </w:r>
      <w:r>
        <w:rPr/>
        <w:t>24</w:t>
      </w:r>
      <w:r>
        <w:rPr>
          <w:rtl w:val="true"/>
        </w:rPr>
        <w:t xml:space="preserve"> - </w:t>
      </w:r>
      <w:r>
        <w:rPr>
          <w:rtl w:val="true"/>
        </w:rPr>
        <w:t xml:space="preserve">کتاب الصلاة </w:t>
      </w:r>
      <w:r>
        <w:rPr>
          <w:rtl w:val="true"/>
        </w:rPr>
        <w:t>(</w:t>
      </w:r>
      <w:r>
        <w:rPr/>
        <w:t>11</w:t>
      </w:r>
      <w:r>
        <w:rPr>
          <w:rtl w:val="true"/>
        </w:rPr>
        <w:t>)</w:t>
      </w:r>
      <w:bookmarkEnd w:id="286"/>
    </w:p>
    <w:p>
      <w:pPr>
        <w:pStyle w:val="Heading4"/>
        <w:numPr>
          <w:ilvl w:val="3"/>
          <w:numId w:val="1"/>
        </w:numPr>
        <w:rPr/>
      </w:pPr>
      <w:bookmarkStart w:id="287" w:name="__RefHeading___Toc580494_774463916"/>
      <w:bookmarkStart w:id="288" w:name="_Toc115"/>
      <w:bookmarkEnd w:id="287"/>
      <w:r>
        <w:rPr>
          <w:rtl w:val="true"/>
        </w:rPr>
        <w:t xml:space="preserve">أجزاء الصلاة </w:t>
      </w:r>
      <w:r>
        <w:rPr>
          <w:rtl w:val="true"/>
        </w:rPr>
        <w:t>(</w:t>
      </w:r>
      <w:r>
        <w:rPr/>
        <w:t>6</w:t>
      </w:r>
      <w:r>
        <w:rPr>
          <w:rtl w:val="true"/>
        </w:rPr>
        <w:t>)</w:t>
      </w:r>
      <w:bookmarkEnd w:id="288"/>
    </w:p>
    <w:p>
      <w:pPr>
        <w:pStyle w:val="Heading4"/>
        <w:numPr>
          <w:ilvl w:val="3"/>
          <w:numId w:val="1"/>
        </w:numPr>
        <w:rPr/>
      </w:pPr>
      <w:bookmarkStart w:id="289" w:name="__RefHeading___Toc580496_774463916"/>
      <w:bookmarkStart w:id="290" w:name="_Toc116"/>
      <w:bookmarkEnd w:id="289"/>
      <w:r>
        <w:rPr>
          <w:rtl w:val="true"/>
        </w:rPr>
        <w:t>کیفیة التشهّد</w:t>
      </w:r>
      <w:bookmarkEnd w:id="290"/>
    </w:p>
    <w:p>
      <w:pPr>
        <w:pStyle w:val="BookText"/>
        <w:rPr/>
      </w:pPr>
      <w:r>
        <w:rPr>
          <w:rFonts w:ascii="IRNazanin" w:hAnsi="IRNazanin" w:eastAsia="IRNazanin"/>
          <w:color w:val="111111"/>
          <w:sz w:val="28"/>
          <w:sz w:val="28"/>
          <w:szCs w:val="28"/>
          <w:rtl w:val="true"/>
          <w:lang w:bidi="fa-IR"/>
        </w:rPr>
        <w:t>و کیفیته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 جالساً مطمئناً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وحده لا شریک له، وأشهد أنّ محمّداً عبده ورسوله، اللّهمّ صلّ علی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العامّة فجوّزوا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التحیات لله الصلوات والطیبات، السلام علیک أیها النبی ورحمة الله وبرکاته، السلام علینا وعلی عبادالله الصالحین، أشهد أن لا إله إلاّ الله وأشهد أنّ محمّداً عبده ورسوله</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وعن الرضا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یجوز أن تقول فی التشهد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علینا وعلی عبادالله الصالحین، لأنّ تحلیل الصلاة التسلیم، فإذا قلت هذا فقد سلّمت</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ویجب الصلاة علی النبی صلی الله علیه و آله بعد الشهادتین عندنا بلا خلاف، خلافاً لجمهور العامة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أباحنیفه، ومالک لم یوجباها فی التشهدین، وأوجبها الشافعی، وأحمد فی</w:t>
      </w:r>
    </w:p>
    <w:p>
      <w:pPr>
        <w:pStyle w:val="BookText"/>
        <w:rPr/>
      </w:pPr>
      <w:r>
        <w:rPr>
          <w:rFonts w:ascii="IRNazanin" w:hAnsi="IRNazanin" w:eastAsia="IRNazanin"/>
          <w:color w:val="111111"/>
          <w:sz w:val="28"/>
          <w:sz w:val="28"/>
          <w:szCs w:val="28"/>
          <w:rtl w:val="true"/>
          <w:lang w:bidi="fa-IR"/>
        </w:rPr>
        <w:t xml:space="preserve">روایة فی التشهّد الأخیر خاصّة؛ </w:t>
      </w:r>
      <w:r>
        <w:rPr>
          <w:rStyle w:val="FootnoteAnchor"/>
          <w:rtl w:val="true"/>
        </w:rPr>
        <w:footnoteReference w:id="173"/>
      </w:r>
      <w:r>
        <w:rPr>
          <w:rFonts w:ascii="IRNazanin" w:hAnsi="IRNazanin" w:eastAsia="IRNazanin"/>
          <w:color w:val="111111"/>
          <w:sz w:val="28"/>
          <w:sz w:val="28"/>
          <w:szCs w:val="28"/>
          <w:rtl w:val="true"/>
          <w:lang w:bidi="fa-IR"/>
        </w:rPr>
        <w:t xml:space="preserve">ویدل علی وجوبه مضافاً إلی الإجماع، ما رواه زرارة فی الصحیح عن أبی عبدالله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صلّی، ولم یصلّ علی النبی صلی الله علیه و آله وترک ذلک متعمداً، فلا صلاة له</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ویجب ضمّ الصلاة علی الآل إلی الصلاة علی النبیَّ صلی الله علیه و آله ؛ بلا خلاف کما فی المبسوط</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ویدلّ علیه روایات الفریقین، خلافاً للجمهور فلم یوجبوها إلاّ أحمد فی روایة وکذا بعض الشافعیة</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وممّا روی فی ذلک من طرقنا، ما رواه عبدالله بن سنان فی الصحیح عن أبی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رسول‌الله صلی الله علیه و آله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صلّی علیّ ولم یتبع بالصلاة علی أهل بیتی کان بینها وبین السماوات سبعون حجاباً ویقول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لبیّک ولا سعدیک، یا ملائکتی، لا تصعدوا دعاءه إلاّ أن یُلحق بالنبی عترته، فلا یزال محجوباً حتی یلحق بها أهل بیتی</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و ما رواه أبان بن تغلب عن أبی جعفر عن آبائه عنه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صلّی علیَّ ولم یصلّ علی آلی لم یجد ریح الجّنة و إنّ ریحها لیوجد من مسیر خمسمأة عام</w:t>
      </w:r>
      <w:r>
        <w:rPr>
          <w:rFonts w:eastAsia="IRNazanin" w:cs="IRNazanin"/>
          <w:color w:val="111111"/>
          <w:sz w:val="28"/>
          <w:szCs w:val="28"/>
          <w:rtl w:val="true"/>
          <w:lang w:bidi="fa-IR"/>
        </w:rPr>
        <w:t xml:space="preserve">. </w:t>
      </w:r>
      <w:r>
        <w:rPr>
          <w:rStyle w:val="FootnoteAnchor"/>
          <w:rtl w:val="true"/>
        </w:rPr>
        <w:footnoteReference w:id="178"/>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رواه ابن القداح عن أبی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أبی رجلاً متعلّقاً بالبیت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تبترها ولا تظلمنا حقّنا،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وأهل بیته</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و أمّا العامة فقد رووا فی لزوم ضمّ الآل أحادیث کثیرة مثل ما رواه ابن حجر فی صواعقه، عن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تصلّوا علیَّ الصلاة البتراء فقالو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الصلاة البتراء؟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تقولون اللّهم صلّ 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وتمسکون بل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وآل محمد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وعن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صلّی صلاة لم یصلّ فیها علیَّ وعلی أهل بیتی لم تقبل منه</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وعنه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أتانا رسول‌الله صلی الله علیه و آله ونحن فی مجلس سعد بن عبادة فقال له بشیر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الله أن نصلّی علیک فکیف نصلّی علیک إذا صلّینا فی صلاتنا؟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فسکت رسول‌الله صلی الله علیه و آله حتّی تمنّینا أنّه لم یسأله، ثمّ 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اللّهم صلّ علی محمد وعلی آل محمد کما صلّیت علی آل ابراهیم</w:t>
      </w:r>
      <w:r>
        <w:rPr>
          <w:rFonts w:eastAsia="IRNazanin" w:cs="IRNazanin"/>
          <w:color w:val="111111"/>
          <w:sz w:val="28"/>
          <w:szCs w:val="28"/>
          <w:rtl w:val="true"/>
          <w:lang w:bidi="fa-IR"/>
        </w:rPr>
        <w:t xml:space="preserve">.... </w:t>
      </w:r>
      <w:r>
        <w:rPr>
          <w:rStyle w:val="FootnoteAnchor"/>
          <w:rtl w:val="true"/>
        </w:rPr>
        <w:footnoteReference w:id="182"/>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الشوکانی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الطبرانی، والطحاوی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أجمع المتقدّمون والمتأخّرون علی عدم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ذیّله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الإجماع من الدعاوی الباطلة؛ لما عرفت من نسبة القول بالوجوب إلی جماعة من الصحابة، والتابعین، وأهل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والفقهاء</w:t>
      </w:r>
      <w:r>
        <w:rPr>
          <w:rFonts w:eastAsia="IRNazanin" w:cs="IRNazanin"/>
          <w:color w:val="111111"/>
          <w:sz w:val="28"/>
          <w:szCs w:val="28"/>
          <w:rtl w:val="true"/>
          <w:lang w:bidi="fa-IR"/>
        </w:rPr>
        <w:t xml:space="preserve">. </w:t>
      </w:r>
      <w:r>
        <w:rPr>
          <w:rStyle w:val="FootnoteAnchor"/>
          <w:rtl w:val="true"/>
        </w:rPr>
        <w:footnoteReference w:id="183"/>
      </w:r>
      <w:bookmarkStart w:id="291" w:name="pg5021_49224"/>
    </w:p>
    <w:p>
      <w:pPr>
        <w:pStyle w:val="Heading3"/>
        <w:numPr>
          <w:ilvl w:val="2"/>
          <w:numId w:val="1"/>
        </w:numPr>
        <w:rPr/>
      </w:pPr>
      <w:bookmarkStart w:id="292" w:name="__RefHeading___Toc580498_774463916"/>
      <w:bookmarkStart w:id="293" w:name="_Toc117"/>
      <w:bookmarkEnd w:id="291"/>
      <w:bookmarkEnd w:id="292"/>
      <w:r>
        <w:rPr>
          <w:rtl w:val="true"/>
        </w:rPr>
        <w:t>الدرس</w:t>
      </w:r>
      <w:r>
        <w:rPr/>
        <w:t>25</w:t>
      </w:r>
      <w:r>
        <w:rPr>
          <w:rtl w:val="true"/>
        </w:rPr>
        <w:t xml:space="preserve"> - </w:t>
      </w:r>
      <w:r>
        <w:rPr>
          <w:rtl w:val="true"/>
        </w:rPr>
        <w:t xml:space="preserve">کتاب الصلاة </w:t>
      </w:r>
      <w:r>
        <w:rPr>
          <w:rtl w:val="true"/>
        </w:rPr>
        <w:t>(</w:t>
      </w:r>
      <w:r>
        <w:rPr/>
        <w:t>12</w:t>
      </w:r>
      <w:r>
        <w:rPr>
          <w:rtl w:val="true"/>
        </w:rPr>
        <w:t>)</w:t>
      </w:r>
      <w:bookmarkEnd w:id="293"/>
    </w:p>
    <w:p>
      <w:pPr>
        <w:pStyle w:val="Heading4"/>
        <w:numPr>
          <w:ilvl w:val="3"/>
          <w:numId w:val="1"/>
        </w:numPr>
        <w:rPr/>
      </w:pPr>
      <w:bookmarkStart w:id="294" w:name="__RefHeading___Toc580500_774463916"/>
      <w:bookmarkStart w:id="295" w:name="_Toc118"/>
      <w:bookmarkEnd w:id="294"/>
      <w:r>
        <w:rPr>
          <w:rtl w:val="true"/>
        </w:rPr>
        <w:t xml:space="preserve">أجزاء الصلاة </w:t>
      </w:r>
      <w:r>
        <w:rPr>
          <w:rtl w:val="true"/>
        </w:rPr>
        <w:t>(</w:t>
      </w:r>
      <w:r>
        <w:rPr/>
        <w:t>7</w:t>
      </w:r>
      <w:r>
        <w:rPr>
          <w:rtl w:val="true"/>
        </w:rPr>
        <w:t>)</w:t>
      </w:r>
      <w:bookmarkEnd w:id="295"/>
    </w:p>
    <w:p>
      <w:pPr>
        <w:pStyle w:val="Heading4"/>
        <w:numPr>
          <w:ilvl w:val="3"/>
          <w:numId w:val="1"/>
        </w:numPr>
        <w:rPr/>
      </w:pPr>
      <w:bookmarkStart w:id="296" w:name="__RefHeading___Toc580502_774463916"/>
      <w:bookmarkStart w:id="297" w:name="_Toc119"/>
      <w:bookmarkEnd w:id="296"/>
      <w:r>
        <w:rPr>
          <w:rtl w:val="true"/>
        </w:rPr>
        <w:t>فضل الصلاة علی النبیّ وآله صلی الله علیه و آله</w:t>
      </w:r>
      <w:bookmarkEnd w:id="297"/>
    </w:p>
    <w:p>
      <w:pPr>
        <w:pStyle w:val="Heading5"/>
        <w:numPr>
          <w:ilvl w:val="4"/>
          <w:numId w:val="1"/>
        </w:numPr>
        <w:rPr/>
      </w:pPr>
      <w:bookmarkStart w:id="298" w:name="__RefHeading___Toc580504_774463916"/>
      <w:bookmarkStart w:id="299" w:name="_Toc120"/>
      <w:bookmarkEnd w:id="298"/>
      <w:r>
        <w:rPr>
          <w:rtl w:val="true"/>
        </w:rPr>
        <w:t>اشارة</w:t>
      </w:r>
      <w:bookmarkEnd w:id="299"/>
    </w:p>
    <w:p>
      <w:pPr>
        <w:pStyle w:val="BookText"/>
        <w:rPr/>
      </w:pPr>
      <w:r>
        <w:rPr>
          <w:rFonts w:ascii="IRNazanin" w:hAnsi="IRNazanin" w:eastAsia="IRNazanin"/>
          <w:color w:val="111111"/>
          <w:sz w:val="28"/>
          <w:sz w:val="28"/>
          <w:szCs w:val="28"/>
          <w:rtl w:val="true"/>
          <w:lang w:bidi="fa-IR"/>
        </w:rPr>
        <w:t>یستحب الصلاة علیه وآله عند ذکره استحباباً مؤکّداً؛ للروایات الکثیرة، منها ما رواه عبد السلام بن نعیم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دخلت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الکعبة المکرّمة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یحضرنی شیء من الدعاء إلاّ الصلاة علی محمد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أنّه لم یخرج أحد بأفضل ممّا خرجت به</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و عن الرضا علیه السلام فی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لم یقدر علی ما یکفّر به ذنوبه، فلیکثر من الصلاة علی محمّد وآل محمد؛ فإنّها تهدم الذنوب هدماً</w:t>
      </w:r>
      <w:r>
        <w:rPr>
          <w:rFonts w:eastAsia="IRNazanin" w:cs="IRNazanin"/>
          <w:color w:val="111111"/>
          <w:sz w:val="28"/>
          <w:szCs w:val="28"/>
          <w:rtl w:val="true"/>
          <w:lang w:bidi="fa-IR"/>
        </w:rPr>
        <w:t xml:space="preserve">. </w:t>
      </w:r>
      <w:r>
        <w:rPr>
          <w:rStyle w:val="FootnoteAnchor"/>
          <w:rtl w:val="true"/>
        </w:rPr>
        <w:footnoteReference w:id="185"/>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المنسوب إلی الصدوق، والمقداد فی کنز العرفان،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بوجوب الصلاة علیه وآله، کلّما ذکر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واختاره فی الحدائق ونسبه إلی المحدّث الکاشانی،</w:t>
      </w:r>
      <w:bookmarkStart w:id="300" w:name="pg5021_49225"/>
    </w:p>
    <w:p>
      <w:pPr>
        <w:pStyle w:val="BookText"/>
        <w:rPr/>
      </w:pPr>
      <w:bookmarkEnd w:id="300"/>
      <w:r>
        <w:rPr>
          <w:rFonts w:ascii="IRNazanin" w:hAnsi="IRNazanin" w:eastAsia="IRNazanin"/>
          <w:color w:val="111111"/>
          <w:sz w:val="28"/>
          <w:sz w:val="28"/>
          <w:szCs w:val="28"/>
          <w:rtl w:val="true"/>
          <w:lang w:bidi="fa-IR"/>
        </w:rPr>
        <w:t xml:space="preserve">والمحقّق المازندرانی فی شرح أصول الکافی؛ للأمر بها فی بعض الروایات، </w:t>
      </w:r>
      <w:r>
        <w:rPr>
          <w:rStyle w:val="FootnoteAnchor"/>
          <w:rtl w:val="true"/>
        </w:rPr>
        <w:footnoteReference w:id="186"/>
      </w:r>
      <w:r>
        <w:rPr>
          <w:rFonts w:ascii="IRNazanin" w:hAnsi="IRNazanin" w:eastAsia="IRNazanin"/>
          <w:color w:val="111111"/>
          <w:sz w:val="28"/>
          <w:sz w:val="28"/>
          <w:szCs w:val="28"/>
          <w:rtl w:val="true"/>
          <w:lang w:bidi="fa-IR"/>
        </w:rPr>
        <w:t>وعن المدارک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غیر بعید ولا ریب أنّه أحوط</w:t>
      </w:r>
      <w:r>
        <w:rPr>
          <w:rFonts w:eastAsia="IRNazanin" w:cs="IRNazanin"/>
          <w:color w:val="111111"/>
          <w:sz w:val="28"/>
          <w:szCs w:val="28"/>
          <w:rtl w:val="true"/>
          <w:lang w:bidi="fa-IR"/>
        </w:rPr>
        <w:t>».</w:t>
      </w:r>
    </w:p>
    <w:p>
      <w:pPr>
        <w:pStyle w:val="Heading5"/>
        <w:numPr>
          <w:ilvl w:val="4"/>
          <w:numId w:val="1"/>
        </w:numPr>
        <w:rPr/>
      </w:pPr>
      <w:bookmarkStart w:id="301" w:name="__RefHeading___Toc580506_774463916"/>
      <w:bookmarkStart w:id="302" w:name="_Toc121"/>
      <w:bookmarkEnd w:id="301"/>
      <w:r>
        <w:rPr/>
        <w:t>8</w:t>
      </w:r>
      <w:r>
        <w:rPr>
          <w:rtl w:val="true"/>
        </w:rPr>
        <w:t xml:space="preserve">- </w:t>
      </w:r>
      <w:r>
        <w:rPr>
          <w:rtl w:val="true"/>
        </w:rPr>
        <w:t>التسلیم</w:t>
      </w:r>
      <w:bookmarkEnd w:id="302"/>
    </w:p>
    <w:p>
      <w:pPr>
        <w:pStyle w:val="BookText"/>
        <w:rPr/>
      </w:pPr>
      <w:r>
        <w:rPr>
          <w:rFonts w:ascii="IRNazanin" w:hAnsi="IRNazanin" w:eastAsia="IRNazanin"/>
          <w:color w:val="111111"/>
          <w:sz w:val="28"/>
          <w:sz w:val="28"/>
          <w:szCs w:val="28"/>
          <w:rtl w:val="true"/>
          <w:lang w:bidi="fa-IR"/>
        </w:rPr>
        <w:t>و هو آخر أجزاء الصلاة وبه یتحقّق الخروج عنها لقول الصادق علیه السلام فی موثّق أبی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آخر الصلاة التسلیم</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و له صیغتان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علینا وعلی عبادالله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وبأیّهما بدأ تحقّق الانصراف، علی ما هو مقتضی الجمع بین الروایات</w:t>
      </w:r>
      <w:r>
        <w:rPr>
          <w:rFonts w:eastAsia="IRNazanin" w:cs="IRNazanin"/>
          <w:color w:val="111111"/>
          <w:sz w:val="28"/>
          <w:szCs w:val="28"/>
          <w:rtl w:val="true"/>
          <w:lang w:bidi="fa-IR"/>
        </w:rPr>
        <w:t>.</w:t>
      </w:r>
    </w:p>
    <w:p>
      <w:pPr>
        <w:pStyle w:val="Heading4"/>
        <w:numPr>
          <w:ilvl w:val="3"/>
          <w:numId w:val="1"/>
        </w:numPr>
        <w:rPr/>
      </w:pPr>
      <w:bookmarkStart w:id="303" w:name="__RefHeading___Toc580508_774463916"/>
      <w:bookmarkStart w:id="304" w:name="_Toc122"/>
      <w:bookmarkEnd w:id="303"/>
      <w:r>
        <w:rPr>
          <w:rtl w:val="true"/>
        </w:rPr>
        <w:t>سنن التشهد</w:t>
      </w:r>
      <w:bookmarkEnd w:id="304"/>
    </w:p>
    <w:p>
      <w:pPr>
        <w:pStyle w:val="BookText"/>
        <w:rPr/>
      </w:pPr>
      <w:r>
        <w:rPr>
          <w:rStyle w:val="FootnoteAnchor"/>
          <w:rtl w:val="true"/>
        </w:rPr>
        <w:footnoteReference w:id="18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یجلس متورّکاً إجماعاً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یقول قبل الشروع فی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وبالله والحمدلله وخیر الأسماء 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یقول فی التشهد الأوّل بعد الصلاة علی النبیّ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وتقبّل شفاعته وارفع‌درجته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تضمّ المرأة فخذیها حال الجلوس للتشهّد</w:t>
      </w:r>
      <w:r>
        <w:rPr>
          <w:rFonts w:eastAsia="IRNazanin" w:cs="IRNazanin"/>
          <w:color w:val="111111"/>
          <w:sz w:val="28"/>
          <w:szCs w:val="28"/>
          <w:rtl w:val="true"/>
          <w:lang w:bidi="fa-IR"/>
        </w:rPr>
        <w:t>.</w:t>
      </w:r>
    </w:p>
    <w:p>
      <w:pPr>
        <w:pStyle w:val="Heading4"/>
        <w:numPr>
          <w:ilvl w:val="3"/>
          <w:numId w:val="1"/>
        </w:numPr>
        <w:rPr/>
      </w:pPr>
      <w:bookmarkStart w:id="305" w:name="__RefHeading___Toc580510_774463916"/>
      <w:bookmarkStart w:id="306" w:name="_Toc123"/>
      <w:bookmarkEnd w:id="305"/>
      <w:r>
        <w:rPr>
          <w:rtl w:val="true"/>
        </w:rPr>
        <w:t>الذکر فی الرکعة الثالثة والرابعة</w:t>
      </w:r>
      <w:bookmarkEnd w:id="306"/>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الرکعة الثالثة من المغرب، والأخیرتین من الظهرین والعشاء، یتخیّر بین قراءة</w:t>
      </w:r>
    </w:p>
    <w:p>
      <w:pPr>
        <w:pStyle w:val="BookText"/>
        <w:rPr/>
      </w:pPr>
      <w:r>
        <w:rPr>
          <w:rFonts w:ascii="IRNazanin" w:hAnsi="IRNazanin" w:eastAsia="IRNazanin"/>
          <w:color w:val="111111"/>
          <w:sz w:val="28"/>
          <w:sz w:val="28"/>
          <w:szCs w:val="28"/>
          <w:rtl w:val="true"/>
          <w:lang w:bidi="fa-IR"/>
        </w:rPr>
        <w:t>الحمد، أو التسبیحات الأربع 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والحمدلله ولا اله الا الله والله واکبر، بلا خلاف فی ذلک، فعن الصادق علیه السلام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 والله سواء إن شئت سبّحت وإن شئت قرأت</w:t>
      </w:r>
      <w:r>
        <w:rPr>
          <w:rFonts w:eastAsia="IRNazanin" w:cs="IRNazanin"/>
          <w:color w:val="111111"/>
          <w:sz w:val="28"/>
          <w:szCs w:val="28"/>
          <w:rtl w:val="true"/>
          <w:lang w:bidi="fa-IR"/>
        </w:rPr>
        <w:t xml:space="preserve">». </w:t>
      </w:r>
      <w:r>
        <w:rPr>
          <w:rStyle w:val="FootnoteAnchor"/>
          <w:rtl w:val="true"/>
        </w:rPr>
        <w:footnoteReference w:id="189"/>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وهل تکفی المرّة فیها او یلزم الثلاث؟ فیه خلاف، والأحوط الثلاث</w:t>
      </w:r>
      <w:r>
        <w:rPr>
          <w:rFonts w:eastAsia="IRNazanin" w:cs="IRNazanin"/>
          <w:color w:val="111111"/>
          <w:sz w:val="28"/>
          <w:szCs w:val="28"/>
          <w:rtl w:val="true"/>
          <w:lang w:bidi="fa-IR"/>
        </w:rPr>
        <w:t>.</w:t>
      </w:r>
      <w:bookmarkStart w:id="307" w:name="pg5021_49227"/>
    </w:p>
    <w:p>
      <w:pPr>
        <w:pStyle w:val="Heading3"/>
        <w:numPr>
          <w:ilvl w:val="2"/>
          <w:numId w:val="1"/>
        </w:numPr>
        <w:rPr/>
      </w:pPr>
      <w:bookmarkStart w:id="308" w:name="__RefHeading___Toc580512_774463916"/>
      <w:bookmarkStart w:id="309" w:name="_Toc124"/>
      <w:bookmarkEnd w:id="307"/>
      <w:bookmarkEnd w:id="308"/>
      <w:r>
        <w:rPr>
          <w:rtl w:val="true"/>
        </w:rPr>
        <w:t>الدرس</w:t>
      </w:r>
      <w:r>
        <w:rPr/>
        <w:t>26</w:t>
      </w:r>
      <w:r>
        <w:rPr>
          <w:rtl w:val="true"/>
        </w:rPr>
        <w:t xml:space="preserve"> - </w:t>
      </w:r>
      <w:r>
        <w:rPr>
          <w:rtl w:val="true"/>
        </w:rPr>
        <w:t xml:space="preserve">کتاب الصلاة </w:t>
      </w:r>
      <w:r>
        <w:rPr>
          <w:rtl w:val="true"/>
        </w:rPr>
        <w:t>(</w:t>
      </w:r>
      <w:r>
        <w:rPr/>
        <w:t>13</w:t>
      </w:r>
      <w:r>
        <w:rPr>
          <w:rtl w:val="true"/>
        </w:rPr>
        <w:t>)</w:t>
      </w:r>
      <w:bookmarkEnd w:id="309"/>
    </w:p>
    <w:p>
      <w:pPr>
        <w:pStyle w:val="Heading4"/>
        <w:numPr>
          <w:ilvl w:val="3"/>
          <w:numId w:val="1"/>
        </w:numPr>
        <w:rPr/>
      </w:pPr>
      <w:bookmarkStart w:id="310" w:name="__RefHeading___Toc580514_774463916"/>
      <w:bookmarkStart w:id="311" w:name="_Toc125"/>
      <w:bookmarkEnd w:id="310"/>
      <w:r>
        <w:rPr>
          <w:rtl w:val="true"/>
        </w:rPr>
        <w:t>مندوبات الصلاة</w:t>
      </w:r>
      <w:bookmarkEnd w:id="3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التوجّه بسبع تکبیرات، واحدة منها واجبة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الإقبال بالقلب علی الصلاة وفی الحدیث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لک من صلاتک ما أقبلت علیه منه، فإن أو همها کلّها أو غفل عن أدائها، لفّت فضرب بها وجه صاحبها</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ولما قال علی بن الحسین علیه السلام لأبی حمزة الثمالی فی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العبد لا یُقبل منه صلاة إلاّ ما أقبل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هلکنا،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إنّ الله متممٌ ذلک للمؤمنین بالنوافل</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القنوت مستحبّ مؤکّد فی کلّ صلاة مرّة واحدة فرضاً کانت أو نفلاً وعن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القنوت فی جمیع الصلوات سنّة واجبة فی الرکعة الثانیة قبل الرکوع وبعد القراءة</w:t>
      </w:r>
      <w:r>
        <w:rPr>
          <w:rFonts w:eastAsia="IRNazanin" w:cs="IRNazanin"/>
          <w:color w:val="111111"/>
          <w:sz w:val="28"/>
          <w:szCs w:val="28"/>
          <w:rtl w:val="true"/>
          <w:lang w:bidi="fa-IR"/>
        </w:rPr>
        <w:t xml:space="preserve">. </w:t>
      </w:r>
      <w:r>
        <w:rPr>
          <w:rStyle w:val="FootnoteAnchor"/>
          <w:rtl w:val="true"/>
        </w:rPr>
        <w:footnoteReference w:id="192"/>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وکذاغیرها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العامّة فقد اختلفوا فی ذلک اختلافاً کثیراً، قال أبوحنیفة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غیر مسنون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مکروه إلاّ فی 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مالک، والشافعی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إنَما یستحب فی الوتر فی النصف الأخیر فی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الشافعی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مستحب فی الصبح خاصة دون باقی الصلوات إلاّ أنّ تنزل نازلة فیقنت فی الصلوات کلّها إن شاء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قال مالک</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التعقیب، ولا حصر له، وقد ورد فی الحثّ علیه روایات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التعقیب أبلغ فی طلب الرزق من الضرب فی البلاد</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فرض علیکم الصلوات الخمس فی أفضل الساعات، فعلیکم بالدعاء فی أدبار الصلوات</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بل فی الصحیح عن أبی جعفر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الدعاء بعد الفریضة أفضل من الصلاة تنفّلاً</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وأفضل التعقیب تسبیح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فی فضلها أحادیث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جعفر علیه السلام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عبدالله بشیء من التحمید أفضل من تسبیح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شیء أفضل منه لنحله رسول‌الله صلی الله علیه و آله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وعن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یوم فی دبر کلّ صلاة أحبّ إلیّ من صلاة ألف رکعة فی کلّ یوم</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هارون، إنّا نأمر صبیاننا بتسبیح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نأمرهم بالصلاة، فالزمه فإنّه لم یلزمه عبد فشقی</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وغیرها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یتأکّد استحبابه بعد الصلاة سجدتا الشکر وأدناها أن یقول وهو ساجد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وعن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سجدة الشکر واجبة علی کلّ مسلم تتمّ بها صلاتک، وترضی بها ربّک، وتعجب الملائکة منک</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أوحی الله إلی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لم اصطفیتک بکلامی دون خلقی؟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لم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إنّی قلّبت عبادی ظهراً لبطن فلم أجد فیهم أحد أذلّ لی نفساً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إنّک إذا صلّیت وضعت خدیک علی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الأرض</w:t>
      </w:r>
      <w:r>
        <w:rPr>
          <w:rFonts w:eastAsia="IRNazanin" w:cs="IRNazanin"/>
          <w:color w:val="111111"/>
          <w:sz w:val="28"/>
          <w:szCs w:val="28"/>
          <w:rtl w:val="true"/>
          <w:lang w:bidi="fa-IR"/>
        </w:rPr>
        <w:t xml:space="preserve">. </w:t>
      </w:r>
      <w:r>
        <w:rPr>
          <w:rStyle w:val="FootnoteAnchor"/>
          <w:rtl w:val="true"/>
        </w:rPr>
        <w:footnoteReference w:id="202"/>
      </w:r>
      <w:bookmarkStart w:id="312" w:name="pg5021_49230"/>
    </w:p>
    <w:p>
      <w:pPr>
        <w:pStyle w:val="Heading3"/>
        <w:numPr>
          <w:ilvl w:val="2"/>
          <w:numId w:val="1"/>
        </w:numPr>
        <w:rPr/>
      </w:pPr>
      <w:bookmarkStart w:id="313" w:name="__RefHeading___Toc580516_774463916"/>
      <w:bookmarkStart w:id="314" w:name="_Toc126"/>
      <w:bookmarkEnd w:id="312"/>
      <w:bookmarkEnd w:id="313"/>
      <w:r>
        <w:rPr>
          <w:rtl w:val="true"/>
        </w:rPr>
        <w:t>الدرس</w:t>
      </w:r>
      <w:r>
        <w:rPr/>
        <w:t>27</w:t>
      </w:r>
      <w:r>
        <w:rPr>
          <w:rtl w:val="true"/>
        </w:rPr>
        <w:t xml:space="preserve"> - </w:t>
      </w:r>
      <w:r>
        <w:rPr>
          <w:rtl w:val="true"/>
        </w:rPr>
        <w:t xml:space="preserve">کتاب الصلاة </w:t>
      </w:r>
      <w:r>
        <w:rPr>
          <w:rtl w:val="true"/>
        </w:rPr>
        <w:t>(</w:t>
      </w:r>
      <w:r>
        <w:rPr/>
        <w:t>14</w:t>
      </w:r>
      <w:r>
        <w:rPr>
          <w:rtl w:val="true"/>
        </w:rPr>
        <w:t>)</w:t>
      </w:r>
      <w:bookmarkEnd w:id="314"/>
    </w:p>
    <w:p>
      <w:pPr>
        <w:pStyle w:val="Heading4"/>
        <w:numPr>
          <w:ilvl w:val="3"/>
          <w:numId w:val="1"/>
        </w:numPr>
        <w:rPr/>
      </w:pPr>
      <w:bookmarkStart w:id="315" w:name="__RefHeading___Toc580518_774463916"/>
      <w:bookmarkStart w:id="316" w:name="_Toc127"/>
      <w:bookmarkEnd w:id="315"/>
      <w:r>
        <w:rPr>
          <w:rtl w:val="true"/>
        </w:rPr>
        <w:t>أحکام الشکوک</w:t>
      </w:r>
      <w:bookmarkEnd w:id="3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شکّ فی أداء الصلاة وهو فی الوقت؛ یلزمه فعلها لاستصحاب العدم؛ وقاعدة الاشتغال؛ وللصحیح الآتی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شکّ فی أدائها وهو فی خارج الوقت، لا یجب علیه شیء؛ لقول أبی جعفر علیه السلام فی صحیحة زرارة وفضیل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 استیقنت أو شککت فی وقت فریضة أنّک لم تصلّها أو فی وقت فوتها إنّک لم تصلّها صلّیتها، وإن شککت بعد ما خرج وقت الفوت وقد دخل حائل، فلا إعادة علیک من شکٍّ حتی تستیقن، فإن استیقنت فعلیک أن تصلّیها فی أیّ حالة کنت</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الشاکّ فی جزء أو شرط بعد الفراغ، لا یلتفت، لقاعدة الفراغ المستفادة من موثّقة محمد بن مسلم عن أبی جعفر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ما شککت فیه ممّا قد مضی فأمضه کما هو</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الشاکّ فی فعلٍ بعد الدخول فی غیره، یبنی علی تحقّقه، فإذا شکّ فی التکبیر</w:t>
      </w:r>
    </w:p>
    <w:p>
      <w:pPr>
        <w:pStyle w:val="BookText"/>
        <w:rPr/>
      </w:pPr>
      <w:r>
        <w:rPr>
          <w:rFonts w:ascii="IRNazanin" w:hAnsi="IRNazanin" w:eastAsia="IRNazanin"/>
          <w:color w:val="111111"/>
          <w:sz w:val="28"/>
          <w:sz w:val="28"/>
          <w:szCs w:val="28"/>
          <w:rtl w:val="true"/>
          <w:lang w:bidi="fa-IR"/>
        </w:rPr>
        <w:t>بعد ما قرأ، لا یعتد بشکّه؛ لقاعدة التجاوز المستفادة من صحیح زرارة فی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زرارة إذا خرجت من شی ءٍ ثم دخلت فی غیره فشکّک لیس بشیء</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الشکّ فی عدد الرکعات إن کان فی الرکعة الأولی والثانیة، مبطل لها فی کلّ صلاة، وکذلک الشکّ فی الرکعة الثالثة من المغرب؛ للروایات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الشاکّ بین الاثنین والثلاث من الرباعیة بعد إتمام الذکر الواجب للسجدة الأخیرة من الرکعة الثانیة،یبنی علی الثلاث ویحتاط برکعة قائماً أو رکعتین جالساً؛ ویدلّ علیه موثقة عمّار عن أبی عبد 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عمّار أجمع لک السهو کلّه فی کلمتین، متی شککت، فخذ بالأکثر، فإذا سلّمت فأتمّ ما ظننت أنّک نقصت</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الشاک بین الثلاث والأربع فی الرباعیة، یبنی علی الأربع ویحتاط برکعة کما تقدّم، لموثّقة عمار المتقدّمه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الظن بعدد الرکعات بحکم الیقین؛ لصحیح صفوان عن أبی الحسن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کنت لا تدری کم صلّیت ولم یقع وهمک علی شیء فأعد الصلاة</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دلّ علی اعتبار الوهم وهو فی الرکعات، وجوب الإعادة عند الشکّ</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الظن فی الأفعال فهل یلحق بالظن بالرکعات أو بالشک حتی یستصحب عدم المشکوک؟ وجهان</w:t>
      </w:r>
      <w:r>
        <w:rPr>
          <w:rFonts w:eastAsia="IRNazanin" w:cs="IRNazanin"/>
          <w:color w:val="111111"/>
          <w:sz w:val="28"/>
          <w:szCs w:val="28"/>
          <w:rtl w:val="true"/>
          <w:lang w:bidi="fa-IR"/>
        </w:rPr>
        <w:t>.</w:t>
      </w:r>
      <w:bookmarkStart w:id="317" w:name="pg5021_49232"/>
    </w:p>
    <w:p>
      <w:pPr>
        <w:pStyle w:val="Heading3"/>
        <w:numPr>
          <w:ilvl w:val="2"/>
          <w:numId w:val="1"/>
        </w:numPr>
        <w:rPr/>
      </w:pPr>
      <w:bookmarkStart w:id="318" w:name="__RefHeading___Toc580520_774463916"/>
      <w:bookmarkStart w:id="319" w:name="_Toc128"/>
      <w:bookmarkEnd w:id="317"/>
      <w:bookmarkEnd w:id="318"/>
      <w:r>
        <w:rPr>
          <w:rtl w:val="true"/>
        </w:rPr>
        <w:t>الدرس</w:t>
      </w:r>
      <w:r>
        <w:rPr/>
        <w:t>28</w:t>
      </w:r>
      <w:r>
        <w:rPr>
          <w:rtl w:val="true"/>
        </w:rPr>
        <w:t xml:space="preserve"> - </w:t>
      </w:r>
      <w:r>
        <w:rPr>
          <w:rtl w:val="true"/>
        </w:rPr>
        <w:t xml:space="preserve">کتاب الصلاة </w:t>
      </w:r>
      <w:r>
        <w:rPr>
          <w:rtl w:val="true"/>
        </w:rPr>
        <w:t>(</w:t>
      </w:r>
      <w:r>
        <w:rPr/>
        <w:t>15</w:t>
      </w:r>
      <w:r>
        <w:rPr>
          <w:rtl w:val="true"/>
        </w:rPr>
        <w:t>)</w:t>
      </w:r>
      <w:bookmarkEnd w:id="319"/>
    </w:p>
    <w:p>
      <w:pPr>
        <w:pStyle w:val="Heading4"/>
        <w:numPr>
          <w:ilvl w:val="3"/>
          <w:numId w:val="1"/>
        </w:numPr>
        <w:rPr/>
      </w:pPr>
      <w:bookmarkStart w:id="320" w:name="__RefHeading___Toc580522_774463916"/>
      <w:bookmarkStart w:id="321" w:name="_Toc129"/>
      <w:bookmarkEnd w:id="320"/>
      <w:r>
        <w:rPr>
          <w:rtl w:val="true"/>
        </w:rPr>
        <w:t>مبطلات الصلاة</w:t>
      </w:r>
      <w:bookmarkEnd w:id="321"/>
    </w:p>
    <w:p>
      <w:pPr>
        <w:pStyle w:val="BookText"/>
        <w:rPr/>
      </w:pPr>
      <w:r>
        <w:rPr>
          <w:rFonts w:ascii="IRNazanin" w:hAnsi="IRNazanin" w:eastAsia="IRNazanin"/>
          <w:color w:val="111111"/>
          <w:sz w:val="28"/>
          <w:sz w:val="28"/>
          <w:szCs w:val="28"/>
          <w:rtl w:val="true"/>
          <w:lang w:bidi="fa-IR"/>
        </w:rPr>
        <w:t>التکفیر،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إحدی الیدین علی الأخری علی النحو الذی یصنعه العامة فی صلاتهم، وهو مبطل علی المشهور ونهی عنه أبو جعفر علیه السلام فی صحیح زرارة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تکفّر فإنّما یصنع ذلک المجوس</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و روی، أنّ السبب فی مشروعیته عند العامة، استحسان عمر له حین رأی الفرس یفعلونه تعظیماً لملوکهم کما تشیر إلیه النصوص</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تعمّد الإلتفات، بتمام البدن إلی الخلف أو إلی الیمین أو الیسار بحیث یخرج من الاستقبال؛ للروایات منها موثّق أبی بصیر عن أبی عبد 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تکلّمت أو صرفت وجهک عن القبلة فأعد الصلاة</w:t>
      </w:r>
      <w:r>
        <w:rPr>
          <w:rFonts w:eastAsia="IRNazanin" w:cs="IRNazanin"/>
          <w:color w:val="111111"/>
          <w:sz w:val="28"/>
          <w:szCs w:val="28"/>
          <w:rtl w:val="true"/>
          <w:lang w:bidi="fa-IR"/>
        </w:rPr>
        <w:t xml:space="preserve">. </w:t>
      </w:r>
      <w:r>
        <w:rPr>
          <w:rStyle w:val="FootnoteAnchor"/>
          <w:rtl w:val="true"/>
        </w:rPr>
        <w:footnoteReference w:id="210"/>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تعمّد الکلام، للإجماع المحکی عن جماعة، ویشهد له الموثّق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بالذکر والدعاء فی الصلاة بلا خلاف ولا إشکال؛ للروایات منها صحیح الحلبی</w:t>
      </w:r>
      <w:r>
        <w:rPr>
          <w:rFonts w:eastAsia="IRNazanin" w:cs="IRNazanin"/>
          <w:color w:val="111111"/>
          <w:sz w:val="28"/>
          <w:szCs w:val="28"/>
          <w:rtl w:val="true"/>
          <w:lang w:bidi="fa-IR"/>
        </w:rPr>
        <w:t>.</w:t>
      </w:r>
      <w:bookmarkStart w:id="322" w:name="pg5021_49233"/>
    </w:p>
    <w:p>
      <w:pPr>
        <w:pStyle w:val="BookText"/>
        <w:rPr/>
      </w:pPr>
      <w:bookmarkEnd w:id="322"/>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 ذکرت الله عزّ وجل والنبی صلی الله علیه و آله فهو من الصلاة</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ویجوز ذلک بغیر العربیة أیضاً للإطلاق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الإبتداء بالسلام، لأنّه لیس من الدعاء عرفاً بل تحیّة فتکون من کلام الآدمیین المبطل للصلاة إذا وقع عمداً نعم، یجب ردّ السلام ولو فی الصلاة، لإطلاق ما دلّ علیه الشامل للصلاة کغیرها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تعمّد القهقهة، إجماعاً؛ ویشهد له موثق سماعة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الضحک هل یقطع الصلاة؟قال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التبسّم فلا یقطع الصلاة، وأمّا القهقهة فهی تقطع الصلاة</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ولا یبطلها إذا وقعت سهواً لقاعدة لا تعاد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آمین بعد الحمد، علی المشهور بل عن الانتصار، والخلاف حکایة الإجماع علی البطلان ویشهد له مصحّح جمیل عن أبی عبد 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کنت خلف إمام فقرأ الحمد وفرغ من قرائتها، فقل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Style w:val="FootnoteAnchor"/>
          <w:rtl w:val="true"/>
        </w:rPr>
        <w:footnoteReference w:id="213"/>
      </w:r>
    </w:p>
    <w:p>
      <w:pPr>
        <w:pStyle w:val="Heading4"/>
        <w:numPr>
          <w:ilvl w:val="3"/>
          <w:numId w:val="1"/>
        </w:numPr>
        <w:rPr/>
      </w:pPr>
      <w:bookmarkStart w:id="323" w:name="__RefHeading___Toc580524_774463916"/>
      <w:bookmarkStart w:id="324" w:name="_Toc130"/>
      <w:bookmarkEnd w:id="323"/>
      <w:r>
        <w:rPr>
          <w:rtl w:val="true"/>
        </w:rPr>
        <w:t>مکروهات الصلاة</w:t>
      </w:r>
      <w:bookmarkEnd w:id="324"/>
    </w:p>
    <w:p>
      <w:pPr>
        <w:pStyle w:val="BookText"/>
        <w:rPr/>
      </w:pP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العبث باللحیة أو غیرها کالید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القِران بین السورتین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فرقعة الأصابع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التمطّی والتثاؤب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مدافعة البول، والغائط، والنوم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تشبیک الأصابع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تغمیض البصر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النفس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 ما ینافی الخشوع المطلوب فی الصلاة</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ولابدّ للمصلّی من اجتناب موانع القبول، کالعجب، والغیبة، وأکل الحرام، وشرب المسکر، بل جمیع المعاصی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یَتَقَبَّلُ اللّهُ مِنَ الْمُتَّقِینَ </w:t>
      </w:r>
      <w:r>
        <w:rPr>
          <w:rFonts w:eastAsia="Amiri" w:cs="Amiri" w:ascii="Amiri" w:hAnsi="Amiri"/>
          <w:color w:val="111111"/>
          <w:sz w:val="28"/>
          <w:szCs w:val="28"/>
          <w:rtl w:val="true"/>
          <w:lang w:bidi="ar-SA"/>
        </w:rPr>
        <w:t xml:space="preserve">. </w:t>
      </w:r>
      <w:r>
        <w:rPr>
          <w:rStyle w:val="FootnoteAnchor"/>
          <w:rtl w:val="true"/>
        </w:rPr>
        <w:footnoteReference w:id="215"/>
      </w:r>
      <w:bookmarkStart w:id="325" w:name="pg5021_49235"/>
    </w:p>
    <w:p>
      <w:pPr>
        <w:pStyle w:val="Heading3"/>
        <w:numPr>
          <w:ilvl w:val="2"/>
          <w:numId w:val="1"/>
        </w:numPr>
        <w:rPr/>
      </w:pPr>
      <w:bookmarkStart w:id="326" w:name="__RefHeading___Toc580526_774463916"/>
      <w:bookmarkStart w:id="327" w:name="_Toc131"/>
      <w:bookmarkEnd w:id="325"/>
      <w:bookmarkEnd w:id="326"/>
      <w:r>
        <w:rPr>
          <w:rtl w:val="true"/>
        </w:rPr>
        <w:t>الدرس</w:t>
      </w:r>
      <w:r>
        <w:rPr/>
        <w:t>29</w:t>
      </w:r>
      <w:r>
        <w:rPr>
          <w:rtl w:val="true"/>
        </w:rPr>
        <w:t xml:space="preserve"> - </w:t>
      </w:r>
      <w:r>
        <w:rPr>
          <w:rtl w:val="true"/>
        </w:rPr>
        <w:t xml:space="preserve">کتاب الصلاة </w:t>
      </w:r>
      <w:r>
        <w:rPr>
          <w:rtl w:val="true"/>
        </w:rPr>
        <w:t>(</w:t>
      </w:r>
      <w:r>
        <w:rPr/>
        <w:t>16</w:t>
      </w:r>
      <w:r>
        <w:rPr>
          <w:rtl w:val="true"/>
        </w:rPr>
        <w:t>)</w:t>
      </w:r>
      <w:bookmarkEnd w:id="327"/>
    </w:p>
    <w:p>
      <w:pPr>
        <w:pStyle w:val="Heading4"/>
        <w:numPr>
          <w:ilvl w:val="3"/>
          <w:numId w:val="1"/>
        </w:numPr>
        <w:rPr/>
      </w:pPr>
      <w:bookmarkStart w:id="328" w:name="__RefHeading___Toc580528_774463916"/>
      <w:bookmarkStart w:id="329" w:name="_Toc132"/>
      <w:bookmarkEnd w:id="328"/>
      <w:r>
        <w:rPr>
          <w:rtl w:val="true"/>
        </w:rPr>
        <w:t>صلاة المسافر</w:t>
      </w:r>
      <w:bookmarkEnd w:id="329"/>
    </w:p>
    <w:p>
      <w:pPr>
        <w:pStyle w:val="BookText"/>
        <w:rPr/>
      </w:pPr>
      <w:r>
        <w:rPr>
          <w:rFonts w:ascii="IRNazanin" w:hAnsi="IRNazanin" w:eastAsia="IRNazanin"/>
          <w:color w:val="111111"/>
          <w:sz w:val="28"/>
          <w:sz w:val="28"/>
          <w:szCs w:val="28"/>
          <w:rtl w:val="true"/>
          <w:lang w:bidi="fa-IR"/>
        </w:rPr>
        <w:t>تُقصّر الرباعیة بالسفر إلی ثنتین، بلا خلاف بیننا بل هو من الضروریات ، ففی صحیح زرارة، ومحمد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لأبی جعفر علیه السلام ما تقول فی الصلاة فی السفر؟إلی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فصار التقصیر فی السفر واجباً کوجوب التمام فی الحضر</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و وافقنا فی ذلک أبو حنیفة وأصحابه، وذهب الحنابلة إلی جواز القصر وإنّه أفضل، وقال مالک فی أشهر الروایات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القصر سنّة، وأمّا الشافعی فالأشهر أنّ القصر رخصة وإنّ الإتمام أفضل عکس الحنابلة</w:t>
      </w:r>
      <w:r>
        <w:rPr>
          <w:rFonts w:eastAsia="IRNazanin" w:cs="IRNazanin"/>
          <w:color w:val="111111"/>
          <w:sz w:val="28"/>
          <w:szCs w:val="28"/>
          <w:rtl w:val="true"/>
          <w:lang w:bidi="fa-IR"/>
        </w:rPr>
        <w:t xml:space="preserve">. </w:t>
      </w:r>
      <w:r>
        <w:rPr>
          <w:rStyle w:val="FootnoteAnchor"/>
          <w:rtl w:val="true"/>
        </w:rPr>
        <w:footnoteReference w:id="217"/>
      </w:r>
    </w:p>
    <w:p>
      <w:pPr>
        <w:pStyle w:val="Heading4"/>
        <w:numPr>
          <w:ilvl w:val="3"/>
          <w:numId w:val="1"/>
        </w:numPr>
        <w:rPr/>
      </w:pPr>
      <w:bookmarkStart w:id="330" w:name="__RefHeading___Toc580530_774463916"/>
      <w:bookmarkStart w:id="331" w:name="_Toc133"/>
      <w:bookmarkEnd w:id="330"/>
      <w:r>
        <w:rPr>
          <w:rtl w:val="true"/>
        </w:rPr>
        <w:t>شرائط القصر</w:t>
      </w:r>
      <w:bookmarkEnd w:id="331"/>
    </w:p>
    <w:p>
      <w:pPr>
        <w:pStyle w:val="BookText"/>
        <w:rPr/>
      </w:pPr>
      <w:r>
        <w:rPr>
          <w:rFonts w:ascii="IRNazanin" w:hAnsi="IRNazanin" w:eastAsia="IRNazanin"/>
          <w:color w:val="111111"/>
          <w:sz w:val="28"/>
          <w:sz w:val="28"/>
          <w:szCs w:val="28"/>
          <w:rtl w:val="true"/>
          <w:lang w:bidi="fa-IR"/>
        </w:rPr>
        <w:t>منها قصد قطع المسافة وهما؛ ثمانیة فراسخ للروایات الکثیرة وتکفی التلفیقیة، لصحیح معاویة بن وهب</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لأبی عبد الله علیه السلام أدنی ما یقصّر فیه المسافر الصلاة؟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برید ذاهباً وبرید جائیاً</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واما لزوم القصد بدایة السفر لما یأتی من جواز التقصیر</w:t>
      </w:r>
    </w:p>
    <w:p>
      <w:pPr>
        <w:pStyle w:val="BookText"/>
        <w:rPr/>
      </w:pPr>
      <w:r>
        <w:rPr>
          <w:rFonts w:ascii="IRNazanin" w:hAnsi="IRNazanin" w:eastAsia="IRNazanin"/>
          <w:color w:val="111111"/>
          <w:sz w:val="28"/>
          <w:sz w:val="28"/>
          <w:szCs w:val="28"/>
          <w:rtl w:val="true"/>
          <w:lang w:bidi="fa-IR"/>
        </w:rPr>
        <w:t>عندالوصول الی حدّ الترخّص مع انه لم یقطعها وعلیها فلوسافر بلا قصد المسافة یتم وان قطعها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علیه ایضاً بعض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إباحة السو، لصحیح عبید بن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 الله علیه السلام عن الرجل یخرج إلی الصید، أیقصر أو یتمّ؟قال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یتمّ لأنّه لیس بمسیر حقَّ</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منها أن لا یکون ممّن بیته معه؛ لموثّق إسحاق بن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الملاّحین والأعراب هل علیهم تقصیر؟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بیوتهم معهم</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بل لعلّ القاعدة تقتضی ذلک لعدم صدق المسافر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عدم اتخاذ السفر عملاً؛ لصحیحة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قد یجب علیهم التمام فی سفر کانوا أو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المکاری، والکریّ، والراعی، والأشتقان، لأنّه عملهم</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هذا فیمن کان السفر شغلاً له وهل یشمل من کان السفر مقدّمة لعمله؟وجهان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الوصول إلی حدّ الترخیص، وهو المکان الذی لا یری فیه أهل، البلد، أو لا یُسمع فیه صوت آذانه، لقول الصادق علیه السلام فی صحیح ابن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کنت فی الموضع الذی لا تسمع فیه الأذان فقصّر</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وقوله علیه السلام فی صحیح محمد بن مسلم حیث سأله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الرجل یرید السفر فیخرج متی یقصّر؟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تواری من البیوت</w:t>
      </w:r>
      <w:r>
        <w:rPr>
          <w:rFonts w:eastAsia="IRNazanin" w:cs="IRNazanin"/>
          <w:color w:val="111111"/>
          <w:sz w:val="28"/>
          <w:szCs w:val="28"/>
          <w:rtl w:val="true"/>
          <w:lang w:bidi="fa-IR"/>
        </w:rPr>
        <w:t xml:space="preserve">. </w:t>
      </w:r>
      <w:r>
        <w:rPr>
          <w:rStyle w:val="FootnoteAnchor"/>
          <w:rtl w:val="true"/>
        </w:rPr>
        <w:footnoteReference w:id="223"/>
      </w:r>
      <w:bookmarkStart w:id="332" w:name="pg5021_49237"/>
    </w:p>
    <w:p>
      <w:pPr>
        <w:pStyle w:val="Heading3"/>
        <w:numPr>
          <w:ilvl w:val="2"/>
          <w:numId w:val="1"/>
        </w:numPr>
        <w:rPr/>
      </w:pPr>
      <w:bookmarkStart w:id="333" w:name="__RefHeading___Toc580532_774463916"/>
      <w:bookmarkStart w:id="334" w:name="_Toc134"/>
      <w:bookmarkEnd w:id="332"/>
      <w:bookmarkEnd w:id="333"/>
      <w:r>
        <w:rPr>
          <w:rtl w:val="true"/>
        </w:rPr>
        <w:t>الدرس</w:t>
      </w:r>
      <w:r>
        <w:rPr/>
        <w:t>30</w:t>
      </w:r>
      <w:r>
        <w:rPr>
          <w:rtl w:val="true"/>
        </w:rPr>
        <w:t xml:space="preserve"> - </w:t>
      </w:r>
      <w:r>
        <w:rPr>
          <w:rtl w:val="true"/>
        </w:rPr>
        <w:t xml:space="preserve">کتاب الصلاة </w:t>
      </w:r>
      <w:r>
        <w:rPr>
          <w:rtl w:val="true"/>
        </w:rPr>
        <w:t>(</w:t>
      </w:r>
      <w:r>
        <w:rPr/>
        <w:t>17</w:t>
      </w:r>
      <w:r>
        <w:rPr>
          <w:rtl w:val="true"/>
        </w:rPr>
        <w:t>)</w:t>
      </w:r>
      <w:bookmarkEnd w:id="334"/>
    </w:p>
    <w:p>
      <w:pPr>
        <w:pStyle w:val="Heading4"/>
        <w:numPr>
          <w:ilvl w:val="3"/>
          <w:numId w:val="1"/>
        </w:numPr>
        <w:rPr/>
      </w:pPr>
      <w:bookmarkStart w:id="335" w:name="__RefHeading___Toc580534_774463916"/>
      <w:bookmarkStart w:id="336" w:name="_Toc135"/>
      <w:bookmarkEnd w:id="335"/>
      <w:r>
        <w:rPr>
          <w:rtl w:val="true"/>
        </w:rPr>
        <w:t xml:space="preserve">صلاة المسافر </w:t>
      </w:r>
      <w:r>
        <w:rPr>
          <w:rtl w:val="true"/>
        </w:rPr>
        <w:t>(</w:t>
      </w:r>
      <w:r>
        <w:rPr/>
        <w:t>2</w:t>
      </w:r>
      <w:r>
        <w:rPr>
          <w:rtl w:val="true"/>
        </w:rPr>
        <w:t>)</w:t>
      </w:r>
      <w:bookmarkEnd w:id="336"/>
    </w:p>
    <w:p>
      <w:pPr>
        <w:pStyle w:val="Heading5"/>
        <w:numPr>
          <w:ilvl w:val="4"/>
          <w:numId w:val="1"/>
        </w:numPr>
        <w:rPr/>
      </w:pPr>
      <w:bookmarkStart w:id="337" w:name="__RefHeading___Toc580536_774463916"/>
      <w:bookmarkStart w:id="338" w:name="_Toc136"/>
      <w:bookmarkEnd w:id="337"/>
      <w:r>
        <w:rPr>
          <w:rtl w:val="true"/>
        </w:rPr>
        <w:t>قواطع السفر</w:t>
      </w:r>
      <w:bookmarkEnd w:id="338"/>
    </w:p>
    <w:p>
      <w:pPr>
        <w:pStyle w:val="BookText"/>
        <w:rPr/>
      </w:pPr>
      <w:r>
        <w:rPr>
          <w:rFonts w:ascii="IRNazanin" w:hAnsi="IRNazanin" w:eastAsia="IRNazanin"/>
          <w:color w:val="111111"/>
          <w:sz w:val="28"/>
          <w:sz w:val="28"/>
          <w:szCs w:val="28"/>
          <w:rtl w:val="true"/>
          <w:lang w:bidi="fa-IR"/>
        </w:rPr>
        <w:t>یقطع السفر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المرور علی الوطن؛إذ لا یعدّ مسافراً من کان فی وطنه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العزم علی الإقامة عشرة متوالیة فی مکان واحد؛ لصحیح زرارة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البقاء فی مکان واحد ثلاثین یوماً مع التردد؛</w:t>
      </w:r>
    </w:p>
    <w:p>
      <w:pPr>
        <w:pStyle w:val="BookText"/>
        <w:rPr/>
      </w:pPr>
      <w:r>
        <w:rPr>
          <w:rFonts w:ascii="IRNazanin" w:hAnsi="IRNazanin" w:eastAsia="IRNazanin"/>
          <w:color w:val="111111"/>
          <w:sz w:val="28"/>
          <w:sz w:val="28"/>
          <w:szCs w:val="28"/>
          <w:rtl w:val="true"/>
          <w:lang w:bidi="fa-IR"/>
        </w:rPr>
        <w:t xml:space="preserve">لصحیح زرارة عن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من قدم بلدة إلی متی ینبغی له أن یکون مقصّراً، ومتی ینبغی أن یتمّ؟فقال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دخلت أرضاً، فأیقنت أنّ لک بها مقام عشرة أیّام، فأتمّ الصلاة وإن لم تدر ما مقامک بها،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 أخرج أو بعد 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فقصّر ما بینک وبین أن یمضی شهر، فإن تمّ لک شهر فأتمّ الصلاة، وإن أردت أن تخرج من ساعتک</w:t>
      </w:r>
      <w:r>
        <w:rPr>
          <w:rFonts w:eastAsia="IRNazanin" w:cs="IRNazanin"/>
          <w:color w:val="111111"/>
          <w:sz w:val="28"/>
          <w:szCs w:val="28"/>
          <w:rtl w:val="true"/>
          <w:lang w:bidi="fa-IR"/>
        </w:rPr>
        <w:t xml:space="preserve">. </w:t>
      </w:r>
      <w:r>
        <w:rPr>
          <w:rStyle w:val="FootnoteAnchor"/>
          <w:rtl w:val="true"/>
        </w:rPr>
        <w:footnoteReference w:id="224"/>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وهی تدلّ علی قاطعیة عشرة، وعلی اعتبار الیقین بذلک، ولزوم التوالی فی العشرة لظهور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لزوم وحدة المکان؛ لظهور التعبیر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الوحدة وعلی وجوب القصر علی المترددّ الی ثلاثین یوما</w:t>
      </w:r>
      <w:r>
        <w:rPr>
          <w:rFonts w:eastAsia="IRNazanin" w:cs="IRNazanin"/>
          <w:color w:val="111111"/>
          <w:sz w:val="28"/>
          <w:szCs w:val="28"/>
          <w:rtl w:val="true"/>
          <w:lang w:bidi="fa-IR"/>
        </w:rPr>
        <w:t>.</w:t>
      </w:r>
      <w:bookmarkStart w:id="339" w:name="pg5021_49238"/>
    </w:p>
    <w:p>
      <w:pPr>
        <w:pStyle w:val="Heading3"/>
        <w:numPr>
          <w:ilvl w:val="2"/>
          <w:numId w:val="1"/>
        </w:numPr>
        <w:rPr/>
      </w:pPr>
      <w:bookmarkStart w:id="340" w:name="__RefHeading___Toc580538_774463916"/>
      <w:bookmarkStart w:id="341" w:name="_Toc137"/>
      <w:bookmarkEnd w:id="339"/>
      <w:bookmarkEnd w:id="340"/>
      <w:r>
        <w:rPr>
          <w:rtl w:val="true"/>
        </w:rPr>
        <w:t>الدرس</w:t>
      </w:r>
      <w:r>
        <w:rPr/>
        <w:t>31</w:t>
      </w:r>
      <w:r>
        <w:rPr>
          <w:rtl w:val="true"/>
        </w:rPr>
        <w:t xml:space="preserve"> - </w:t>
      </w:r>
      <w:r>
        <w:rPr>
          <w:rtl w:val="true"/>
        </w:rPr>
        <w:t xml:space="preserve">کتاب الصلاة </w:t>
      </w:r>
      <w:r>
        <w:rPr>
          <w:rtl w:val="true"/>
        </w:rPr>
        <w:t>(</w:t>
      </w:r>
      <w:r>
        <w:rPr/>
        <w:t>18</w:t>
      </w:r>
      <w:r>
        <w:rPr>
          <w:rtl w:val="true"/>
        </w:rPr>
        <w:t>)</w:t>
      </w:r>
      <w:bookmarkEnd w:id="341"/>
    </w:p>
    <w:p>
      <w:pPr>
        <w:pStyle w:val="Heading4"/>
        <w:numPr>
          <w:ilvl w:val="3"/>
          <w:numId w:val="1"/>
        </w:numPr>
        <w:rPr/>
      </w:pPr>
      <w:bookmarkStart w:id="342" w:name="__RefHeading___Toc580540_774463916"/>
      <w:bookmarkStart w:id="343" w:name="_Toc138"/>
      <w:bookmarkEnd w:id="342"/>
      <w:r>
        <w:rPr>
          <w:rtl w:val="true"/>
        </w:rPr>
        <w:t>صلاة الجماعة</w:t>
      </w:r>
      <w:bookmarkEnd w:id="343"/>
    </w:p>
    <w:p>
      <w:pPr>
        <w:pStyle w:val="BookText"/>
        <w:rPr/>
      </w:pPr>
      <w:r>
        <w:rPr>
          <w:rFonts w:ascii="IRNazanin" w:hAnsi="IRNazanin" w:eastAsia="IRNazanin"/>
          <w:color w:val="111111"/>
          <w:sz w:val="28"/>
          <w:sz w:val="28"/>
          <w:szCs w:val="28"/>
          <w:rtl w:val="true"/>
          <w:lang w:bidi="fa-IR"/>
        </w:rPr>
        <w:t xml:space="preserve">وهی من المستحبّات الأکیدة فی الفرائض خصوصاً الیومیة منها ولا سیمّا فی الصبح والعشائین؛ لاختصاص بعض النصوص بها ففی النبوی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صلّی المغرب والعشاء الآخرة وصلاة الغداة فی المسجد جماعة فکأنّما أحیی اللیل کلّه</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و خصوصاً لجیران المسجد، روی أبو بصیر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سمع النداء من جیران المسجد فلم یجب له فلا صلاة له</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وکذا من یسمع النداء من غیرهم، روی زرارة فی الصحیح عن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سمع النداء فلم یجبه من غیر علّة فلا صلاة له</w:t>
      </w:r>
      <w:r>
        <w:rPr>
          <w:rFonts w:eastAsia="IRNazanin" w:cs="IRNazanin"/>
          <w:color w:val="111111"/>
          <w:sz w:val="28"/>
          <w:szCs w:val="28"/>
          <w:rtl w:val="true"/>
          <w:lang w:bidi="fa-IR"/>
        </w:rPr>
        <w:t xml:space="preserve">. </w:t>
      </w:r>
      <w:r>
        <w:rPr>
          <w:rStyle w:val="FootnoteAnchor"/>
          <w:rtl w:val="true"/>
        </w:rPr>
        <w:footnoteReference w:id="227"/>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 فی فضلها وذمّ تارکها من ضروب التأکیدات ما کاد یلحقها بالفرائض، وفی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رسول‌الله صلی الله علیه و آله همّ بإحراق قوم فی منازلهم کانوا یصلّون فی منازلهم ولا یصلّون الجماعة، فأتاه رجل أعمی،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إنّی ضریر البصر وربّما أسمع النداء ولا أجد من یقودنی إلی الجماعة والصلاة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النبی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شدّمن منزلک إلی المسجد حبلاً واحضر الجماعة</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و عن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الصلاة جماعة تفضل علی کلّ صلاة الفرد بأربعة وعشرین درجة، تکون خمسة وعشرین صلاة</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ولا تجب الجماعة إلاّ فی الجمعة أمّا عدم الوجوب فی غیرها بالرغم من ظهور ما تقدّم من الروایات فی الوجوب، فلصریح ما دلّ، کصحیحة زرارة، وفضیل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فی جماعة فریضة هی؟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الصلوات فریضة ولیس الاجتماع بمفروض فی الصلوات کلّها ولکنّه سنّة، فمن ترکها رغبة عنها وعن جماعة المؤمنین من غیر علّة فلا صلاة له</w:t>
      </w:r>
      <w:r>
        <w:rPr>
          <w:rFonts w:eastAsia="IRNazanin" w:cs="IRNazanin"/>
          <w:color w:val="111111"/>
          <w:sz w:val="28"/>
          <w:szCs w:val="28"/>
          <w:rtl w:val="true"/>
          <w:lang w:bidi="fa-IR"/>
        </w:rPr>
        <w:t xml:space="preserve">. </w:t>
      </w:r>
      <w:r>
        <w:rPr>
          <w:rStyle w:val="FootnoteAnchor"/>
          <w:rtl w:val="true"/>
        </w:rPr>
        <w:footnoteReference w:id="230"/>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وجوبها فی الجمعة، فاجماعیّ یأتی تفصیله فی محلّه</w:t>
      </w:r>
      <w:r>
        <w:rPr>
          <w:rFonts w:eastAsia="IRNazanin" w:cs="IRNazanin"/>
          <w:color w:val="111111"/>
          <w:sz w:val="28"/>
          <w:szCs w:val="28"/>
          <w:rtl w:val="true"/>
          <w:lang w:bidi="fa-IR"/>
        </w:rPr>
        <w:t>.</w:t>
      </w:r>
      <w:bookmarkStart w:id="344" w:name="pg5021_49240"/>
    </w:p>
    <w:p>
      <w:pPr>
        <w:pStyle w:val="Heading3"/>
        <w:numPr>
          <w:ilvl w:val="2"/>
          <w:numId w:val="1"/>
        </w:numPr>
        <w:rPr/>
      </w:pPr>
      <w:bookmarkStart w:id="345" w:name="__RefHeading___Toc580542_774463916"/>
      <w:bookmarkStart w:id="346" w:name="_Toc139"/>
      <w:bookmarkEnd w:id="344"/>
      <w:bookmarkEnd w:id="345"/>
      <w:r>
        <w:rPr>
          <w:rtl w:val="true"/>
        </w:rPr>
        <w:t>الدرس</w:t>
      </w:r>
      <w:r>
        <w:rPr/>
        <w:t>32</w:t>
      </w:r>
      <w:r>
        <w:rPr>
          <w:rtl w:val="true"/>
        </w:rPr>
        <w:t xml:space="preserve"> - </w:t>
      </w:r>
      <w:r>
        <w:rPr>
          <w:rtl w:val="true"/>
        </w:rPr>
        <w:t xml:space="preserve">کتاب الصلاة </w:t>
      </w:r>
      <w:r>
        <w:rPr>
          <w:rtl w:val="true"/>
        </w:rPr>
        <w:t>(</w:t>
      </w:r>
      <w:r>
        <w:rPr/>
        <w:t>19</w:t>
      </w:r>
      <w:r>
        <w:rPr>
          <w:rtl w:val="true"/>
        </w:rPr>
        <w:t>)</w:t>
      </w:r>
      <w:bookmarkEnd w:id="346"/>
    </w:p>
    <w:p>
      <w:pPr>
        <w:pStyle w:val="Heading4"/>
        <w:numPr>
          <w:ilvl w:val="3"/>
          <w:numId w:val="1"/>
        </w:numPr>
        <w:rPr/>
      </w:pPr>
      <w:bookmarkStart w:id="347" w:name="__RefHeading___Toc580544_774463916"/>
      <w:bookmarkStart w:id="348" w:name="_Toc140"/>
      <w:bookmarkEnd w:id="347"/>
      <w:r>
        <w:rPr>
          <w:rtl w:val="true"/>
        </w:rPr>
        <w:t xml:space="preserve">صلاة الجماعة </w:t>
      </w:r>
      <w:r>
        <w:rPr>
          <w:rtl w:val="true"/>
        </w:rPr>
        <w:t>(</w:t>
      </w:r>
      <w:r>
        <w:rPr/>
        <w:t>2</w:t>
      </w:r>
      <w:r>
        <w:rPr>
          <w:rtl w:val="true"/>
        </w:rPr>
        <w:t>)</w:t>
      </w:r>
      <w:bookmarkEnd w:id="348"/>
    </w:p>
    <w:p>
      <w:pPr>
        <w:pStyle w:val="Heading4"/>
        <w:numPr>
          <w:ilvl w:val="3"/>
          <w:numId w:val="1"/>
        </w:numPr>
        <w:rPr/>
      </w:pPr>
      <w:bookmarkStart w:id="349" w:name="__RefHeading___Toc580546_774463916"/>
      <w:bookmarkStart w:id="350" w:name="_Toc141"/>
      <w:bookmarkEnd w:id="349"/>
      <w:r>
        <w:rPr>
          <w:rtl w:val="true"/>
        </w:rPr>
        <w:t>الجماعة فی النوافل بدعة</w:t>
      </w:r>
      <w:bookmarkEnd w:id="350"/>
    </w:p>
    <w:p>
      <w:pPr>
        <w:pStyle w:val="BookText"/>
        <w:rPr/>
      </w:pPr>
      <w:r>
        <w:rPr>
          <w:rFonts w:ascii="IRNazanin" w:hAnsi="IRNazanin" w:eastAsia="IRNazanin"/>
          <w:color w:val="111111"/>
          <w:sz w:val="28"/>
          <w:sz w:val="28"/>
          <w:szCs w:val="28"/>
          <w:rtl w:val="true"/>
          <w:lang w:bidi="fa-IR"/>
        </w:rPr>
        <w:t xml:space="preserve">ولا تشرّع الجماعة فی شیء من النوافل؛ بالإجماع المحکی عن المنتهی، والذکری، وللروایات، منها قوله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اعلموا أنّه لا جماعة فی نافلة</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و منها ما عن الرضا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یجوز أن یصلّی تطوع فی جماعة، لأنّ ذلک بدعة، وکلّ بدعة ضلالة، وکلّ ضلالة فی النار</w:t>
      </w:r>
      <w:r>
        <w:rPr>
          <w:rFonts w:eastAsia="IRNazanin" w:cs="IRNazanin"/>
          <w:color w:val="111111"/>
          <w:sz w:val="28"/>
          <w:szCs w:val="28"/>
          <w:rtl w:val="true"/>
          <w:lang w:bidi="fa-IR"/>
        </w:rPr>
        <w:t xml:space="preserve">. </w:t>
      </w:r>
      <w:r>
        <w:rPr>
          <w:rStyle w:val="FootnoteAnchor"/>
          <w:rtl w:val="true"/>
        </w:rPr>
        <w:footnoteReference w:id="232"/>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خلافاً للعامة فی صلاة التراویح، </w:t>
      </w:r>
      <w:r>
        <w:rPr>
          <w:rStyle w:val="FootnoteAnchor"/>
          <w:rtl w:val="true"/>
        </w:rPr>
        <w:footnoteReference w:id="233"/>
      </w:r>
      <w:r>
        <w:rPr>
          <w:rFonts w:ascii="IRNazanin" w:hAnsi="IRNazanin" w:eastAsia="IRNazanin"/>
          <w:color w:val="111111"/>
          <w:sz w:val="28"/>
          <w:sz w:val="28"/>
          <w:szCs w:val="28"/>
          <w:rtl w:val="true"/>
          <w:lang w:bidi="fa-IR"/>
        </w:rPr>
        <w:t>وهی النوافل فی لیالی رمضان، وحکی الشوکانی عن النووی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الشافعی وجمهور أصحابه، وأبوحنیفة، وأحمد، وبعض المالکیة وغیرهم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الأفضل صلاتها جماعة کما فعله عمر بن الخطاب والصحابة واستمر عمل المسلمین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وبالغ الطحاوی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صلاة</w:t>
      </w:r>
    </w:p>
    <w:p>
      <w:pPr>
        <w:pStyle w:val="BookText"/>
        <w:rPr/>
      </w:pPr>
      <w:r>
        <w:rPr>
          <w:rFonts w:ascii="IRNazanin" w:hAnsi="IRNazanin" w:eastAsia="IRNazanin"/>
          <w:color w:val="111111"/>
          <w:sz w:val="28"/>
          <w:sz w:val="28"/>
          <w:szCs w:val="28"/>
          <w:rtl w:val="true"/>
          <w:lang w:bidi="fa-IR"/>
        </w:rPr>
        <w:t xml:space="preserve">التراویح فی الجماعة واجبة علی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 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التجمیع فیها بدعة</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و هی بدعة عندنا؛ ففی الصحیح عن زرارة ومحمد بن مسلم وفضیل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أنّهم سألوا أباجعفر الباقر، وأباعبدالله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الصلاة فی شهر رمضان نافلة باللیل فی جماعة،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حکایة اجتماع الأصحاب خلف رسول‌الله صلی الله علیه و آله ثلاث مرّات فی لیالی رمضان للإقتداء به فی النافلة وإعراضه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فقام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الیوم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منبره، فحمد الله وأثنی علیه،ثمّ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أیّها الناس إنّ الصلاة باللیل فی شهر رمضان من النافلة فی جماعة بدعة وصلاة الضحی بدعة </w:t>
      </w:r>
      <w:r>
        <w:rPr>
          <w:rStyle w:val="FootnoteAnchor"/>
          <w:rtl w:val="true"/>
        </w:rPr>
        <w:footnoteReference w:id="235"/>
      </w:r>
      <w:r>
        <w:rPr>
          <w:rFonts w:ascii="IRNazanin" w:hAnsi="IRNazanin" w:eastAsia="IRNazanin"/>
          <w:color w:val="111111"/>
          <w:sz w:val="28"/>
          <w:sz w:val="28"/>
          <w:szCs w:val="28"/>
          <w:rtl w:val="true"/>
          <w:lang w:bidi="fa-IR"/>
        </w:rPr>
        <w:t>ألا فلا تجمعوا لیلاً فی شهر رمضان لصلاة اللیل ولا تصلّوا صلاة الضحی فإنّ تلک معصیة، ألا وإنّ کلّ بدعة ضلالة، وکلّ ضلالة سبیلها إلی النار ثمّ نزل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 فی سنة خیر من کثیر فی بدعة</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و ممّا یدلّ علی عدم جوازها أنّما ممّا ابتدعه عمر بن الخطاب أیام خلافته وقد اعترف نفسه بذلک، روی البخاری عن عبد الرحمان بن عبد القاری ما حاصله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عمر لما جمع الناس علی قارئ واحد، ونظر إلیهم یصلّون بصلاة قارئهم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البدعة هذه</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و یؤیده قول السیوطی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سنة أربع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عمر الناس علی صلاة التراویح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العسکری فی الأوائل، ونقل عنه فی فصل أوّلیات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سنَّ قیام شهر رمضان</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همّ أمیرالمؤمنین علی بن ابی طالب علیه السلام فی خلافته رفع ذلک، ونهی</w:t>
      </w:r>
    </w:p>
    <w:p>
      <w:pPr>
        <w:pStyle w:val="BookText"/>
        <w:rPr/>
      </w:pPr>
      <w:r>
        <w:rPr>
          <w:rFonts w:ascii="IRNazanin" w:hAnsi="IRNazanin" w:eastAsia="IRNazanin"/>
          <w:color w:val="111111"/>
          <w:sz w:val="28"/>
          <w:sz w:val="28"/>
          <w:szCs w:val="28"/>
          <w:rtl w:val="true"/>
          <w:lang w:bidi="fa-IR"/>
        </w:rPr>
        <w:t>عنه، وأعلمهم أن ذلک بدعة فتنادی بعض عسکره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أهل الإسلام، غُیّرت سنةُ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خاف أن یثوروا علیه فی ناحیة عسکره</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وفی روایة صاحوا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واعمراه، واعمراه</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وفی روایة أخری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ابکوا رمضان وارمضاناه</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وفی، إسنادهم ذلک إلی عمر دون الرسول الأعظم صلی الله علیه و آله دلیل علی ما ذکرنا، وعلی غیر ذلک من المعضلات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وتدرک الجماعة بالتکبیر والرکوع ما دام الإمام لم یرفع رأسه من الرکوع، للروایات منها صحیحة سلیمان بن خالد عن أبی عبدالله علیه السلام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الرجل إذا أدرک الإمام وهو راکع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رکع قبل أن یرفع الإمام رأسه فقد أدرک الرکعة</w:t>
      </w:r>
      <w:r>
        <w:rPr>
          <w:rFonts w:eastAsia="IRNazanin" w:cs="IRNazanin"/>
          <w:color w:val="111111"/>
          <w:sz w:val="28"/>
          <w:szCs w:val="28"/>
          <w:rtl w:val="true"/>
          <w:lang w:bidi="fa-IR"/>
        </w:rPr>
        <w:t xml:space="preserve">. </w:t>
      </w:r>
      <w:r>
        <w:rPr>
          <w:rStyle w:val="FootnoteAnchor"/>
          <w:rtl w:val="true"/>
        </w:rPr>
        <w:footnoteReference w:id="242"/>
      </w:r>
      <w:bookmarkStart w:id="351" w:name="pg5021_49243"/>
    </w:p>
    <w:p>
      <w:pPr>
        <w:pStyle w:val="Heading3"/>
        <w:numPr>
          <w:ilvl w:val="2"/>
          <w:numId w:val="1"/>
        </w:numPr>
        <w:rPr/>
      </w:pPr>
      <w:bookmarkStart w:id="352" w:name="__RefHeading___Toc580548_774463916"/>
      <w:bookmarkStart w:id="353" w:name="_Toc142"/>
      <w:bookmarkEnd w:id="351"/>
      <w:bookmarkEnd w:id="352"/>
      <w:r>
        <w:rPr>
          <w:rtl w:val="true"/>
        </w:rPr>
        <w:t>الدرس</w:t>
      </w:r>
      <w:r>
        <w:rPr/>
        <w:t>33</w:t>
      </w:r>
      <w:r>
        <w:rPr>
          <w:rtl w:val="true"/>
        </w:rPr>
        <w:t xml:space="preserve"> - </w:t>
      </w:r>
      <w:r>
        <w:rPr>
          <w:rtl w:val="true"/>
        </w:rPr>
        <w:t xml:space="preserve">کتاب الصلاة </w:t>
      </w:r>
      <w:r>
        <w:rPr>
          <w:rtl w:val="true"/>
        </w:rPr>
        <w:t>(</w:t>
      </w:r>
      <w:r>
        <w:rPr/>
        <w:t>20</w:t>
      </w:r>
      <w:r>
        <w:rPr>
          <w:rtl w:val="true"/>
        </w:rPr>
        <w:t>)</w:t>
      </w:r>
      <w:bookmarkEnd w:id="353"/>
    </w:p>
    <w:p>
      <w:pPr>
        <w:pStyle w:val="Heading4"/>
        <w:numPr>
          <w:ilvl w:val="3"/>
          <w:numId w:val="1"/>
        </w:numPr>
        <w:rPr/>
      </w:pPr>
      <w:bookmarkStart w:id="354" w:name="__RefHeading___Toc580550_774463916"/>
      <w:bookmarkStart w:id="355" w:name="_Toc143"/>
      <w:bookmarkEnd w:id="354"/>
      <w:r>
        <w:rPr>
          <w:rtl w:val="true"/>
        </w:rPr>
        <w:t xml:space="preserve">صلاة الجماعة </w:t>
      </w:r>
      <w:r>
        <w:rPr>
          <w:rtl w:val="true"/>
        </w:rPr>
        <w:t>(</w:t>
      </w:r>
      <w:r>
        <w:rPr/>
        <w:t>3</w:t>
      </w:r>
      <w:r>
        <w:rPr>
          <w:rtl w:val="true"/>
        </w:rPr>
        <w:t>)</w:t>
      </w:r>
      <w:bookmarkEnd w:id="355"/>
    </w:p>
    <w:p>
      <w:pPr>
        <w:pStyle w:val="Heading4"/>
        <w:numPr>
          <w:ilvl w:val="3"/>
          <w:numId w:val="1"/>
        </w:numPr>
        <w:rPr/>
      </w:pPr>
      <w:bookmarkStart w:id="356" w:name="__RefHeading___Toc580552_774463916"/>
      <w:bookmarkStart w:id="357" w:name="_Toc144"/>
      <w:bookmarkEnd w:id="356"/>
      <w:r>
        <w:rPr>
          <w:rtl w:val="true"/>
        </w:rPr>
        <w:t>یشترط فی الجماعة أمور</w:t>
      </w:r>
      <w:bookmarkEnd w:id="357"/>
    </w:p>
    <w:p>
      <w:pPr>
        <w:pStyle w:val="BookText"/>
        <w:rPr/>
      </w:pPr>
      <w:r>
        <w:rPr>
          <w:rFonts w:ascii="IRNazanin" w:hAnsi="IRNazanin" w:eastAsia="IRNazanin"/>
          <w:color w:val="111111"/>
          <w:sz w:val="28"/>
          <w:sz w:val="28"/>
          <w:szCs w:val="28"/>
          <w:rtl w:val="true"/>
          <w:lang w:bidi="fa-IR"/>
        </w:rPr>
        <w:t>منها أن لا یکون بین الإمام والمأموم وکذا بین بعض المأمومین مع الآخر ممّن یکون واسطة فی اتصاله بالإمام حائل یمنع عن مشاهدته؛ للإجماع المحکی، ولصحیح زرارة عن أبی جعفر علیه السلام فی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بینهم سترة أو جدار فلیست تلک لهم بصلاة</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أمّا المرأة فلا بأس بالحائل بینها وبین الإمام؛ لموثق عمّار قال سألت أباعبدالله علیه السلام</w:t>
      </w:r>
    </w:p>
    <w:p>
      <w:pPr>
        <w:pStyle w:val="BookText"/>
        <w:rPr/>
      </w:pPr>
      <w:r>
        <w:rPr>
          <w:rFonts w:ascii="IRNazanin" w:hAnsi="IRNazanin" w:eastAsia="IRNazanin"/>
          <w:color w:val="111111"/>
          <w:sz w:val="28"/>
          <w:sz w:val="28"/>
          <w:szCs w:val="28"/>
          <w:rtl w:val="true"/>
          <w:lang w:bidi="fa-IR"/>
        </w:rPr>
        <w:t>عن الرجل یصلّی بالقوم وخلفه دار فیها نساء هل یجوز لهنّ أن یصلیّن خلفه؟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إن کان الإمام أسفل منهن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بینهنّ وبینه حائطاً أو طریقاً؟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منها أن لا یکون موقف الإمام أعلی من موقف المأمومین، علی المشهور؛ وبقتضیه موثّق عمار المتقدّم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ان لا یتباعه المأموم عن الامام او من یتصل به ازید من الخطوة، المتعارفة</w:t>
      </w:r>
      <w:bookmarkStart w:id="358" w:name="pg5021_49244"/>
    </w:p>
    <w:p>
      <w:pPr>
        <w:pStyle w:val="BookText"/>
        <w:rPr/>
      </w:pPr>
      <w:bookmarkEnd w:id="358"/>
      <w:r>
        <w:rPr>
          <w:rFonts w:ascii="IRNazanin" w:hAnsi="IRNazanin" w:eastAsia="IRNazanin"/>
          <w:color w:val="111111"/>
          <w:sz w:val="28"/>
          <w:sz w:val="28"/>
          <w:szCs w:val="28"/>
          <w:rtl w:val="true"/>
          <w:lang w:bidi="fa-IR"/>
        </w:rPr>
        <w:t xml:space="preserve">علی ما یستفاد صحیح زرارة عن ابی جعفر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أن یتقدّم المأموم علی الإمام فی الأفعال، بل یجب متابعته بمعنی مقارنته أو تأخره عنه تأخّراً غیر فاحش؛ لاتفاق الإمامیة بل المسلمین علی المتابعة فی الجملة فتوی وعملاً </w:t>
      </w:r>
      <w:r>
        <w:rPr>
          <w:rStyle w:val="FootnoteAnchor"/>
          <w:rtl w:val="true"/>
        </w:rPr>
        <w:footnoteReference w:id="245"/>
      </w:r>
      <w:r>
        <w:rPr>
          <w:rFonts w:ascii="IRNazanin" w:hAnsi="IRNazanin" w:eastAsia="IRNazanin"/>
          <w:color w:val="111111"/>
          <w:sz w:val="28"/>
          <w:sz w:val="28"/>
          <w:szCs w:val="28"/>
          <w:rtl w:val="true"/>
          <w:lang w:bidi="fa-IR"/>
        </w:rPr>
        <w:t>و لأنّه المنساق من البناء علی الاقتداء، وللروایات، منها النبوی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جعل الإمام إماماً لیؤتمّ به، فإذا کبّر فکبّروا، وإذا رکع فارکعوا، وإذا سجد فاسجدوا</w:t>
      </w:r>
      <w:r>
        <w:rPr>
          <w:rFonts w:eastAsia="IRNazanin" w:cs="IRNazanin"/>
          <w:color w:val="111111"/>
          <w:sz w:val="28"/>
          <w:szCs w:val="28"/>
          <w:rtl w:val="true"/>
          <w:lang w:bidi="fa-IR"/>
        </w:rPr>
        <w:t>.</w:t>
      </w:r>
    </w:p>
    <w:p>
      <w:pPr>
        <w:pStyle w:val="Heading4"/>
        <w:numPr>
          <w:ilvl w:val="3"/>
          <w:numId w:val="1"/>
        </w:numPr>
        <w:rPr/>
      </w:pPr>
      <w:bookmarkStart w:id="359" w:name="__RefHeading___Toc580554_774463916"/>
      <w:bookmarkStart w:id="360" w:name="_Toc145"/>
      <w:bookmarkEnd w:id="359"/>
      <w:r>
        <w:rPr>
          <w:rtl w:val="true"/>
        </w:rPr>
        <w:t>یشترط فی إمام الجماعة أمور</w:t>
      </w:r>
      <w:bookmarkEnd w:id="3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الإیمان بالمعنی الأخص وهو الاعتقاد بالأئمّة الإثنی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ویدل علیه مضافاً إلی الإجماع نصوص کثیرة فعن الرضا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یقتدی إلاّ بأهل الولایة</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وفی صحیح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أباجعفر علیه السلام عن الصلاة خلف المخالفین،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 عندی إلاّ بمنزلة الجدر</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العدالة؛ بالإجماع بل اعتبرها بعضهم فی الجماعة من ضروریات المذهب؛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وللنصوص منها ما عن أبی جعفر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تصلّ إلاّ خلف من تثق بدینه وأمانته</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الذکورة، إذا کان المأمومون أو بعضهم رجالاً؛ للإجماع والسیرة وفی النبوی</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لاتؤم امرأة رجلاً</w:t>
      </w:r>
      <w:r>
        <w:rPr>
          <w:rFonts w:eastAsia="Amiri" w:cs="Amiri" w:ascii="Amiri" w:hAnsi="Amiri"/>
          <w:color w:val="111111"/>
          <w:sz w:val="28"/>
          <w:szCs w:val="28"/>
          <w:rtl w:val="true"/>
          <w:lang w:bidi="ar-SA"/>
        </w:rPr>
        <w:t xml:space="preserve">. </w:t>
      </w:r>
      <w:r>
        <w:rPr>
          <w:rStyle w:val="FootnoteAnchor"/>
          <w:rtl w:val="true"/>
        </w:rPr>
        <w:footnoteReference w:id="249"/>
      </w:r>
      <w:bookmarkStart w:id="361" w:name="pg5021_49245"/>
    </w:p>
    <w:p>
      <w:pPr>
        <w:pStyle w:val="Heading3"/>
        <w:numPr>
          <w:ilvl w:val="2"/>
          <w:numId w:val="1"/>
        </w:numPr>
        <w:rPr/>
      </w:pPr>
      <w:bookmarkStart w:id="362" w:name="__RefHeading___Toc580556_774463916"/>
      <w:bookmarkStart w:id="363" w:name="_Toc146"/>
      <w:bookmarkEnd w:id="361"/>
      <w:bookmarkEnd w:id="362"/>
      <w:r>
        <w:rPr>
          <w:rtl w:val="true"/>
        </w:rPr>
        <w:t>الدرس</w:t>
      </w:r>
      <w:r>
        <w:rPr/>
        <w:t>34</w:t>
      </w:r>
      <w:r>
        <w:rPr>
          <w:rtl w:val="true"/>
        </w:rPr>
        <w:t xml:space="preserve"> - </w:t>
      </w:r>
      <w:r>
        <w:rPr>
          <w:rtl w:val="true"/>
        </w:rPr>
        <w:t xml:space="preserve">کتاب الصلاة </w:t>
      </w:r>
      <w:r>
        <w:rPr>
          <w:rtl w:val="true"/>
        </w:rPr>
        <w:t>(</w:t>
      </w:r>
      <w:r>
        <w:rPr/>
        <w:t>21</w:t>
      </w:r>
      <w:r>
        <w:rPr>
          <w:rtl w:val="true"/>
        </w:rPr>
        <w:t>)</w:t>
      </w:r>
      <w:bookmarkEnd w:id="363"/>
    </w:p>
    <w:p>
      <w:pPr>
        <w:pStyle w:val="Heading4"/>
        <w:numPr>
          <w:ilvl w:val="3"/>
          <w:numId w:val="1"/>
        </w:numPr>
        <w:rPr/>
      </w:pPr>
      <w:bookmarkStart w:id="364" w:name="__RefHeading___Toc580558_774463916"/>
      <w:bookmarkStart w:id="365" w:name="_Toc147"/>
      <w:bookmarkEnd w:id="364"/>
      <w:r>
        <w:rPr>
          <w:rtl w:val="true"/>
        </w:rPr>
        <w:t xml:space="preserve">صلاة الجماعة </w:t>
      </w:r>
      <w:r>
        <w:rPr>
          <w:rtl w:val="true"/>
        </w:rPr>
        <w:t>(</w:t>
      </w:r>
      <w:r>
        <w:rPr/>
        <w:t>4</w:t>
      </w:r>
      <w:r>
        <w:rPr>
          <w:rtl w:val="true"/>
        </w:rPr>
        <w:t xml:space="preserve">) </w:t>
      </w:r>
      <w:r>
        <w:rPr>
          <w:rtl w:val="true"/>
        </w:rPr>
        <w:t>والجمعة</w:t>
      </w:r>
      <w:bookmarkEnd w:id="365"/>
    </w:p>
    <w:p>
      <w:pPr>
        <w:pStyle w:val="Heading4"/>
        <w:numPr>
          <w:ilvl w:val="3"/>
          <w:numId w:val="1"/>
        </w:numPr>
        <w:rPr/>
      </w:pPr>
      <w:bookmarkStart w:id="366" w:name="__RefHeading___Toc580560_774463916"/>
      <w:bookmarkStart w:id="367" w:name="_Toc148"/>
      <w:bookmarkEnd w:id="366"/>
      <w:r>
        <w:rPr>
          <w:rtl w:val="true"/>
        </w:rPr>
        <w:t>مستحبات الجماعة</w:t>
      </w:r>
      <w:bookmarkEnd w:id="3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وقوف المأموم عن یمین الإمام، إن کان رجلاً واحداً علی المشهور، وخلفه إن کانوا أکثر، ولو کان المأموم امرأة واحدة وقفت خلف الإمام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إقامة الصفوف واعتدالها وسدّ الفرج الواقع فیها؛ ففی الصحیح عن أبی عبدالله علیه السلام أنّ رسول‌الله صلی الله علیه و آله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أقیموا صفوفکم فإنّی أراکم من خلفی کما أراکم من قدّامی، ومن بین یدی، ولاتخالفوا فیخالف الله تعالی بین قلوبکم</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وفی صحیح فضیل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اتمّوا الصفوف إذا وجدتم خللاً</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وفی خبر السکونی</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سوّوا بین صفوفکم وحاذوا بین مناکبکم</w:t>
      </w:r>
      <w:r>
        <w:rPr>
          <w:rFonts w:eastAsia="IRNazanin" w:cs="IRNazanin"/>
          <w:color w:val="111111"/>
          <w:sz w:val="28"/>
          <w:szCs w:val="28"/>
          <w:rtl w:val="true"/>
          <w:lang w:bidi="fa-IR"/>
        </w:rPr>
        <w:t xml:space="preserve">. </w:t>
      </w:r>
      <w:r>
        <w:rPr>
          <w:rStyle w:val="FootnoteAnchor"/>
          <w:rtl w:val="true"/>
        </w:rPr>
        <w:footnoteReference w:id="252"/>
      </w:r>
      <w:bookmarkStart w:id="368" w:name="pg5021_49246"/>
    </w:p>
    <w:p>
      <w:pPr>
        <w:pStyle w:val="BookText"/>
        <w:rPr/>
      </w:pPr>
      <w:bookmarkEnd w:id="36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یصلّی الإمام بصلاة أضعف من خلفه؛ لقوله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إذا صلّیت فصلّ صلاة أضعف من خلفک</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یُسمع الإمام من خلفه دون العکس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یطیل الإمام رکوعه إذا أحسّ بدخول شخصٍ ضعف ما کان یرکع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یقول المأموم عند فراغ الامام من الفاتحة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w:t>
      </w:r>
    </w:p>
    <w:p>
      <w:pPr>
        <w:pStyle w:val="Heading4"/>
        <w:numPr>
          <w:ilvl w:val="3"/>
          <w:numId w:val="1"/>
        </w:numPr>
        <w:rPr/>
      </w:pPr>
      <w:bookmarkStart w:id="369" w:name="__RefHeading___Toc580562_774463916"/>
      <w:bookmarkStart w:id="370" w:name="_Toc149"/>
      <w:bookmarkEnd w:id="369"/>
      <w:r>
        <w:rPr>
          <w:rtl w:val="true"/>
        </w:rPr>
        <w:t>صلاة الجمعة</w:t>
      </w:r>
      <w:bookmarkEnd w:id="370"/>
    </w:p>
    <w:p>
      <w:pPr>
        <w:pStyle w:val="BookText"/>
        <w:rPr/>
      </w:pPr>
      <w:r>
        <w:rPr>
          <w:rFonts w:ascii="IRNazanin" w:hAnsi="IRNazanin" w:eastAsia="IRNazanin"/>
          <w:color w:val="111111"/>
          <w:sz w:val="28"/>
          <w:sz w:val="28"/>
          <w:szCs w:val="28"/>
          <w:rtl w:val="true"/>
          <w:lang w:bidi="fa-IR"/>
        </w:rPr>
        <w:t xml:space="preserve">وفضلها کثیر، فعن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قدم سعت إلی الجمعة إلاّ حرّم الله جسدها علی النار</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وعنه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إتی الجمعة إیماناً واحتساباً استأنف العمل</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وفی الصحیح عن أبی جعفر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ترک الجمعة ثلاث جمع متوالیة طبع الله علی قلبه</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وهو واجب مؤکّد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نُودِیَ لِلصَّلاةِ مِنْ یَوْمِ الْجُمُعَةِ فَاسْعَوْا إِلی ذِکْرِ اللّهِ وَ ذَرُوا الْبَیْعَ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ففی الصحیح عن أبی جعفر الباقر علیه السلام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فرض الله عزّوجل علی الناس من الجمعة إلی الجمعة خمساً وثلاثین</w:t>
      </w:r>
    </w:p>
    <w:p>
      <w:pPr>
        <w:pStyle w:val="BookText"/>
        <w:rPr/>
      </w:pPr>
      <w:r>
        <w:rPr>
          <w:rFonts w:ascii="IRNazanin" w:hAnsi="IRNazanin" w:eastAsia="IRNazanin"/>
          <w:color w:val="111111"/>
          <w:sz w:val="28"/>
          <w:sz w:val="28"/>
          <w:szCs w:val="28"/>
          <w:rtl w:val="true"/>
          <w:lang w:bidi="fa-IR"/>
        </w:rPr>
        <w:t>صلاة، منها صلاة واحدة فرضها الله عزّوجل فی جماعة وهی الجمعة، ووضعها عن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الصغیر والکبیر، والمجنون، والمسافر، والعبد، والمرأة، والمریض، والأعمی، ومن کان علی رأس فرسخین</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وفی وجوبها فی عصر الغیبة اختلاف کبیر، والأقوال المشهورة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التعیینی والوجوب التخییری، وعدم المشروعیة، وعن بعض المعاصرین الوجوب التعیینی بقاءً، أی إذا انعقدت ونودی لها وجبت تعییناً ولا یجب، إیقاعها ابتداءاً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والتفصیل موکول إلی مستوی أعلی</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کالصبح رکعتان کما هو واضح، یتقدّمها خطبتان یقوم الإمام فی الأولی ویحمد الله ویثنی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ویوصی بتقوی الله، ثّم یقرأ سورة صغیرة من القرآن الکریم، ثمّ یجلس ثمّ یقوم فیحمد الله ویثنی علیه، ویصلّی علی محمّد وعلی أئمّة المسلمین، ویستغفر للمؤمنین والمؤمنات کما جاءنی موثق سماعة، </w:t>
      </w:r>
      <w:r>
        <w:rPr>
          <w:rStyle w:val="FootnoteAnchor"/>
          <w:rtl w:val="true"/>
        </w:rPr>
        <w:footnoteReference w:id="258"/>
      </w:r>
      <w:r>
        <w:rPr>
          <w:rFonts w:ascii="IRNazanin" w:hAnsi="IRNazanin" w:eastAsia="IRNazanin"/>
          <w:color w:val="111111"/>
          <w:sz w:val="28"/>
          <w:sz w:val="28"/>
          <w:szCs w:val="28"/>
          <w:rtl w:val="true"/>
          <w:lang w:bidi="fa-IR"/>
        </w:rPr>
        <w:t>ویسقط معها الظهر بالضرورة</w:t>
      </w:r>
      <w:r>
        <w:rPr>
          <w:rFonts w:eastAsia="IRNazanin" w:cs="IRNazanin"/>
          <w:color w:val="111111"/>
          <w:sz w:val="28"/>
          <w:szCs w:val="28"/>
          <w:rtl w:val="true"/>
          <w:lang w:bidi="fa-IR"/>
        </w:rPr>
        <w:t>.</w:t>
      </w:r>
      <w:bookmarkStart w:id="371" w:name="pg5021_49248"/>
    </w:p>
    <w:p>
      <w:pPr>
        <w:pStyle w:val="Heading3"/>
        <w:numPr>
          <w:ilvl w:val="2"/>
          <w:numId w:val="1"/>
        </w:numPr>
        <w:rPr/>
      </w:pPr>
      <w:bookmarkStart w:id="372" w:name="__RefHeading___Toc580564_774463916"/>
      <w:bookmarkStart w:id="373" w:name="_Toc150"/>
      <w:bookmarkEnd w:id="371"/>
      <w:bookmarkEnd w:id="372"/>
      <w:r>
        <w:rPr>
          <w:rtl w:val="true"/>
        </w:rPr>
        <w:t>الدرس</w:t>
      </w:r>
      <w:r>
        <w:rPr/>
        <w:t>35</w:t>
      </w:r>
      <w:r>
        <w:rPr>
          <w:rtl w:val="true"/>
        </w:rPr>
        <w:t xml:space="preserve"> - </w:t>
      </w:r>
      <w:r>
        <w:rPr>
          <w:rtl w:val="true"/>
        </w:rPr>
        <w:t>کتاب الصوم</w:t>
      </w:r>
      <w:bookmarkEnd w:id="373"/>
    </w:p>
    <w:p>
      <w:pPr>
        <w:pStyle w:val="Heading4"/>
        <w:numPr>
          <w:ilvl w:val="3"/>
          <w:numId w:val="1"/>
        </w:numPr>
        <w:rPr/>
      </w:pPr>
      <w:bookmarkStart w:id="374" w:name="__RefHeading___Toc580566_774463916"/>
      <w:bookmarkStart w:id="375" w:name="_Toc151"/>
      <w:bookmarkEnd w:id="374"/>
      <w:r>
        <w:rPr>
          <w:rtl w:val="true"/>
        </w:rPr>
        <w:t>مفطّرات الصوم</w:t>
      </w:r>
      <w:bookmarkEnd w:id="375"/>
    </w:p>
    <w:p>
      <w:pPr>
        <w:pStyle w:val="BookText"/>
        <w:rPr/>
      </w:pPr>
      <w:r>
        <w:rPr>
          <w:rFonts w:ascii="IRNazanin" w:hAnsi="IRNazanin" w:eastAsia="IRNazanin"/>
          <w:color w:val="111111"/>
          <w:sz w:val="28"/>
          <w:sz w:val="28"/>
          <w:szCs w:val="28"/>
          <w:rtl w:val="true"/>
          <w:lang w:bidi="fa-IR"/>
        </w:rPr>
        <w:t>الصوم اصطلاحاً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الإمساک لله عن المفطرات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الأکل والشرب، بالضرورة ویدلّ علیه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کُلُوا وَ اشْرَبُوا حَتّی یَتَبَیَّنَ لَکُمُ الْخَیْطُ الْأَبْیَضُ مِنَ الْخَیْطِ الْأَسْوَدِ مِنَ الْفَجْرِ ثُمَّ أَتِمُّوا الصِّیامَ إِلَی اللَّیْلِ</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أبی جعفر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لایضرّ الصائم ما صنع إذا اجتنب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الطعام والشراب، والنساء والارتماس فی الماء</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ولافرق بین المعتاد وغیره منهما ولابین القلیل والکثیر للإطلاق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ولابأس باستعمال الأبرة أو القطرة فی الإذن ونحوها لعدم صدق الأکل والشرب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الجماع فاعلاً ومفعولاً، بالضرورة ویدلّ علیه الصحیح ا لمتقدّم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إنزال المنی عمداً، علی ماتقتضیه الروایات دون ما إذا أنزل بلاقصد لاختصاص الدلیل بالعمد، ومنه یعلم عدم مفطریة الاحتلام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تعمّد البقاء علی الجنابة حتّی یطلع الفجر؛ لموثّق أبی بصیر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أجنب فی شهر رمضان، باللیل ثمّ ترک الغسل متعمّداً حتّی أصبح،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یعتق رقبة، أو یصوم شهرین متتعابعین، أو یطعم ستین مسکیناً</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الکذب علی الله أو رسوله أو الأئمّة علیهم صلوات الله، علی المعروف؛ لموثّق أبی‌بصیر عن أبی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الکذب علی الله وعلی رسوله وعلی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یفطر الصائم</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رمس الرأس فی الماء علی المشهور؛ للصحیح المتقدّم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الاحتقان بالمائع، لما ورد عن أبی الحسن علیه السلام فی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الصائم لا یجوز له أن یحتقن</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وهل هو حرام تکلیفی محض أو وضعی؛ لظهور النهی فی المرکبات عرفاً فی الإرشاد إلی المانعیة؟ وجهان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تعمّد القیء، علی المشهور؛ الصحیحة الحلبی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تقیّأ الصائم فقد أفطر، وإن ذرعه من غیر أن یتقیأ فلیتم صومه</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وأمّا الغبار لا سیّما الغلیظ منه فقیل بمفطریته لکن مدرکه ضعیف إلاّ أن یصل إلی الحلق، ویصدق علیه الأکل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یکره للصائم أمور </w:t>
      </w:r>
      <w:r>
        <w:rPr>
          <w:rStyle w:val="FootnoteAnchor"/>
          <w:rtl w:val="true"/>
        </w:rPr>
        <w:footnoteReference w:id="26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مباشرة النساء لمساً وتقبیلاً ونحو ذلک، خصوصاً لمن تتحرک شهوته بشرط أن لا یقصد الإنزال ولاکان من عادته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دخول الحمام إذا خشی منه الضعف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إخراج الدم المضعف بحجامة أو غیرها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 الریاحین والمراد بها کلّ نبت طیّب الریح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إنشاد الشعر، ولا یبعد اختصاصه بغیر المراثی أو المشتمل علی المطالب الحقّه من دون إغراق، أو مدح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أصبحت صائماً، فلیصم سمعک وبصرک عن الحرام وجارحتک، وجمیع أعضاءک عن القبیح، ودع عنک الهذاء وأذی الخادم، ولیکن علیک وقار الصائم، والزم ما استطعت من الصمت والسکوت إلاّ عن ذکرالله ولاتجعل یوم صومک کیوم فطرک</w:t>
      </w:r>
      <w:r>
        <w:rPr>
          <w:rFonts w:eastAsia="IRNazanin" w:cs="IRNazanin"/>
          <w:color w:val="111111"/>
          <w:sz w:val="28"/>
          <w:szCs w:val="28"/>
          <w:rtl w:val="true"/>
          <w:lang w:bidi="fa-IR"/>
        </w:rPr>
        <w:t xml:space="preserve">. </w:t>
      </w:r>
      <w:r>
        <w:rPr>
          <w:rStyle w:val="FootnoteAnchor"/>
          <w:rtl w:val="true"/>
        </w:rPr>
        <w:footnoteReference w:id="265"/>
      </w:r>
      <w:bookmarkStart w:id="376" w:name="pg5021_49251"/>
    </w:p>
    <w:p>
      <w:pPr>
        <w:pStyle w:val="Heading3"/>
        <w:numPr>
          <w:ilvl w:val="2"/>
          <w:numId w:val="1"/>
        </w:numPr>
        <w:rPr/>
      </w:pPr>
      <w:bookmarkStart w:id="377" w:name="__RefHeading___Toc580568_774463916"/>
      <w:bookmarkStart w:id="378" w:name="_Toc152"/>
      <w:bookmarkEnd w:id="376"/>
      <w:bookmarkEnd w:id="377"/>
      <w:r>
        <w:rPr>
          <w:rtl w:val="true"/>
        </w:rPr>
        <w:t>الدرس</w:t>
      </w:r>
      <w:r>
        <w:rPr/>
        <w:t>36</w:t>
      </w:r>
      <w:r>
        <w:rPr>
          <w:rtl w:val="true"/>
        </w:rPr>
        <w:t xml:space="preserve"> - </w:t>
      </w:r>
      <w:r>
        <w:rPr>
          <w:rtl w:val="true"/>
        </w:rPr>
        <w:t xml:space="preserve">کتاب الصوم </w:t>
      </w:r>
      <w:r>
        <w:rPr>
          <w:rtl w:val="true"/>
        </w:rPr>
        <w:t>(</w:t>
      </w:r>
      <w:r>
        <w:rPr/>
        <w:t>2</w:t>
      </w:r>
      <w:r>
        <w:rPr>
          <w:rtl w:val="true"/>
        </w:rPr>
        <w:t>)</w:t>
      </w:r>
      <w:bookmarkEnd w:id="378"/>
    </w:p>
    <w:p>
      <w:pPr>
        <w:pStyle w:val="Heading4"/>
        <w:numPr>
          <w:ilvl w:val="3"/>
          <w:numId w:val="1"/>
        </w:numPr>
        <w:rPr/>
      </w:pPr>
      <w:bookmarkStart w:id="379" w:name="__RefHeading___Toc580570_774463916"/>
      <w:bookmarkStart w:id="380" w:name="_Toc153"/>
      <w:bookmarkEnd w:id="379"/>
      <w:r>
        <w:rPr>
          <w:rtl w:val="true"/>
        </w:rPr>
        <w:t>شرائط صحّة الصوم</w:t>
      </w:r>
      <w:bookmarkEnd w:id="380"/>
    </w:p>
    <w:p>
      <w:pPr>
        <w:pStyle w:val="BookText"/>
        <w:rPr/>
      </w:pPr>
      <w:r>
        <w:rPr>
          <w:rFonts w:ascii="IRNazanin" w:hAnsi="IRNazanin" w:eastAsia="IRNazanin"/>
          <w:color w:val="111111"/>
          <w:sz w:val="28"/>
          <w:sz w:val="28"/>
          <w:szCs w:val="28"/>
          <w:rtl w:val="true"/>
          <w:lang w:bidi="fa-IR"/>
        </w:rPr>
        <w:t>یشترط فی صحّة الصوم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الإسلام؛ للتسالم بل الإیمان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الاعتقاد بالأئمّة إلاثنی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للنصوص الدالّة علی اعتبار الولایة فی قبول الأعمال بل صحّتها وهی کثیرة منها صحیحة عبدالحمید بن أبی العلاء عن أبی عبدالله علیه السلام فی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هذه الأمّة العاصیة المفتونة بعد نبیّها، وبعد ترکهم الإمام الذی نصبه نبیّهم لهم، فلن یقبل الله لهم عملاً، ولن یرفع لهم حسنة حتّی یأتوا الله من حیث أمرهم، ویتولّوا الإمام الّذی أمروا بولایته ویدخلوا من الباب الذی فتحه الله ورسوله لهم</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العقل إجماعاً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الخلو من الحیض والنفاس؛ للروایات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السفر،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کانَ مَرِیضاً أَوْ عَلی سَفَرٍ فَعِدَّةٌ مِنْ أَیّامٍ أُخَرَ</w:t>
      </w:r>
      <w:r>
        <w:rPr>
          <w:rFonts w:eastAsia="Amiri" w:cs="Amiri" w:ascii="Amiri" w:hAnsi="Amiri"/>
          <w:color w:val="111111"/>
          <w:sz w:val="28"/>
          <w:szCs w:val="28"/>
          <w:rtl w:val="true"/>
          <w:lang w:bidi="ar-SA"/>
        </w:rPr>
        <w:t xml:space="preserve">... . </w:t>
      </w:r>
      <w:r>
        <w:rPr>
          <w:rStyle w:val="FootnoteAnchor"/>
          <w:rtl w:val="true"/>
        </w:rPr>
        <w:footnoteReference w:id="267"/>
      </w:r>
      <w:r>
        <w:rPr>
          <w:rFonts w:ascii="IRNazanin" w:hAnsi="IRNazanin" w:eastAsia="IRNazanin"/>
          <w:color w:val="111111"/>
          <w:sz w:val="28"/>
          <w:sz w:val="28"/>
          <w:szCs w:val="28"/>
          <w:rtl w:val="true"/>
          <w:lang w:bidi="fa-IR"/>
        </w:rPr>
        <w:t>وفی موثّقة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الصیام فی السفر؛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صیام فی السفر، قد صام ناس علی عهد رسول‌الله صلی الله علیه و آله فسمّاهم العصاة، فلا صیام فی السفر إلاّ الثلاثة أیّام التی قال الله عزّ وجل فی الحج</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ولا یضرّ الإضمار بعد ما کان المضمِر من الأجلاّء الذین لایلیق بهم السؤال عن غیر الإمام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ویعتبر کون السفر موجباً للقصر؛ لصحیح معاویة بن وهب عن أبی عبدالله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قصّرت أفطرت وإذا إفطرت قصّرت</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نعم، إذا کان المسافر جاهلاً، صحّ؛ لقول الصادق علیه السلام فی صحیح عیص بن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صام فی السفر بجهالة لم یقضه</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وإطلاقها یشمل الجاهل بأصل الحکم أو ببعض الخصوصیات کلزوم الإفطار علی من سافر قبل الزوال وعاد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سافر بعد الزوال، یجب علیه الصیام علی المشهور؛ لصحیح عبید بن زرارة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الرجل یسافر فی شهر رمضان، یصوم أو یفطر؟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خرج قبل الزوال فلیفطر، وإن خرج بعد الزوال فلیصم</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والمسافر العائد إلی وطنه إن قدم قبل الزوال ولم یکن قد أفطر فعلیه الصوم، وإن قدم بعده فلیس له ذلک علی المشهور؛ ویدلّ علیه موثّق أبی بصیر</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سألته عن الرجل یقدم من سفر فی شهر رمضان،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قدم قبل زوال الشمس فعلیه صیام ذلک الیوم ویعتد به</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المرض المضرّ؛ للآیة المتقدّمة، والنصوص الشریفة، ویکفی لإحرازه الخوف لأنّ ذلک طریق عقلائی فی باب تشخیص الضرر، ولم یردع عنه الشرع، وکذلک قول الطبیب الحاذق الثقة حجّة مالم یحصل العلم أو الاطمئنان بخطأه، وإلاّ فلا حجیّة له کسائر الحجج العقلائیة المجعولة لحالة الشک</w:t>
      </w:r>
      <w:r>
        <w:rPr>
          <w:rFonts w:eastAsia="IRNazanin" w:cs="IRNazanin"/>
          <w:color w:val="111111"/>
          <w:sz w:val="28"/>
          <w:szCs w:val="28"/>
          <w:rtl w:val="true"/>
          <w:lang w:bidi="fa-IR"/>
        </w:rPr>
        <w:t>.</w:t>
      </w:r>
      <w:bookmarkStart w:id="381" w:name="pg5021_49254"/>
    </w:p>
    <w:p>
      <w:pPr>
        <w:pStyle w:val="Heading3"/>
        <w:numPr>
          <w:ilvl w:val="2"/>
          <w:numId w:val="1"/>
        </w:numPr>
        <w:rPr/>
      </w:pPr>
      <w:bookmarkStart w:id="382" w:name="__RefHeading___Toc580572_774463916"/>
      <w:bookmarkStart w:id="383" w:name="_Toc154"/>
      <w:bookmarkEnd w:id="381"/>
      <w:bookmarkEnd w:id="382"/>
      <w:r>
        <w:rPr>
          <w:rtl w:val="true"/>
        </w:rPr>
        <w:t>الدرس</w:t>
      </w:r>
      <w:r>
        <w:rPr/>
        <w:t>37</w:t>
      </w:r>
      <w:r>
        <w:rPr>
          <w:rtl w:val="true"/>
        </w:rPr>
        <w:t xml:space="preserve"> - </w:t>
      </w:r>
      <w:r>
        <w:rPr>
          <w:rtl w:val="true"/>
        </w:rPr>
        <w:t xml:space="preserve">کتاب الصوم </w:t>
      </w:r>
      <w:r>
        <w:rPr>
          <w:rtl w:val="true"/>
        </w:rPr>
        <w:t>(</w:t>
      </w:r>
      <w:r>
        <w:rPr/>
        <w:t>3</w:t>
      </w:r>
      <w:r>
        <w:rPr>
          <w:rtl w:val="true"/>
        </w:rPr>
        <w:t>)</w:t>
      </w:r>
      <w:bookmarkEnd w:id="383"/>
    </w:p>
    <w:p>
      <w:pPr>
        <w:pStyle w:val="Heading4"/>
        <w:numPr>
          <w:ilvl w:val="3"/>
          <w:numId w:val="1"/>
        </w:numPr>
        <w:rPr/>
      </w:pPr>
      <w:bookmarkStart w:id="384" w:name="__RefHeading___Toc580574_774463916"/>
      <w:bookmarkStart w:id="385" w:name="_Toc155"/>
      <w:bookmarkEnd w:id="384"/>
      <w:r>
        <w:rPr>
          <w:rtl w:val="true"/>
        </w:rPr>
        <w:t>أحکام عامّة للصوم</w:t>
      </w:r>
      <w:bookmarkEnd w:id="3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یتحقّق الإفطار بالمفطرات المذکورة إلاّ مع التعمّد والاختیار، بلا فرق بین رمضان وغیره، لأنّ الاجتناب الوارد فی صحیح محمدبن مسلم المتقدّم لایصدق إلاّ مع العمد والاختیار، ویشهد لهم أیضاً صحیح الحلبی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نسی فأکل وشرب، ثمّ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یفطر انّما هو شیء رزقه الله فلیتمّ صومه</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ولعلّ التعلیل یشعر إلی عدم اختصاص الحکم بالأکل والشرب بل یمکن استفادته أیضاً من قاعدة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غلب الله علیه فلیس علی صاحبه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المنصوص علیها فی أکثر من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یستثنی من ذلک البقاءعلی الجنابة، لوجوب القضاء فی النومة الثانیة، ویشهد له صحیح معاویة بن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یجنب فی أوّل اللیل ثمّ ینام حتّی یصبح فی شهر رمضان،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استیقظ ثمّ نام حتّی أصبح</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فلیقض ذلک الیوم عقوبة</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کفارة الإفطار، مخیّرة بین الخصال الثلاث؛ لصحیحة عبدالله بن سنان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أفطر فی شهر رمضان متعمداً یوماً واحداً من غیر عذر،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یعتق نسمة أو یصوم شهرین متتعابعین أو یطعم ستین مسکیناً، فإن لم یقدر تصدّق بما یطیق</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وقبل باعتبار الترتیب لبعض الروایات ویحمل علی الاستحباب جمعاً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الشاکّ فی طلوع الفجر، یجوز له البقاء علی ارتکاب المفطر؛ لأستصحاب عدمه بخلاف الشاک فی الغروب، للأستصحابه أیضاً ولو فعل فعلیه القضاء والکفّارة، إذ بالاستصحاب المذکور یتنقّح موضوعهما وهو المفطّر فی یوم رمضان بلا عذر، نعم، إذا اتضح دخول الغروب فلا شیء علیه، لعدم الإفطار واقعاً، غایته تثبت العقوبة من باب التجریّ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القاصد لارتکاب المفطر، یبطل صومه ویجب علیه القضاء وإن لم یفطر؛ لأنّ الصوم هو الإمساک عن قصد، والقاصد لارتکاب المفطّر لم یمسک کذلک فی جمیع الیوم، نعم، لا کفارة علیه إن لم یفطر، لأنّ موضوعها الإفطار والمفروض عدم ارتکابه</w:t>
      </w:r>
      <w:r>
        <w:rPr>
          <w:rFonts w:eastAsia="IRNazanin" w:cs="IRNazanin"/>
          <w:color w:val="111111"/>
          <w:sz w:val="28"/>
          <w:szCs w:val="28"/>
          <w:rtl w:val="true"/>
          <w:lang w:bidi="fa-IR"/>
        </w:rPr>
        <w:t>.</w:t>
      </w:r>
      <w:bookmarkStart w:id="386" w:name="pg5021_49256"/>
    </w:p>
    <w:p>
      <w:pPr>
        <w:pStyle w:val="Heading3"/>
        <w:numPr>
          <w:ilvl w:val="2"/>
          <w:numId w:val="1"/>
        </w:numPr>
        <w:rPr/>
      </w:pPr>
      <w:bookmarkStart w:id="387" w:name="__RefHeading___Toc580576_774463916"/>
      <w:bookmarkStart w:id="388" w:name="_Toc156"/>
      <w:bookmarkEnd w:id="386"/>
      <w:bookmarkEnd w:id="387"/>
      <w:r>
        <w:rPr>
          <w:rtl w:val="true"/>
        </w:rPr>
        <w:t>الدرس</w:t>
      </w:r>
      <w:r>
        <w:rPr/>
        <w:t>38</w:t>
      </w:r>
      <w:r>
        <w:rPr>
          <w:rtl w:val="true"/>
        </w:rPr>
        <w:t xml:space="preserve"> - </w:t>
      </w:r>
      <w:r>
        <w:rPr>
          <w:rtl w:val="true"/>
        </w:rPr>
        <w:t>کتاب الاعتکاف</w:t>
      </w:r>
      <w:bookmarkEnd w:id="388"/>
    </w:p>
    <w:p>
      <w:pPr>
        <w:pStyle w:val="Heading4"/>
        <w:numPr>
          <w:ilvl w:val="3"/>
          <w:numId w:val="1"/>
        </w:numPr>
        <w:rPr/>
      </w:pPr>
      <w:bookmarkStart w:id="389" w:name="__RefHeading___Toc580578_774463916"/>
      <w:bookmarkStart w:id="390" w:name="_Toc157"/>
      <w:bookmarkEnd w:id="389"/>
      <w:r>
        <w:rPr>
          <w:rtl w:val="true"/>
        </w:rPr>
        <w:t>حقیقة الاعتکاف</w:t>
      </w:r>
      <w:bookmarkEnd w:id="390"/>
    </w:p>
    <w:p>
      <w:pPr>
        <w:pStyle w:val="BookText"/>
        <w:rPr/>
      </w:pPr>
      <w:r>
        <w:rPr>
          <w:rFonts w:ascii="Amiri" w:hAnsi="Amiri" w:eastAsia="Amiri" w:cs="Amiri"/>
          <w:color w:val="111111"/>
          <w:sz w:val="28"/>
          <w:sz w:val="28"/>
          <w:szCs w:val="28"/>
          <w:rtl w:val="true"/>
          <w:lang w:bidi="ar-SA"/>
        </w:rPr>
        <w:t>الاعتکاف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اللبث فی المسجد بقصد العبادة، مستحب أکید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عَهِدْنا إِلی إِبْراهِیمَ وَ إِسْماعِیلَ أَنْ طَهِّرا بَیْتِیَ لِلطّائِفِینَ وَ الْعاکِفِینَ وَ الرُّکَّعِ السُّجُودِ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صلی الله علیه و 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اعتکاف عشر فی شهر رمضان تعدل حجّتین وعمرتین</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ولا یصحّ إلاّ مع الصوم؛ للتسالم، وما وراه الحلبی فی الصحیح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اعتکاف إلاّ بصوم فی مسجد جامع</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ولا یکون أقل من ثلاثة أیّام؛ لموثّق عمر بن یزید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یکون الاعتکاف أقل من ثلاثة أیّام</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ولابدّ أن یکون المسجد جامعاً کما تقدّم فی صحیح الحلبی، وهل ینحصر بالمساجد الأربعة؟</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لصحیح عمربن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تقول فی الاعتکاف ببغداد فی بعض مساجدها؟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اعتکاف إلاّ فی مسجد جماعة قد صلّی فیه إمام عدل صلاة جماعة، ولا بأس أن یُعتکف فی مسجد الکوفة، والبصرة، ومسجد المدینة، ومسجد مکّة</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والمناسب الجمع بین الروایات؛ بحمل الجامع علی ما انعقدت فیه جماعة صحیحة لا علی الجامع المعروف فی البلد وإن کان 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ولایجوز للمعتکف مباشرة النساء؛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تُبَاشِرُوهُنَّ وَ أَنْتُمْ عاکِفُونَ فِی الْمَساجِدِ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 لا سائر الاستمتاعات بعد قصور المقتضی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یجوز له شمّ الطیب أو الریاحین مع التلذّذ، ولا البیع ولا الشراء، ولا المماراة علی أمر دنیوی، کلّ ذلک؛ لصحیحة أبی عبیدة عن أبی جعفر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المعتکف لا یشمّ الطیب ولا یتلذّذ بالریحان ولا یماری ولا یشتری ولا یبیع</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وشمّ الطیب ینصرف إلی التلذّذ منه، کانصراف المماراة إلی ما کان لغرض دنیوی دون ما کان لدحض باطل أو إثبات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یجوز له الخروج عن المسجد إلاّ لحاجة لابدّ منها، ولو خرج فلا یقعد تحت الظلال؛ کما یدلّ علیه صحیح داود بن سرحان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کنت بالمدینة فی شهر رمضان فقلت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أرید أعتکف، فماذا أفرض علی نفسی؟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تخرج من المسجد إلاّ لحاجة لابدّ منها، ولا تقعد تحت ظلال حتّی تعود إلی مجلسک</w:t>
      </w:r>
      <w:r>
        <w:rPr>
          <w:rFonts w:eastAsia="IRNazanin" w:cs="IRNazanin"/>
          <w:color w:val="111111"/>
          <w:sz w:val="28"/>
          <w:szCs w:val="28"/>
          <w:rtl w:val="true"/>
          <w:lang w:bidi="fa-IR"/>
        </w:rPr>
        <w:t xml:space="preserve">. </w:t>
      </w:r>
      <w:r>
        <w:rPr>
          <w:rStyle w:val="FootnoteAnchor"/>
          <w:rtl w:val="true"/>
        </w:rPr>
        <w:footnoteReference w:id="281"/>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وهل یجب الیوم الثالث إذا مضی یومان؟ قولان</w:t>
      </w:r>
      <w:r>
        <w:rPr>
          <w:rFonts w:eastAsia="IRNazanin" w:cs="IRNazanin"/>
          <w:color w:val="111111"/>
          <w:sz w:val="28"/>
          <w:szCs w:val="28"/>
          <w:rtl w:val="true"/>
          <w:lang w:bidi="fa-IR"/>
        </w:rPr>
        <w:t>.</w:t>
      </w:r>
      <w:bookmarkStart w:id="391" w:name="pg5021_49258"/>
    </w:p>
    <w:p>
      <w:pPr>
        <w:pStyle w:val="Heading3"/>
        <w:numPr>
          <w:ilvl w:val="2"/>
          <w:numId w:val="1"/>
        </w:numPr>
        <w:rPr/>
      </w:pPr>
      <w:bookmarkStart w:id="392" w:name="__RefHeading___Toc580580_774463916"/>
      <w:bookmarkStart w:id="393" w:name="_Toc158"/>
      <w:bookmarkEnd w:id="391"/>
      <w:bookmarkEnd w:id="392"/>
      <w:r>
        <w:rPr>
          <w:rtl w:val="true"/>
        </w:rPr>
        <w:t>الدرس</w:t>
      </w:r>
      <w:r>
        <w:rPr/>
        <w:t>39</w:t>
      </w:r>
      <w:r>
        <w:rPr>
          <w:rtl w:val="true"/>
        </w:rPr>
        <w:t xml:space="preserve"> - </w:t>
      </w:r>
      <w:r>
        <w:rPr>
          <w:rtl w:val="true"/>
        </w:rPr>
        <w:t>کتاب الزکاة</w:t>
      </w:r>
      <w:bookmarkEnd w:id="393"/>
    </w:p>
    <w:p>
      <w:pPr>
        <w:pStyle w:val="Heading4"/>
        <w:numPr>
          <w:ilvl w:val="3"/>
          <w:numId w:val="1"/>
        </w:numPr>
        <w:rPr/>
      </w:pPr>
      <w:bookmarkStart w:id="394" w:name="__RefHeading___Toc580582_774463916"/>
      <w:bookmarkStart w:id="395" w:name="_Toc159"/>
      <w:bookmarkEnd w:id="394"/>
      <w:r>
        <w:rPr>
          <w:rtl w:val="true"/>
        </w:rPr>
        <w:t>حقیقة الزکاة وأهمیتها</w:t>
      </w:r>
      <w:bookmarkEnd w:id="395"/>
    </w:p>
    <w:p>
      <w:pPr>
        <w:pStyle w:val="BookText"/>
        <w:rPr/>
      </w:pPr>
      <w:r>
        <w:rPr>
          <w:rFonts w:ascii="IRNazanin" w:hAnsi="IRNazanin" w:eastAsia="IRNazanin"/>
          <w:color w:val="111111"/>
          <w:sz w:val="28"/>
          <w:sz w:val="28"/>
          <w:szCs w:val="28"/>
          <w:rtl w:val="true"/>
          <w:lang w:bidi="fa-IR"/>
        </w:rPr>
        <w:t>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للصدقة الواجبة من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وسمیّت زکاة لأنّ فاعلها یزکو بفعلها عند الله سبحانه، ویصیر من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من الواجبات الأکیدة التی قرنها الله تعالی بالصلاة فی الآیات الکثیرة، وأمر نبیّه بأخذها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مِنْ أَمْوالِهِمْ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 محمّد بن مسلم عن أبی عبدالله علیه السلام فی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عزّ وجلّ فرض للفقراء فی مال الأغنیاء ما یسعهم، ولو علم أن ذلک لا یسعهم لزادهم، إنّهم لم یؤتوا من قبل فریضة الله عزّوجلّ ولکن اوتوا من منع من منعهم حقّهم لاممّا فرض الله لهم، ولو أنّ الناس أدّوا حقوقهم لکانوا عائشین بخیر</w:t>
      </w:r>
      <w:r>
        <w:rPr>
          <w:rFonts w:eastAsia="IRNazanin" w:cs="IRNazanin"/>
          <w:color w:val="111111"/>
          <w:sz w:val="28"/>
          <w:szCs w:val="28"/>
          <w:rtl w:val="true"/>
          <w:lang w:bidi="fa-IR"/>
        </w:rPr>
        <w:t xml:space="preserve">. </w:t>
      </w:r>
      <w:r>
        <w:rPr>
          <w:rStyle w:val="FootnoteAnchor"/>
          <w:rtl w:val="true"/>
        </w:rPr>
        <w:footnoteReference w:id="282"/>
      </w:r>
    </w:p>
    <w:p>
      <w:pPr>
        <w:pStyle w:val="Heading4"/>
        <w:numPr>
          <w:ilvl w:val="3"/>
          <w:numId w:val="1"/>
        </w:numPr>
        <w:rPr/>
      </w:pPr>
      <w:bookmarkStart w:id="396" w:name="__RefHeading___Toc580584_774463916"/>
      <w:bookmarkStart w:id="397" w:name="_Toc160"/>
      <w:bookmarkEnd w:id="396"/>
      <w:r>
        <w:rPr>
          <w:rtl w:val="true"/>
        </w:rPr>
        <w:t>الأشیاء التی تجب فیها الزکاة</w:t>
      </w:r>
      <w:bookmarkEnd w:id="397"/>
    </w:p>
    <w:p>
      <w:pPr>
        <w:pStyle w:val="BookText"/>
        <w:rPr/>
      </w:pPr>
      <w:r>
        <w:rPr>
          <w:rFonts w:ascii="IRNazanin" w:hAnsi="IRNazanin" w:eastAsia="IRNazanin"/>
          <w:color w:val="111111"/>
          <w:sz w:val="28"/>
          <w:sz w:val="28"/>
          <w:szCs w:val="28"/>
          <w:rtl w:val="true"/>
          <w:lang w:bidi="fa-IR"/>
        </w:rPr>
        <w:t>تتعلّق الزکاة بتسعة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 الثلاثة، والنقدین، والغلاّت الأربع؛ لصحیحة الفضلاءعن أبی جعفر وأبی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الله عزّ وجلّ الزکاة مع الصلاة فی الأموال، وسنّها رسول‌الله صلی الله علیه و آله فی</w:t>
      </w:r>
      <w:bookmarkStart w:id="398" w:name="pg5021_49259"/>
    </w:p>
    <w:p>
      <w:pPr>
        <w:pStyle w:val="BookText"/>
        <w:rPr/>
      </w:pPr>
      <w:bookmarkEnd w:id="398"/>
      <w:r>
        <w:rPr>
          <w:rFonts w:ascii="IRNazanin" w:hAnsi="IRNazanin" w:eastAsia="IRNazanin"/>
          <w:color w:val="111111"/>
          <w:sz w:val="28"/>
          <w:sz w:val="28"/>
          <w:szCs w:val="28"/>
          <w:rtl w:val="true"/>
          <w:lang w:bidi="fa-IR"/>
        </w:rPr>
        <w:t>تسعة أشیاء وعفی عمّا سواهنّ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الذهب، والفضة والإبل، والبقر، والغنم، والحنطة، والشعیر، والتمر، والزبیب، وعفی رسول‌الله صلی الله علیه و آله عمّا سوی ذلک</w:t>
      </w:r>
      <w:r>
        <w:rPr>
          <w:rFonts w:eastAsia="IRNazanin" w:cs="IRNazanin"/>
          <w:color w:val="111111"/>
          <w:sz w:val="28"/>
          <w:szCs w:val="28"/>
          <w:rtl w:val="true"/>
          <w:lang w:bidi="fa-IR"/>
        </w:rPr>
        <w:t xml:space="preserve">. </w:t>
      </w:r>
      <w:r>
        <w:rPr>
          <w:rStyle w:val="FootnoteAnchor"/>
          <w:rtl w:val="true"/>
        </w:rPr>
        <w:footnoteReference w:id="283"/>
      </w:r>
    </w:p>
    <w:p>
      <w:pPr>
        <w:pStyle w:val="Heading4"/>
        <w:numPr>
          <w:ilvl w:val="3"/>
          <w:numId w:val="1"/>
        </w:numPr>
        <w:rPr/>
      </w:pPr>
      <w:bookmarkStart w:id="399" w:name="__RefHeading___Toc580586_774463916"/>
      <w:bookmarkStart w:id="400" w:name="_Toc161"/>
      <w:bookmarkEnd w:id="399"/>
      <w:r>
        <w:rPr>
          <w:rtl w:val="true"/>
        </w:rPr>
        <w:t>شرائط عامّة</w:t>
      </w:r>
      <w:bookmarkEnd w:id="4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البلوغ؛ وهو معتبر فی النقدین إجماعاً، وفی غیرهما مختلفٌ 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العقل؛ لأنّ المجنون لایشمله خطاب وجوب الزکاة، ولحدیث رفع القلم عن المجنون حتّی یفیق</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 xml:space="preserve">ولما رواه محمّدبن مسلم فی الصحیح عن أبی جعفر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خلق الله العقل استنطقه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وعزّتی وجلالی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إنّی إیّاک أمر وإیّاک أنهی وإیّاک أعاقب وأیّاک أثیب</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الملکیة؛ للتسالم، وظاهر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أَمْوالِهِمْ صَدَقَةً تُطَهِّرُهُمْ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عنوان أموالهم لا یصدق إلاّ مع الملکیة الشخصیة، فلاتجب علی الموهوب له قبل‌قبضه، ولاعلی المباحات العامّة، ولاما کان ملکاً لجهة، کالبستان الموقوف علی‌الفقراء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التمکّن من التصرّف؛ للإجماع، ولموثّقة زرارة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ماله عنه غائب لا یقدر علی أخذه،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زکاة علیه حتّی یخرج، فإذا خرج زکّاه لعام واحد، فإذا کان یدعه متعمّداً وهو یقدر علی أخذه، فعلیه الزکاة لکلّ ما مرّ به من السنین</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النصاب، وهو وإن کان من الشرائط العامّة إلاّ أنّه لاختلاف کمّه باختلاف ما تجب فیه، نتعرّض له فی الشرائط الخاصّة الآتیة</w:t>
      </w:r>
      <w:r>
        <w:rPr>
          <w:rFonts w:eastAsia="IRNazanin" w:cs="IRNazanin"/>
          <w:color w:val="111111"/>
          <w:sz w:val="28"/>
          <w:szCs w:val="28"/>
          <w:rtl w:val="true"/>
          <w:lang w:bidi="fa-IR"/>
        </w:rPr>
        <w:t>.</w:t>
      </w:r>
      <w:bookmarkStart w:id="401" w:name="pg5021_49260"/>
    </w:p>
    <w:p>
      <w:pPr>
        <w:pStyle w:val="Heading3"/>
        <w:numPr>
          <w:ilvl w:val="2"/>
          <w:numId w:val="1"/>
        </w:numPr>
        <w:rPr/>
      </w:pPr>
      <w:bookmarkStart w:id="402" w:name="__RefHeading___Toc580588_774463916"/>
      <w:bookmarkStart w:id="403" w:name="_Toc162"/>
      <w:bookmarkEnd w:id="401"/>
      <w:bookmarkEnd w:id="402"/>
      <w:r>
        <w:rPr>
          <w:rtl w:val="true"/>
        </w:rPr>
        <w:t>الدرس</w:t>
      </w:r>
      <w:r>
        <w:rPr/>
        <w:t>40</w:t>
      </w:r>
      <w:r>
        <w:rPr>
          <w:rtl w:val="true"/>
        </w:rPr>
        <w:t xml:space="preserve"> - </w:t>
      </w:r>
      <w:r>
        <w:rPr>
          <w:rtl w:val="true"/>
        </w:rPr>
        <w:t xml:space="preserve">کتاب الزکاة </w:t>
      </w:r>
      <w:r>
        <w:rPr>
          <w:rtl w:val="true"/>
        </w:rPr>
        <w:t>(</w:t>
      </w:r>
      <w:r>
        <w:rPr/>
        <w:t>2</w:t>
      </w:r>
      <w:r>
        <w:rPr>
          <w:rtl w:val="true"/>
        </w:rPr>
        <w:t>)</w:t>
      </w:r>
      <w:bookmarkEnd w:id="403"/>
    </w:p>
    <w:p>
      <w:pPr>
        <w:pStyle w:val="Heading4"/>
        <w:numPr>
          <w:ilvl w:val="3"/>
          <w:numId w:val="1"/>
        </w:numPr>
        <w:rPr/>
      </w:pPr>
      <w:bookmarkStart w:id="404" w:name="__RefHeading___Toc580590_774463916"/>
      <w:bookmarkStart w:id="405" w:name="_Toc163"/>
      <w:bookmarkEnd w:id="404"/>
      <w:r>
        <w:rPr>
          <w:rtl w:val="true"/>
        </w:rPr>
        <w:t>شرائط الوجوب فی الأنعام</w:t>
      </w:r>
      <w:bookmarkEnd w:id="4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النصاب وهو فی الإبل اثنا عشر نصاباً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بلغت </w:t>
      </w:r>
      <w:r>
        <w:rPr>
          <w:rStyle w:val="FootnoteAnchor"/>
          <w:rtl w:val="true"/>
        </w:rPr>
        <w:footnoteReference w:id="287"/>
      </w:r>
      <w:r>
        <w:rPr>
          <w:rFonts w:ascii="IRNazanin" w:hAnsi="IRNazanin" w:eastAsia="IRNazanin"/>
          <w:color w:val="111111"/>
          <w:sz w:val="28"/>
          <w:sz w:val="28"/>
          <w:szCs w:val="28"/>
          <w:rtl w:val="true"/>
          <w:lang w:bidi="fa-IR"/>
        </w:rPr>
        <w:t>خمساً، ففیها شاة، ثمّ لایجب شیء فی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بلغت عشراً، ففیها شاتان ثمّ لایجب شیء فی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بلغت خمسة عشر، ففیها ثلاث شیاة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فی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وفی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فی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ابنة مخاض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فی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بنت لبون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فی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حُقّة، ثمّ فی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جذعة، ثمّ فی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بنتا لبون، ثمّ فی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حقّتان، فإذا زادت علی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واحدة، ففی کلّ خمسین، حقّه، وفی کلّ أربعین، ابنة لبون؛ وتدلّ علیه صحیحة زرارة عن أبی جعفر علیه السلام </w:t>
      </w:r>
      <w:r>
        <w:rPr>
          <w:rFonts w:eastAsia="IRNazanin" w:cs="IRNazanin"/>
          <w:color w:val="111111"/>
          <w:sz w:val="28"/>
          <w:szCs w:val="28"/>
          <w:rtl w:val="true"/>
          <w:lang w:bidi="fa-IR"/>
        </w:rPr>
        <w:t xml:space="preserve">. </w:t>
      </w:r>
      <w:r>
        <w:rPr>
          <w:rStyle w:val="FootnoteAnchor"/>
          <w:rtl w:val="true"/>
        </w:rPr>
        <w:footnoteReference w:id="288"/>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فی البقر نصابان، فی کلّ ثلاثین بقره، تبیع، ولیس فی أقلّ من ذلک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أربعین بقرة، مسنّة، والزائد عفو إلی أن یمکن حسابه بأحدهما أو بهما، فإذا بلغت ستین ففیها، تبیعان إلی السبعین، فإذا بلغت السبعین، ففیها تبیع، ومسنّة إلی الثمانین وهکذا، علی ما جاء فی صحیحة الفضلاء عن أبی جعفر، وأبی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وهو فی الغنم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أربعین شاةً، شاةٌ، ولیس فیما دون الأربعین شیءٌ، ثمّ لیس فیها شیء حتّی تبلغ عشرین ومائة، فإذا زادت علی عشرین ومائة إلی مائتین، ففیها شاتان، فإذا زادت علی المائتین ففیها ثلاث شیاة، ثمّ لیس فیها شیء أکثر حتّی تبلغ ثلاثمائة وتزید، ففیها أربع شیاه إلی أربعمأة، فإذا تمّت أربعمأة ففی کلّ مائة 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دلّ علی ذلک صحیحة الفضلاء عن أبی جعفر، وأبی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السوم فترة الحول، ویدلّ علی اعتباره صحیحة الفضلاء، عن أبی جعفر، وأبی‌عبدالله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علی العوامل من الإبل والبقر شیء، وإنّما الصدقات علی السائمة المرعیة</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کونها عوامل؛ للصحیحة المتقدّمة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مرور حول علیها عند مالکها جامعة للشرائط؛ لنفس الصحیحة المتقدّمة، حیث ورد فیها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وکلّ مالم یحل علیه الحول عند ربّه فلا شیء علیه فیه، فإذا حال علیه الحول وجب علیه</w:t>
      </w:r>
      <w:r>
        <w:rPr>
          <w:rFonts w:eastAsia="IRNazanin" w:cs="IRNazanin"/>
          <w:color w:val="111111"/>
          <w:sz w:val="28"/>
          <w:szCs w:val="28"/>
          <w:rtl w:val="true"/>
          <w:lang w:bidi="fa-IR"/>
        </w:rPr>
        <w:t xml:space="preserve">. </w:t>
      </w:r>
      <w:r>
        <w:rPr>
          <w:rStyle w:val="FootnoteAnchor"/>
          <w:rtl w:val="true"/>
        </w:rPr>
        <w:footnoteReference w:id="292"/>
      </w:r>
      <w:bookmarkStart w:id="406" w:name="pg5021_49262"/>
    </w:p>
    <w:p>
      <w:pPr>
        <w:pStyle w:val="Heading3"/>
        <w:numPr>
          <w:ilvl w:val="2"/>
          <w:numId w:val="1"/>
        </w:numPr>
        <w:rPr/>
      </w:pPr>
      <w:bookmarkStart w:id="407" w:name="__RefHeading___Toc580592_774463916"/>
      <w:bookmarkStart w:id="408" w:name="_Toc164"/>
      <w:bookmarkEnd w:id="406"/>
      <w:bookmarkEnd w:id="407"/>
      <w:r>
        <w:rPr>
          <w:rtl w:val="true"/>
        </w:rPr>
        <w:t>الدرس</w:t>
      </w:r>
      <w:r>
        <w:rPr/>
        <w:t>41</w:t>
      </w:r>
      <w:r>
        <w:rPr>
          <w:rtl w:val="true"/>
        </w:rPr>
        <w:t xml:space="preserve"> - </w:t>
      </w:r>
      <w:r>
        <w:rPr>
          <w:rtl w:val="true"/>
        </w:rPr>
        <w:t xml:space="preserve">کتاب الزکاة </w:t>
      </w:r>
      <w:r>
        <w:rPr>
          <w:rtl w:val="true"/>
        </w:rPr>
        <w:t>(</w:t>
      </w:r>
      <w:r>
        <w:rPr/>
        <w:t>3</w:t>
      </w:r>
      <w:r>
        <w:rPr>
          <w:rtl w:val="true"/>
        </w:rPr>
        <w:t>)</w:t>
      </w:r>
      <w:bookmarkEnd w:id="408"/>
    </w:p>
    <w:p>
      <w:pPr>
        <w:pStyle w:val="Heading4"/>
        <w:numPr>
          <w:ilvl w:val="3"/>
          <w:numId w:val="1"/>
        </w:numPr>
        <w:rPr/>
      </w:pPr>
      <w:bookmarkStart w:id="409" w:name="__RefHeading___Toc580594_774463916"/>
      <w:bookmarkStart w:id="410" w:name="_Toc165"/>
      <w:bookmarkEnd w:id="409"/>
      <w:r>
        <w:rPr>
          <w:rtl w:val="true"/>
        </w:rPr>
        <w:t>شرائط الوجوب فی النقدین</w:t>
      </w:r>
      <w:bookmarkEnd w:id="4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النصاب وهو فی الذهب، عشرون مثقالاً، ومن ثَمّ أربعة أربعة، والفریضة ربع عشر، وفی الفضة مائتا درهم، ومن ثمّ أربعون أربعون، والفریضة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ذلک الروایات الکثیرة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الضرب بسکّة المعاملة ویدلّ علی اعتباره بعض النصوص الصحیحة، وعلیه فلا تتعلّق الزکاة بالذهب والفضة فی مثل زماننا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مضیّ الحول لما فی بعض الصحاح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مالم یحل علیه الحول، فلیس علیک منه زکاة</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شرائط الوجوب فی الغلاّت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النصاب، وهو خمسة أوسق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تساوی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غرام تقریباً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والفریضة نصف العشر فی ما یستقی بالوسائل المعدّة من المالک، کالماکنة، ونحوها والعشر فیما یستقی لاکذلک؛ کلّ ذلک للروایات الکثیرة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ثبوت الملکیّة عند تعلّق الوجوب ولو بغیر الزراعة؛ لأنّ الوجوب یتعلّق بالمالک دون غیره ولا یشترط التملّک بالزراعة؛ لاتفاق المسلمین علی ذلک</w:t>
      </w:r>
      <w:r>
        <w:rPr>
          <w:rFonts w:eastAsia="IRNazanin" w:cs="IRNazanin"/>
          <w:color w:val="111111"/>
          <w:sz w:val="28"/>
          <w:szCs w:val="28"/>
          <w:rtl w:val="true"/>
          <w:lang w:bidi="fa-IR"/>
        </w:rPr>
        <w:t>.</w:t>
      </w:r>
      <w:bookmarkStart w:id="411" w:name="pg5021_49263"/>
    </w:p>
    <w:p>
      <w:pPr>
        <w:pStyle w:val="Heading4"/>
        <w:numPr>
          <w:ilvl w:val="3"/>
          <w:numId w:val="1"/>
        </w:numPr>
        <w:rPr/>
      </w:pPr>
      <w:bookmarkStart w:id="412" w:name="__RefHeading___Toc580596_774463916"/>
      <w:bookmarkStart w:id="413" w:name="_Toc166"/>
      <w:bookmarkEnd w:id="411"/>
      <w:bookmarkEnd w:id="412"/>
      <w:r>
        <w:rPr>
          <w:rtl w:val="true"/>
        </w:rPr>
        <w:t>المستحقّون للزکاة</w:t>
      </w:r>
      <w:bookmarkEnd w:id="413"/>
    </w:p>
    <w:p>
      <w:pPr>
        <w:pStyle w:val="BookText"/>
        <w:rPr/>
      </w:pPr>
      <w:r>
        <w:rPr>
          <w:rFonts w:ascii="Amiri" w:hAnsi="Amiri" w:eastAsia="Amiri" w:cs="Amiri"/>
          <w:color w:val="111111"/>
          <w:sz w:val="28"/>
          <w:sz w:val="28"/>
          <w:szCs w:val="28"/>
          <w:rtl w:val="true"/>
          <w:lang w:bidi="ar-SA"/>
        </w:rPr>
        <w:t xml:space="preserve">وهم أصناف ثمانیة، کما قال الله تبارک وتعالی إِنَّمَا الصَّدَقاتُ لِلْفُقَراءِ وَ الْمَساکِینِ وَ الْعامِلِینَ عَلَیْها وَ الْمُؤَلَّفَةِ قُلُوبُهُمْ وَ فِی الرِّقابِ وَ الْغارِمِینَ وَ فِی سَبِیلِ اللّهِ وَ ابْنِ السَّبِیلِ فَرِیضَةً مِنَ اللّهِ وَ اللّهُ عَلِیمٌ حَکِیمٌ </w:t>
      </w:r>
      <w:r>
        <w:rPr>
          <w:rFonts w:eastAsia="Amiri" w:cs="Amiri" w:ascii="Amiri" w:hAnsi="Amiri"/>
          <w:color w:val="111111"/>
          <w:sz w:val="28"/>
          <w:szCs w:val="28"/>
          <w:rtl w:val="true"/>
          <w:lang w:bidi="ar-SA"/>
        </w:rPr>
        <w:t xml:space="preserve">. </w:t>
      </w:r>
      <w:r>
        <w:rPr>
          <w:rStyle w:val="FootnoteAnchor"/>
          <w:rtl w:val="true"/>
        </w:rPr>
        <w:footnoteReference w:id="294"/>
      </w:r>
      <w:r>
        <w:rPr>
          <w:rFonts w:ascii="IRNazanin" w:hAnsi="IRNazanin" w:eastAsia="IRNazanin"/>
          <w:color w:val="111111"/>
          <w:sz w:val="28"/>
          <w:sz w:val="28"/>
          <w:szCs w:val="28"/>
          <w:rtl w:val="true"/>
          <w:lang w:bidi="fa-IR"/>
        </w:rPr>
        <w:t>وإلیک بعض أحکامها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الفقیر والمسکین، والثانی أسوء حالاً من الأوّل، کما یدلّ علیه صحیح محمّدبن مسلم، </w:t>
      </w:r>
      <w:r>
        <w:rPr>
          <w:rStyle w:val="FootnoteAnchor"/>
          <w:rtl w:val="true"/>
        </w:rPr>
        <w:footnoteReference w:id="295"/>
      </w:r>
      <w:r>
        <w:rPr>
          <w:rFonts w:ascii="IRNazanin" w:hAnsi="IRNazanin" w:eastAsia="IRNazanin"/>
          <w:color w:val="111111"/>
          <w:sz w:val="28"/>
          <w:sz w:val="28"/>
          <w:szCs w:val="28"/>
          <w:rtl w:val="true"/>
          <w:lang w:bidi="fa-IR"/>
        </w:rPr>
        <w:t>ومدّعی الفقر یصدّق مع الوثوق، لحجّیة الوثوق عند العقلاء، ومع عدمه یجوز إعطاء الزکاة له أیضاً؛ لاستصحاب عدم غناه إذا لم یحتمل تولّده غنیّاً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العاملون علیها؛ وهم المنصوبون لأخذ الزکاة وضبطها وإیصالها وسائر شؤونها، أخذاً بظاهر اللفظ وإطلاقه، ولا یشترط الفقر؛ للإطلاق مضافاً إلی قرینة المقابلة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المؤلّفة قلوبهم وهم ضعیفوا الإسلام یدفع لهم من الزکاة؛ لیحسن إسلامهم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زرارة فی الصحیح عن أبی جعفر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سألته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الْمُؤَلَّفَةِ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قوم وحّدوا الله عزّ وجلّ وخلعوا عبادة من یُعبد من دون الله، وشهدوا، أن لاإله إلا الله وأنّ محمّداً رسول‌الله صلی الله علیه و آله ، وهم فی ذلک شکّاک فی بعض ما جاء به محمد صلی الله علیه و آله ، فأمر الله عزّ وجلّ نبیّه أن یتألّفهم بالمال والعطاء، لکی یحسن إسلامهم</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وقیل بعموم ذلک للکفّار الذین یدفع لهم من الزکاة لاستمالتهم إلی الإسلام، أو الدفاع عن المسلمین، أو جهاد الکفّار، وهو حسن لولا استظهار الاختصاص من الصحیحة المتقدّمة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الرقاب؛ وهم العبید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یدفع لهم من الزکاة؛ لیعتقوا ولو لم یکونوا تحت الشدّة، لإطلاق الآیة الکریمة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الغارمون، وهم من أثقلتهم الدیون وعجزوا عن أدائها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واعتبار العجز إنّما هو لعدم احتمال الدفع إلی المتمکّن، نعم، یعتبر عدم صرف الدین فی المعصیة، حذراً من التشجیع علی صدور المعصیة، وأمّا إذا تاب، فالحکم المذکور مبنی علی الاحتیاط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سبیل الله، وهو مطلق سبیل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الجهاد؛ للإطلاق وتفسیره، بخصوص الجهاد؛ إمّا للانصراف، أو لبعض الأخبار الضعیفة، غیر سدید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السبیل، وهو المسافر الذی نفدت نفقته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اللغة ولو کان غنیّاً فی بلده؛ للإطلاق</w:t>
      </w:r>
      <w:r>
        <w:rPr>
          <w:rFonts w:eastAsia="IRNazanin" w:cs="IRNazanin"/>
          <w:color w:val="111111"/>
          <w:sz w:val="28"/>
          <w:szCs w:val="28"/>
          <w:rtl w:val="true"/>
          <w:lang w:bidi="fa-IR"/>
        </w:rPr>
        <w:t>.</w:t>
      </w:r>
      <w:bookmarkStart w:id="414" w:name="pg5021_49265"/>
    </w:p>
    <w:p>
      <w:pPr>
        <w:pStyle w:val="Heading3"/>
        <w:numPr>
          <w:ilvl w:val="2"/>
          <w:numId w:val="1"/>
        </w:numPr>
        <w:rPr/>
      </w:pPr>
      <w:bookmarkStart w:id="415" w:name="__RefHeading___Toc580598_774463916"/>
      <w:bookmarkStart w:id="416" w:name="_Toc167"/>
      <w:bookmarkEnd w:id="414"/>
      <w:bookmarkEnd w:id="415"/>
      <w:r>
        <w:rPr>
          <w:rtl w:val="true"/>
        </w:rPr>
        <w:t>الدرس</w:t>
      </w:r>
      <w:r>
        <w:rPr/>
        <w:t>42</w:t>
      </w:r>
      <w:r>
        <w:rPr>
          <w:rtl w:val="true"/>
        </w:rPr>
        <w:t xml:space="preserve"> - </w:t>
      </w:r>
      <w:r>
        <w:rPr>
          <w:rtl w:val="true"/>
        </w:rPr>
        <w:t xml:space="preserve">کتاب الزکاة </w:t>
      </w:r>
      <w:r>
        <w:rPr>
          <w:rtl w:val="true"/>
        </w:rPr>
        <w:t>(</w:t>
      </w:r>
      <w:r>
        <w:rPr/>
        <w:t>4</w:t>
      </w:r>
      <w:r>
        <w:rPr>
          <w:rtl w:val="true"/>
        </w:rPr>
        <w:t>)</w:t>
      </w:r>
      <w:bookmarkEnd w:id="416"/>
    </w:p>
    <w:p>
      <w:pPr>
        <w:pStyle w:val="Heading4"/>
        <w:numPr>
          <w:ilvl w:val="3"/>
          <w:numId w:val="1"/>
        </w:numPr>
        <w:rPr/>
      </w:pPr>
      <w:bookmarkStart w:id="417" w:name="__RefHeading___Toc580600_774463916"/>
      <w:bookmarkStart w:id="418" w:name="_Toc168"/>
      <w:bookmarkEnd w:id="417"/>
      <w:r>
        <w:rPr>
          <w:rtl w:val="true"/>
        </w:rPr>
        <w:t>أوصاف المستحقّین</w:t>
      </w:r>
      <w:bookmarkEnd w:id="418"/>
    </w:p>
    <w:p>
      <w:pPr>
        <w:pStyle w:val="BookText"/>
        <w:rPr/>
      </w:pP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یعطی المخالف، ولاغیر المسلم؛ لصحیح بریدبن معاویة عن أبی‌عبدالله علیه السلام فی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عمل عمله وهو فی حال نصبه وضلالته، ثمّ مَنّ الله علیه وعرّفه الولایة، فإنّه یؤجر علیه إلاّ الزکاة؛ لأنّه یضعها فی غیر مواضعها، لأنّها لأهل الولایة وأمّا الصلاة والحجّ والصیام فلیس علیه قضاء</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وهو یدلّ علی عدم جواز دفعها إلی الکافر بالأولویة بل بعموم التعلیل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یجوز دفعها إلی الکافر من سهم المؤلّفة قلوبهم بناءً علی تفسیرها الأوسع کما تقدّم، وإذا استبصر المخالف أعاد الزکاة إذا لم یضعها فی موضعها، للصحیح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یعلم الإجزاء إذا أدّاها إلی أهلها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لا یکون الدفع تشجیعاً له علی المعصیة، لأنّه حینئذٍ یکون من الدعوة إلی المعصیة والأمر إلی المنکر والإعانة علی المعصیة، و کلّ‌ذلک قبیح عقلاً وشرعاً، وخلف لأدلّة النهی عن المنکر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لا یکون واجب النفقة علی المزکّی؛ فإنّه روی عبدالرحمن بن الحجّاج فی الصحیح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خمسة لا یعطون من الزکاة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 والأم، والولد والمملوک، والمرأة؛ وذلک لأنّهم عیاله لازمون له</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ویستثنی من ذلک، المورد الذی لایجب فیه الإنفاق علی واجب النفقة، کالإنفاق لقضاءالدین، لاختصاص المنع فی الصحیح بمقتضی تعلیله بالنفقة اللازمة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لا یکون هاشمیاً إذا کانت الزکاة من غیره، وتحلّ صدقات بعضهم علی بعض؛ ویدلّ علی الحکمین موثّق زرارة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صدقات بنی هاشم بعضهم علی بعض تحلّ 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صدقة الرسول صلی الله علیه و آله تحلّ لجمیع الناس من بنی هاشم وغیرهم، وصدقات بعضهم علی بعضهم تحلّ لهم، ولاتحلِ‌ّ لهم صدقات إنسان غریب</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نعم، المحرّم خصوص الزکاة دون الصدقة المندوبة؛ ویدلّ علیه موثّق إسماعیل بن الفضل الهاشمی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أباعبدالله علیه السلام عن الصدقة التی حرمت علی بنی هاشم، ما هی؟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الزکاة</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وظاهرها یفید جواز غیرالزکاة من الصدقات وإن کانت واجبة کالکفّارات وردّ المظالم واللقطة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بالهاشمی، هو المنتسب إلی هاشم بالأب دون الأمّ علی المشهور، وخالف فیه صاحب الحدائق، والسیّد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استناداً إلی أنّ ولد البنت ولد أیضاً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أنّ ذلک وإن کان حقّاً؛ ولذا کان أولاد بضعة الرسول صلی الله علیه و آله أولاداً له صلی الله علیه و آله وکان عیسی علیه السلام من ذریّة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المدار لیس علی ذلک، بل علی صدق عنوان بنی هاشم وهو لایکفی فیه الانتساب بالأم عرفاً</w:t>
      </w:r>
      <w:r>
        <w:rPr>
          <w:rFonts w:eastAsia="IRNazanin" w:cs="IRNazanin"/>
          <w:color w:val="111111"/>
          <w:sz w:val="28"/>
          <w:szCs w:val="28"/>
          <w:rtl w:val="true"/>
          <w:lang w:bidi="fa-IR"/>
        </w:rPr>
        <w:t>.</w:t>
      </w:r>
      <w:bookmarkStart w:id="419" w:name="pg5021_49267"/>
    </w:p>
    <w:p>
      <w:pPr>
        <w:pStyle w:val="Heading3"/>
        <w:numPr>
          <w:ilvl w:val="2"/>
          <w:numId w:val="1"/>
        </w:numPr>
        <w:rPr/>
      </w:pPr>
      <w:bookmarkStart w:id="420" w:name="__RefHeading___Toc580602_774463916"/>
      <w:bookmarkStart w:id="421" w:name="_Toc169"/>
      <w:bookmarkEnd w:id="419"/>
      <w:bookmarkEnd w:id="420"/>
      <w:r>
        <w:rPr>
          <w:rtl w:val="true"/>
        </w:rPr>
        <w:t>الدرس</w:t>
      </w:r>
      <w:r>
        <w:rPr/>
        <w:t>43</w:t>
      </w:r>
      <w:r>
        <w:rPr>
          <w:rtl w:val="true"/>
        </w:rPr>
        <w:t xml:space="preserve"> - </w:t>
      </w:r>
      <w:r>
        <w:rPr>
          <w:rtl w:val="true"/>
        </w:rPr>
        <w:t xml:space="preserve">کتاب الزکاة </w:t>
      </w:r>
      <w:r>
        <w:rPr>
          <w:rtl w:val="true"/>
        </w:rPr>
        <w:t>(</w:t>
      </w:r>
      <w:r>
        <w:rPr/>
        <w:t>5</w:t>
      </w:r>
      <w:r>
        <w:rPr>
          <w:rtl w:val="true"/>
        </w:rPr>
        <w:t>)</w:t>
      </w:r>
      <w:bookmarkEnd w:id="421"/>
    </w:p>
    <w:p>
      <w:pPr>
        <w:pStyle w:val="Heading4"/>
        <w:numPr>
          <w:ilvl w:val="3"/>
          <w:numId w:val="1"/>
        </w:numPr>
        <w:rPr/>
      </w:pPr>
      <w:bookmarkStart w:id="422" w:name="__RefHeading___Toc580604_774463916"/>
      <w:bookmarkStart w:id="423" w:name="_Toc170"/>
      <w:bookmarkEnd w:id="422"/>
      <w:r>
        <w:rPr>
          <w:rtl w:val="true"/>
        </w:rPr>
        <w:t>زکاة الفطرة</w:t>
      </w:r>
      <w:bookmarkEnd w:id="423"/>
    </w:p>
    <w:p>
      <w:pPr>
        <w:pStyle w:val="BookText"/>
        <w:rPr/>
      </w:pPr>
      <w:r>
        <w:rPr>
          <w:rFonts w:ascii="Amiri" w:hAnsi="Amiri" w:eastAsia="Amiri" w:cs="Amiri"/>
          <w:color w:val="111111"/>
          <w:sz w:val="28"/>
          <w:sz w:val="28"/>
          <w:szCs w:val="28"/>
          <w:rtl w:val="true"/>
          <w:lang w:bidi="ar-SA"/>
        </w:rPr>
        <w:t>تجب زکاة الفطرة التی هی قسم من الزکاة؛ إجماعاً، والنصوص به کثیرة یأتی بعضها، وقد فُسّر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تَزَکّی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ذَکَرَ اسْمَ رَبِّهِ فَصَلّی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بذلک فی بعض الأخبار، وفی الصحیح عن أبی عبدالله علیه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من تمام الصوم إعطاء الزکاة، یعنی الفطرة کما أنّ الصلاة علی النبیّ صلی الله علیه و آله من تمام الصلاة</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بل عدّ فی الروایات أماناً من الموت، قال الصادق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الفطرة عن کلّ حرّ ومملوک، فإن لم تفعل خفت علیک الفوت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الفوت؟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Style w:val="FootnoteAnchor"/>
          <w:rtl w:val="true"/>
        </w:rPr>
        <w:footnoteReference w:id="302"/>
      </w:r>
    </w:p>
    <w:p>
      <w:pPr>
        <w:pStyle w:val="Heading4"/>
        <w:numPr>
          <w:ilvl w:val="3"/>
          <w:numId w:val="1"/>
        </w:numPr>
        <w:rPr/>
      </w:pPr>
      <w:bookmarkStart w:id="424" w:name="__RefHeading___Toc580606_774463916"/>
      <w:bookmarkStart w:id="425" w:name="_Toc171"/>
      <w:bookmarkEnd w:id="424"/>
      <w:r>
        <w:rPr>
          <w:rtl w:val="true"/>
        </w:rPr>
        <w:t>شرائط وجوبها</w:t>
      </w:r>
      <w:bookmarkEnd w:id="425"/>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والعقل، لقصور المتقضی عن غیرهما، وحدیث رفع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فی زکاة المال</w:t>
      </w:r>
      <w:r>
        <w:rPr>
          <w:rFonts w:eastAsia="IRNazanin" w:cs="IRNazanin"/>
          <w:color w:val="111111"/>
          <w:sz w:val="28"/>
          <w:szCs w:val="28"/>
          <w:rtl w:val="true"/>
          <w:lang w:bidi="fa-IR"/>
        </w:rPr>
        <w:t>.</w:t>
      </w:r>
      <w:bookmarkStart w:id="426" w:name="pg5021_49268"/>
    </w:p>
    <w:p>
      <w:pPr>
        <w:pStyle w:val="BookText"/>
        <w:rPr/>
      </w:pPr>
      <w:bookmarkEnd w:id="42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الغنی،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یملک قوت سنته؛ لصحیح الحلبی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 عن رجل یأخذ من الزکاة، علیه صدقة الفطرة؟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إذ أخذ الزکاة کنایة عن فقره وعدم غناه، وأمّا ما رواه زرارة فی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الفقیر الذی یُتصدّق علیه، هل علیه صدقة الفطرة؟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یعطی ممّا یتصدّق به علیه</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فیحمل علی الاستحباب جمعاً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اجتماع الشرائط قبل الغروب؛ لما رواه الصدوق بسنده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المولود یولد لیلة الفطر، والیهودی والنصرانی یُسلم لیلة الفطر،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علیهم فطرة ولیست الفطرة إلاّ علی من أدرک الشهر</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فیلزم إدراک شهر رمضان جامعا للشرائط من دون خصوصیة للموارد المذکورة، ومن هنا اعتبر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تحقّق الشرائط قبل الغروب بآنٍ؛ لیصدق إدراک الشهر ولایکفی تحقّقها بعده</w:t>
      </w:r>
      <w:r>
        <w:rPr>
          <w:rFonts w:eastAsia="IRNazanin" w:cs="IRNazanin"/>
          <w:color w:val="111111"/>
          <w:sz w:val="28"/>
          <w:szCs w:val="28"/>
          <w:rtl w:val="true"/>
          <w:lang w:bidi="fa-IR"/>
        </w:rPr>
        <w:t>.</w:t>
      </w:r>
    </w:p>
    <w:p>
      <w:pPr>
        <w:pStyle w:val="Heading4"/>
        <w:numPr>
          <w:ilvl w:val="3"/>
          <w:numId w:val="1"/>
        </w:numPr>
        <w:rPr/>
      </w:pPr>
      <w:bookmarkStart w:id="427" w:name="__RefHeading___Toc580608_774463916"/>
      <w:bookmarkStart w:id="428" w:name="_Toc172"/>
      <w:bookmarkEnd w:id="427"/>
      <w:r>
        <w:rPr>
          <w:rtl w:val="true"/>
        </w:rPr>
        <w:t>لو وقت الوجوب بدایة ونهایة</w:t>
      </w:r>
      <w:bookmarkEnd w:id="428"/>
    </w:p>
    <w:p>
      <w:pPr>
        <w:pStyle w:val="BookText"/>
        <w:rPr/>
      </w:pPr>
      <w:r>
        <w:rPr>
          <w:rFonts w:ascii="IRNazanin" w:hAnsi="IRNazanin" w:eastAsia="IRNazanin"/>
          <w:color w:val="111111"/>
          <w:sz w:val="28"/>
          <w:sz w:val="28"/>
          <w:szCs w:val="28"/>
          <w:rtl w:val="true"/>
          <w:lang w:bidi="fa-IR"/>
        </w:rPr>
        <w:t>والمشهور ابتداء وقت الوجوب بغروب لیلة العید، ولذا لایجب تحقّق الشروط بعده کما تقدّم من روایة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 حیث النهایة، فمن یصلّی صلاة العید یخرجها قبل أدائها، لموثّق إسحاق بن عمّار</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سألته عن الفطرة،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عزلتها فلا یضرّک متی أعطیتها قبل الصلاة أو بعد الصلاة</w:t>
      </w:r>
      <w:r>
        <w:rPr>
          <w:rFonts w:eastAsia="IRNazanin" w:cs="IRNazanin"/>
          <w:color w:val="111111"/>
          <w:sz w:val="28"/>
          <w:szCs w:val="28"/>
          <w:rtl w:val="true"/>
          <w:lang w:bidi="fa-IR"/>
        </w:rPr>
        <w:t xml:space="preserve">. </w:t>
      </w:r>
      <w:r>
        <w:rPr>
          <w:rStyle w:val="FootnoteAnchor"/>
          <w:rtl w:val="true"/>
        </w:rPr>
        <w:footnoteReference w:id="306"/>
      </w:r>
      <w:bookmarkStart w:id="429" w:name="pg5021_49269"/>
    </w:p>
    <w:p>
      <w:pPr>
        <w:pStyle w:val="BookText"/>
        <w:rPr/>
      </w:pPr>
      <w:bookmarkEnd w:id="429"/>
      <w:r>
        <w:rPr>
          <w:rFonts w:ascii="IRNazanin" w:hAnsi="IRNazanin" w:eastAsia="IRNazanin"/>
          <w:color w:val="111111"/>
          <w:sz w:val="28"/>
          <w:sz w:val="28"/>
          <w:szCs w:val="28"/>
          <w:rtl w:val="true"/>
          <w:lang w:bidi="fa-IR"/>
        </w:rPr>
        <w:t xml:space="preserve">وعن الصادق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أعط الفطرة قبل الصلاة</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ومن لایصلیها، فالمشهور استمراره إلی الزوال، ودلیله غیر واضح ومقتضی صحیح زرارة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أخرج فطرته فعزلها حتّی یجد لها أهلاً،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أخرجها من ضمانه فقد برء، وإلاّ فهو ضامن لها حتّی یؤدّیها إلی أربابها</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لزوم إخراجها حتّی بعد الزوال أیضاً</w:t>
      </w:r>
      <w:r>
        <w:rPr>
          <w:rFonts w:eastAsia="IRNazanin" w:cs="IRNazanin"/>
          <w:color w:val="111111"/>
          <w:sz w:val="28"/>
          <w:szCs w:val="28"/>
          <w:rtl w:val="true"/>
          <w:lang w:bidi="fa-IR"/>
        </w:rPr>
        <w:t>.</w:t>
      </w:r>
    </w:p>
    <w:p>
      <w:pPr>
        <w:pStyle w:val="Heading4"/>
        <w:numPr>
          <w:ilvl w:val="3"/>
          <w:numId w:val="1"/>
        </w:numPr>
        <w:rPr/>
      </w:pPr>
      <w:bookmarkStart w:id="430" w:name="__RefHeading___Toc580610_774463916"/>
      <w:bookmarkStart w:id="431" w:name="_Toc173"/>
      <w:bookmarkEnd w:id="430"/>
      <w:r>
        <w:rPr>
          <w:rtl w:val="true"/>
        </w:rPr>
        <w:t>المقدار الواجب</w:t>
      </w:r>
      <w:bookmarkEnd w:id="431"/>
    </w:p>
    <w:p>
      <w:pPr>
        <w:pStyle w:val="BookText"/>
        <w:rPr/>
      </w:pPr>
      <w:r>
        <w:rPr>
          <w:rFonts w:ascii="IRNazanin" w:hAnsi="IRNazanin" w:eastAsia="IRNazanin"/>
          <w:color w:val="111111"/>
          <w:sz w:val="28"/>
          <w:sz w:val="28"/>
          <w:szCs w:val="28"/>
          <w:rtl w:val="true"/>
          <w:lang w:bidi="fa-IR"/>
        </w:rPr>
        <w:t>الواجب صاع؛ للروایات منها صحیحة معاویة بن وهب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الفطرة جرت السنّة بصاع من زبیب أو صاع من شعیر</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والمدار علی قوت الغالب؛ لصحیحة زرارة وابن مسکان جمیعاً،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الفطرة علی کلّ قوم ممّا یغذّون عیالهم، من لبن، أو زبیب، أو غیره</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والصاع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یساوی أربعة أمداد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صحیح الحلبی، </w:t>
      </w:r>
      <w:r>
        <w:rPr>
          <w:rStyle w:val="FootnoteAnchor"/>
          <w:rtl w:val="true"/>
        </w:rPr>
        <w:footnoteReference w:id="311"/>
      </w:r>
      <w:r>
        <w:rPr>
          <w:rFonts w:ascii="IRNazanin" w:hAnsi="IRNazanin" w:eastAsia="IRNazanin"/>
          <w:color w:val="111111"/>
          <w:sz w:val="28"/>
          <w:sz w:val="28"/>
          <w:szCs w:val="28"/>
          <w:rtl w:val="true"/>
          <w:lang w:bidi="fa-IR"/>
        </w:rPr>
        <w:t>والمُدّ ثلاثة أرباع الکیلو تقریباً فالصاع یساوی ثلاثة کیلوات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ویجزی دفع القیمة؛ لموثّقة إسحاق بن عمّار الصیرفی</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لأبی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تقول فی الفطرة یجوز أن أؤدّیها</w:t>
      </w:r>
    </w:p>
    <w:p>
      <w:pPr>
        <w:pStyle w:val="BookText"/>
        <w:rPr/>
      </w:pPr>
      <w:r>
        <w:rPr>
          <w:rFonts w:ascii="IRNazanin" w:hAnsi="IRNazanin" w:eastAsia="IRNazanin"/>
          <w:color w:val="111111"/>
          <w:sz w:val="28"/>
          <w:sz w:val="28"/>
          <w:szCs w:val="28"/>
          <w:rtl w:val="true"/>
          <w:lang w:bidi="fa-IR"/>
        </w:rPr>
        <w:t>فضة بقیمة هذه الأشیاء التی سمیّتها؟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ذلک أنفع له، یشتری ما یرید</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وفی حدیث آخر عنه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 بالقیمة فی الفطرة</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ویجب إخراج المکلّف لها عن نفسه، وعن کلّ من یعول به، ففی الصحیح عن عمر بن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عبدالله علیه السلام عن الرجل یکون عنده الضیف من إخوانه، فیحضر یوم الفطرة،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الفطرة واجبة علی کلّ من یعول، من ذکر، أو أنثی، صغیر، أو کبیر، حرّ، أو مملوک</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ومنه یظهر حکم الضیف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لابدّ من صدق عنوان کونه یعوله فلا یکفی صدق عنوان الضیف وحده کما لایلزم بعد صدق العنوان المذکور بقاؤه طیلة شهر رمضان أو فی النصف الآخر ونحو ذلک</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ومصرفها مصرف زکاة المال من الأصناف الثمانیة؛ لأنّها مصداق للزکاة والصدقة فیشملها إطلاق آیة الزکاة، الوارد لبیان مصرفها ویؤیّده الأحادیث الدالّة علی أنّ زکاة الفطرة للفقراء والمساکین، </w:t>
      </w:r>
      <w:r>
        <w:rPr>
          <w:rStyle w:val="FootnoteAnchor"/>
          <w:rtl w:val="true"/>
        </w:rPr>
        <w:footnoteReference w:id="315"/>
      </w:r>
      <w:r>
        <w:rPr>
          <w:rFonts w:ascii="IRNazanin" w:hAnsi="IRNazanin" w:eastAsia="IRNazanin"/>
          <w:color w:val="111111"/>
          <w:sz w:val="28"/>
          <w:sz w:val="28"/>
          <w:szCs w:val="28"/>
          <w:rtl w:val="true"/>
          <w:lang w:bidi="fa-IR"/>
        </w:rPr>
        <w:t>وأنّه لایجوز دفعها إلاّ إلی أهل الولایة</w:t>
      </w:r>
      <w:r>
        <w:rPr>
          <w:rFonts w:eastAsia="IRNazanin" w:cs="IRNazanin"/>
          <w:color w:val="111111"/>
          <w:sz w:val="28"/>
          <w:szCs w:val="28"/>
          <w:rtl w:val="true"/>
          <w:lang w:bidi="fa-IR"/>
        </w:rPr>
        <w:t xml:space="preserve">. </w:t>
      </w:r>
      <w:r>
        <w:rPr>
          <w:rStyle w:val="FootnoteAnchor"/>
          <w:rtl w:val="true"/>
        </w:rPr>
        <w:footnoteReference w:id="316"/>
      </w:r>
      <w:bookmarkStart w:id="432" w:name="pg5021_49271"/>
    </w:p>
    <w:p>
      <w:pPr>
        <w:pStyle w:val="Heading3"/>
        <w:numPr>
          <w:ilvl w:val="2"/>
          <w:numId w:val="1"/>
        </w:numPr>
        <w:rPr/>
      </w:pPr>
      <w:bookmarkStart w:id="433" w:name="__RefHeading___Toc580612_774463916"/>
      <w:bookmarkStart w:id="434" w:name="_Toc174"/>
      <w:bookmarkEnd w:id="432"/>
      <w:bookmarkEnd w:id="433"/>
      <w:r>
        <w:rPr>
          <w:rtl w:val="true"/>
        </w:rPr>
        <w:t>الدرس</w:t>
      </w:r>
      <w:r>
        <w:rPr/>
        <w:t>44</w:t>
      </w:r>
      <w:r>
        <w:rPr>
          <w:rtl w:val="true"/>
        </w:rPr>
        <w:t xml:space="preserve"> - </w:t>
      </w:r>
      <w:r>
        <w:rPr>
          <w:rtl w:val="true"/>
        </w:rPr>
        <w:t>کتاب الخمس</w:t>
      </w:r>
      <w:bookmarkEnd w:id="434"/>
    </w:p>
    <w:p>
      <w:pPr>
        <w:pStyle w:val="Heading4"/>
        <w:numPr>
          <w:ilvl w:val="3"/>
          <w:numId w:val="1"/>
        </w:numPr>
        <w:rPr/>
      </w:pPr>
      <w:bookmarkStart w:id="435" w:name="__RefHeading___Toc580614_774463916"/>
      <w:bookmarkStart w:id="436" w:name="_Toc175"/>
      <w:bookmarkEnd w:id="435"/>
      <w:r>
        <w:rPr>
          <w:rtl w:val="true"/>
        </w:rPr>
        <w:t>الخمس فی مذهب أهل البیت</w:t>
      </w:r>
      <w:r>
        <w:rPr>
          <w:rtl w:val="true"/>
        </w:rPr>
        <w:t>(</w:t>
      </w:r>
      <w:r>
        <w:rPr>
          <w:rtl w:val="true"/>
        </w:rPr>
        <w:t>علیهم السلام</w:t>
      </w:r>
      <w:r>
        <w:rPr>
          <w:rtl w:val="true"/>
        </w:rPr>
        <w:t>)</w:t>
      </w:r>
      <w:bookmarkEnd w:id="436"/>
    </w:p>
    <w:p>
      <w:pPr>
        <w:pStyle w:val="BookText"/>
        <w:rPr/>
      </w:pPr>
      <w:r>
        <w:rPr>
          <w:rFonts w:ascii="IRNazanin" w:hAnsi="IRNazanin" w:eastAsia="IRNazanin"/>
          <w:color w:val="111111"/>
          <w:sz w:val="28"/>
          <w:sz w:val="28"/>
          <w:szCs w:val="28"/>
          <w:rtl w:val="true"/>
          <w:lang w:bidi="fa-IR"/>
        </w:rPr>
        <w:t>وهو من الفرائض، وقد جعلها الله تعالی لمحمّد صلی الله علیه و آله وذرّیته عوضاً عن الزکاة؛ إکراماً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مَنَع منه درهماً أو أقلّ کان مندرجاً فی الظالمین لهم والغاصبین لحقّهم، ففی الخبر عن أبی بصیر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أیسر ما یدخل به العبد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أکل من مال الیتیم درهماً ونحن الیتیم</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لایحلّ لأحد أن یشتری من الخمس شیئاً حتّی یصل إلینا حقّنا</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ووجوبه فی الجملة ضروریّ بین المسلمین،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أَنَّما غَنِمْتُمْ مِنْ شَیْ‌ءٍ فَأَنَّ لِلّهِ خُمُسَهُ وَ لِلرَّسُولِ وَ لِذِی الْقُرْبی وَ الْیَتامی وَ الْمَساکِینِ وَ ابْنِ السَّبِیلِ إِنْ کُنْتُمْ آمَنْتُمْ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Style w:val="FootnoteAnchor"/>
          <w:rtl w:val="true"/>
        </w:rPr>
        <w:footnoteReference w:id="319"/>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والعامّة أوّلوها عن منطوقها، من 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المتعلّق حیث حصروه</w:t>
      </w:r>
    </w:p>
    <w:p>
      <w:pPr>
        <w:pStyle w:val="BookText"/>
        <w:rPr/>
      </w:pPr>
      <w:r>
        <w:rPr>
          <w:rFonts w:ascii="IRNazanin" w:hAnsi="IRNazanin" w:eastAsia="IRNazanin"/>
          <w:color w:val="111111"/>
          <w:sz w:val="28"/>
          <w:sz w:val="28"/>
          <w:szCs w:val="28"/>
          <w:rtl w:val="true"/>
          <w:lang w:bidi="fa-IR"/>
        </w:rPr>
        <w:t>فی غنائم دار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من جهة المستحقّ حیث منعوه عن ذی القربی مع أنّ الکتاب قد نصّ بأنّ لذی القربی من الخمس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السنّة المطهّرة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شرف الدین الموسوی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أجمع کافّة أهل القبلة من أهل کلّ مذهب منهم ونحلة علی أنّ رسول‌الله صلی الله علیه و آله کان یختصّ بسهم من الخمس، ویخصّ منه أقاربه بسهم، ولم یعهد بتغییر ذلک إلی أحد حتی لحق بربّه عزّ وجلّ، فلمّا ولّی أبوبکر تأوّل الأدلّة، فأسقط سهم النبی صلی الله علیه و آله وسهم ذوی القربی ومنع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تفسیر هذه الآیة من الکشاف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من الخمس</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ویدلّ علی ذلک ما رواه البخاری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أرسلت إلی أبی بکر تسأله میراثها من رسول‌الله صلی الله علیه و آله ممّا أفاء الله علیه بالمدینة وفدک وما بقی من خمس خیبر، فأبی أبوبکر أن یدفع إلیها شیئاً، فوجدت علیه؛ فهجرته فلم تکلّمه حتّی توفّیت وعاشت بعد النبی صلی الله علیه و آله ستة أشهر، فلمّا توفّیت دفنها زوجها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 ولم یؤذن بها أبابکر وصلّی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321"/>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مذهب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وخالفهم الجمهور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الإمام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الخمس بأسره مفوّض إلی السلطان یصرفه کیف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الإمام أبوحنیفة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أنّه یقسم ثلاثة أسهم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فیعطی لمطلق أیتام المسلمین سهم، ولمطلق مساکینهم سهم، ولمطلق أبناء السبیل منهم سهم، ولافرق عنده فی ذلک بین ذی القربی منهم وغیره</w:t>
      </w:r>
      <w:r>
        <w:rPr>
          <w:rFonts w:eastAsia="IRNazanin" w:cs="IRNazanin"/>
          <w:color w:val="111111"/>
          <w:sz w:val="28"/>
          <w:szCs w:val="28"/>
          <w:rtl w:val="true"/>
          <w:lang w:bidi="fa-IR"/>
        </w:rPr>
        <w:t xml:space="preserve">. </w:t>
      </w:r>
      <w:r>
        <w:rPr>
          <w:rStyle w:val="FootnoteAnchor"/>
          <w:rtl w:val="true"/>
        </w:rPr>
        <w:footnoteReference w:id="322"/>
      </w:r>
      <w:bookmarkStart w:id="437" w:name="pg5021_49273"/>
    </w:p>
    <w:p>
      <w:pPr>
        <w:pStyle w:val="Heading3"/>
        <w:numPr>
          <w:ilvl w:val="2"/>
          <w:numId w:val="1"/>
        </w:numPr>
        <w:rPr/>
      </w:pPr>
      <w:bookmarkStart w:id="438" w:name="__RefHeading___Toc580616_774463916"/>
      <w:bookmarkStart w:id="439" w:name="_Toc176"/>
      <w:bookmarkEnd w:id="437"/>
      <w:bookmarkEnd w:id="438"/>
      <w:r>
        <w:rPr>
          <w:rtl w:val="true"/>
        </w:rPr>
        <w:t>الدرس</w:t>
      </w:r>
      <w:r>
        <w:rPr/>
        <w:t>45</w:t>
      </w:r>
      <w:r>
        <w:rPr>
          <w:rtl w:val="true"/>
        </w:rPr>
        <w:t xml:space="preserve"> - </w:t>
      </w:r>
      <w:r>
        <w:rPr>
          <w:rtl w:val="true"/>
        </w:rPr>
        <w:t xml:space="preserve">کتاب الخمس </w:t>
      </w:r>
      <w:r>
        <w:rPr>
          <w:rtl w:val="true"/>
        </w:rPr>
        <w:t>(</w:t>
      </w:r>
      <w:r>
        <w:rPr/>
        <w:t>2</w:t>
      </w:r>
      <w:r>
        <w:rPr>
          <w:rtl w:val="true"/>
        </w:rPr>
        <w:t>)</w:t>
      </w:r>
      <w:bookmarkEnd w:id="439"/>
    </w:p>
    <w:p>
      <w:pPr>
        <w:pStyle w:val="Heading4"/>
        <w:numPr>
          <w:ilvl w:val="3"/>
          <w:numId w:val="1"/>
        </w:numPr>
        <w:rPr/>
      </w:pPr>
      <w:bookmarkStart w:id="440" w:name="__RefHeading___Toc580618_774463916"/>
      <w:bookmarkStart w:id="441" w:name="_Toc177"/>
      <w:bookmarkEnd w:id="440"/>
      <w:r>
        <w:rPr>
          <w:rtl w:val="true"/>
        </w:rPr>
        <w:t>ما یجب فیه الخمس</w:t>
      </w:r>
      <w:bookmarkEnd w:id="441"/>
    </w:p>
    <w:p>
      <w:pPr>
        <w:pStyle w:val="BookText"/>
        <w:rPr/>
      </w:pPr>
      <w:r>
        <w:rPr>
          <w:rFonts w:ascii="IRNazanin" w:hAnsi="IRNazanin" w:eastAsia="IRNazanin"/>
          <w:color w:val="111111"/>
          <w:sz w:val="28"/>
          <w:sz w:val="28"/>
          <w:szCs w:val="28"/>
          <w:rtl w:val="true"/>
          <w:lang w:bidi="fa-IR"/>
        </w:rPr>
        <w:t>یجب الخمس فی سبعة أشیاء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غنائم دار الحرب؛ ولم یقع خلاف فی هذا المورد، والآیة الکریمة دالّة علی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المعادن؛ للروایات ومنها صحیحة أحمد بن محمّد بن أبی 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أباالحسن علیه السلام عمّا أخرج المعدن من قلیل أو کثیر هل فیه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 شیء حتّی یبلغ ما یکون فی مثله الزکاة عشرین دیناراً</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والمراد من الشیء هو الخمس لعدم معهودیة غیر الخمس والزکاة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یستدلّ علی ذلک، بإطلاق الآیة الکریمة، إذ الغُنم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اعْلَمُوا أَنَّما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 کلّ فائدة، قال الإمام الرازی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الفوز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القرطبی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یناله الرجل بسعی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وکلمات أهل اللغة متّفقة علی ذلک</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أصبته وفی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غَنِم بالکسر غُنماً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الفوز بالشیء بلا مشقّة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فی لسان العرب، وتاج العروس، والعین للخلیل، وأقرب الموارد،</w:t>
      </w:r>
    </w:p>
    <w:p>
      <w:pPr>
        <w:pStyle w:val="BookText"/>
        <w:rPr/>
      </w:pPr>
      <w:r>
        <w:rPr>
          <w:rFonts w:ascii="IRNazanin" w:hAnsi="IRNazanin" w:eastAsia="IRNazanin"/>
          <w:color w:val="111111"/>
          <w:sz w:val="28"/>
          <w:sz w:val="28"/>
          <w:szCs w:val="28"/>
          <w:rtl w:val="true"/>
          <w:lang w:bidi="fa-IR"/>
        </w:rPr>
        <w:t>وفی المعجم الوجیز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غنم الشیء غُنماً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فاز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مفردات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 والسکون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إصابته والظفر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فالآیة الکریمة دالّة علی وجوب الخمس فی کلّ ربح وفائدة ومنه المعادن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والجمهور أیضاً قائلون بوجوب الخمس فی المعدن لقوله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الرکاز الخمس</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ونصابه عشرون دیناراً کما تقدّم فی صحیحة البزنطی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یجب الخمس بعد استثناء مؤونة التحصیل، لما ورد عن أبی جعفر الثانی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الخمس بعد المؤونة</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موضوع وجوب الخمس مطلقاً لیس إلاّ الغنیمة والفائدة کما دلّت علیه الآیة الکریمة وهو لایصدق إلاّ علی الباقی بعد استثناء المؤونة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الکنز؛ لصحیح الحلبی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سأل أباعبدالله علیه السلام عن الکنز کم فیه؟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وروی العامّة أیضاً روایات عن رسول‌الله صلی الله علیه و آله و عن علیّ علیه السلام تدلّ علی وجوب الخمس فیه، منها ما رواه أحمد فی مسنده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رجلاً من مزینة سأل رسول‌الله صلی الله علیه و آله مسائل جاء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فالکنز نجده فی الخرب والآرام؟ فقال رسول‌الله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وفی الرکاز الخمس</w:t>
      </w:r>
      <w:r>
        <w:rPr>
          <w:rFonts w:eastAsia="IRNazanin" w:cs="IRNazanin"/>
          <w:color w:val="111111"/>
          <w:sz w:val="28"/>
          <w:szCs w:val="28"/>
          <w:rtl w:val="true"/>
          <w:lang w:bidi="fa-IR"/>
        </w:rPr>
        <w:t xml:space="preserve">». </w:t>
      </w:r>
      <w:r>
        <w:rPr>
          <w:rStyle w:val="FootnoteAnchor"/>
          <w:rtl w:val="true"/>
        </w:rPr>
        <w:footnoteReference w:id="327"/>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ویعتبر فی وجوب الخمس فیه البلوغ عشرین دیناراً، کالمعدن لصحیح أحمد بن</w:t>
      </w:r>
    </w:p>
    <w:p>
      <w:pPr>
        <w:pStyle w:val="BookText"/>
        <w:rPr/>
      </w:pPr>
      <w:r>
        <w:rPr>
          <w:rFonts w:ascii="IRNazanin" w:hAnsi="IRNazanin" w:eastAsia="IRNazanin"/>
          <w:color w:val="111111"/>
          <w:sz w:val="28"/>
          <w:sz w:val="28"/>
          <w:szCs w:val="28"/>
          <w:rtl w:val="true"/>
          <w:lang w:bidi="fa-IR"/>
        </w:rPr>
        <w:t xml:space="preserve">أبی نصر عن أبی الحسن الرضا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عمّا یجب فیه الخمس من الکنز،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تجب الزکاة فی مثله ففیه‌الخمس</w:t>
      </w:r>
      <w:r>
        <w:rPr>
          <w:rFonts w:eastAsia="IRNazanin" w:cs="IRNazanin"/>
          <w:color w:val="111111"/>
          <w:sz w:val="28"/>
          <w:szCs w:val="28"/>
          <w:rtl w:val="true"/>
          <w:lang w:bidi="fa-IR"/>
        </w:rPr>
        <w:t xml:space="preserve">. </w:t>
      </w:r>
      <w:r>
        <w:rPr>
          <w:rStyle w:val="FootnoteAnchor"/>
          <w:rtl w:val="true"/>
        </w:rPr>
        <w:footnoteReference w:id="328"/>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الالتفات إلی أنّ الزکاة لاتجب إلاّ فی عشرین دیناراً</w:t>
      </w:r>
      <w:r>
        <w:rPr>
          <w:rFonts w:eastAsia="IRNazanin" w:cs="IRNazanin"/>
          <w:color w:val="111111"/>
          <w:sz w:val="28"/>
          <w:szCs w:val="28"/>
          <w:rtl w:val="true"/>
          <w:lang w:bidi="fa-IR"/>
        </w:rPr>
        <w:t>.</w:t>
      </w:r>
      <w:bookmarkStart w:id="442" w:name="pg5021_49276"/>
    </w:p>
    <w:p>
      <w:pPr>
        <w:pStyle w:val="Heading3"/>
        <w:numPr>
          <w:ilvl w:val="2"/>
          <w:numId w:val="1"/>
        </w:numPr>
        <w:rPr/>
      </w:pPr>
      <w:bookmarkStart w:id="443" w:name="__RefHeading___Toc580620_774463916"/>
      <w:bookmarkStart w:id="444" w:name="_Toc178"/>
      <w:bookmarkEnd w:id="442"/>
      <w:bookmarkEnd w:id="443"/>
      <w:r>
        <w:rPr>
          <w:rtl w:val="true"/>
        </w:rPr>
        <w:t>الدرس</w:t>
      </w:r>
      <w:r>
        <w:rPr/>
        <w:t>46</w:t>
      </w:r>
      <w:r>
        <w:rPr>
          <w:rtl w:val="true"/>
        </w:rPr>
        <w:t xml:space="preserve"> - </w:t>
      </w:r>
      <w:r>
        <w:rPr>
          <w:rtl w:val="true"/>
        </w:rPr>
        <w:t xml:space="preserve">کتاب الخمس </w:t>
      </w:r>
      <w:r>
        <w:rPr>
          <w:rtl w:val="true"/>
        </w:rPr>
        <w:t>(</w:t>
      </w:r>
      <w:r>
        <w:rPr/>
        <w:t>3</w:t>
      </w:r>
      <w:r>
        <w:rPr>
          <w:rtl w:val="true"/>
        </w:rPr>
        <w:t>)</w:t>
      </w:r>
      <w:bookmarkEnd w:id="444"/>
    </w:p>
    <w:p>
      <w:pPr>
        <w:pStyle w:val="Heading4"/>
        <w:numPr>
          <w:ilvl w:val="3"/>
          <w:numId w:val="1"/>
        </w:numPr>
        <w:rPr/>
      </w:pPr>
      <w:bookmarkStart w:id="445" w:name="__RefHeading___Toc580622_774463916"/>
      <w:bookmarkStart w:id="446" w:name="_Toc179"/>
      <w:bookmarkEnd w:id="445"/>
      <w:r>
        <w:rPr>
          <w:rtl w:val="true"/>
        </w:rPr>
        <w:t xml:space="preserve">ما یجب فیه الخمس </w:t>
      </w:r>
      <w:r>
        <w:rPr>
          <w:rtl w:val="true"/>
        </w:rPr>
        <w:t>(</w:t>
      </w:r>
      <w:r>
        <w:rPr/>
        <w:t>2</w:t>
      </w:r>
      <w:r>
        <w:rPr>
          <w:rtl w:val="true"/>
        </w:rPr>
        <w:t>)</w:t>
      </w:r>
      <w:bookmarkEnd w:id="446"/>
    </w:p>
    <w:p>
      <w:pPr>
        <w:pStyle w:val="BookText"/>
        <w:rPr/>
      </w:pPr>
      <w:r>
        <w:rPr>
          <w:rFonts w:ascii="IRNazanin" w:hAnsi="IRNazanin" w:eastAsia="IRNazanin"/>
          <w:color w:val="111111"/>
          <w:sz w:val="28"/>
          <w:sz w:val="28"/>
          <w:szCs w:val="28"/>
          <w:rtl w:val="true"/>
          <w:lang w:bidi="fa-IR"/>
        </w:rPr>
        <w:t>والکلام فی استثناء مؤنة التحصیل هو الکلام فی المعدن؛ لوحدة النکتة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اخرج من الماء بالغوص، ویدلّ علیه صحیح ابن عمیر عن غیر واحد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الخمس علی خمسة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الکنوز، والمعادن، والغوص، والغنیمة، ونسی ابن ابی عمیر الخامس</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ولایضرّ جهالة مشایخ ابن أبی عمیر فی السند بعد کون ابن أبی عمیر أحد الثلاثة الذین لایروون ولا یرسلون إلاّ عمّن یوثق به کما عن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وبعد عدم احتمال أن یکون الجمیع الذین عبّر عنهم بغیر واحد فاقداً للحجّیة</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وهل یلزم بلوغه دیناراً؟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لروایة البزنطی عن محمّد بن علی بن أبی عبدالله عن أبی الحسن علیه السلام ، إلاّ أنّ محمّد بن علی المذکور مجهول مضافاً إلی إعراض الأصحاب عن العمل به إلاّ ما ینسب إلی أبی الصلاح الحلبی من العمل به، والمهمّ هو الإشکال الأخیر وإلاّ قد یمکن تصحیح السند من جهة إنّ البزنطی من أصحاب الإجماع الذین حکی الکشّی</w:t>
      </w:r>
    </w:p>
    <w:p>
      <w:pPr>
        <w:pStyle w:val="BookText"/>
        <w:rPr/>
      </w:pPr>
      <w:r>
        <w:rPr>
          <w:rFonts w:ascii="IRNazanin" w:hAnsi="IRNazanin" w:eastAsia="IRNazanin"/>
          <w:color w:val="111111"/>
          <w:sz w:val="28"/>
          <w:sz w:val="28"/>
          <w:szCs w:val="28"/>
          <w:rtl w:val="true"/>
          <w:lang w:bidi="fa-IR"/>
        </w:rPr>
        <w:t xml:space="preserve">إجماع الطائفة علی تصحیح ما یصحّ عنه، </w:t>
      </w:r>
      <w:r>
        <w:rPr>
          <w:rStyle w:val="FootnoteAnchor"/>
          <w:rtl w:val="true"/>
        </w:rPr>
        <w:footnoteReference w:id="331"/>
      </w:r>
      <w:r>
        <w:rPr>
          <w:rFonts w:ascii="IRNazanin" w:hAnsi="IRNazanin" w:eastAsia="IRNazanin"/>
          <w:color w:val="111111"/>
          <w:sz w:val="28"/>
          <w:sz w:val="28"/>
          <w:szCs w:val="28"/>
          <w:rtl w:val="true"/>
          <w:lang w:bidi="fa-IR"/>
        </w:rPr>
        <w:t>والکلام فی استثناء المؤنة ما تقدّم فی المعدن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المال المختلط بالحرام؛ لصحیحة عمّار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أباعبدالله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یخرج من المعادن والبحر والغنیمة والحلال المختلط بالحرام إذا لم یعرف صاحبه والکنوز، الخمس</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ویشترط عدم تمیّز الحلال من الحرام وإلاّ یکون لکلّ من المالین حکمه الخاصّ، وأن لا یعرف صاحبه؛ للصحیح المتقدّم ولا مقداره إذ لا یحتمل کفایة إخراج الخمس علی من علم بأنّ الحرام أکثر من الخمس بکثیر، أو أقلّ منه بکثیر، بل المفهوم منه تقدیر الحرام بالخمس عند الجهل المطلق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الأرض التی اشتراها الذمّی من مسلم، لصحیح أبی عبیدة الحذّاء عن أبی جعفر علیه السلام </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یفضل من مؤونة السنة إجماعاً إلاّ ما ینسب إلی ابن الجنید، وابن أبی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علیه مضافاً إلی إطلاق آیة الغنیمة، النصوص الخاصّة التی کادت أن تبلغ حدّ التواتر کموثّقة سماعة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أباالحسن علیه السلام عن الخمس،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ما أفاد الناس من قلیل أو کثیر</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نعم، یستثنی منه مؤنته ومؤنة عیاله کما فی صحیحة علی بن مهزیار</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کتب إلیه </w:t>
      </w:r>
      <w:r>
        <w:rPr>
          <w:rStyle w:val="FootnoteAnchor"/>
          <w:rtl w:val="true"/>
        </w:rPr>
        <w:footnoteReference w:id="335"/>
      </w:r>
      <w:r>
        <w:rPr>
          <w:rFonts w:ascii="IRNazanin" w:hAnsi="IRNazanin" w:eastAsia="IRNazanin"/>
          <w:color w:val="111111"/>
          <w:sz w:val="28"/>
          <w:sz w:val="28"/>
          <w:szCs w:val="28"/>
          <w:rtl w:val="true"/>
          <w:lang w:bidi="fa-IR"/>
        </w:rPr>
        <w:t>إبراهیم بن محمّد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وقرأه علی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الخمس بعد مؤونته ومؤونة عیاله، وبعد خراج السلطان</w:t>
      </w:r>
      <w:r>
        <w:rPr>
          <w:rFonts w:eastAsia="IRNazanin" w:cs="IRNazanin"/>
          <w:color w:val="111111"/>
          <w:sz w:val="28"/>
          <w:szCs w:val="28"/>
          <w:rtl w:val="true"/>
          <w:lang w:bidi="fa-IR"/>
        </w:rPr>
        <w:t xml:space="preserve">. </w:t>
      </w:r>
      <w:r>
        <w:rPr>
          <w:rStyle w:val="FootnoteAnchor"/>
          <w:rtl w:val="true"/>
        </w:rPr>
        <w:footnoteReference w:id="336"/>
      </w:r>
      <w:bookmarkStart w:id="447" w:name="pg5021_49278"/>
    </w:p>
    <w:p>
      <w:pPr>
        <w:pStyle w:val="Heading4"/>
        <w:numPr>
          <w:ilvl w:val="3"/>
          <w:numId w:val="1"/>
        </w:numPr>
        <w:rPr/>
      </w:pPr>
      <w:bookmarkStart w:id="448" w:name="__RefHeading___Toc580624_774463916"/>
      <w:bookmarkStart w:id="449" w:name="_Toc180"/>
      <w:bookmarkEnd w:id="447"/>
      <w:bookmarkEnd w:id="448"/>
      <w:r>
        <w:rPr>
          <w:rtl w:val="true"/>
        </w:rPr>
        <w:t>قسمة الخمس</w:t>
      </w:r>
      <w:bookmarkEnd w:id="449"/>
    </w:p>
    <w:p>
      <w:pPr>
        <w:pStyle w:val="BookText"/>
        <w:rPr/>
      </w:pPr>
      <w:r>
        <w:rPr>
          <w:rFonts w:ascii="IRNazanin" w:hAnsi="IRNazanin" w:eastAsia="IRNazanin"/>
          <w:color w:val="111111"/>
          <w:sz w:val="28"/>
          <w:sz w:val="28"/>
          <w:szCs w:val="28"/>
          <w:rtl w:val="true"/>
          <w:lang w:bidi="fa-IR"/>
        </w:rPr>
        <w:t>المشهور تقسیم الخمس إلی ستّة أسهم للآیة الکریمة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منها للإمام علیه السلام ؛ ویدلّ علیه صحیحة أحمد بن محمّد بن أبی نصر عن الإمام الرضا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سئل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أَنَّما غَنِمْتُمْ مِنْ شَیْ‌ءٍ فَأَنَّ لِلّهِ خُمُسَهُ وَ لِلرَّسُولِ وَ لِذِی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کان لله فلمن هو؟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لرسول‌الله صلی الله علیه و آله ، وما کان لرسول‌الله صلی الله علیه و آله فهو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وعلیه فهی فی زماننا ترجع إلی الحجة بن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فداه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وثلاثة منها لبنی هاشم علی المشهور؛ بل ادّعی علیه الضرورة، ولبعض النصوص کقوله علیه السلام فی مرسلة عبدالله بن بکیر عن بعض أصحابه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آیة الغنیمة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 الله للإمام، وخمس الرسول للإمام، وخمس ذوی القربی لقرابة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والیتامی یتامی آل الرسول، والمساکین منهم، وأبناءالسبیل منهم، فلا یخرج منهم إلی غیرهم</w:t>
      </w:r>
      <w:r>
        <w:rPr>
          <w:rFonts w:eastAsia="IRNazanin" w:cs="IRNazanin"/>
          <w:color w:val="111111"/>
          <w:sz w:val="28"/>
          <w:szCs w:val="28"/>
          <w:rtl w:val="true"/>
          <w:lang w:bidi="fa-IR"/>
        </w:rPr>
        <w:t xml:space="preserve">. </w:t>
      </w:r>
      <w:r>
        <w:rPr>
          <w:rStyle w:val="FootnoteAnchor"/>
          <w:rtl w:val="true"/>
        </w:rPr>
        <w:footnoteReference w:id="338"/>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ویصرف السهم المبارک للإمام علیه السلام فی عصر الغیبة بما یحرز معه رضاه علیه السلام ، ومن أوضح موارده صرفه فی مجال الحوزات العلمیة التی یحفظ الدین ببقائها، ولابدّ من إشراف الفقیه وإذنه، إمّا لکونه أعرف بموارد الصرف، أو لاحتمال إناطة رضا الإمام علیه السلام بذلک</w:t>
      </w:r>
      <w:r>
        <w:rPr>
          <w:rFonts w:eastAsia="IRNazanin" w:cs="IRNazanin"/>
          <w:color w:val="111111"/>
          <w:sz w:val="28"/>
          <w:szCs w:val="28"/>
          <w:rtl w:val="true"/>
          <w:lang w:bidi="fa-IR"/>
        </w:rPr>
        <w:t>.</w:t>
      </w:r>
      <w:bookmarkStart w:id="450" w:name="pg5021_49279"/>
    </w:p>
    <w:p>
      <w:pPr>
        <w:pStyle w:val="Heading3"/>
        <w:numPr>
          <w:ilvl w:val="2"/>
          <w:numId w:val="1"/>
        </w:numPr>
        <w:rPr/>
      </w:pPr>
      <w:bookmarkStart w:id="451" w:name="__RefHeading___Toc580626_774463916"/>
      <w:bookmarkStart w:id="452" w:name="_Toc181"/>
      <w:bookmarkEnd w:id="450"/>
      <w:bookmarkEnd w:id="451"/>
      <w:r>
        <w:rPr>
          <w:rtl w:val="true"/>
        </w:rPr>
        <w:t>الدرس</w:t>
      </w:r>
      <w:r>
        <w:rPr/>
        <w:t>47</w:t>
      </w:r>
      <w:r>
        <w:rPr>
          <w:rtl w:val="true"/>
        </w:rPr>
        <w:t xml:space="preserve"> - </w:t>
      </w:r>
      <w:r>
        <w:rPr>
          <w:rtl w:val="true"/>
        </w:rPr>
        <w:t>کتاب الحجّ</w:t>
      </w:r>
      <w:bookmarkEnd w:id="452"/>
    </w:p>
    <w:p>
      <w:pPr>
        <w:pStyle w:val="Heading4"/>
        <w:numPr>
          <w:ilvl w:val="3"/>
          <w:numId w:val="1"/>
        </w:numPr>
        <w:rPr/>
      </w:pPr>
      <w:bookmarkStart w:id="453" w:name="__RefHeading___Toc580628_774463916"/>
      <w:bookmarkStart w:id="454" w:name="_Toc182"/>
      <w:bookmarkEnd w:id="453"/>
      <w:r>
        <w:rPr>
          <w:rtl w:val="true"/>
        </w:rPr>
        <w:t>أحکام الحجّ</w:t>
      </w:r>
      <w:bookmarkEnd w:id="454"/>
    </w:p>
    <w:p>
      <w:pPr>
        <w:pStyle w:val="BookText"/>
        <w:rPr/>
      </w:pPr>
      <w:r>
        <w:rPr>
          <w:rFonts w:ascii="Amiri" w:hAnsi="Amiri" w:eastAsia="Amiri" w:cs="Amiri"/>
          <w:color w:val="111111"/>
          <w:sz w:val="28"/>
          <w:sz w:val="28"/>
          <w:szCs w:val="28"/>
          <w:rtl w:val="true"/>
          <w:lang w:bidi="ar-SA"/>
        </w:rPr>
        <w:t>الحجّ من أرکان الدین، وهو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بالکتاب، والسنّة، وإجماع المسلمین، قال الله‌تعالی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لِلّهِ عَلَی النّاسِ حِجُّ الْبَیْتِ مَنِ اسْتَطاعَ إِلَیْهِ سَبِیلاً وَ مَنْ کَفَرَ فَإِنَّ اللّهَ غَنِیٌّ عَنِ الْعالَمِینَ </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ووجوبه ضروریّ ومنکره مع الالتفات کافر وترکه عمداً من الکبائر، ففی الصحیح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مات ولم یحجّ حجّة الإسلام لم یمنعه من ذلک حاجّة تجحف به، أو مرض لایطیق فیه الحجّ، أو سلطان یمنعه، فلیمت یهودیاً أو نصرانیاً</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وهو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کَفَرَ فَإِنَّ اللّهَ غَنِیٌّ عَنِ الْعالَمِینَ کما فی روایة معاویة بن عمّار عن أبی عبدالله علیه السلام </w:t>
      </w:r>
      <w:r>
        <w:rPr>
          <w:rFonts w:eastAsia="Amiri" w:cs="Amiri" w:ascii="Amiri" w:hAnsi="Amiri"/>
          <w:color w:val="111111"/>
          <w:sz w:val="28"/>
          <w:szCs w:val="28"/>
          <w:rtl w:val="true"/>
          <w:lang w:bidi="ar-SA"/>
        </w:rPr>
        <w:t xml:space="preserve">. </w:t>
      </w:r>
      <w:r>
        <w:rPr>
          <w:rStyle w:val="FootnoteAnchor"/>
          <w:rtl w:val="true"/>
        </w:rPr>
        <w:footnoteReference w:id="341"/>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 منافع جمّة دینیة ومعنویة وسیاسیة واقتصادیة فردیة واجتماعیة، قال الله تعالی</w:t>
      </w:r>
      <w:r>
        <w:rPr>
          <w:rFonts w:eastAsia="IRNazanin" w:cs="IRNazanin"/>
          <w:color w:val="111111"/>
          <w:sz w:val="28"/>
          <w:szCs w:val="28"/>
          <w:rtl w:val="true"/>
          <w:lang w:bidi="fa-IR"/>
        </w:rPr>
        <w:t>:</w:t>
      </w:r>
      <w:bookmarkStart w:id="455" w:name="pg5021_49280"/>
    </w:p>
    <w:p>
      <w:pPr>
        <w:pStyle w:val="BookText"/>
        <w:rPr/>
      </w:pPr>
      <w:bookmarkEnd w:id="455"/>
      <w:r>
        <w:rPr>
          <w:rFonts w:ascii="Amiri" w:hAnsi="Amiri" w:eastAsia="Amiri" w:cs="Amiri"/>
          <w:color w:val="111111"/>
          <w:sz w:val="28"/>
          <w:sz w:val="28"/>
          <w:szCs w:val="28"/>
          <w:rtl w:val="true"/>
          <w:lang w:bidi="ar-SA"/>
        </w:rPr>
        <w:t>جَعَلَ اللّهُ الْکَعْبَةَ الْبَیْتَ الْحَرامَ قِیاماً لِلنّاسِ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أَذِّنْ فِی النّاسِ بِالْحَجِّ یَأْتُوکَ رِجالاً وَ عَلی کُلِّ ضامِرٍ یَأْتِینَ مِنْ کُلِّ فَجٍّ عَمِیقٍ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لِیَشْهَدُوا مَنافِعَ لَهُمْ وَ یَذْکُرُوا اسْمَ اللّهِ فِی أَیّامٍ مَعْلُوماتٍ</w:t>
      </w:r>
      <w:r>
        <w:rPr>
          <w:rFonts w:eastAsia="Amiri" w:cs="Amiri" w:ascii="Amiri" w:hAnsi="Amiri"/>
          <w:color w:val="111111"/>
          <w:sz w:val="28"/>
          <w:szCs w:val="28"/>
          <w:rtl w:val="true"/>
          <w:lang w:bidi="ar-SA"/>
        </w:rPr>
        <w:t xml:space="preserve">... .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ومن أهم فوائده، مضافاً إلی 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الانقطاع إلی الله، ومجاهدة الهوی، والاجتناب عن المشتهیات بصورة واضحة، وریاضة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تمرین التسلیم والإطاعة المحضة والتعبّد الصِرف للمولی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هذا هو السرّ العظیم فی کثیر من مناسکه سیّما محرّمات الإحرام</w:t>
      </w:r>
      <w:r>
        <w:rPr>
          <w:rFonts w:eastAsia="IRNazanin" w:cs="IRNazanin"/>
          <w:color w:val="111111"/>
          <w:sz w:val="28"/>
          <w:szCs w:val="28"/>
          <w:rtl w:val="true"/>
          <w:lang w:bidi="fa-IR"/>
        </w:rPr>
        <w:t>.</w:t>
      </w:r>
    </w:p>
    <w:p>
      <w:pPr>
        <w:pStyle w:val="Heading4"/>
        <w:numPr>
          <w:ilvl w:val="3"/>
          <w:numId w:val="1"/>
        </w:numPr>
        <w:rPr/>
      </w:pPr>
      <w:bookmarkStart w:id="456" w:name="__RefHeading___Toc580630_774463916"/>
      <w:bookmarkStart w:id="457" w:name="_Toc183"/>
      <w:bookmarkEnd w:id="456"/>
      <w:r>
        <w:rPr>
          <w:rtl w:val="true"/>
        </w:rPr>
        <w:t>أحکام وجوبه</w:t>
      </w:r>
      <w:bookmarkEnd w:id="457"/>
    </w:p>
    <w:p>
      <w:pPr>
        <w:pStyle w:val="BookText"/>
        <w:rPr/>
      </w:pPr>
      <w:r>
        <w:rPr>
          <w:rFonts w:ascii="IRNazanin" w:hAnsi="IRNazanin" w:eastAsia="IRNazanin"/>
          <w:color w:val="111111"/>
          <w:sz w:val="28"/>
          <w:sz w:val="28"/>
          <w:szCs w:val="28"/>
          <w:rtl w:val="true"/>
          <w:lang w:bidi="fa-IR"/>
        </w:rPr>
        <w:t>وجوب الحجّ فوریّ بضرورة الإسلام، مرّة واحدة وهو أیضاً من الواضحات؛ إذ لو کان یجب أکثر من ذلک لاشتهر بعد شدّة الابتلاء بالمسألة مع إنّه لم ینسب الخلاف إلاّ إلی الشاذّ منهم ویصطلح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بحجّة الإسلام</w:t>
      </w:r>
      <w:r>
        <w:rPr>
          <w:rFonts w:eastAsia="IRNazanin" w:cs="IRNazanin"/>
          <w:color w:val="111111"/>
          <w:sz w:val="28"/>
          <w:szCs w:val="28"/>
          <w:rtl w:val="true"/>
          <w:lang w:bidi="fa-IR"/>
        </w:rPr>
        <w:t>.</w:t>
      </w:r>
    </w:p>
    <w:p>
      <w:pPr>
        <w:pStyle w:val="Heading4"/>
        <w:numPr>
          <w:ilvl w:val="3"/>
          <w:numId w:val="1"/>
        </w:numPr>
        <w:rPr/>
      </w:pPr>
      <w:bookmarkStart w:id="458" w:name="__RefHeading___Toc580632_774463916"/>
      <w:bookmarkStart w:id="459" w:name="_Toc184"/>
      <w:bookmarkEnd w:id="458"/>
      <w:r>
        <w:rPr>
          <w:rtl w:val="true"/>
        </w:rPr>
        <w:t>شرائط وجوب حجّة الإسلام</w:t>
      </w:r>
      <w:bookmarkEnd w:id="4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والعقل، وهما من الشرائط العامّة لکلّ تکلیف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الاستطاعة وهی تتحقق بوجدان النفقات اللازمة ذهاباً؛ للروایات منها صحیح هشام بن الحکم عن أبی عبدالله علیه السلام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علی الناس حج البیت من استطاع الیه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یعنی بذلک؟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صحیحاً فی بدنه، ومخلیً سربه، له زاد وراحلة</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نعم، لاتشمل مثل نفقات هدایا الحجّ وغیر ذلک من الأمور غیر اللازمة للحجّ ولذا قیّدنا باللازمة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وکذا یلزم وجدان نفقة الإیاب لمن قصد العودة؛ إمّا لشمول الزاد الوارد فی الروایات لذلک عرفاً، أو للزوم الحرج لو وجب الحجّ علی فاقدها وهو منفیّ بقاعدة نفی الحرج المستندة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 عَلَیْکُمْ فِی الدِّینِ مِنْ حَرَجٍ</w:t>
      </w:r>
      <w:r>
        <w:rPr>
          <w:rFonts w:eastAsia="Amiri" w:cs="Amiri" w:ascii="Amiri" w:hAnsi="Amiri"/>
          <w:color w:val="111111"/>
          <w:sz w:val="28"/>
          <w:szCs w:val="28"/>
          <w:rtl w:val="true"/>
          <w:lang w:bidi="ar-SA"/>
        </w:rPr>
        <w:t xml:space="preserve">... . </w:t>
      </w:r>
      <w:r>
        <w:rPr>
          <w:rStyle w:val="FootnoteAnchor"/>
          <w:rtl w:val="true"/>
        </w:rPr>
        <w:footnoteReference w:id="34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سعة الوقت، وإلاّ یکون من التکلیف بما لا یطاق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السلامة علی النفس والمال والعرض؛ للآیة الکریمة لعدم صدق الاستطاعة بدون ذلک، مضافاً إلی الروایات الخاصّة منها صحیحة هشام المتقدّمة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التمکّن من استئناف الوضع المعیشی بعد العودة؛ لقاعدة نفی الحرج وبعض الروایات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المزاحمة بواجب أهم، کما إذا استلزم الحجّ فوات علاج لازم لمریض أو التأخیر فی قضاء لازم لدین، والدلیل علی ذلک أنّه یصیر المورد حینئذٍ من باب التزاحم القاضی بتقدیم الأهمّ وهکذا إذا توقّف الحجّ علی ارتکاب معصیة، کالغصب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والحجّ مع اختلال الشرائط لا یقع مصداقاً لحجّ الإسلام؛ لعدم الوجوب بعد کون الموضوع فی حجّ الإسلام وهو المستطیع غیر محقّق والحکم تابع للموضوع</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الحجّ مع اختلال الأخیر یقع صحیحاً بناءً علی فکرة الترتّب القائل بأنّه عند ترک الأهم عصیاناً یکون المهم مأموراً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فالتارک للأهمّ وإن کان آثماً إلاّ أنّ حجّه صحیح</w:t>
      </w:r>
      <w:r>
        <w:rPr>
          <w:rFonts w:eastAsia="IRNazanin" w:cs="IRNazanin"/>
          <w:color w:val="111111"/>
          <w:sz w:val="28"/>
          <w:szCs w:val="28"/>
          <w:rtl w:val="true"/>
          <w:lang w:bidi="fa-IR"/>
        </w:rPr>
        <w:t>.</w:t>
      </w:r>
      <w:bookmarkStart w:id="460" w:name="pg5021_49282"/>
    </w:p>
    <w:p>
      <w:pPr>
        <w:pStyle w:val="Heading3"/>
        <w:numPr>
          <w:ilvl w:val="2"/>
          <w:numId w:val="1"/>
        </w:numPr>
        <w:rPr/>
      </w:pPr>
      <w:bookmarkStart w:id="461" w:name="__RefHeading___Toc580634_774463916"/>
      <w:bookmarkStart w:id="462" w:name="_Toc185"/>
      <w:bookmarkEnd w:id="460"/>
      <w:bookmarkEnd w:id="461"/>
      <w:r>
        <w:rPr>
          <w:rtl w:val="true"/>
        </w:rPr>
        <w:t>الدرس</w:t>
      </w:r>
      <w:r>
        <w:rPr/>
        <w:t>48</w:t>
      </w:r>
      <w:r>
        <w:rPr>
          <w:rtl w:val="true"/>
        </w:rPr>
        <w:t xml:space="preserve"> - </w:t>
      </w:r>
      <w:r>
        <w:rPr>
          <w:rtl w:val="true"/>
        </w:rPr>
        <w:t xml:space="preserve">کتاب الحج </w:t>
      </w:r>
      <w:r>
        <w:rPr>
          <w:rtl w:val="true"/>
        </w:rPr>
        <w:t>(</w:t>
      </w:r>
      <w:r>
        <w:rPr/>
        <w:t>2</w:t>
      </w:r>
      <w:r>
        <w:rPr>
          <w:rtl w:val="true"/>
        </w:rPr>
        <w:t>)</w:t>
      </w:r>
      <w:bookmarkEnd w:id="462"/>
    </w:p>
    <w:p>
      <w:pPr>
        <w:pStyle w:val="Heading4"/>
        <w:numPr>
          <w:ilvl w:val="3"/>
          <w:numId w:val="1"/>
        </w:numPr>
        <w:rPr/>
      </w:pPr>
      <w:bookmarkStart w:id="463" w:name="__RefHeading___Toc580636_774463916"/>
      <w:bookmarkStart w:id="464" w:name="_Toc186"/>
      <w:bookmarkEnd w:id="463"/>
      <w:r>
        <w:rPr>
          <w:rtl w:val="true"/>
        </w:rPr>
        <w:t>تحصیل الاستطاعة</w:t>
      </w:r>
      <w:bookmarkEnd w:id="464"/>
    </w:p>
    <w:p>
      <w:pPr>
        <w:pStyle w:val="BookText"/>
        <w:rPr/>
      </w:pPr>
      <w:r>
        <w:rPr>
          <w:rFonts w:ascii="IRNazanin" w:hAnsi="IRNazanin" w:eastAsia="IRNazanin"/>
          <w:color w:val="111111"/>
          <w:sz w:val="28"/>
          <w:sz w:val="28"/>
          <w:szCs w:val="28"/>
          <w:rtl w:val="true"/>
          <w:lang w:bidi="fa-IR"/>
        </w:rPr>
        <w:t>السعی لتحصیل الاستطاعة، غیر لازم ولو بقبول الهبة؛ لأن الاستطاعة شرط الوجوب ومقدّمة الوجوب لایجب تحصیلها کما بیّن فی محلّه وقبول الهبة أیضاً نوع من الاکتساب غیر الواجب،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من عرض علیه الحجّ بأن یوهب له نفقة الحجّ بشرط أن یحجّ بها، وجب علیه؛ للروایات المتعدّدة، ومنها صحیحة محمّد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عرض علیه الحجّ فاستحیی،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ممّن یستطیع الحجّ ولِمَ یستحیی</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ومن ذلک یتّضح الحال فیمن بُذل له ودعی إلیه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کان بحاجة إلی دار أو زواج أو ما شاکل ذلک، یلزمه تقدیم الحجّ لإطلاق أدلّة وجوب الحجّ إلاّ مع لزوم الحرج؛ لحکومة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الأدلّة الأولیة التی منها دلیل وجوب الحجّ</w:t>
      </w:r>
      <w:r>
        <w:rPr>
          <w:rFonts w:eastAsia="IRNazanin" w:cs="IRNazanin"/>
          <w:color w:val="111111"/>
          <w:sz w:val="28"/>
          <w:szCs w:val="28"/>
          <w:rtl w:val="true"/>
          <w:lang w:bidi="fa-IR"/>
        </w:rPr>
        <w:t>.</w:t>
      </w:r>
      <w:bookmarkStart w:id="465" w:name="pg5021_49283"/>
    </w:p>
    <w:p>
      <w:pPr>
        <w:pStyle w:val="Heading4"/>
        <w:numPr>
          <w:ilvl w:val="3"/>
          <w:numId w:val="1"/>
        </w:numPr>
        <w:rPr/>
      </w:pPr>
      <w:bookmarkStart w:id="466" w:name="__RefHeading___Toc580638_774463916"/>
      <w:bookmarkStart w:id="467" w:name="_Toc187"/>
      <w:bookmarkEnd w:id="465"/>
      <w:bookmarkEnd w:id="466"/>
      <w:r>
        <w:rPr>
          <w:rtl w:val="true"/>
        </w:rPr>
        <w:t>الصورة الإجمالیة للحجّ</w:t>
      </w:r>
      <w:bookmarkEnd w:id="467"/>
    </w:p>
    <w:p>
      <w:pPr>
        <w:pStyle w:val="BookText"/>
        <w:rPr/>
      </w:pPr>
      <w:r>
        <w:rPr>
          <w:rFonts w:ascii="IRNazanin" w:hAnsi="IRNazanin" w:eastAsia="IRNazanin"/>
          <w:color w:val="111111"/>
          <w:sz w:val="28"/>
          <w:sz w:val="28"/>
          <w:szCs w:val="28"/>
          <w:rtl w:val="true"/>
          <w:lang w:bidi="fa-IR"/>
        </w:rPr>
        <w:t>الحجّ علی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تمتّع وإفراد وقِران، </w:t>
      </w:r>
      <w:r>
        <w:rPr>
          <w:rStyle w:val="FootnoteAnchor"/>
          <w:rtl w:val="true"/>
        </w:rPr>
        <w:footnoteReference w:id="346"/>
      </w:r>
      <w:r>
        <w:rPr>
          <w:rFonts w:ascii="Amiri" w:hAnsi="Amiri" w:eastAsia="Amiri" w:cs="Amiri"/>
          <w:color w:val="111111"/>
          <w:sz w:val="28"/>
          <w:sz w:val="28"/>
          <w:szCs w:val="28"/>
          <w:rtl w:val="true"/>
          <w:lang w:bidi="ar-SA"/>
        </w:rPr>
        <w:t xml:space="preserve">بلا خلاف بین المسلمین ویدلّ علیه بعض النصوص، والمهم بیان التمتّع الذی هو محلّ ابتلاء المسلمین بشکل عامّ، وهو مرکّب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عمرة وحجّ متأخّر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خلاف فیه، ویدلّ علیه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تَمَتَّعَ بِالْعُمْرَةِ إِلَی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والروایات الکثیرة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والعمرة مرکّبة من خمسة 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الإحرام من أحد المواقیت، ثمّ الطواف حول الکعبة المکرّمة، ثمّ صلاة الطواف، ثمّ السعی بین الصفا والمروة، ثمّ 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علیها السیرة المتوارثة بین جمیع المسلمین مضافاً إلی الروایات ومنها صحیحة الحلبی الحاکیة لحجّ رسول‌الله صلی الله علیه و آله </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ثمّ إذا قصّر المعتمر یخرج من الإحرام ویحلّ له جمیع ما حرّم علیه، ومنه التمتّع بالنساء إلی أن یحرم للحجّ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جاء فی صحیح الحلبی الحاکی لحجّ رسول‌الله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قضی طوافه عند المروة قام خطیباً، فأمرهم أن یحلّوا ویجعلوها عمرة، وهو شیء أمر الله عزّ وجلّ به، فأحلّ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رجلاً قام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رسول‌الله، نخرج حجّاجاً ورؤسنا تقطر؟ فقال رسول‌الله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لن تؤمن بهذا أبداً</w:t>
      </w:r>
      <w:r>
        <w:rPr>
          <w:rFonts w:eastAsia="IRNazanin" w:cs="IRNazanin"/>
          <w:color w:val="111111"/>
          <w:sz w:val="28"/>
          <w:szCs w:val="28"/>
          <w:rtl w:val="true"/>
          <w:lang w:bidi="fa-IR"/>
        </w:rPr>
        <w:t xml:space="preserve">» </w:t>
      </w:r>
      <w:r>
        <w:rPr>
          <w:rStyle w:val="FootnoteAnchor"/>
          <w:rtl w:val="true"/>
        </w:rPr>
        <w:footnoteReference w:id="348"/>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هو متعة الحجّ وهی إحدی المتعتین اللتین حرّمهما الثانی فی کلامه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متعتان کانتا علی عهد رسول‌الله صلی الله علیه و آله أنهی عنهما وأعاقب علیهما متعة النساء ومتعة الحج</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وروی مسلم عن أبی موسی أنّه کان یفتی بالمتعة،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رویدک فإنّک لا تدری ما أحدث أمیرالمؤمنین فی النسک بعد حتّی لقیه، فسأله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قد فعله وأصحابه، ولکن کرهت أن یظلوا معرّسین بهنّ فی الأراک، ثمّ یروحون فی الحجّ تقطر رؤوسهم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فی صحیح النسائی، ومسند أحمد</w:t>
      </w:r>
      <w:r>
        <w:rPr>
          <w:rFonts w:eastAsia="IRNazanin" w:cs="IRNazanin"/>
          <w:color w:val="111111"/>
          <w:sz w:val="28"/>
          <w:szCs w:val="28"/>
          <w:rtl w:val="true"/>
          <w:lang w:bidi="fa-IR"/>
        </w:rPr>
        <w:t xml:space="preserve">. </w:t>
      </w:r>
      <w:r>
        <w:rPr>
          <w:rStyle w:val="FootnoteAnchor"/>
          <w:rtl w:val="true"/>
        </w:rPr>
        <w:footnoteReference w:id="350"/>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متعة الحج قد انعقد إجماعهم أیضاً بعد المحرِّم علی استمرارها ولم یعملوا بنهیه عنها وإن أصرّوا علی تحریم متعة النساء</w:t>
      </w:r>
      <w:r>
        <w:rPr>
          <w:rFonts w:eastAsia="IRNazanin" w:cs="IRNazanin"/>
          <w:color w:val="111111"/>
          <w:sz w:val="28"/>
          <w:szCs w:val="28"/>
          <w:rtl w:val="true"/>
          <w:lang w:bidi="fa-IR"/>
        </w:rPr>
        <w:t>.</w:t>
      </w:r>
      <w:bookmarkStart w:id="468" w:name="pg5021_49285"/>
    </w:p>
    <w:p>
      <w:pPr>
        <w:pStyle w:val="Heading3"/>
        <w:numPr>
          <w:ilvl w:val="2"/>
          <w:numId w:val="1"/>
        </w:numPr>
        <w:rPr/>
      </w:pPr>
      <w:bookmarkStart w:id="469" w:name="__RefHeading___Toc580640_774463916"/>
      <w:bookmarkStart w:id="470" w:name="_Toc188"/>
      <w:bookmarkEnd w:id="468"/>
      <w:bookmarkEnd w:id="469"/>
      <w:r>
        <w:rPr>
          <w:rtl w:val="true"/>
        </w:rPr>
        <w:t>الدرس</w:t>
      </w:r>
      <w:r>
        <w:rPr/>
        <w:t>49</w:t>
      </w:r>
      <w:r>
        <w:rPr>
          <w:rtl w:val="true"/>
        </w:rPr>
        <w:t xml:space="preserve"> - </w:t>
      </w:r>
      <w:r>
        <w:rPr>
          <w:rtl w:val="true"/>
        </w:rPr>
        <w:t xml:space="preserve">کتاب الحج </w:t>
      </w:r>
      <w:r>
        <w:rPr>
          <w:rtl w:val="true"/>
        </w:rPr>
        <w:t>(</w:t>
      </w:r>
      <w:r>
        <w:rPr/>
        <w:t>3</w:t>
      </w:r>
      <w:r>
        <w:rPr>
          <w:rtl w:val="true"/>
        </w:rPr>
        <w:t>)</w:t>
      </w:r>
      <w:bookmarkEnd w:id="470"/>
    </w:p>
    <w:p>
      <w:pPr>
        <w:pStyle w:val="Heading4"/>
        <w:numPr>
          <w:ilvl w:val="3"/>
          <w:numId w:val="1"/>
        </w:numPr>
        <w:rPr/>
      </w:pPr>
      <w:bookmarkStart w:id="471" w:name="__RefHeading___Toc580642_774463916"/>
      <w:bookmarkStart w:id="472" w:name="_Toc189"/>
      <w:bookmarkEnd w:id="471"/>
      <w:r>
        <w:rPr>
          <w:rtl w:val="true"/>
        </w:rPr>
        <w:t>کیفیة حجّ التمتّع وبعض أحکامه</w:t>
      </w:r>
      <w:bookmarkEnd w:id="472"/>
    </w:p>
    <w:p>
      <w:pPr>
        <w:pStyle w:val="BookText"/>
        <w:rPr/>
      </w:pPr>
      <w:r>
        <w:rPr>
          <w:rFonts w:ascii="IRNazanin" w:hAnsi="IRNazanin" w:eastAsia="IRNazanin"/>
          <w:color w:val="111111"/>
          <w:sz w:val="28"/>
          <w:sz w:val="28"/>
          <w:szCs w:val="28"/>
          <w:rtl w:val="true"/>
          <w:lang w:bidi="fa-IR"/>
        </w:rPr>
        <w:t>حجّ التمتّع یبتدأ بالإحرام من مکّة، ثمّ الوقوف فی عرفات، ثمّ فی المزدلفة، ثمّ رمی جمرة العقبة فی منی، ثمّ الذبح، ثمّ الحَلق أو التقصیر، ثمّ طواف الحجّ وصلاته، ثمّ السعی ثمّ طواف النساء وصلاته، ویلزم المبیت فی مِنی لیلة الحادی والثانی عشر، ورمی الجمار صبیحة الیومین کما یأتی مفصّلاً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وحجّ التمتّع هذا وظیفة من کان بینه وبین المسجد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ثمانیة وأربعین میلاً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فصاعداً، المساویة لستة عشر فرسخاً تقریباً، وأمّا غیره ممّن هو دون ذلک یجب علیه القِران، أو الإفراد؛ والدلیل علی 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تَمَتَّعَ بِالْعُمْرَةِ إِلَی الْحَجِّ فَمَا اسْتَیْسَرَ مِنَ الْهَدْیِ فَمَنْ لَمْ یَجِدْ فَصِیامُ ثَلاثَةِ أَیّامٍ فِی الْحَجِّ وَ سَبْعَةٍ إِذا رَجَعْتُمْ تِلْکَ عَشَرَةٌ کامِلَةٌ ذلِکَ لِمَنْ لَمْ یَکُنْ أَهْلُهُ حاضِرِی الْمَسْجِدِ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فسّر حاضری المسجد الحرام فی صحیح زرارة بأهل مکّة،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الله عزّ وجلّ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لِمَنْ لَمْ یَکُنْ أَهْلُهُ حاضِرِی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یعنی أهل مکّة لیس علیهم متعة، کلّ من کان أهله دون ثمانیة وأربعین</w:t>
      </w:r>
    </w:p>
    <w:p>
      <w:pPr>
        <w:pStyle w:val="BookText"/>
        <w:rPr/>
      </w:pPr>
      <w:r>
        <w:rPr>
          <w:rFonts w:ascii="IRNazanin" w:hAnsi="IRNazanin" w:eastAsia="IRNazanin"/>
          <w:color w:val="111111"/>
          <w:sz w:val="28"/>
          <w:sz w:val="28"/>
          <w:szCs w:val="28"/>
          <w:rtl w:val="true"/>
          <w:lang w:bidi="fa-IR"/>
        </w:rPr>
        <w:t>میلاً، ذات عرق، وعُسفان کما یدور حول مکّة فهو ممّن دخل فی هذه الآیة، وکلّ من کان أهله وراء ذلک فعلیهم المتعة</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ولایختلف القِران والإفراد عن التمتّع فی الکیفیة المتقدّمة إلاّ فی بعض الأمور الجانبیة، کلزوم الإحرام فیهما من أحد المواقیت الآتیة، أو من دویرة أهله إن کانت أقرب، بخلاف التمتّع حیث أنّ میقاته مکّة، وکلزوم کون حجّ التمتّع فی سنة عمرتها بخلافهما فلا یشترط إیقاعهما فی سنة عمرتهما، وکلزوم کون عمرة التمتّع مقدّمة علی حجّه ناویاً بها التمتّع بخلاف عمرتیهما فإنّها مفردة بنیّتها ومؤخّرة عن الحجّ</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القِران والإفراد فهما سیّان، وینفرد القِران بالتخییر فی عقد إحرامه بین سوق الهدی والتلبیة، وفی الإفراد یتعیّن الإحرام بالتلبیة</w:t>
      </w:r>
      <w:r>
        <w:rPr>
          <w:rFonts w:eastAsia="IRNazanin" w:cs="IRNazanin"/>
          <w:color w:val="111111"/>
          <w:sz w:val="28"/>
          <w:szCs w:val="28"/>
          <w:rtl w:val="true"/>
          <w:lang w:bidi="fa-IR"/>
        </w:rPr>
        <w:t>.</w:t>
      </w:r>
      <w:bookmarkStart w:id="473" w:name="pg5021_49287"/>
    </w:p>
    <w:p>
      <w:pPr>
        <w:pStyle w:val="Heading3"/>
        <w:numPr>
          <w:ilvl w:val="2"/>
          <w:numId w:val="1"/>
        </w:numPr>
        <w:rPr/>
      </w:pPr>
      <w:bookmarkStart w:id="474" w:name="__RefHeading___Toc580644_774463916"/>
      <w:bookmarkStart w:id="475" w:name="_Toc190"/>
      <w:bookmarkEnd w:id="473"/>
      <w:bookmarkEnd w:id="474"/>
      <w:r>
        <w:rPr>
          <w:rtl w:val="true"/>
        </w:rPr>
        <w:t>الدرس</w:t>
      </w:r>
      <w:r>
        <w:rPr/>
        <w:t>50</w:t>
      </w:r>
      <w:r>
        <w:rPr>
          <w:rtl w:val="true"/>
        </w:rPr>
        <w:t xml:space="preserve"> - </w:t>
      </w:r>
      <w:r>
        <w:rPr>
          <w:rtl w:val="true"/>
        </w:rPr>
        <w:t xml:space="preserve">کتاب الحجّ </w:t>
      </w:r>
      <w:r>
        <w:rPr>
          <w:rtl w:val="true"/>
        </w:rPr>
        <w:t>(</w:t>
      </w:r>
      <w:r>
        <w:rPr/>
        <w:t>4</w:t>
      </w:r>
      <w:r>
        <w:rPr>
          <w:rtl w:val="true"/>
        </w:rPr>
        <w:t>)</w:t>
      </w:r>
      <w:bookmarkEnd w:id="475"/>
    </w:p>
    <w:p>
      <w:pPr>
        <w:pStyle w:val="Heading4"/>
        <w:numPr>
          <w:ilvl w:val="3"/>
          <w:numId w:val="1"/>
        </w:numPr>
        <w:rPr/>
      </w:pPr>
      <w:bookmarkStart w:id="476" w:name="__RefHeading___Toc580646_774463916"/>
      <w:bookmarkStart w:id="477" w:name="_Toc191"/>
      <w:bookmarkEnd w:id="476"/>
      <w:r>
        <w:rPr>
          <w:rtl w:val="true"/>
        </w:rPr>
        <w:t>المواقیت</w:t>
      </w:r>
      <w:bookmarkEnd w:id="477"/>
    </w:p>
    <w:p>
      <w:pPr>
        <w:pStyle w:val="Heading5"/>
        <w:numPr>
          <w:ilvl w:val="4"/>
          <w:numId w:val="1"/>
        </w:numPr>
        <w:rPr/>
      </w:pPr>
      <w:bookmarkStart w:id="478" w:name="__RefHeading___Toc580648_774463916"/>
      <w:bookmarkStart w:id="479" w:name="_Toc192"/>
      <w:bookmarkEnd w:id="478"/>
      <w:r>
        <w:rPr>
          <w:rtl w:val="true"/>
        </w:rPr>
        <w:t>مواقیت الإحرام</w:t>
      </w:r>
      <w:bookmarkEnd w:id="479"/>
    </w:p>
    <w:p>
      <w:pPr>
        <w:pStyle w:val="BookText"/>
        <w:rPr/>
      </w:pPr>
      <w:r>
        <w:rPr>
          <w:rFonts w:ascii="IRNazanin" w:hAnsi="IRNazanin" w:eastAsia="IRNazanin"/>
          <w:color w:val="111111"/>
          <w:sz w:val="28"/>
          <w:sz w:val="28"/>
          <w:szCs w:val="28"/>
          <w:rtl w:val="true"/>
          <w:lang w:bidi="fa-IR"/>
        </w:rPr>
        <w:t>وهی عشرة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مسجد الشجرة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الحلیفة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لأهل المدینة، بینه وبین المدینة من جهة مکّة فرسخان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وادی العقیق لأهل العراق، وهو واد طویل بینه وبین مکّة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الجُحفة لأهل المغرب، بینها وبین مکّة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یلملم لأهل الیمن، وهو جبل من جبال تهامة بینه وبین مکة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قرن المنازل لأهل الطائف بینه وبین الطائف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فرسخاً حدوداً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الخمسة وقّتها رسول‌الله للمذکورین علی ما جاء فی الروایات ومنها صحیحة معاویة بن عمّار عن أبی عبدالله علیه السلام ، </w:t>
      </w:r>
      <w:r>
        <w:rPr>
          <w:rStyle w:val="FootnoteAnchor"/>
          <w:rtl w:val="true"/>
        </w:rPr>
        <w:footnoteReference w:id="352"/>
      </w:r>
      <w:r>
        <w:rPr>
          <w:rFonts w:ascii="IRNazanin" w:hAnsi="IRNazanin" w:eastAsia="IRNazanin"/>
          <w:color w:val="111111"/>
          <w:sz w:val="28"/>
          <w:sz w:val="28"/>
          <w:szCs w:val="28"/>
          <w:rtl w:val="true"/>
          <w:lang w:bidi="fa-IR"/>
        </w:rPr>
        <w:t xml:space="preserve">لکنّها لاتختصّ بالمذکورین بل لهم ولمن یمرّ علیها؛ لصحیحة صفوان بن یحیی عن أبی الحسن الرضا علیه السلام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رسول‌الله صلی الله علیه و آله وقّت المواقیت لأهلها ومن أتی علیها من غیر أهلها</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مکّة لإحرام حجّ التمتّع، بلا خلاف بین المسلمین ویدلّ علیه بعض الصحاح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المنزل الذی دون المیقات إلی مکّة؛ فإنّ لصاحبه الإحرام منه لقوله علیه السلام فی صحیح معاویة بن عمار فی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کان منزله خلف هذه المواقیت ممّا یلی مکّة فوقته منزله</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الجِعِرّانة لأهل مکّة فی حجّ القران أو الإفراد وهی منطقة بینها وبین مکّة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فراسخاً ویدلّ علیه بعض الروایات وهی من حدود الحرم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محاذاة مسجد الشجرة لمن یمرّ من طریق المدینة، ویدلّ علیه صحیحة عبدالله بن سنان عن أبی عبدالله علیه السلام </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أدنی الحلّ، وهو ما خرج عن نهایة الحرم، کالتنعیم، والجعرّانة، والحدیبیّة من حدود الحرم؛ ویدلّ علیه صحیحة عمربن یزید عن أبی عبدالله علیه السلام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أراد أن یخرج من مکّة لیعتمر أحرم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الجعرّانة، أو الحدیبیة، أو ما أشبههما</w:t>
      </w:r>
      <w:r>
        <w:rPr>
          <w:rFonts w:eastAsia="IRNazanin" w:cs="IRNazanin"/>
          <w:color w:val="111111"/>
          <w:sz w:val="28"/>
          <w:szCs w:val="28"/>
          <w:rtl w:val="true"/>
          <w:lang w:bidi="fa-IR"/>
        </w:rPr>
        <w:t xml:space="preserve">. </w:t>
      </w:r>
      <w:r>
        <w:rPr>
          <w:rStyle w:val="FootnoteAnchor"/>
          <w:rtl w:val="true"/>
        </w:rPr>
        <w:footnoteReference w:id="356"/>
      </w:r>
      <w:bookmarkStart w:id="480" w:name="pg5021_49289"/>
    </w:p>
    <w:p>
      <w:pPr>
        <w:pStyle w:val="Heading3"/>
        <w:numPr>
          <w:ilvl w:val="2"/>
          <w:numId w:val="1"/>
        </w:numPr>
        <w:rPr/>
      </w:pPr>
      <w:bookmarkStart w:id="481" w:name="__RefHeading___Toc580650_774463916"/>
      <w:bookmarkStart w:id="482" w:name="_Toc193"/>
      <w:bookmarkEnd w:id="480"/>
      <w:bookmarkEnd w:id="481"/>
      <w:r>
        <w:rPr>
          <w:rtl w:val="true"/>
        </w:rPr>
        <w:t>الدرس</w:t>
      </w:r>
      <w:r>
        <w:rPr/>
        <w:t>51</w:t>
      </w:r>
      <w:r>
        <w:rPr>
          <w:rtl w:val="true"/>
        </w:rPr>
        <w:t xml:space="preserve"> - </w:t>
      </w:r>
      <w:r>
        <w:rPr>
          <w:rtl w:val="true"/>
        </w:rPr>
        <w:t xml:space="preserve">کتاب الحجّ </w:t>
      </w:r>
      <w:r>
        <w:rPr>
          <w:rtl w:val="true"/>
        </w:rPr>
        <w:t>(</w:t>
      </w:r>
      <w:r>
        <w:rPr/>
        <w:t>5</w:t>
      </w:r>
      <w:r>
        <w:rPr>
          <w:rtl w:val="true"/>
        </w:rPr>
        <w:t>)</w:t>
      </w:r>
      <w:bookmarkEnd w:id="482"/>
    </w:p>
    <w:p>
      <w:pPr>
        <w:pStyle w:val="Heading4"/>
        <w:numPr>
          <w:ilvl w:val="3"/>
          <w:numId w:val="1"/>
        </w:numPr>
        <w:rPr/>
      </w:pPr>
      <w:bookmarkStart w:id="483" w:name="__RefHeading___Toc580652_774463916"/>
      <w:bookmarkStart w:id="484" w:name="_Toc194"/>
      <w:bookmarkEnd w:id="483"/>
      <w:r>
        <w:rPr>
          <w:rtl w:val="true"/>
        </w:rPr>
        <w:t>أعمال عمرة التمتّع</w:t>
      </w:r>
      <w:bookmarkEnd w:id="484"/>
    </w:p>
    <w:p>
      <w:pPr>
        <w:pStyle w:val="Heading5"/>
        <w:numPr>
          <w:ilvl w:val="4"/>
          <w:numId w:val="1"/>
        </w:numPr>
        <w:rPr/>
      </w:pPr>
      <w:bookmarkStart w:id="485" w:name="__RefHeading___Toc580654_774463916"/>
      <w:bookmarkStart w:id="486" w:name="_Toc195"/>
      <w:bookmarkEnd w:id="485"/>
      <w:r>
        <w:rPr>
          <w:rtl w:val="true"/>
        </w:rPr>
        <w:t>تفصیل أفعال العمرة</w:t>
      </w:r>
      <w:bookmarkEnd w:id="4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الإحرام یلزم لتحققه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أی کون الداعی لهذا الفعل أمر الله سبحانه، وهو لازم عبادیّته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التلفظ بالتلبیات الأربع، ویدلّ علیه صحیحة معاویة بن عمّار عن أبی عبدالله علیه السلام فی 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التلبیة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اللّهم لبیّکَ، لبیّکَ لا شریکَ لکَ لبیّکَ، إنّ الحمدَ والنعمةَ لکَ والملکَ، لاشریکَ لکَ لبیّکَ، لبیّکَ ذا 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أنّه لابدّ من التلبیات الأربع التی کنّ فی أوّل الکلام وهی الفریضة</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ولا ینعقد الإحرام بمجرّد الثوبین من دون التلبیة؛ لقول الصادق علیه السلام فی صحیحة حریز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الرجل إذا تهیّأ للإحرام فله أن یأتی النساء مالم یعقد التلبیة أو یلبّ</w:t>
      </w:r>
      <w:r>
        <w:rPr>
          <w:rFonts w:eastAsia="IRNazanin" w:cs="IRNazanin"/>
          <w:color w:val="111111"/>
          <w:sz w:val="28"/>
          <w:szCs w:val="28"/>
          <w:rtl w:val="true"/>
          <w:lang w:bidi="fa-IR"/>
        </w:rPr>
        <w:t xml:space="preserve">. </w:t>
      </w:r>
      <w:r>
        <w:rPr>
          <w:rStyle w:val="FootnoteAnchor"/>
          <w:rtl w:val="true"/>
        </w:rPr>
        <w:footnoteReference w:id="358"/>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الرجال ثوبین بعد التجرّد عمّا یحرم لبسه علی المحرم، باتزار أحدهما</w:t>
      </w:r>
      <w:bookmarkStart w:id="487" w:name="pg5021_49290"/>
    </w:p>
    <w:p>
      <w:pPr>
        <w:pStyle w:val="BookText"/>
        <w:rPr/>
      </w:pPr>
      <w:bookmarkEnd w:id="487"/>
      <w:r>
        <w:rPr>
          <w:rFonts w:ascii="IRNazanin" w:hAnsi="IRNazanin" w:eastAsia="IRNazanin"/>
          <w:color w:val="111111"/>
          <w:sz w:val="28"/>
          <w:sz w:val="28"/>
          <w:szCs w:val="28"/>
          <w:rtl w:val="true"/>
          <w:lang w:bidi="fa-IR"/>
        </w:rPr>
        <w:t>وارتداء الآخر بلا خلاف فی ذلک بین المسلمین وهو من بدیهیات الحجّ لدیهم ویمکن استفادته من الروایات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یلزم الاقتصار علی الثوبین، بل تجوز الزیادة وکذلک لاتلزم استدامة لبسهما ولا یشترط فی الإحرام الطهارة من الحدث، کلّ ذلک للبرائة بعد عدم الدلیل علیها بل صحیح یونس بن یعقوب صریح فی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 علیه السلام عن الحائض ترید الإحرام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تغتسل، وتستثفر، وتحتشی بالکرسف، وتلبس ثوباً دون ثیاب إحرامها وتستقبل القبلة، ولا تدخل المسجد، وتهلّ بالحجّ بغیر الصلاة</w:t>
      </w:r>
      <w:r>
        <w:rPr>
          <w:rFonts w:eastAsia="IRNazanin" w:cs="IRNazanin"/>
          <w:color w:val="111111"/>
          <w:sz w:val="28"/>
          <w:szCs w:val="28"/>
          <w:rtl w:val="true"/>
          <w:lang w:bidi="fa-IR"/>
        </w:rPr>
        <w:t xml:space="preserve">». </w:t>
      </w:r>
      <w:r>
        <w:rPr>
          <w:rStyle w:val="FootnoteAnchor"/>
          <w:rtl w:val="true"/>
        </w:rPr>
        <w:footnoteReference w:id="359"/>
      </w:r>
    </w:p>
    <w:p>
      <w:pPr>
        <w:pStyle w:val="Heading5"/>
        <w:numPr>
          <w:ilvl w:val="4"/>
          <w:numId w:val="1"/>
        </w:numPr>
        <w:rPr/>
      </w:pPr>
      <w:bookmarkStart w:id="488" w:name="__RefHeading___Toc580656_774463916"/>
      <w:bookmarkStart w:id="489" w:name="_Toc196"/>
      <w:bookmarkEnd w:id="488"/>
      <w:r>
        <w:rPr>
          <w:rtl w:val="true"/>
        </w:rPr>
        <w:t>محرمات الإحرام</w:t>
      </w:r>
      <w:bookmarkEnd w:id="489"/>
    </w:p>
    <w:p>
      <w:pPr>
        <w:pStyle w:val="BookText"/>
        <w:rPr/>
      </w:pPr>
      <w:r>
        <w:rPr>
          <w:rFonts w:ascii="IRNazanin" w:hAnsi="IRNazanin" w:eastAsia="IRNazanin"/>
          <w:color w:val="111111"/>
          <w:sz w:val="28"/>
          <w:sz w:val="28"/>
          <w:szCs w:val="28"/>
          <w:rtl w:val="true"/>
          <w:lang w:bidi="fa-IR"/>
        </w:rPr>
        <w:t>إذا انعقد الإحرام حرمت علی المحرم جملة من الأشیاء نشیر إلی أهمّها إجمالاً، ونحیل التفصیل فیها إلی مستوی إعلی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صید البرّ، اصطیاداً وأکلاً، وإشارة، وذبحاً؛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حُرِّمَ عَلَیْکُمْ صَیْدُ الْبَرِّ ما دُمْتُمْ حُرُماً</w:t>
      </w:r>
      <w:r>
        <w:rPr>
          <w:rFonts w:eastAsia="Amiri" w:cs="Amiri" w:ascii="Amiri" w:hAnsi="Amiri"/>
          <w:color w:val="111111"/>
          <w:sz w:val="28"/>
          <w:szCs w:val="28"/>
          <w:rtl w:val="true"/>
          <w:lang w:bidi="ar-SA"/>
        </w:rPr>
        <w:t xml:space="preserve">... . </w:t>
      </w:r>
      <w:r>
        <w:rPr>
          <w:rStyle w:val="FootnoteAnchor"/>
          <w:rtl w:val="true"/>
        </w:rPr>
        <w:footnoteReference w:id="36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النساء، وطئاً وتقبیلاً ولمساً ونظراً بشهوة؛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أَشْهُرٌ مَعْلُوماتٌ فَمَنْ فَرَضَ فِیهِنَّ الْحَجَّ فَلا رَفَثَ وَ لا فُسُوقَ وَ لا جِدالَ فِی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منضماً، إلی الروایات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الطیب بأنواعه؛ لقول الصادق علیه السلام فی صحیح معاویة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لاتمسّ شیئاً من الطیب وأنت محرم</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النظر إلی المرآة، إمّا مطلقاً کما هو المشهور، أو إذا کان للزینة ویدلّ علیه صحیح حماد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لاتنظر فی المرآة وأنت محرم فإنّه من الزینة</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الفسوق؛ للآیة المتقدّمة وفسّر فی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بالکذب، والسباب، والمفاخرة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الجدال، للآیة المتقدّمة، وهو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لاوالله، وبلی والله، کما فی الروایات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 هوامّ الجسد، من القملة والبرغوث ونحوهما؛ للروایات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الادّهان، ولو بما لیس له رائحة طیبة لصحیح الحلبی عن الصادق علیه السلام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أحرمت فقد حرم علیک الدهن حتّی تحلّ</w:t>
      </w:r>
      <w:r>
        <w:rPr>
          <w:rFonts w:eastAsia="IRNazanin" w:cs="IRNazanin"/>
          <w:color w:val="111111"/>
          <w:sz w:val="28"/>
          <w:szCs w:val="28"/>
          <w:rtl w:val="true"/>
          <w:lang w:bidi="fa-IR"/>
        </w:rPr>
        <w:t xml:space="preserve">. </w:t>
      </w:r>
      <w:r>
        <w:rPr>
          <w:rStyle w:val="FootnoteAnchor"/>
          <w:rtl w:val="true"/>
        </w:rPr>
        <w:footnoteReference w:id="363"/>
      </w:r>
      <w:bookmarkStart w:id="490" w:name="pg5021_49292"/>
    </w:p>
    <w:p>
      <w:pPr>
        <w:pStyle w:val="Heading3"/>
        <w:numPr>
          <w:ilvl w:val="2"/>
          <w:numId w:val="1"/>
        </w:numPr>
        <w:rPr/>
      </w:pPr>
      <w:bookmarkStart w:id="491" w:name="__RefHeading___Toc580658_774463916"/>
      <w:bookmarkStart w:id="492" w:name="_Toc197"/>
      <w:bookmarkEnd w:id="490"/>
      <w:bookmarkEnd w:id="491"/>
      <w:r>
        <w:rPr>
          <w:rtl w:val="true"/>
        </w:rPr>
        <w:t>الدرس</w:t>
      </w:r>
      <w:r>
        <w:rPr/>
        <w:t>52</w:t>
      </w:r>
      <w:r>
        <w:rPr>
          <w:rtl w:val="true"/>
        </w:rPr>
        <w:t xml:space="preserve"> - </w:t>
      </w:r>
      <w:r>
        <w:rPr>
          <w:rtl w:val="true"/>
        </w:rPr>
        <w:t xml:space="preserve">کتاب الحجّ </w:t>
      </w:r>
      <w:r>
        <w:rPr>
          <w:rtl w:val="true"/>
        </w:rPr>
        <w:t>(</w:t>
      </w:r>
      <w:r>
        <w:rPr/>
        <w:t>6</w:t>
      </w:r>
      <w:r>
        <w:rPr>
          <w:rtl w:val="true"/>
        </w:rPr>
        <w:t>)</w:t>
      </w:r>
      <w:bookmarkEnd w:id="492"/>
    </w:p>
    <w:p>
      <w:pPr>
        <w:pStyle w:val="Heading4"/>
        <w:numPr>
          <w:ilvl w:val="3"/>
          <w:numId w:val="1"/>
        </w:numPr>
        <w:rPr/>
      </w:pPr>
      <w:bookmarkStart w:id="493" w:name="__RefHeading___Toc580660_774463916"/>
      <w:bookmarkStart w:id="494" w:name="_Toc198"/>
      <w:bookmarkEnd w:id="493"/>
      <w:r>
        <w:rPr>
          <w:rtl w:val="true"/>
        </w:rPr>
        <w:t>تابع محرّمات الإحرام</w:t>
      </w:r>
      <w:bookmarkEnd w:id="494"/>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إزالة الشعر عن البدن، لمفهوم صحیح حریز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 أن یحتجم المحرم ما لم یحلق أو یقطع الشعر</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وإطلاقه شامل للقلیل والکثیر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تقلیم الأظفار؛ لصحیح معاویة بن عمّار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المحرم تطول أظفاره،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لایقصّ شیئاً منها إن استطاع</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لبس المخیط للرجال، إجماعاً کما عن التذکرة، کالقمیص، والسراویل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لبس ما یستر جمیع ظهر القدم، کالخفّ، والجورب؛ للروایات الناهیة عن لبس الجورب والخفّ إلاّ أن یشقّ ظهر القدم، </w:t>
      </w:r>
      <w:r>
        <w:rPr>
          <w:rStyle w:val="FootnoteAnchor"/>
          <w:rtl w:val="true"/>
        </w:rPr>
        <w:footnoteReference w:id="366"/>
      </w:r>
      <w:r>
        <w:rPr>
          <w:rFonts w:ascii="IRNazanin" w:hAnsi="IRNazanin" w:eastAsia="IRNazanin"/>
          <w:color w:val="111111"/>
          <w:sz w:val="28"/>
          <w:sz w:val="28"/>
          <w:szCs w:val="28"/>
          <w:rtl w:val="true"/>
          <w:lang w:bidi="fa-IR"/>
        </w:rPr>
        <w:t>و هل یختصّ بالرجل أو یعمّ النساء أیضاً؟ وجهان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لبس الخاتم للزینة دون ما کان لغیرها کالاستحباب مثلاً علی المشهور؛ ویدلّ علیه روایة مسمع عن أبی عبدالله علیه السلام </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لبس المرأة الحلیّ للزینة ولا بأس بما کانت معتادة به قبل الإحرام لکن یحرم علیها إظهاره للرجال حتّی زوجها، وفی المسألة غموض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تغطیة الرجل رأسه، بکلّ ما یغطیه إجماعاً، بل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بقسمیه علیه، ویدلّ علیه النصوص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تغطیة المرأة وجهها بنقاب أو برقع ونحوهما، إجماعاً؛ ویدلّ علیه صحیح عبدالله بن میمون عن جعفر عن أبیه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المحرمة لاتتنقب لأنّ إحرام المرأة فی وجهها وإحرام الرجل فی رأسه</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التظلیل فوق الرأس للرجال دون النساء فی حال السیر وطیّ المنازل، فیجوز الاستظلال تحت السقف والخیمة عند النزول فی منی، أو عرفات، ونحوهما، ویدلّ علیه الإجماع کما عن جماعة والروایات، ومنها روایة محمّدبن الفضیل قال</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 فی دهلیز یحیی بن خالد بمکّة، وکان هناک أبوالحسن موسی علیه السلام ، وأبو یوسف</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فقام إلیه أبویوسف وتربّع بین یدیه،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 یظلّ؟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فیستظلّ بالجدار والمحمل ویدخل البیت والخباء؟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فضحک أبویوسف، شبه المستهزء، فقال له أبوالحسن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أبا یوسف إنّ الدین لیس بقیاس کقیاسک وقیاس أصحابک، إنّ الله عزّ وجلّ أمر فی کتابه بالطلاق وأکّد فیه شاهدین ولم یرض بهما إلاّ عدلین، وأمر فی کتابه بالتزویج وأهمله بلا شهود فأتیتم بشاهدین فیما أبطل الله، وأبطلتم شاهدین فیما أکدّ الله عزّوجلّ، وأجزتم طلاق المجنون والسکران، حجّ رسول‌الله صلی الله علیه و آله فأحرم ولم یظلّ، ودخل البیت والخباء، واستظلّ بالمحمل والجدار فقلنا کما فعل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ایقاع عقد الزواج لنفسه أو لغیره ولو کان محلّاً قال فی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 أجده فیه بل الإجماع بقسمیه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للمحرم أن یتزوّج ولا یزوّج وإن تزوّج أو زوّج فتزویجه باطل</w:t>
      </w:r>
      <w:r>
        <w:rPr>
          <w:rFonts w:eastAsia="IRNazanin" w:cs="IRNazanin"/>
          <w:color w:val="111111"/>
          <w:sz w:val="28"/>
          <w:szCs w:val="28"/>
          <w:rtl w:val="true"/>
          <w:lang w:bidi="fa-IR"/>
        </w:rPr>
        <w:t xml:space="preserve">. </w:t>
      </w:r>
      <w:r>
        <w:rPr>
          <w:rStyle w:val="FootnoteAnchor"/>
          <w:rtl w:val="true"/>
        </w:rPr>
        <w:footnoteReference w:id="371"/>
      </w:r>
      <w:bookmarkStart w:id="495" w:name="pg5021_49295"/>
    </w:p>
    <w:p>
      <w:pPr>
        <w:pStyle w:val="Heading3"/>
        <w:numPr>
          <w:ilvl w:val="2"/>
          <w:numId w:val="1"/>
        </w:numPr>
        <w:rPr/>
      </w:pPr>
      <w:bookmarkStart w:id="496" w:name="__RefHeading___Toc580662_774463916"/>
      <w:bookmarkStart w:id="497" w:name="_Toc199"/>
      <w:bookmarkEnd w:id="495"/>
      <w:bookmarkEnd w:id="496"/>
      <w:r>
        <w:rPr>
          <w:rtl w:val="true"/>
        </w:rPr>
        <w:t>الدرس</w:t>
      </w:r>
      <w:r>
        <w:rPr/>
        <w:t>53</w:t>
      </w:r>
      <w:r>
        <w:rPr>
          <w:rtl w:val="true"/>
        </w:rPr>
        <w:t xml:space="preserve"> - </w:t>
      </w:r>
      <w:r>
        <w:rPr>
          <w:rtl w:val="true"/>
        </w:rPr>
        <w:t xml:space="preserve">کتاب الحجّ </w:t>
      </w:r>
      <w:r>
        <w:rPr>
          <w:rtl w:val="true"/>
        </w:rPr>
        <w:t>(</w:t>
      </w:r>
      <w:r>
        <w:rPr/>
        <w:t>7</w:t>
      </w:r>
      <w:r>
        <w:rPr>
          <w:rtl w:val="true"/>
        </w:rPr>
        <w:t>)</w:t>
      </w:r>
      <w:bookmarkEnd w:id="497"/>
    </w:p>
    <w:p>
      <w:pPr>
        <w:pStyle w:val="Heading4"/>
        <w:numPr>
          <w:ilvl w:val="3"/>
          <w:numId w:val="1"/>
        </w:numPr>
        <w:rPr/>
      </w:pPr>
      <w:bookmarkStart w:id="498" w:name="__RefHeading___Toc580664_774463916"/>
      <w:bookmarkStart w:id="499" w:name="_Toc200"/>
      <w:bookmarkEnd w:id="498"/>
      <w:r>
        <w:rPr>
          <w:rtl w:val="true"/>
        </w:rPr>
        <w:t xml:space="preserve">أعمال العمرة التمتّع </w:t>
      </w:r>
      <w:r>
        <w:rPr>
          <w:rtl w:val="true"/>
        </w:rPr>
        <w:t>(</w:t>
      </w:r>
      <w:r>
        <w:rPr/>
        <w:t>2</w:t>
      </w:r>
      <w:r>
        <w:rPr>
          <w:rtl w:val="true"/>
        </w:rPr>
        <w:t>)</w:t>
      </w:r>
      <w:bookmarkEnd w:id="49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الطواف مضافاً الی النیّة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الطهارة من الحدث بقسمیه، بلاخلاف فیه؛ ویدلّ علیه صحیح علی بن جعفر عن أخیه أبی الحسن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رجل طاف بالبیت وهو جنب، فذکر وهو فی الطواف،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یقطع الطواف ولا یعتدّ بشیء ممّا 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رجل طاف ثمّ ذکر أنّه علی غیر وضوء،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یقطع طوافه ولا یعتدّ به</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وهل یلزم الطهارة من الخبث؟ المشهور ذلک لروایة یونس بن یعقوب عن أبی عبدالله علیه السلام ؛ </w:t>
      </w:r>
      <w:r>
        <w:rPr>
          <w:rStyle w:val="FootnoteAnchor"/>
          <w:rtl w:val="true"/>
        </w:rPr>
        <w:footnoteReference w:id="373"/>
      </w:r>
      <w:r>
        <w:rPr>
          <w:rFonts w:ascii="IRNazanin" w:hAnsi="IRNazanin" w:eastAsia="IRNazanin"/>
          <w:color w:val="111111"/>
          <w:sz w:val="28"/>
          <w:sz w:val="28"/>
          <w:szCs w:val="28"/>
          <w:rtl w:val="true"/>
          <w:lang w:bidi="fa-IR"/>
        </w:rPr>
        <w:t>ولإطلاق التنزیل فی النبوی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الطواف بالبیت صلاة</w:t>
      </w:r>
      <w:r>
        <w:rPr>
          <w:rFonts w:eastAsia="IRNazanin" w:cs="IRNazanin"/>
          <w:color w:val="111111"/>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إلاّ أنّه غیر وارد من طرقنا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الختان؛ لصحیح معاویة‌بن عمّار عن أبی‌عبدالله علیه السلام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الأغلف لا یطوف بالبیت</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وهل یشمل غیر الممیّز من الأطفال؟ وجهان، من إطلاق الأغلف الشامل له إیضاً ومن أنّ غیر الممیّز لایطوف بل یطاف به، ومعه لا یشمله النهی فیکون إحرامه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العورة، علی المشهور؛ لما ورد فی عدّة روایات من النهی عن الطواف بالبیت عریاناً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الأشواط سبعة، کما هو معلوم من السیرة المتوارثة بین جمیع المسلمین؛ ولصحیح معاویة بن عمّار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أتیت البیت یوم النحر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 بالبیت سبعة أشواط کما وصفت لک یوم قدمت مکّة</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ویلزم کونها متوالیة؛ لأنّ الطواف عمل واحد لایصدق عرفاً إلاّ مع التوالی کما فی الأذان والإقامة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ولاریب أنّه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الابتداء فی کلّ واحد من الأشواط بالحجر الأسود والانتهاء به؛ لقوله علیه السلام فی صحیح معاویة بن عمّار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اختصر من الحِجر فلیُعد طوافه من الحَجَر الأسود إلی الحجر الأسود</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وتدلّ علیه السیرة القطعیة بین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الکعبة علی الیسار فی کلّ حالاته؛ للسیرة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إدخال حجر إسماعیل فی المطاف، بمعنی الطواف خارجه لا بینه وبین الکعبة، ویدلّ علیه صحیح معاویة بن عمّار المتقدم، وهو متسالم علیه أیضاً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عن الکعبة وشاذروانها؛ لأنّ الواجب هو الطواف بالبیت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لْیَطَّوَّفُوا بِالْبَیْتِ الْعَتِیقِ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ولازمه الخروج عن الکعبة وشاذروانها؛ لأنّه من</w:t>
      </w:r>
    </w:p>
    <w:p>
      <w:pPr>
        <w:pStyle w:val="BookText"/>
        <w:rPr/>
      </w:pPr>
      <w:r>
        <w:rPr>
          <w:rFonts w:ascii="IRNazanin" w:hAnsi="IRNazanin" w:eastAsia="IRNazanin"/>
          <w:color w:val="111111"/>
          <w:sz w:val="28"/>
          <w:sz w:val="28"/>
          <w:szCs w:val="28"/>
          <w:rtl w:val="true"/>
          <w:lang w:bidi="fa-IR"/>
        </w:rPr>
        <w:t>أساس البیت الباقی بعد عمارته أخیراً فهو بحکم الکعبة یلزم الطواف خارجه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الطواف بین الکعبة ومقام إبراهیم ومثله فی جمیع الجوانب، علی المشهور؛ ویدلّ علیه روایة محمّد بن مسلم، وفی مقابلها صحیحة الحلبی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أباعبدالله علیه السلام عن الطواف خلف المقام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أحبّ ذلک وما أری به بأساً تفعله إلاّ أن لا تجد بُداً</w:t>
      </w:r>
      <w:r>
        <w:rPr>
          <w:rFonts w:eastAsia="IRNazanin" w:cs="IRNazanin"/>
          <w:color w:val="111111"/>
          <w:sz w:val="28"/>
          <w:szCs w:val="28"/>
          <w:rtl w:val="true"/>
          <w:lang w:bidi="fa-IR"/>
        </w:rPr>
        <w:t xml:space="preserve">. </w:t>
      </w:r>
      <w:r>
        <w:rPr>
          <w:rStyle w:val="FootnoteAnchor"/>
          <w:rtl w:val="true"/>
        </w:rPr>
        <w:footnoteReference w:id="378"/>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ویجمع بینهما بحمل الروایة الأولی علی الأفضلیة وإن کان الأحوط عدم تجاوزه</w:t>
      </w:r>
      <w:r>
        <w:rPr>
          <w:rFonts w:eastAsia="IRNazanin" w:cs="IRNazanin"/>
          <w:color w:val="111111"/>
          <w:sz w:val="28"/>
          <w:szCs w:val="28"/>
          <w:rtl w:val="true"/>
          <w:lang w:bidi="fa-IR"/>
        </w:rPr>
        <w:t>.</w:t>
      </w:r>
      <w:bookmarkStart w:id="500" w:name="pg5021_49298"/>
    </w:p>
    <w:p>
      <w:pPr>
        <w:pStyle w:val="Heading3"/>
        <w:numPr>
          <w:ilvl w:val="2"/>
          <w:numId w:val="1"/>
        </w:numPr>
        <w:rPr/>
      </w:pPr>
      <w:bookmarkStart w:id="501" w:name="__RefHeading___Toc580666_774463916"/>
      <w:bookmarkStart w:id="502" w:name="_Toc201"/>
      <w:bookmarkEnd w:id="500"/>
      <w:bookmarkEnd w:id="501"/>
      <w:r>
        <w:rPr>
          <w:rtl w:val="true"/>
        </w:rPr>
        <w:t>الدرس</w:t>
      </w:r>
      <w:r>
        <w:rPr/>
        <w:t>54</w:t>
      </w:r>
      <w:r>
        <w:rPr>
          <w:rtl w:val="true"/>
        </w:rPr>
        <w:t xml:space="preserve"> - </w:t>
      </w:r>
      <w:r>
        <w:rPr>
          <w:rtl w:val="true"/>
        </w:rPr>
        <w:t xml:space="preserve">کتاب الحجّ </w:t>
      </w:r>
      <w:r>
        <w:rPr>
          <w:rtl w:val="true"/>
        </w:rPr>
        <w:t>(</w:t>
      </w:r>
      <w:r>
        <w:rPr/>
        <w:t>8</w:t>
      </w:r>
      <w:r>
        <w:rPr>
          <w:rtl w:val="true"/>
        </w:rPr>
        <w:t>)</w:t>
      </w:r>
      <w:bookmarkEnd w:id="502"/>
    </w:p>
    <w:p>
      <w:pPr>
        <w:pStyle w:val="Heading4"/>
        <w:numPr>
          <w:ilvl w:val="3"/>
          <w:numId w:val="1"/>
        </w:numPr>
        <w:rPr/>
      </w:pPr>
      <w:bookmarkStart w:id="503" w:name="__RefHeading___Toc580668_774463916"/>
      <w:bookmarkStart w:id="504" w:name="_Toc202"/>
      <w:bookmarkEnd w:id="503"/>
      <w:r>
        <w:rPr>
          <w:rtl w:val="true"/>
        </w:rPr>
        <w:t xml:space="preserve">أعمال عمرة التمتّع </w:t>
      </w:r>
      <w:r>
        <w:rPr>
          <w:rtl w:val="true"/>
        </w:rPr>
        <w:t>(</w:t>
      </w:r>
      <w:r>
        <w:rPr/>
        <w:t>3</w:t>
      </w:r>
      <w:r>
        <w:rPr>
          <w:rtl w:val="true"/>
        </w:rPr>
        <w:t>)</w:t>
      </w:r>
      <w:bookmarkEnd w:id="504"/>
    </w:p>
    <w:p>
      <w:pPr>
        <w:pStyle w:val="Heading5"/>
        <w:numPr>
          <w:ilvl w:val="4"/>
          <w:numId w:val="1"/>
        </w:numPr>
        <w:rPr/>
      </w:pPr>
      <w:bookmarkStart w:id="505" w:name="__RefHeading___Toc580670_774463916"/>
      <w:bookmarkStart w:id="506" w:name="_Toc203"/>
      <w:bookmarkEnd w:id="505"/>
      <w:r>
        <w:rPr>
          <w:rtl w:val="true"/>
        </w:rPr>
        <w:t>اشارة</w:t>
      </w:r>
      <w:bookmarkEnd w:id="50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رکعتا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بعد الطواف الواجب رکعتان خلف المقام بلا، خلاف بین المسلمین؛ ویدلّ علیه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اتَّخِذُوا مِنْ مَقامِ إِبْراهِیمَ مُصَلًّی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إرادة صلاة الطواف منها کما یستفاد ذلک من سیاق الآیة والروایات، ویدلّ علیه الصحیح الآتی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ویعتبر عدم الفاصل العرفی، ویدلّ علیه صحیح محمّد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أباجعفر علیه السلام عن رکعتی طواف الفریضة،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وقتها إذا فرغت من طوافک</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وما رواه منصور بن حازم عن أبی عبدالله علیه السلام فی 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لاتؤخرها ساعة إذا طفت فصلّ</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ویعتبر أیضاً الإتیان بها خلف المقام أو أحد جانبیه للآیة الکریمة إذ اتّخاذ المقام مصلّیً لا یکون إلاّ کذلک</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ویتخیّر بین الجهر والإخفات، لعدم الدلیل علی تعیّن إحدی الخصوصیتین</w:t>
      </w:r>
      <w:r>
        <w:rPr>
          <w:rFonts w:eastAsia="IRNazanin" w:cs="IRNazanin"/>
          <w:color w:val="111111"/>
          <w:sz w:val="28"/>
          <w:szCs w:val="28"/>
          <w:rtl w:val="true"/>
          <w:lang w:bidi="fa-IR"/>
        </w:rPr>
        <w:t>.</w:t>
      </w:r>
      <w:bookmarkStart w:id="507" w:name="pg5021_49299"/>
    </w:p>
    <w:p>
      <w:pPr>
        <w:pStyle w:val="Heading5"/>
        <w:numPr>
          <w:ilvl w:val="4"/>
          <w:numId w:val="1"/>
        </w:numPr>
        <w:rPr/>
      </w:pPr>
      <w:bookmarkStart w:id="508" w:name="__RefHeading___Toc580672_774463916"/>
      <w:bookmarkStart w:id="509" w:name="_Toc204"/>
      <w:bookmarkEnd w:id="507"/>
      <w:bookmarkEnd w:id="508"/>
      <w:r>
        <w:rPr/>
        <w:t>4</w:t>
      </w:r>
      <w:r>
        <w:rPr>
          <w:rtl w:val="true"/>
        </w:rPr>
        <w:t xml:space="preserve">- </w:t>
      </w:r>
      <w:r>
        <w:rPr>
          <w:rtl w:val="true"/>
        </w:rPr>
        <w:t>السعی</w:t>
      </w:r>
      <w:bookmarkEnd w:id="509"/>
    </w:p>
    <w:p>
      <w:pPr>
        <w:pStyle w:val="BookText"/>
        <w:rPr/>
      </w:pPr>
      <w:r>
        <w:rPr>
          <w:rFonts w:ascii="IRNazanin" w:hAnsi="IRNazanin" w:eastAsia="IRNazanin"/>
          <w:color w:val="111111"/>
          <w:sz w:val="28"/>
          <w:sz w:val="28"/>
          <w:szCs w:val="28"/>
          <w:rtl w:val="true"/>
          <w:lang w:bidi="fa-IR"/>
        </w:rPr>
        <w:t>وهو واجب فی العمرة کالحج؛ للسیرة القطعیة بین المسلمین ویدلّ علیه صحیح زرارة، ومحمّد بن مسلم عن أبی عبدالله علیه السلام فی 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لیس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 وَ الْمَرْوَةَ مِنْ شَعائِرِ اللّهِ فَمَنْ حَجَّ الْبَیْتَ أَوِ اعْتَمَرَ فَلا جُناحَ عَلَیْهِ أَنْ یَطَّوَّفَ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 أنّ الطواف بهما واجب‌مفروض</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شرائط السعی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من السعی سبعة أشواط بالضرورة بین المسلمین، ویدلّ علیه صحیح معاویة بن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طف بینهما سبعة أشواط تبدء بالصفا وتختم بالمروة</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ومنه یعلم لزوم کون البدایة من الصفا والختم بالمروة، مضافاً إلی السیرة المتوارثة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یعلم أنّ الذهاب شوط والإیاب شوط ولیس المجموع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فیه النیّة وخلوصها؛ إذ الأوّل لازم العبادیة، والثانی هو مدلول أدلّة حرمة الریاء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یجب فیه الطهارة بقسمیها؛ لعدم الدلیل علی اعتبارها، بل صحیح معاویة بن عمّار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 أن تقضی المناسک کلّها علی غیر وضوء إلاّ الطواف فإنّ فیه صلاة والوضوء أفضل</w:t>
      </w:r>
      <w:r>
        <w:rPr>
          <w:rFonts w:eastAsia="IRNazanin" w:cs="IRNazanin"/>
          <w:color w:val="111111"/>
          <w:sz w:val="28"/>
          <w:szCs w:val="28"/>
          <w:rtl w:val="true"/>
          <w:lang w:bidi="fa-IR"/>
        </w:rPr>
        <w:t xml:space="preserve">. </w:t>
      </w:r>
      <w:r>
        <w:rPr>
          <w:rStyle w:val="FootnoteAnchor"/>
          <w:rtl w:val="true"/>
        </w:rPr>
        <w:footnoteReference w:id="383"/>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یدلّ علی عدم اعتبارها</w:t>
      </w:r>
      <w:r>
        <w:rPr>
          <w:rFonts w:eastAsia="IRNazanin" w:cs="IRNazanin"/>
          <w:color w:val="111111"/>
          <w:sz w:val="28"/>
          <w:szCs w:val="28"/>
          <w:rtl w:val="true"/>
          <w:lang w:bidi="fa-IR"/>
        </w:rPr>
        <w:t>.</w:t>
      </w:r>
      <w:bookmarkStart w:id="510" w:name="pg5021_49300"/>
    </w:p>
    <w:p>
      <w:pPr>
        <w:pStyle w:val="Heading5"/>
        <w:numPr>
          <w:ilvl w:val="4"/>
          <w:numId w:val="1"/>
        </w:numPr>
        <w:rPr/>
      </w:pPr>
      <w:bookmarkStart w:id="511" w:name="__RefHeading___Toc580674_774463916"/>
      <w:bookmarkStart w:id="512" w:name="_Toc205"/>
      <w:bookmarkEnd w:id="510"/>
      <w:bookmarkEnd w:id="511"/>
      <w:r>
        <w:rPr/>
        <w:t>5</w:t>
      </w:r>
      <w:r>
        <w:rPr>
          <w:rtl w:val="true"/>
        </w:rPr>
        <w:t xml:space="preserve">- </w:t>
      </w:r>
      <w:r>
        <w:rPr>
          <w:rtl w:val="true"/>
        </w:rPr>
        <w:t>التقصیر</w:t>
      </w:r>
      <w:bookmarkEnd w:id="512"/>
    </w:p>
    <w:p>
      <w:pPr>
        <w:pStyle w:val="BookText"/>
        <w:rPr/>
      </w:pPr>
      <w:r>
        <w:rPr>
          <w:rFonts w:ascii="IRNazanin" w:hAnsi="IRNazanin" w:eastAsia="IRNazanin"/>
          <w:color w:val="111111"/>
          <w:sz w:val="28"/>
          <w:sz w:val="28"/>
          <w:szCs w:val="28"/>
          <w:rtl w:val="true"/>
          <w:lang w:bidi="fa-IR"/>
        </w:rPr>
        <w:t>وهو آخر أفعال عمرة التمتّع، ومعناه الأخذ من شعر الرأس أو غیره، أو الأظفار ووجوبه فیها من الضروریات، ولا یکفی الحَلق ولا النتف؛ لأنّ المأمور به هو الأخذ دون الحلق والنتف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 تحلّ جمیع محرّمات الإحرام علی المشهور؛ ویدلّ علیه صحیح معاویة بن عمّار عن أبی عبدالله علیه السلام فی حدیث 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فعلت ذلک فقد أحللت من کلّ شیء</w:t>
      </w:r>
      <w:r>
        <w:rPr>
          <w:rFonts w:eastAsia="IRNazanin" w:cs="IRNazanin"/>
          <w:color w:val="111111"/>
          <w:sz w:val="28"/>
          <w:szCs w:val="28"/>
          <w:rtl w:val="true"/>
          <w:lang w:bidi="fa-IR"/>
        </w:rPr>
        <w:t xml:space="preserve">.... </w:t>
      </w:r>
      <w:r>
        <w:rPr>
          <w:rStyle w:val="FootnoteAnchor"/>
          <w:rtl w:val="true"/>
        </w:rPr>
        <w:footnoteReference w:id="384"/>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ویجب فیه قصد القربة کسائر الأجزاء</w:t>
      </w:r>
      <w:r>
        <w:rPr>
          <w:rFonts w:eastAsia="IRNazanin" w:cs="IRNazanin"/>
          <w:color w:val="111111"/>
          <w:sz w:val="28"/>
          <w:szCs w:val="28"/>
          <w:rtl w:val="true"/>
          <w:lang w:bidi="fa-IR"/>
        </w:rPr>
        <w:t>.</w:t>
      </w:r>
      <w:bookmarkStart w:id="513" w:name="pg5021_49301"/>
    </w:p>
    <w:p>
      <w:pPr>
        <w:pStyle w:val="Heading3"/>
        <w:numPr>
          <w:ilvl w:val="2"/>
          <w:numId w:val="1"/>
        </w:numPr>
        <w:rPr/>
      </w:pPr>
      <w:bookmarkStart w:id="514" w:name="__RefHeading___Toc580676_774463916"/>
      <w:bookmarkStart w:id="515" w:name="_Toc206"/>
      <w:bookmarkEnd w:id="513"/>
      <w:bookmarkEnd w:id="514"/>
      <w:r>
        <w:rPr>
          <w:rtl w:val="true"/>
        </w:rPr>
        <w:t>الدرس</w:t>
      </w:r>
      <w:r>
        <w:rPr/>
        <w:t>55</w:t>
      </w:r>
      <w:r>
        <w:rPr>
          <w:rtl w:val="true"/>
        </w:rPr>
        <w:t xml:space="preserve"> - </w:t>
      </w:r>
      <w:r>
        <w:rPr>
          <w:rtl w:val="true"/>
        </w:rPr>
        <w:t xml:space="preserve">کتاب الحجّ </w:t>
      </w:r>
      <w:r>
        <w:rPr>
          <w:rtl w:val="true"/>
        </w:rPr>
        <w:t>(</w:t>
      </w:r>
      <w:r>
        <w:rPr/>
        <w:t>9</w:t>
      </w:r>
      <w:r>
        <w:rPr>
          <w:rtl w:val="true"/>
        </w:rPr>
        <w:t>)</w:t>
      </w:r>
      <w:bookmarkEnd w:id="515"/>
    </w:p>
    <w:p>
      <w:pPr>
        <w:pStyle w:val="Heading4"/>
        <w:numPr>
          <w:ilvl w:val="3"/>
          <w:numId w:val="1"/>
        </w:numPr>
        <w:rPr/>
      </w:pPr>
      <w:bookmarkStart w:id="516" w:name="__RefHeading___Toc580678_774463916"/>
      <w:bookmarkStart w:id="517" w:name="_Toc207"/>
      <w:bookmarkEnd w:id="516"/>
      <w:r>
        <w:rPr>
          <w:rtl w:val="true"/>
        </w:rPr>
        <w:t>أعمال الحجّ</w:t>
      </w:r>
      <w:bookmarkEnd w:id="517"/>
    </w:p>
    <w:p>
      <w:pPr>
        <w:pStyle w:val="Heading5"/>
        <w:numPr>
          <w:ilvl w:val="4"/>
          <w:numId w:val="1"/>
        </w:numPr>
        <w:rPr/>
      </w:pPr>
      <w:bookmarkStart w:id="518" w:name="__RefHeading___Toc580680_774463916"/>
      <w:bookmarkStart w:id="519" w:name="_Toc208"/>
      <w:bookmarkEnd w:id="518"/>
      <w:r>
        <w:rPr/>
        <w:t>1</w:t>
      </w:r>
      <w:r>
        <w:rPr>
          <w:rtl w:val="true"/>
        </w:rPr>
        <w:t xml:space="preserve">- </w:t>
      </w:r>
      <w:r>
        <w:rPr>
          <w:rtl w:val="true"/>
        </w:rPr>
        <w:t>الإحرام</w:t>
      </w:r>
      <w:bookmarkEnd w:id="519"/>
    </w:p>
    <w:p>
      <w:pPr>
        <w:pStyle w:val="BookText"/>
        <w:rPr/>
      </w:pPr>
      <w:r>
        <w:rPr>
          <w:rFonts w:ascii="IRNazanin" w:hAnsi="IRNazanin" w:eastAsia="IRNazanin"/>
          <w:color w:val="111111"/>
          <w:sz w:val="28"/>
          <w:sz w:val="28"/>
          <w:szCs w:val="28"/>
          <w:rtl w:val="true"/>
          <w:lang w:bidi="fa-IR"/>
        </w:rPr>
        <w:t>لحجّ التمتّع من داخل مکّة، بلا خلاف فیه بین المسلمین، وکیفیّته نفس کیفیة إحرام العمرة إلاّ بفارق النیّة</w:t>
      </w:r>
      <w:r>
        <w:rPr>
          <w:rFonts w:eastAsia="IRNazanin" w:cs="IRNazanin"/>
          <w:color w:val="111111"/>
          <w:sz w:val="28"/>
          <w:szCs w:val="28"/>
          <w:rtl w:val="true"/>
          <w:lang w:bidi="fa-IR"/>
        </w:rPr>
        <w:t>.</w:t>
      </w:r>
    </w:p>
    <w:p>
      <w:pPr>
        <w:pStyle w:val="Heading5"/>
        <w:numPr>
          <w:ilvl w:val="4"/>
          <w:numId w:val="1"/>
        </w:numPr>
        <w:rPr/>
      </w:pPr>
      <w:bookmarkStart w:id="520" w:name="__RefHeading___Toc580682_774463916"/>
      <w:bookmarkStart w:id="521" w:name="_Toc209"/>
      <w:bookmarkEnd w:id="520"/>
      <w:r>
        <w:rPr/>
        <w:t>2</w:t>
      </w:r>
      <w:r>
        <w:rPr>
          <w:rtl w:val="true"/>
        </w:rPr>
        <w:t xml:space="preserve">- </w:t>
      </w:r>
      <w:r>
        <w:rPr>
          <w:rtl w:val="true"/>
        </w:rPr>
        <w:t>الوقوف فی عرفات</w:t>
      </w:r>
      <w:bookmarkEnd w:id="521"/>
    </w:p>
    <w:p>
      <w:pPr>
        <w:pStyle w:val="BookText"/>
        <w:rPr/>
      </w:pPr>
      <w:r>
        <w:rPr>
          <w:rFonts w:ascii="IRNazanin" w:hAnsi="IRNazanin" w:eastAsia="IRNazanin"/>
          <w:color w:val="111111"/>
          <w:sz w:val="28"/>
          <w:sz w:val="28"/>
          <w:szCs w:val="28"/>
          <w:rtl w:val="true"/>
          <w:lang w:bidi="fa-IR"/>
        </w:rPr>
        <w:t>ویدلّ علی وجوبه السیرة القطعیة المتوارثة بین المسلمین من زمن النبی الأعظم صلی الله علیه و آله علی فعل ذلک بنحو اللزوم، ویدلّ علیه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یجب فیها شیء سوی الوقوف بأیّ نحو کان، للبرائة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وبدایته من ظهر التاسع من ذی الحجّة، علی المشهور، نعم، یظهر من بعض الروایات الحاکیة لوقوف رسول‌الله صلی الله علیه و آله أنّه یجوز التأخیر عن الزوال بمقدار إقامة صلاة الظهرین بأذان واحد وإقامتین</w:t>
      </w:r>
      <w:r>
        <w:rPr>
          <w:rFonts w:eastAsia="IRNazanin" w:cs="IRNazanin"/>
          <w:color w:val="111111"/>
          <w:sz w:val="28"/>
          <w:szCs w:val="28"/>
          <w:rtl w:val="true"/>
          <w:lang w:bidi="fa-IR"/>
        </w:rPr>
        <w:t xml:space="preserve">. </w:t>
      </w:r>
      <w:r>
        <w:rPr>
          <w:rStyle w:val="FootnoteAnchor"/>
          <w:rtl w:val="true"/>
        </w:rPr>
        <w:footnoteReference w:id="385"/>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ونهایته غروب الیوم التاسع، بلاخلاف؛ وتدلّ علیه صحیحة مسمع بن عبدالملک</w:t>
      </w:r>
      <w:bookmarkStart w:id="522" w:name="pg5021_49302"/>
    </w:p>
    <w:p>
      <w:pPr>
        <w:pStyle w:val="BookText"/>
        <w:rPr/>
      </w:pPr>
      <w:bookmarkEnd w:id="522"/>
      <w:r>
        <w:rPr>
          <w:rFonts w:ascii="IRNazanin" w:hAnsi="IRNazanin" w:eastAsia="IRNazanin"/>
          <w:color w:val="111111"/>
          <w:sz w:val="28"/>
          <w:sz w:val="28"/>
          <w:szCs w:val="28"/>
          <w:rtl w:val="true"/>
          <w:lang w:bidi="fa-IR"/>
        </w:rPr>
        <w:t xml:space="preserve">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أفاض من عرفات قبل غروب الشمس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جاهلاً فلا شیء علیه، وإن کان متعمّداً فعلیه بدنة</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ومنها یعلم حرمة الإفاضة قبل الغروب وحکم کفّارته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والوقوف هذا رکن، یبطل الحجّ بترکه عمداً، إلاّ أنّ الرکن هو المسمّی وإن کان المجموع واجباً، ویدلّ علی الحکمین صحیحة مسمع المتقدّمة إذ لولا وجوب المجموع لم تستقرّ البدنة علی من أفاض قبله، ولو کان المجموع رکناً لبطل الحجّ بالإفاضة قبل الغروب، نعم، لایستفاد منها رکنیة المسمّی إلاّ أنّ الحکم عند الأصحاب متسالم علیه</w:t>
      </w:r>
      <w:r>
        <w:rPr>
          <w:rFonts w:eastAsia="IRNazanin" w:cs="IRNazanin"/>
          <w:color w:val="111111"/>
          <w:sz w:val="28"/>
          <w:szCs w:val="28"/>
          <w:rtl w:val="true"/>
          <w:lang w:bidi="fa-IR"/>
        </w:rPr>
        <w:t>.</w:t>
      </w:r>
    </w:p>
    <w:p>
      <w:pPr>
        <w:pStyle w:val="Heading5"/>
        <w:numPr>
          <w:ilvl w:val="4"/>
          <w:numId w:val="1"/>
        </w:numPr>
        <w:rPr/>
      </w:pPr>
      <w:bookmarkStart w:id="523" w:name="__RefHeading___Toc580684_774463916"/>
      <w:bookmarkStart w:id="524" w:name="_Toc210"/>
      <w:bookmarkEnd w:id="523"/>
      <w:r>
        <w:rPr/>
        <w:t>3</w:t>
      </w:r>
      <w:r>
        <w:rPr>
          <w:rtl w:val="true"/>
        </w:rPr>
        <w:t xml:space="preserve">- </w:t>
      </w:r>
      <w:r>
        <w:rPr>
          <w:rtl w:val="true"/>
        </w:rPr>
        <w:t>الوقوف فی المزدلفة</w:t>
      </w:r>
      <w:bookmarkEnd w:id="524"/>
    </w:p>
    <w:p>
      <w:pPr>
        <w:pStyle w:val="BookText"/>
        <w:rPr/>
      </w:pPr>
      <w:r>
        <w:rPr>
          <w:rFonts w:ascii="IRNazanin" w:hAnsi="IRNazanin" w:eastAsia="IRNazanin"/>
          <w:color w:val="111111"/>
          <w:sz w:val="28"/>
          <w:sz w:val="28"/>
          <w:szCs w:val="28"/>
          <w:rtl w:val="true"/>
          <w:lang w:bidi="fa-IR"/>
        </w:rPr>
        <w:t>وهو المشعر الحرام بینه وبین مکّة فرسخان ونصف تقریباً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یجب علی الحاج بعد الإفاضة من عرفات، الحضور فی المزدلفة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المشعر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أَفَضْتُمْ مِنْ عَرَفاتٍ فَاذْکُرُوا اللّهَ عِنْدَ الْمَشْعَرِ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وتقتضیه السیرة المتواترة والروایات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وبدایته من طلوع الفجر، علی المشهور وقد یستدلّ علیه ببعض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ونهایته إلی طلوع الشمس، بلاخلاف ویمکن استفادته من صحیحة هشام بن الحکم عن أبی عبدالله علیه السلام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لاتجاوز وادی محسّر حتّی تطلع الشمس</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فإنّ وادی محسّر من حدود المشعر الحرام فیدلّ علی لزوم المکث فیه حتّی‌الطلوع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والرکن هو المسمّی ما بین الطلوعین، وإن کان الواجب هو المجموع؛ لصحیح الحلبی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سألت أبا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قدم رجل وقد فاتته عرفات، فلیقف بالمشعر الحرام؛ فإنّ الله تعالی أعذر لعبده فقد تمّ حجّه إذا أدرک المشعر الحرام قبل طلوع الشمس وقبل أن یفیض الناس، فإن لم یدرک المشعر الحرام فقد فاته الحجّ فلیجعلها عمرة مفردة، وعلیه الحجّ من قابل</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فإنّ الإدراک یتحقّق بالمسمّی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هو الموقف الاختیاری والموقف الاضطراری لذوی الأعذار، هو المسمّی من طلوع الشمس إلی زوال العید؛ لما رواه معاویة بن عمّار فی الصحیح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أفاض من عرفات إلی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فلیرجع ولیأت جُمعاً ولیقف بها، وإن کان قد وجد الناس قد أفاضوا من جُمع</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ولما رواه عبدالله بن مغیرة فی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جاءنا رجل بمنی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أدرک الناس بالموقفین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إسحاق بن عمّار علی أبی الحسن علیه السلام فسأله عن ذلک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أدرک مزدلفة فوقف بها قبل أن تزول الشمس یوم النحر فقد أدرک الحج</w:t>
      </w:r>
      <w:r>
        <w:rPr>
          <w:rFonts w:eastAsia="IRNazanin" w:cs="IRNazanin"/>
          <w:color w:val="111111"/>
          <w:sz w:val="28"/>
          <w:szCs w:val="28"/>
          <w:rtl w:val="true"/>
          <w:lang w:bidi="fa-IR"/>
        </w:rPr>
        <w:t xml:space="preserve">». </w:t>
      </w:r>
      <w:r>
        <w:rPr>
          <w:rStyle w:val="FootnoteAnchor"/>
          <w:rtl w:val="true"/>
        </w:rPr>
        <w:footnoteReference w:id="390"/>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لایجزی الاضطراری الواحد والقائل جماعة</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وقد رخّص للنساء والضعفاء الوقوف لیلاً والأفاضة قبل طلوع الشمس إلی منی، لرمی جمرة العقبة؛ لقول الصادق علیه السلام فی الصحیح</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رَخّص رسول‌الله صلی الله علیه و آله للنساء والضعفاء أن یفیضوا عن جمع بلیل، وأن یرموا الجمرة بلیل فإذا أرادوا أن یزوروا البیت وکّلوا من یذبح عنهنّ</w:t>
      </w:r>
      <w:r>
        <w:rPr>
          <w:rFonts w:eastAsia="IRNazanin" w:cs="IRNazanin"/>
          <w:color w:val="111111"/>
          <w:sz w:val="28"/>
          <w:szCs w:val="28"/>
          <w:rtl w:val="true"/>
          <w:lang w:bidi="fa-IR"/>
        </w:rPr>
        <w:t xml:space="preserve">. </w:t>
      </w:r>
      <w:r>
        <w:rPr>
          <w:rStyle w:val="FootnoteAnchor"/>
          <w:rtl w:val="true"/>
        </w:rPr>
        <w:footnoteReference w:id="392"/>
      </w:r>
      <w:bookmarkStart w:id="525" w:name="pg5021_49305"/>
    </w:p>
    <w:p>
      <w:pPr>
        <w:pStyle w:val="Heading3"/>
        <w:numPr>
          <w:ilvl w:val="2"/>
          <w:numId w:val="1"/>
        </w:numPr>
        <w:rPr/>
      </w:pPr>
      <w:bookmarkStart w:id="526" w:name="__RefHeading___Toc580686_774463916"/>
      <w:bookmarkStart w:id="527" w:name="_Toc211"/>
      <w:bookmarkEnd w:id="525"/>
      <w:bookmarkEnd w:id="526"/>
      <w:r>
        <w:rPr>
          <w:rtl w:val="true"/>
        </w:rPr>
        <w:t>الدرس</w:t>
      </w:r>
      <w:r>
        <w:rPr/>
        <w:t>56</w:t>
      </w:r>
      <w:r>
        <w:rPr>
          <w:rtl w:val="true"/>
        </w:rPr>
        <w:t xml:space="preserve"> - </w:t>
      </w:r>
      <w:r>
        <w:rPr>
          <w:rtl w:val="true"/>
        </w:rPr>
        <w:t xml:space="preserve">کتاب الحجّ </w:t>
      </w:r>
      <w:r>
        <w:rPr>
          <w:rtl w:val="true"/>
        </w:rPr>
        <w:t>(</w:t>
      </w:r>
      <w:r>
        <w:rPr/>
        <w:t>10</w:t>
      </w:r>
      <w:r>
        <w:rPr>
          <w:rtl w:val="true"/>
        </w:rPr>
        <w:t>)</w:t>
      </w:r>
      <w:bookmarkEnd w:id="527"/>
    </w:p>
    <w:p>
      <w:pPr>
        <w:pStyle w:val="Heading4"/>
        <w:numPr>
          <w:ilvl w:val="3"/>
          <w:numId w:val="1"/>
        </w:numPr>
        <w:rPr/>
      </w:pPr>
      <w:bookmarkStart w:id="528" w:name="__RefHeading___Toc580688_774463916"/>
      <w:bookmarkStart w:id="529" w:name="_Toc212"/>
      <w:bookmarkEnd w:id="528"/>
      <w:r>
        <w:rPr>
          <w:rtl w:val="true"/>
        </w:rPr>
        <w:t xml:space="preserve">أعمال الحج </w:t>
      </w:r>
      <w:r>
        <w:rPr>
          <w:rtl w:val="true"/>
        </w:rPr>
        <w:t>(</w:t>
      </w:r>
      <w:r>
        <w:rPr/>
        <w:t>2</w:t>
      </w:r>
      <w:r>
        <w:rPr>
          <w:rtl w:val="true"/>
        </w:rPr>
        <w:t>)</w:t>
      </w:r>
      <w:bookmarkEnd w:id="529"/>
    </w:p>
    <w:p>
      <w:pPr>
        <w:pStyle w:val="Heading5"/>
        <w:numPr>
          <w:ilvl w:val="4"/>
          <w:numId w:val="1"/>
        </w:numPr>
        <w:rPr/>
      </w:pPr>
      <w:bookmarkStart w:id="530" w:name="__RefHeading___Toc580690_774463916"/>
      <w:bookmarkStart w:id="531" w:name="_Toc213"/>
      <w:bookmarkEnd w:id="530"/>
      <w:r>
        <w:rPr/>
        <w:t>4</w:t>
      </w:r>
      <w:r>
        <w:rPr>
          <w:rtl w:val="true"/>
        </w:rPr>
        <w:t xml:space="preserve">- </w:t>
      </w:r>
      <w:r>
        <w:rPr>
          <w:rtl w:val="true"/>
        </w:rPr>
        <w:t>رمی جمرة العقبة فی منی</w:t>
      </w:r>
      <w:bookmarkEnd w:id="531"/>
    </w:p>
    <w:p>
      <w:pPr>
        <w:pStyle w:val="BookText"/>
        <w:rPr/>
      </w:pPr>
      <w:r>
        <w:rPr>
          <w:rFonts w:ascii="IRNazanin" w:hAnsi="IRNazanin" w:eastAsia="IRNazanin"/>
          <w:color w:val="111111"/>
          <w:sz w:val="28"/>
          <w:sz w:val="28"/>
          <w:szCs w:val="28"/>
          <w:rtl w:val="true"/>
          <w:lang w:bidi="fa-IR"/>
        </w:rPr>
        <w:t>یجب بعد الوقوف فی المشعر، الإفاضة إلی منی لرمی جمرة العقبة، التی هی أدنی الجمار إلی مکّة من الیوم العاشر؛ للسیرة المستمرّة</w:t>
      </w:r>
      <w:r>
        <w:rPr>
          <w:rFonts w:eastAsia="IRNazanin" w:cs="IRNazanin"/>
          <w:color w:val="111111"/>
          <w:sz w:val="28"/>
          <w:szCs w:val="28"/>
          <w:rtl w:val="true"/>
          <w:lang w:bidi="fa-IR"/>
        </w:rPr>
        <w:t>.</w:t>
      </w:r>
    </w:p>
    <w:p>
      <w:pPr>
        <w:pStyle w:val="Heading5"/>
        <w:numPr>
          <w:ilvl w:val="4"/>
          <w:numId w:val="1"/>
        </w:numPr>
        <w:rPr/>
      </w:pPr>
      <w:bookmarkStart w:id="532" w:name="__RefHeading___Toc580692_774463916"/>
      <w:bookmarkStart w:id="533" w:name="_Toc214"/>
      <w:bookmarkEnd w:id="532"/>
      <w:r>
        <w:rPr>
          <w:rtl w:val="true"/>
        </w:rPr>
        <w:t>شرائط الرمی</w:t>
      </w:r>
      <w:bookmarkEnd w:id="533"/>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ما بین طلوع الشمس وغروبها؛ لصحیح منصور بن حازم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رمی الجمار من طلوع الشمس إلی غروبها</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نعم، یستثنی من ذلک النساء والضعفاء، حیث یجوز لهم الرمی لیلة العید، کما تقدّم فی الصحیح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بسبع حصیات؛ وهو متسالم علیه بین المسلمین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کونه عن قربةٍ، کما تقدّم مراراً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واحدة تلو الأخری لا دفعة؛ للسیرة القطعیة</w:t>
      </w:r>
      <w:r>
        <w:rPr>
          <w:rFonts w:eastAsia="IRNazanin" w:cs="IRNazanin"/>
          <w:color w:val="111111"/>
          <w:sz w:val="28"/>
          <w:szCs w:val="28"/>
          <w:rtl w:val="true"/>
          <w:lang w:bidi="fa-IR"/>
        </w:rPr>
        <w:t>.</w:t>
      </w:r>
      <w:bookmarkStart w:id="534" w:name="pg5021_49306"/>
    </w:p>
    <w:p>
      <w:pPr>
        <w:pStyle w:val="BookText"/>
        <w:rPr/>
      </w:pPr>
      <w:bookmarkEnd w:id="534"/>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إحراز وصولها؛ لأنّ الاشتغال الیقینی یستدعی الفراغ الیقینی بل مع الشکّ یجری استصحاب عدم الإصابة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الإیصال بالرمی دون الوضع؛ لاختلافهما وعدم صدق عنوان الرمی المأمور به علی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الحصی من الحرم؛ لصحیح زرارة عن أبی جعفر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 الجمار إن أخذته من الحرم أجزأک وإن أخذته من غیر الحرم لم یجزک</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الحصیات أبکاراً، علی المشهور؛ وتدلّ علیه معتبرة عبدالأعلی عن أبی‌عبدالله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لاتأخذ من حصی الجمار</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وفی السند تأمّل لوجود سهل بن زیاد وفیه کلام معروف وإن کان لایبعد اعتباره</w:t>
      </w:r>
      <w:r>
        <w:rPr>
          <w:rFonts w:eastAsia="IRNazanin" w:cs="IRNazanin"/>
          <w:color w:val="111111"/>
          <w:sz w:val="28"/>
          <w:szCs w:val="28"/>
          <w:rtl w:val="true"/>
          <w:lang w:bidi="fa-IR"/>
        </w:rPr>
        <w:t>.</w:t>
      </w:r>
    </w:p>
    <w:p>
      <w:pPr>
        <w:pStyle w:val="Heading5"/>
        <w:numPr>
          <w:ilvl w:val="4"/>
          <w:numId w:val="1"/>
        </w:numPr>
        <w:rPr/>
      </w:pPr>
      <w:bookmarkStart w:id="535" w:name="__RefHeading___Toc580694_774463916"/>
      <w:bookmarkStart w:id="536" w:name="_Toc215"/>
      <w:bookmarkEnd w:id="535"/>
      <w:r>
        <w:rPr/>
        <w:t>5</w:t>
      </w:r>
      <w:r>
        <w:rPr>
          <w:rtl w:val="true"/>
        </w:rPr>
        <w:t xml:space="preserve">- </w:t>
      </w:r>
      <w:r>
        <w:rPr>
          <w:rtl w:val="true"/>
        </w:rPr>
        <w:t>الذبح أو النحر</w:t>
      </w:r>
      <w:bookmarkEnd w:id="536"/>
    </w:p>
    <w:p>
      <w:pPr>
        <w:pStyle w:val="BookText"/>
        <w:rPr/>
      </w:pPr>
      <w:r>
        <w:rPr>
          <w:rFonts w:ascii="Amiri" w:hAnsi="Amiri" w:eastAsia="Amiri" w:cs="Amiri"/>
          <w:color w:val="111111"/>
          <w:sz w:val="28"/>
          <w:sz w:val="28"/>
          <w:szCs w:val="28"/>
          <w:rtl w:val="true"/>
          <w:lang w:bidi="ar-SA"/>
        </w:rPr>
        <w:t>یجب فی حجّ التمتّع ذبح واحد من الغنم أو البقر أو نحر واحد من الإبل؛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تَمَتَّعَ بِالْعُمْرَةِ إِلَی الْحَجِّ فَمَا اسْتَیْسَرَ مِنَ الْهَدْیِ</w:t>
      </w:r>
      <w:r>
        <w:rPr>
          <w:rFonts w:eastAsia="Amiri" w:cs="Amiri" w:ascii="Amiri" w:hAnsi="Amiri"/>
          <w:color w:val="111111"/>
          <w:sz w:val="28"/>
          <w:szCs w:val="28"/>
          <w:rtl w:val="true"/>
          <w:lang w:bidi="ar-SA"/>
        </w:rPr>
        <w:t xml:space="preserve">... . </w:t>
      </w:r>
      <w:r>
        <w:rPr>
          <w:rStyle w:val="FootnoteAnchor"/>
          <w:rtl w:val="true"/>
        </w:rPr>
        <w:footnoteReference w:id="396"/>
      </w:r>
      <w:r>
        <w:rPr>
          <w:rFonts w:ascii="IRNazanin" w:hAnsi="IRNazanin" w:eastAsia="IRNazanin"/>
          <w:color w:val="111111"/>
          <w:sz w:val="28"/>
          <w:sz w:val="28"/>
          <w:szCs w:val="28"/>
          <w:rtl w:val="true"/>
          <w:lang w:bidi="fa-IR"/>
        </w:rPr>
        <w:t>وصحیح زرارة عن أبی جعفر علیه السلام الوارد فی التمتع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الهدی؟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أفضله بدنة، وأوسطه بقرة وآخره شاة</w:t>
      </w:r>
      <w:r>
        <w:rPr>
          <w:rFonts w:eastAsia="IRNazanin" w:cs="IRNazanin"/>
          <w:color w:val="111111"/>
          <w:sz w:val="28"/>
          <w:szCs w:val="28"/>
          <w:rtl w:val="true"/>
          <w:lang w:bidi="fa-IR"/>
        </w:rPr>
        <w:t xml:space="preserve">». </w:t>
      </w:r>
      <w:r>
        <w:rPr>
          <w:rStyle w:val="FootnoteAnchor"/>
          <w:rtl w:val="true"/>
        </w:rPr>
        <w:footnoteReference w:id="397"/>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فلایجوز سائر الحیوانات کما لایجزی واحد عن اثنین بمقتضی الآیة الکریمة وللروایات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ویجب کونه بعد الرمی؛ لصحیح معاویة بن عمّار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رمیت الجمرة فاشتر هدیک</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وکذلک یجب کونه فی منی، بلاخلاف؛ للسیرة القطعیة علی تعیّن ذلک ویدلّ علیه أیضاً صحیح منصور بن حازم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یضلّ هدیه فیجده رجل آخر فینحره؟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نحره بمنی فقد أجزأَ عن صاحبه الذی ضلّ عنه وإن کان نحره فی غیر منی لم یجز عن صاحبه</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یجب فی الهدی أن یکون تامّ الأجزاء، فلا یکفی الناقص کالخصیّ؛ ففی الصحیح عن علی بن جعفر عن أخیه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الرجل یشتری الأُضحیة عوراء فلا یعلم إلاّ بعد شرائها، هل تجزی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إلاّ أن یکون هدیاً واجباً فإنّه لایجوز أن یکون ناقصاً</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ویشترط أن لایکون مهزولاً؛ للروایات، منها صحیح محمد بن مسلم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اشتری أضحیة وهو ینوی أنّها سمینة فخرجت مهزولة، أجزأت عنه وإن نواها مهزولة فخرجت سمینة أجزأت عنه، وإن نواها مهزولة فخرجت مهزولة، لم یجز عنه</w:t>
      </w:r>
      <w:r>
        <w:rPr>
          <w:rFonts w:eastAsia="IRNazanin" w:cs="IRNazanin"/>
          <w:color w:val="111111"/>
          <w:sz w:val="28"/>
          <w:szCs w:val="28"/>
          <w:rtl w:val="true"/>
          <w:lang w:bidi="fa-IR"/>
        </w:rPr>
        <w:t xml:space="preserve">. </w:t>
      </w:r>
      <w:r>
        <w:rPr>
          <w:rStyle w:val="FootnoteAnchor"/>
          <w:rtl w:val="true"/>
        </w:rPr>
        <w:footnoteReference w:id="401"/>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وهل یلزم تقسیم الهدی أثلاثاً؟ ثلثاً، لنفسه، وثلثاً للفقراء، وثلثاً للمؤمنین هدیةً، کما عن الدروس، والشهید الثانی، أو هو مستحب کما عن الشرائع، ونسبه فی کشف اللثام إلی الأکثر، وجهان</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وکیفما کان فهل یجب علیه الأکل منه؟ المشهور هو عدم اللزوم والمحکی عن ابن ادریس فی السرائر، والمحقق فی الشرائع، والعلاّمة، هو الوجوب لظاهر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فَکُلُوا مِنْها وَ أَطْعِمُوا الْبائِسَ الْفَقِیرَ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الکشّاف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بالأکل أمرُ إباحة، لأنّ أهل الجاهلیة ماکانوا یأکلون من نَسائِکهم</w:t>
      </w:r>
      <w:r>
        <w:rPr>
          <w:rFonts w:eastAsia="Amiri" w:cs="Amiri" w:ascii="Amiri" w:hAnsi="Amiri"/>
          <w:color w:val="111111"/>
          <w:sz w:val="28"/>
          <w:szCs w:val="28"/>
          <w:rtl w:val="true"/>
          <w:lang w:bidi="ar-SA"/>
        </w:rPr>
        <w:t xml:space="preserve">... </w:t>
      </w:r>
      <w:r>
        <w:rPr>
          <w:rStyle w:val="FootnoteAnchor"/>
          <w:rtl w:val="true"/>
        </w:rPr>
        <w:footnoteReference w:id="402"/>
      </w:r>
      <w:r>
        <w:rPr>
          <w:rFonts w:ascii="IRNazanin" w:hAnsi="IRNazanin" w:eastAsia="IRNazanin"/>
          <w:color w:val="111111"/>
          <w:sz w:val="28"/>
          <w:sz w:val="28"/>
          <w:szCs w:val="28"/>
          <w:rtl w:val="true"/>
          <w:lang w:bidi="fa-IR"/>
        </w:rPr>
        <w:t>ومراده أنّ الأمر حیث یکون فی مقام توهم الخطر، فلا یکون ظاهراً فی الوجوب</w:t>
      </w:r>
      <w:r>
        <w:rPr>
          <w:rFonts w:eastAsia="IRNazanin" w:cs="IRNazanin"/>
          <w:color w:val="111111"/>
          <w:sz w:val="28"/>
          <w:szCs w:val="28"/>
          <w:rtl w:val="true"/>
          <w:lang w:bidi="fa-IR"/>
        </w:rPr>
        <w:t>.</w:t>
      </w:r>
      <w:bookmarkStart w:id="537" w:name="pg5021_49309"/>
    </w:p>
    <w:p>
      <w:pPr>
        <w:pStyle w:val="Heading3"/>
        <w:numPr>
          <w:ilvl w:val="2"/>
          <w:numId w:val="1"/>
        </w:numPr>
        <w:rPr/>
      </w:pPr>
      <w:bookmarkStart w:id="538" w:name="__RefHeading___Toc580696_774463916"/>
      <w:bookmarkStart w:id="539" w:name="_Toc216"/>
      <w:bookmarkEnd w:id="537"/>
      <w:bookmarkEnd w:id="538"/>
      <w:r>
        <w:rPr>
          <w:rtl w:val="true"/>
        </w:rPr>
        <w:t>الدرس</w:t>
      </w:r>
      <w:r>
        <w:rPr/>
        <w:t>57</w:t>
      </w:r>
      <w:r>
        <w:rPr>
          <w:rtl w:val="true"/>
        </w:rPr>
        <w:t xml:space="preserve"> - </w:t>
      </w:r>
      <w:r>
        <w:rPr>
          <w:rtl w:val="true"/>
        </w:rPr>
        <w:t xml:space="preserve">کتاب الحجّ </w:t>
      </w:r>
      <w:r>
        <w:rPr>
          <w:rtl w:val="true"/>
        </w:rPr>
        <w:t>(</w:t>
      </w:r>
      <w:r>
        <w:rPr/>
        <w:t>11</w:t>
      </w:r>
      <w:r>
        <w:rPr>
          <w:rtl w:val="true"/>
        </w:rPr>
        <w:t>)</w:t>
      </w:r>
      <w:bookmarkEnd w:id="539"/>
    </w:p>
    <w:p>
      <w:pPr>
        <w:pStyle w:val="Heading4"/>
        <w:numPr>
          <w:ilvl w:val="3"/>
          <w:numId w:val="1"/>
        </w:numPr>
        <w:rPr/>
      </w:pPr>
      <w:bookmarkStart w:id="540" w:name="__RefHeading___Toc580698_774463916"/>
      <w:bookmarkStart w:id="541" w:name="_Toc217"/>
      <w:bookmarkEnd w:id="540"/>
      <w:r>
        <w:rPr>
          <w:rtl w:val="true"/>
        </w:rPr>
        <w:t xml:space="preserve">أعمال الحجّ </w:t>
      </w:r>
      <w:r>
        <w:rPr>
          <w:rtl w:val="true"/>
        </w:rPr>
        <w:t>(</w:t>
      </w:r>
      <w:r>
        <w:rPr/>
        <w:t>3</w:t>
      </w:r>
      <w:r>
        <w:rPr>
          <w:rtl w:val="true"/>
        </w:rPr>
        <w:t>)</w:t>
      </w:r>
      <w:bookmarkEnd w:id="541"/>
    </w:p>
    <w:p>
      <w:pPr>
        <w:pStyle w:val="Heading5"/>
        <w:numPr>
          <w:ilvl w:val="4"/>
          <w:numId w:val="1"/>
        </w:numPr>
        <w:rPr/>
      </w:pPr>
      <w:bookmarkStart w:id="542" w:name="__RefHeading___Toc580700_774463916"/>
      <w:bookmarkStart w:id="543" w:name="_Toc218"/>
      <w:bookmarkEnd w:id="542"/>
      <w:r>
        <w:rPr/>
        <w:t>6</w:t>
      </w:r>
      <w:r>
        <w:rPr>
          <w:rtl w:val="true"/>
        </w:rPr>
        <w:t xml:space="preserve">- </w:t>
      </w:r>
      <w:r>
        <w:rPr>
          <w:rtl w:val="true"/>
        </w:rPr>
        <w:t>الحلق والتقصیر</w:t>
      </w:r>
      <w:bookmarkEnd w:id="543"/>
    </w:p>
    <w:p>
      <w:pPr>
        <w:pStyle w:val="BookText"/>
        <w:rPr/>
      </w:pPr>
      <w:r>
        <w:rPr>
          <w:rFonts w:ascii="Amiri" w:hAnsi="Amiri" w:eastAsia="Amiri" w:cs="Amiri"/>
          <w:color w:val="111111"/>
          <w:sz w:val="28"/>
          <w:sz w:val="28"/>
          <w:szCs w:val="28"/>
          <w:rtl w:val="true"/>
          <w:lang w:bidi="ar-SA"/>
        </w:rPr>
        <w:t>یجب بعد الرمی والذبح، الحلق أو التقصیر؛ للسیرة القطعیة وقد یستفاد ذلک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صَدَقَ اللّهُ رَسُولَهُ الرُّؤْیا بِالْحَقِّ لَتَدْخُلُنَّ الْمَسْجِدَ الْحَرامَ إِنْ شاءَ اللّهُ آمِنِینَ مُحَلِّقِینَ رُؤُسَکُمْ وَ مُقَصِّرِینَ</w:t>
      </w:r>
      <w:r>
        <w:rPr>
          <w:rFonts w:eastAsia="Amiri" w:cs="Amiri" w:ascii="Amiri" w:hAnsi="Amiri"/>
          <w:color w:val="111111"/>
          <w:sz w:val="28"/>
          <w:szCs w:val="28"/>
          <w:rtl w:val="true"/>
          <w:lang w:bidi="ar-SA"/>
        </w:rPr>
        <w:t xml:space="preserve">... .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ویجب أن یکون ذلک فی منی کما یستفاد من صحیح الحلبی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أباعبدالله علیه السلام عن رجل نسی أن یقصّر من شعره أو یحلقه حتی ارتحل من منی،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یرجع إلی منی حتی یلقی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 بها حلقاً کان أو تقصیراً</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والمشهور اعتبار أن یکون فی الیوم العاشر نهاراً؛ واستدلّ له بالسیرة والتأسی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المرأة التقصیر، فقط کما هو واضح</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والرجل بالخیار بین التقصیر وبین الحلق فی غیر حجّه الأوّل؛ لقوله علیه السلام فی صحیح معاویة بن عمار فی حدیث</w:t>
      </w:r>
      <w:r>
        <w:rPr>
          <w:rFonts w:eastAsia="IRNazanin" w:cs="IRNazanin"/>
          <w:color w:val="111111"/>
          <w:sz w:val="28"/>
          <w:szCs w:val="28"/>
          <w:rtl w:val="true"/>
          <w:lang w:bidi="fa-IR"/>
        </w:rPr>
        <w:t>:</w:t>
      </w:r>
      <w:bookmarkStart w:id="544" w:name="pg5021_49310"/>
    </w:p>
    <w:p>
      <w:pPr>
        <w:pStyle w:val="BookText"/>
        <w:rPr/>
      </w:pPr>
      <w:bookmarkEnd w:id="544"/>
      <w:r>
        <w:rPr>
          <w:rFonts w:ascii="IRNazanin" w:hAnsi="IRNazanin" w:eastAsia="IRNazanin"/>
          <w:color w:val="111111"/>
          <w:sz w:val="28"/>
          <w:sz w:val="28"/>
          <w:szCs w:val="28"/>
          <w:rtl w:val="true"/>
          <w:lang w:bidi="fa-IR"/>
        </w:rPr>
        <w:t>وإن کان قد حجّ فإن شاء قصّر وإن شاء حلق</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وأمّا فی الحجّ الأوّل ففیه خلاف</w:t>
      </w:r>
      <w:r>
        <w:rPr>
          <w:rFonts w:eastAsia="Amiri" w:cs="Amiri" w:ascii="Amiri" w:hAnsi="Amiri"/>
          <w:color w:val="111111"/>
          <w:sz w:val="28"/>
          <w:szCs w:val="28"/>
          <w:rtl w:val="true"/>
          <w:lang w:bidi="ar-SA"/>
        </w:rPr>
        <w:t>.</w:t>
      </w:r>
    </w:p>
    <w:p>
      <w:pPr>
        <w:pStyle w:val="Heading5"/>
        <w:numPr>
          <w:ilvl w:val="4"/>
          <w:numId w:val="1"/>
        </w:numPr>
        <w:rPr/>
      </w:pPr>
      <w:bookmarkStart w:id="545" w:name="__RefHeading___Toc580702_774463916"/>
      <w:bookmarkStart w:id="546" w:name="_Toc219"/>
      <w:bookmarkEnd w:id="545"/>
      <w:r>
        <w:rPr/>
        <w:t>7</w:t>
      </w:r>
      <w:r>
        <w:rPr>
          <w:rtl w:val="true"/>
        </w:rPr>
        <w:t xml:space="preserve">- </w:t>
      </w:r>
      <w:r>
        <w:rPr>
          <w:rtl w:val="true"/>
        </w:rPr>
        <w:t>العود إلی مکّة المکرّمة</w:t>
      </w:r>
      <w:bookmarkEnd w:id="546"/>
    </w:p>
    <w:p>
      <w:pPr>
        <w:pStyle w:val="BookText"/>
        <w:rPr/>
      </w:pPr>
      <w:r>
        <w:rPr>
          <w:rFonts w:ascii="IRNazanin" w:hAnsi="IRNazanin" w:eastAsia="IRNazanin"/>
          <w:color w:val="111111"/>
          <w:sz w:val="28"/>
          <w:sz w:val="28"/>
          <w:szCs w:val="28"/>
          <w:rtl w:val="true"/>
          <w:lang w:bidi="fa-IR"/>
        </w:rPr>
        <w:t>یجب بعد الحلق أو التقصیر، العود إلی مکّة المکّرمة، لأداء مناسک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الحج، وصلاته، والسعی، وطواف النساء، وصلاته، للسیرة القطعیة، والروایات الکثیرة، وکیفیة ذلک کما تقدّم فی عمرة التمتع علی ما دلّ علیه صحیح معاویة بن عمّار عن أبی عبدالله علیه السلام وفی ذیلها بعد بیان المناسک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واصنع کما صنعت یوم دخلت مکّة</w:t>
      </w:r>
      <w:r>
        <w:rPr>
          <w:rFonts w:eastAsia="IRNazanin" w:cs="IRNazanin"/>
          <w:color w:val="111111"/>
          <w:sz w:val="28"/>
          <w:szCs w:val="28"/>
          <w:rtl w:val="true"/>
          <w:lang w:bidi="fa-IR"/>
        </w:rPr>
        <w:t xml:space="preserve">. </w:t>
      </w:r>
      <w:r>
        <w:rPr>
          <w:rStyle w:val="FootnoteAnchor"/>
          <w:rtl w:val="true"/>
        </w:rPr>
        <w:footnoteReference w:id="406"/>
      </w:r>
    </w:p>
    <w:p>
      <w:pPr>
        <w:pStyle w:val="Heading5"/>
        <w:numPr>
          <w:ilvl w:val="4"/>
          <w:numId w:val="1"/>
        </w:numPr>
        <w:rPr/>
      </w:pPr>
      <w:bookmarkStart w:id="547" w:name="__RefHeading___Toc580704_774463916"/>
      <w:bookmarkStart w:id="548" w:name="_Toc220"/>
      <w:bookmarkEnd w:id="547"/>
      <w:r>
        <w:rPr/>
        <w:t>8</w:t>
      </w:r>
      <w:r>
        <w:rPr>
          <w:rtl w:val="true"/>
        </w:rPr>
        <w:t xml:space="preserve">- </w:t>
      </w:r>
      <w:r>
        <w:rPr>
          <w:rtl w:val="true"/>
        </w:rPr>
        <w:t>المبیت بمنی</w:t>
      </w:r>
      <w:bookmarkEnd w:id="548"/>
    </w:p>
    <w:p>
      <w:pPr>
        <w:pStyle w:val="BookText"/>
        <w:rPr/>
      </w:pPr>
      <w:r>
        <w:rPr>
          <w:rFonts w:ascii="Amiri" w:hAnsi="Amiri" w:eastAsia="Amiri" w:cs="Amiri"/>
          <w:color w:val="111111"/>
          <w:sz w:val="28"/>
          <w:sz w:val="28"/>
          <w:szCs w:val="28"/>
          <w:rtl w:val="true"/>
          <w:lang w:bidi="ar-SA"/>
        </w:rPr>
        <w:t>یجب علی الحاج المبیت بمنی لیلة الحادی عشر؛ والثانی عشر للسیرة القطعیة، والنفر بعد الزوال من الیوم الثانی عشر إن أراد النفر الأوّل، ولایجب علیه المبیت لیلة الثالث عشر إلاّ إذا لم یتق الصید، أو دخل علیه اللیل فی الیوم الثانی وهو فی منی، ویدلّ علی الأوّل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اذْکُرُوا اللّهَ فِی أَیّامٍ مَعْدُوداتٍ فَمَنْ تَعَجَّلَ فِی یَوْمَیْنِ فَلا إِثْمَ عَلَیْهِ وَ مَنْ تَأَخَّرَ فَلا إِثْمَ عَلَیْهِ لِمَنِ اتَّقی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بضمیمة تفسیرها فی صحیح حماد عن أبی عبدالله علیه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اتّقی الصید</w:t>
      </w:r>
      <w:r>
        <w:rPr>
          <w:rFonts w:eastAsia="Amiri" w:cs="Amiri" w:ascii="Amiri" w:hAnsi="Amiri"/>
          <w:color w:val="111111"/>
          <w:sz w:val="28"/>
          <w:szCs w:val="28"/>
          <w:rtl w:val="true"/>
          <w:lang w:bidi="ar-SA"/>
        </w:rPr>
        <w:t xml:space="preserve">». </w:t>
      </w:r>
      <w:r>
        <w:rPr>
          <w:rStyle w:val="FootnoteAnchor"/>
          <w:rtl w:val="true"/>
        </w:rPr>
        <w:footnoteReference w:id="407"/>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ویدلّ علی الثانی صحیح الحلبی عن أبی عبدالله علیه السلام </w:t>
      </w:r>
      <w:r>
        <w:rPr>
          <w:rFonts w:eastAsia="IRNazanin" w:cs="IRNazanin"/>
          <w:color w:val="111111"/>
          <w:sz w:val="28"/>
          <w:szCs w:val="28"/>
          <w:rtl w:val="true"/>
          <w:lang w:bidi="fa-IR"/>
        </w:rPr>
        <w:t>:</w:t>
      </w:r>
      <w:bookmarkStart w:id="549" w:name="pg5021_49311"/>
    </w:p>
    <w:p>
      <w:pPr>
        <w:pStyle w:val="BookText"/>
        <w:rPr/>
      </w:pPr>
      <w:bookmarkEnd w:id="549"/>
      <w:r>
        <w:rPr>
          <w:rFonts w:ascii="IRNazanin" w:hAnsi="IRNazanin" w:eastAsia="IRNazanin"/>
          <w:color w:val="111111"/>
          <w:sz w:val="28"/>
          <w:sz w:val="28"/>
          <w:szCs w:val="28"/>
          <w:rtl w:val="true"/>
          <w:lang w:bidi="fa-IR"/>
        </w:rPr>
        <w:t>من تعجّل فی یومین فلا ینفر حتّی تزول الشمس، فإن أدرکه المساء بات ولم ینفر</w:t>
      </w:r>
      <w:r>
        <w:rPr>
          <w:rFonts w:eastAsia="IRNazanin" w:cs="IRNazanin"/>
          <w:color w:val="111111"/>
          <w:sz w:val="28"/>
          <w:szCs w:val="28"/>
          <w:rtl w:val="true"/>
          <w:lang w:bidi="fa-IR"/>
        </w:rPr>
        <w:t xml:space="preserve">. </w:t>
      </w:r>
      <w:r>
        <w:rPr>
          <w:rStyle w:val="FootnoteAnchor"/>
          <w:rtl w:val="true"/>
        </w:rPr>
        <w:footnoteReference w:id="408"/>
      </w:r>
    </w:p>
    <w:p>
      <w:pPr>
        <w:pStyle w:val="Heading5"/>
        <w:numPr>
          <w:ilvl w:val="4"/>
          <w:numId w:val="1"/>
        </w:numPr>
        <w:rPr/>
      </w:pPr>
      <w:bookmarkStart w:id="550" w:name="__RefHeading___Toc580706_774463916"/>
      <w:bookmarkStart w:id="551" w:name="_Toc221"/>
      <w:bookmarkEnd w:id="550"/>
      <w:r>
        <w:rPr/>
        <w:t>9</w:t>
      </w:r>
      <w:r>
        <w:rPr>
          <w:rtl w:val="true"/>
        </w:rPr>
        <w:t xml:space="preserve">- </w:t>
      </w:r>
      <w:r>
        <w:rPr>
          <w:rtl w:val="true"/>
        </w:rPr>
        <w:t>رمی الجمار</w:t>
      </w:r>
      <w:bookmarkEnd w:id="551"/>
    </w:p>
    <w:p>
      <w:pPr>
        <w:pStyle w:val="BookText"/>
        <w:rPr/>
      </w:pPr>
      <w:r>
        <w:rPr>
          <w:rFonts w:ascii="IRNazanin" w:hAnsi="IRNazanin" w:eastAsia="IRNazanin"/>
          <w:color w:val="111111"/>
          <w:sz w:val="28"/>
          <w:sz w:val="28"/>
          <w:szCs w:val="28"/>
          <w:rtl w:val="true"/>
          <w:lang w:bidi="fa-IR"/>
        </w:rPr>
        <w:t>یجب فی الیوم الحادی عشر والثانی عشر علی ما تقتضیه السیرة رمی الجمار الثلاثِ بمنی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ثمّ الوسطی، ثمّ جمرة العقبة، فإن نکس أعاد؛ لصحیح معاویة بن عمّار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الرجل یرمی الجمار منکوسة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یعیدها علی الوسطی وجمرة العقبة</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وکیفیة الرمی المذکور نفس الکیفیة المذکورة فی رمی جمرة العقبة یوم العاشر، لإطلاق النصوص المتقدّمة عند البحث عن کیفیة رمی جمرة العقبة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بعد إتمام المناسک زیارة رسول‌الله صلی الله علیه و آله بالمدینة؛</w:t>
      </w:r>
    </w:p>
    <w:p>
      <w:pPr>
        <w:pStyle w:val="BookText"/>
        <w:rPr/>
      </w:pPr>
      <w:r>
        <w:rPr>
          <w:rFonts w:ascii="IRNazanin" w:hAnsi="IRNazanin" w:eastAsia="IRNazanin"/>
          <w:color w:val="111111"/>
          <w:sz w:val="28"/>
          <w:sz w:val="28"/>
          <w:szCs w:val="28"/>
          <w:rtl w:val="true"/>
          <w:lang w:bidi="fa-IR"/>
        </w:rPr>
        <w:t xml:space="preserve">للروایات، قال أمیرالمؤمنین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أتمّوا برسول‌الله صلی الله علیه و آله إذا خرجتم إلی بیت الله الحرام، فإنّ ترکه جفاء وبذلک أمرتم، وأتمّوا بالقبور التی ألزمکم الله حقّها وزیارتها، واطلبوا الرزق عندها</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وعن أبی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الجحّ لقاءالإمام</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وعن الصادق علیه السلام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حجّ أحدکم فلیختم بزیارتنا؛ لأنّ ذلک من تمام الحجّ</w:t>
      </w:r>
      <w:r>
        <w:rPr>
          <w:rFonts w:eastAsia="IRNazanin" w:cs="IRNazanin"/>
          <w:color w:val="111111"/>
          <w:sz w:val="28"/>
          <w:szCs w:val="28"/>
          <w:rtl w:val="true"/>
          <w:lang w:bidi="fa-IR"/>
        </w:rPr>
        <w:t xml:space="preserve">. </w:t>
      </w:r>
      <w:r>
        <w:rPr>
          <w:rStyle w:val="FootnoteAnchor"/>
          <w:rtl w:val="true"/>
        </w:rPr>
        <w:footnoteReference w:id="412"/>
      </w:r>
      <w:bookmarkStart w:id="552" w:name="pg5021_49312"/>
    </w:p>
    <w:p>
      <w:pPr>
        <w:pStyle w:val="Heading3"/>
        <w:numPr>
          <w:ilvl w:val="2"/>
          <w:numId w:val="1"/>
        </w:numPr>
        <w:rPr/>
      </w:pPr>
      <w:bookmarkStart w:id="553" w:name="__RefHeading___Toc580708_774463916"/>
      <w:bookmarkStart w:id="554" w:name="_Toc222"/>
      <w:bookmarkEnd w:id="552"/>
      <w:bookmarkEnd w:id="553"/>
      <w:r>
        <w:rPr>
          <w:rtl w:val="true"/>
        </w:rPr>
        <w:t>الدرس</w:t>
      </w:r>
      <w:r>
        <w:rPr/>
        <w:t>58</w:t>
      </w:r>
      <w:r>
        <w:rPr>
          <w:rtl w:val="true"/>
        </w:rPr>
        <w:t xml:space="preserve"> - </w:t>
      </w:r>
      <w:r>
        <w:rPr>
          <w:rtl w:val="true"/>
        </w:rPr>
        <w:t>کتاب الجهاد</w:t>
      </w:r>
      <w:bookmarkEnd w:id="554"/>
    </w:p>
    <w:p>
      <w:pPr>
        <w:pStyle w:val="Heading4"/>
        <w:numPr>
          <w:ilvl w:val="3"/>
          <w:numId w:val="1"/>
        </w:numPr>
        <w:rPr/>
      </w:pPr>
      <w:bookmarkStart w:id="555" w:name="__RefHeading___Toc580710_774463916"/>
      <w:bookmarkStart w:id="556" w:name="_Toc223"/>
      <w:bookmarkEnd w:id="555"/>
      <w:r>
        <w:rPr>
          <w:rtl w:val="true"/>
        </w:rPr>
        <w:t>أهمیّة الجهاد وأحکامه</w:t>
      </w:r>
      <w:bookmarkEnd w:id="556"/>
    </w:p>
    <w:p>
      <w:pPr>
        <w:pStyle w:val="BookText"/>
        <w:rPr/>
      </w:pPr>
      <w:r>
        <w:rPr>
          <w:rFonts w:ascii="IRNazanin" w:hAnsi="IRNazanin" w:eastAsia="IRNazanin"/>
          <w:color w:val="111111"/>
          <w:sz w:val="28"/>
          <w:sz w:val="28"/>
          <w:szCs w:val="28"/>
          <w:rtl w:val="true"/>
          <w:lang w:bidi="fa-IR"/>
        </w:rPr>
        <w:t>جهاد الکفار واجب فی الجملة؛ بضرورة الدین، والقرآن، والروایات مملوءة بالتأکید علیه وبیان أحکامه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فَلْیُقاتِلْ فِی سَبِیلِ اللّهِ الَّذِینَ یَشْرُونَ الْحَیاةَ الدُّنْیا بِالْآخِرَةِ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والروایات فی ذلک فوق حدّ الإحصاء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أمیرالمؤمنین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فرض الجهاد وعظّمه وجعله نصره وناصره، واللِه ما صلحت دنیا ولا دین إلاّ به</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وهل یجب فی عصر الغیبة أیضاً؟ فیه خلاف ومقتضی، إطلاق الأدلّة هو الوجوب ویؤیده المروی عن الرضا علیه السلام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الجهاد واجب مع الإمام العادل</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ومال إلیه فی الجواهر</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الکفار إن کانوا من أهل الکتاب یجب جهادهم حتّی یسلموا أو یعطوا الجزیة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قاتِلُوا الَّذِینَ لا یُؤْمِنُونَ بِاللّهِ وَ لا بِالْیَوْمِ الْآخِرِ وَ لا یُحَرِّمُونَ ما حَرَّمَ اللّهُ وَ رَسُولُهُ وَ لا یَدِینُونَ دِینَ الْحَقِّ مِنَ الَّذِینَ أُوتُوا الْکِتابَ حَتّی یُعْطُوا الْجِزْیَةَ عَنْ یَدٍ وَ هُمْ صاغِرُونَ </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وأمّا غیرهم فیقاتلون حتی یسلموا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فَاقْتُلُوا الْمُشْرِکِینَ حَیْثُ وَجَدْتُمُوهُمْ وَ خُذُوهُمْ وَ احْصُرُوهُمْ وَ اقْعُدُوا لَهُمْ کُلَّ مَرْصَدٍ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تابُوا وَ أَقامُوا الصَّلاةَ وَ آتَوُا الزَّکاةَ فَإِخْوانُکُمْ فِی الدِّینِ</w:t>
      </w:r>
      <w:r>
        <w:rPr>
          <w:rFonts w:eastAsia="Amiri" w:cs="Amiri" w:ascii="Amiri" w:hAnsi="Amiri"/>
          <w:color w:val="111111"/>
          <w:sz w:val="28"/>
          <w:szCs w:val="28"/>
          <w:rtl w:val="true"/>
          <w:lang w:bidi="ar-SA"/>
        </w:rPr>
        <w:t xml:space="preserve">... .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قال أمیرالمؤمنین علیه السلام فی حدیث، ذیل الآیة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فهؤلاء لا یقبل منهم إلاّ القتل أو الدخول فی الإسلام</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والوجوب المذکور کفائی؛ إذ لا وجه للعینیّة بعد تحقّق الغرض بقیام جماعة، وشرطه مضافاً إلی الشرائط العامة وعمدتها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القدرة، </w:t>
      </w:r>
      <w:r>
        <w:rPr>
          <w:rStyle w:val="FootnoteAnchor"/>
          <w:rtl w:val="true"/>
        </w:rPr>
        <w:footnoteReference w:id="419"/>
      </w:r>
      <w:r>
        <w:rPr>
          <w:rFonts w:ascii="IRNazanin" w:hAnsi="IRNazanin" w:eastAsia="IRNazanin"/>
          <w:color w:val="111111"/>
          <w:sz w:val="28"/>
          <w:sz w:val="28"/>
          <w:szCs w:val="28"/>
          <w:rtl w:val="true"/>
          <w:lang w:bidi="fa-IR"/>
        </w:rPr>
        <w:t>والبلوغ، الذکورة؛ للسیرة القطعیة من زمن الرسول الأعظم صلی الله علیه و آله علی عفو النساء عن ذلک، ویدلّ علیه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الجهاد ویسمّی بالابتدائی</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الدفاع إذا دهم المسلمین عدوّ یخشی منه علی مجتمع الإسلام، فواجب بأیّة</w:t>
      </w:r>
    </w:p>
    <w:p>
      <w:pPr>
        <w:pStyle w:val="BookText"/>
        <w:rPr/>
      </w:pPr>
      <w:r>
        <w:rPr>
          <w:rFonts w:ascii="IRNazanin" w:hAnsi="IRNazanin" w:eastAsia="IRNazanin"/>
          <w:color w:val="111111"/>
          <w:sz w:val="28"/>
          <w:sz w:val="28"/>
          <w:szCs w:val="28"/>
          <w:rtl w:val="true"/>
          <w:lang w:bidi="fa-IR"/>
        </w:rPr>
        <w:t>وسیلة ممکنة علی جمیع المسلمین بلا فرق فی ذلک بین الرجل والأنثی والصغیر والکبیر والمریض وغیره فعلی کلّ أحد الدفاع حسب قدرته وتمکّنه؛ ویدل علیه حکم العقل وضرورة الحفاظ علی بیضة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اقتتلت طائفتان من المسلمین، وجب الإصلاح بینهما فإن لم یُجدِ، وجب قتال الباغیة،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طائِفَتانِ مِنَ الْمُؤْمِنِینَ اقْتَتَلُوا فَأَصْلِحُوا بَیْنَهُما فَإِنْ بَغَتْ إِحْداهُما عَلَی الْأُخْری فَقاتِلُوا الَّتِی تَبْغِی حَتّی تَفِیءَ إِلی أَمْرِ اللّهِ</w:t>
      </w:r>
      <w:r>
        <w:rPr>
          <w:rFonts w:eastAsia="Amiri" w:cs="Amiri" w:ascii="Amiri" w:hAnsi="Amiri"/>
          <w:color w:val="111111"/>
          <w:sz w:val="28"/>
          <w:szCs w:val="28"/>
          <w:rtl w:val="true"/>
          <w:lang w:bidi="ar-SA"/>
        </w:rPr>
        <w:t xml:space="preserve">... .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ویحرم الجهاد فی الأشهر الحرم؛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یَسْئَلُونَکَ عَنِ الشَّهْرِ الْحَرامِ قِتالٍ فِیهِ قُلْ قِتالٌ فِیهِ کَبِیرٌ</w:t>
      </w:r>
      <w:r>
        <w:rPr>
          <w:rFonts w:eastAsia="Amiri" w:cs="Amiri" w:ascii="Amiri" w:hAnsi="Amiri"/>
          <w:color w:val="111111"/>
          <w:sz w:val="28"/>
          <w:szCs w:val="28"/>
          <w:rtl w:val="true"/>
          <w:lang w:bidi="ar-SA"/>
        </w:rPr>
        <w:t xml:space="preserve">... .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نعم، یجوز ذلک مع بدء الخصم؛ لأنّه حینئذٍ دفاع تقتضیه الضرورة، ولقوله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 الْحَرامُ بِالشَّهْرِ الْحَرامِ وَ الْحُرُماتُ قِصاصٌ فَمَنِ اعْتَدی عَلَیْکُمْ فَاعْتَدُوا عَلَیْهِ بِمِثْلِ مَا اعْتَدی عَلَیْکُمْ</w:t>
      </w:r>
      <w:r>
        <w:rPr>
          <w:rFonts w:eastAsia="Amiri" w:cs="Amiri" w:ascii="Amiri" w:hAnsi="Amiri"/>
          <w:color w:val="111111"/>
          <w:sz w:val="28"/>
          <w:szCs w:val="28"/>
          <w:rtl w:val="true"/>
          <w:lang w:bidi="ar-SA"/>
        </w:rPr>
        <w:t xml:space="preserve">... .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وکذلک یحرم الجهاد فی الحرم، إلاّ مع البدأ فیه؛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تُقاتِلُوهُمْ عِنْدَ الْمَسْجِدِ الْحَرامِ حَتّی یُقاتِلُوکُمْ فِیهِ فَإِنْ قاتَلُوکُمْ فَاقْتُلُوهُمْ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ویمکن تعمیم الحکم بالنسبة إلی نواحی الحرم بنکتة الدفاع المتقدّمة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والجهاد کما یجب بالنفس کفایة فکذلک یجب بالمال، فیجبان کفایة معاً علی القادر؛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اِنْفِرُوا خِفافاً وَ ثِقالاً وَ جاهِدُوا بِأَمْوالِکُمْ وَ أَنْفُسِکُمْ فِی سَبِیلِ اللّهِ ذلِکُمْ خَیْرٌ لَکُمْ إِنْ کُنْتُمْ تَعْلَمُونَ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بغیرهما من الطرق المشروعة الحدیثة والممکنة؛ لقوله</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أَعِدُّوا لَهُمْ مَا اسْتَطَعْتُمْ مِنْ قُوَّةٍ</w:t>
      </w:r>
      <w:r>
        <w:rPr>
          <w:rFonts w:eastAsia="Amiri" w:cs="Amiri" w:ascii="Amiri" w:hAnsi="Amiri"/>
          <w:color w:val="111111"/>
          <w:sz w:val="28"/>
          <w:szCs w:val="28"/>
          <w:rtl w:val="true"/>
          <w:lang w:bidi="ar-SA"/>
        </w:rPr>
        <w:t xml:space="preserve">... . </w:t>
      </w:r>
      <w:r>
        <w:rPr>
          <w:rStyle w:val="FootnoteAnchor"/>
          <w:rtl w:val="true"/>
        </w:rPr>
        <w:footnoteReference w:id="423"/>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ویحرم الفرار من الزحف إلاّ لتحرّف فی القتال أو تحیّز إلی فئة،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لَقِیتُمُ الَّذِینَ کَفَرُوا زَحْفاً فَلا تُوَلُّوهُمُ الْأَدْبارَ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یُوَلِّهِمْ یَوْمَئِذٍ دُبُرَهُ إِلاّ مُتَحَرِّفاً لِقِتالٍ أَوْ مُتَحَیِّزاً إِلی فِئَةٍ فَقَدْ باءَ بِغَضَبٍ مِنَ اللّهِ وَ مَأْواهُ جَهَنَّمُ وَ بِئْسَ الْمَصِیرُ </w:t>
      </w:r>
      <w:r>
        <w:rPr>
          <w:rFonts w:eastAsia="Amiri" w:cs="Amiri" w:ascii="Amiri" w:hAnsi="Amiri"/>
          <w:color w:val="111111"/>
          <w:sz w:val="28"/>
          <w:szCs w:val="28"/>
          <w:rtl w:val="true"/>
          <w:lang w:bidi="ar-SA"/>
        </w:rPr>
        <w:t xml:space="preserve">. </w:t>
      </w:r>
      <w:r>
        <w:rPr>
          <w:rStyle w:val="FootnoteAnchor"/>
          <w:rtl w:val="true"/>
        </w:rPr>
        <w:footnoteReference w:id="424"/>
      </w:r>
      <w:bookmarkStart w:id="557" w:name="pg5021_49316"/>
    </w:p>
    <w:p>
      <w:pPr>
        <w:pStyle w:val="Heading3"/>
        <w:numPr>
          <w:ilvl w:val="2"/>
          <w:numId w:val="1"/>
        </w:numPr>
        <w:rPr/>
      </w:pPr>
      <w:bookmarkStart w:id="558" w:name="__RefHeading___Toc580712_774463916"/>
      <w:bookmarkStart w:id="559" w:name="_Toc224"/>
      <w:bookmarkEnd w:id="557"/>
      <w:bookmarkEnd w:id="558"/>
      <w:r>
        <w:rPr>
          <w:rtl w:val="true"/>
        </w:rPr>
        <w:t>الدرس</w:t>
      </w:r>
      <w:r>
        <w:rPr/>
        <w:t>59</w:t>
      </w:r>
      <w:r>
        <w:rPr>
          <w:rtl w:val="true"/>
        </w:rPr>
        <w:t xml:space="preserve"> - </w:t>
      </w:r>
      <w:r>
        <w:rPr>
          <w:rtl w:val="true"/>
        </w:rPr>
        <w:t>کتاب الأمر بالمعروف والنهی عن المنکر</w:t>
      </w:r>
      <w:bookmarkEnd w:id="559"/>
    </w:p>
    <w:p>
      <w:pPr>
        <w:pStyle w:val="Heading4"/>
        <w:numPr>
          <w:ilvl w:val="3"/>
          <w:numId w:val="1"/>
        </w:numPr>
        <w:rPr/>
      </w:pPr>
      <w:bookmarkStart w:id="560" w:name="__RefHeading___Toc580714_774463916"/>
      <w:bookmarkStart w:id="561" w:name="_Toc225"/>
      <w:bookmarkEnd w:id="560"/>
      <w:r>
        <w:rPr>
          <w:rtl w:val="true"/>
        </w:rPr>
        <w:t>اشارة</w:t>
      </w:r>
      <w:bookmarkEnd w:id="561"/>
    </w:p>
    <w:p>
      <w:pPr>
        <w:pStyle w:val="BookText"/>
        <w:rPr/>
      </w:pPr>
      <w:r>
        <w:rPr>
          <w:rFonts w:ascii="IRNazanin" w:hAnsi="IRNazanin" w:eastAsia="IRNazanin"/>
          <w:color w:val="111111"/>
          <w:sz w:val="28"/>
          <w:sz w:val="28"/>
          <w:szCs w:val="28"/>
          <w:rtl w:val="true"/>
          <w:lang w:bidi="fa-IR"/>
        </w:rPr>
        <w:t>وهما من أسمی الفرائض وأشرفها وبها تقام الفرائض ووجوبهما من ضروریات الدین ومنکره مع الالتفات بلازمه والالتزام به من الکافرین</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ویدلّ علی وجوبها الکتاب، والسنّة، والإجماع، بل العقل عند کثیر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ورد الحث علیهما فی الکتاب العزیز، والأخبار الشریفة، بألسنة مختلفة،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لْتَکُنْ مِنْکُمْ أُمَّةٌ یَدْعُونَ إِلَی الْخَیْرِ وَ یَأْمُرُونَ بِالْمَعْرُوفِ وَ یَنْهَوْنَ عَنِ الْمُنْکَرِ وَ أُولئِکَ هُمُ الْمُفْلِحُونَ،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کُنْتُمْ خَیْرَ أُمَّةٍ أُخْرِجَتْ لِلنّاسِ تَأْمُرُونَ بِالْمَعْرُوفِ وَ تَنْهَوْنَ عَنِ الْمُنْکَرِ وَ تُؤْمِنُونَ بِاللّهِ</w:t>
      </w:r>
      <w:r>
        <w:rPr>
          <w:rFonts w:eastAsia="Amiri" w:cs="Amiri" w:ascii="Amiri" w:hAnsi="Amiri"/>
          <w:color w:val="111111"/>
          <w:sz w:val="28"/>
          <w:szCs w:val="28"/>
          <w:rtl w:val="true"/>
          <w:lang w:bidi="ar-SA"/>
        </w:rPr>
        <w:t xml:space="preserve">... .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وعن الرضا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رسول‌الله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أمّتی تواکلت الأمر بالمعروف والنهی عن المنکر فلیأذنوا بوقاع من الله</w:t>
      </w:r>
      <w:r>
        <w:rPr>
          <w:rFonts w:eastAsia="IRNazanin" w:cs="IRNazanin"/>
          <w:color w:val="111111"/>
          <w:sz w:val="28"/>
          <w:szCs w:val="28"/>
          <w:rtl w:val="true"/>
          <w:lang w:bidi="fa-IR"/>
        </w:rPr>
        <w:t xml:space="preserve">. </w:t>
      </w:r>
      <w:r>
        <w:rPr>
          <w:rStyle w:val="FootnoteAnchor"/>
          <w:rtl w:val="true"/>
        </w:rPr>
        <w:footnoteReference w:id="427"/>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صلی الله علیه و آله </w:t>
      </w:r>
      <w:r>
        <w:rPr>
          <w:rFonts w:eastAsia="IRNazanin" w:cs="IRNazanin"/>
          <w:color w:val="111111"/>
          <w:sz w:val="28"/>
          <w:szCs w:val="28"/>
          <w:rtl w:val="true"/>
          <w:lang w:bidi="fa-IR"/>
        </w:rPr>
        <w:t>:</w:t>
      </w:r>
      <w:bookmarkStart w:id="562" w:name="pg5021_49317"/>
    </w:p>
    <w:p>
      <w:pPr>
        <w:pStyle w:val="BookText"/>
        <w:rPr/>
      </w:pPr>
      <w:bookmarkEnd w:id="562"/>
      <w:r>
        <w:rPr>
          <w:rFonts w:ascii="IRNazanin" w:hAnsi="IRNazanin" w:eastAsia="IRNazanin"/>
          <w:color w:val="111111"/>
          <w:sz w:val="28"/>
          <w:sz w:val="28"/>
          <w:szCs w:val="28"/>
          <w:rtl w:val="true"/>
          <w:lang w:bidi="fa-IR"/>
        </w:rPr>
        <w:t>إنّ الله لیبغض المؤمن الضعیف الذی لا دین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المؤمن الضعیف الذی لا دین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لاینهی عن المنکر</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وعنه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لاتزال أمّتی بخیر ما أمروا بالمعروف ونهوا عن المنکر وتعاونوا علی البر فإذا لم یفعلوا ذلک نزعت منهم البرکات وسلّط بعضهم علی بعض ولم یکن لهم ناصر من الأرض ولا فی السماء</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وهل وجوبه عیّنی أو کفائیّ؟ قولان ویدلّ علی الأوّل ظاهر الخطابات المتوجّهة إلی الجمیع کسائر الواجبات،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أَقِمِ الصَّلاةَ وَ أْمُرْ بِالْمَعْرُوفِ وَ انْهَ عَنِ الْمُنْکَرِ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وغیرذلک من الآیات والروایات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الثانی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لْتَکُنْ مِنْکُمْ أُمَّةٌ یَدْعُونَ إِلَی الْخَیْرِ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وتظهر الثمرة فی لزومهما علی البقیة عند اقدام البعض وعدم تأثیره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وإطلاق أدلّتهما یقتضی عدم اختصاصهما من حیث المکلّفین، کالحکام ورجال الدین، بل یجبان علی عامّة الناس وعدم اختصاصهما بالنسبة إلی العاصین، کالحکام والدول، والأقرباء، والمؤسسات، ومجلس التقنین، وغیرهم، وعدم اختصاصهما بالنسبة إلی المعاصی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کالإختلاس، والرشوة، والکذب، والإسراف و</w:t>
      </w:r>
      <w:r>
        <w:rPr>
          <w:rFonts w:eastAsia="IRNazanin" w:cs="IRNazanin"/>
          <w:color w:val="111111"/>
          <w:sz w:val="28"/>
          <w:szCs w:val="28"/>
          <w:rtl w:val="true"/>
          <w:lang w:bidi="fa-IR"/>
        </w:rPr>
        <w:t>....</w:t>
      </w:r>
    </w:p>
    <w:p>
      <w:pPr>
        <w:pStyle w:val="Heading4"/>
        <w:numPr>
          <w:ilvl w:val="3"/>
          <w:numId w:val="1"/>
        </w:numPr>
        <w:rPr/>
      </w:pPr>
      <w:bookmarkStart w:id="563" w:name="__RefHeading___Toc580716_774463916"/>
      <w:bookmarkStart w:id="564" w:name="_Toc226"/>
      <w:bookmarkEnd w:id="563"/>
      <w:r>
        <w:rPr>
          <w:rtl w:val="true"/>
        </w:rPr>
        <w:t>شرائط الأمر بالمعروف والنهی عن المنکر</w:t>
      </w:r>
      <w:bookmarkEnd w:id="5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کون المعروف إلزامیاً إذ المستحب لایجب إتیانه فکیف یجب الأمر به، وکذلک المنکر لو عمّ المکروه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معرفة المعروف والمنکر، وإلاّ فکیف یأمر وینهی عمّا لا یعرف؟ وهل هی شرط للوجوب أو للواجب؟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الثانی یجب تعلمهما لمن یعلم بوقوع المعصیة أو ترک الطاعة فی مجتمعه مع اجتماع سائر الشرائط</w:t>
      </w:r>
      <w:r>
        <w:rPr>
          <w:rFonts w:eastAsia="IRNazanin" w:cs="IRNazanin"/>
          <w:color w:val="111111"/>
          <w:sz w:val="28"/>
          <w:szCs w:val="28"/>
          <w:rtl w:val="true"/>
          <w:lang w:bidi="fa-IR"/>
        </w:rPr>
        <w:t>.</w:t>
      </w:r>
      <w:bookmarkStart w:id="565" w:name="pg5021_49319"/>
    </w:p>
    <w:p>
      <w:pPr>
        <w:pStyle w:val="Heading3"/>
        <w:numPr>
          <w:ilvl w:val="2"/>
          <w:numId w:val="1"/>
        </w:numPr>
        <w:rPr/>
      </w:pPr>
      <w:bookmarkStart w:id="566" w:name="__RefHeading___Toc580718_774463916"/>
      <w:bookmarkStart w:id="567" w:name="_Toc227"/>
      <w:bookmarkEnd w:id="565"/>
      <w:bookmarkEnd w:id="566"/>
      <w:r>
        <w:rPr>
          <w:rtl w:val="true"/>
        </w:rPr>
        <w:t>الدرس</w:t>
      </w:r>
      <w:r>
        <w:rPr/>
        <w:t>60</w:t>
      </w:r>
      <w:r>
        <w:rPr>
          <w:rtl w:val="true"/>
        </w:rPr>
        <w:t xml:space="preserve"> - </w:t>
      </w:r>
      <w:r>
        <w:rPr>
          <w:rtl w:val="true"/>
        </w:rPr>
        <w:t xml:space="preserve">کتاب الأمر بالمعروف والنهی عن المنکر </w:t>
      </w:r>
      <w:r>
        <w:rPr>
          <w:rtl w:val="true"/>
        </w:rPr>
        <w:t>(</w:t>
      </w:r>
      <w:r>
        <w:rPr/>
        <w:t>2</w:t>
      </w:r>
      <w:r>
        <w:rPr>
          <w:rtl w:val="true"/>
        </w:rPr>
        <w:t>)</w:t>
      </w:r>
      <w:bookmarkEnd w:id="567"/>
    </w:p>
    <w:p>
      <w:pPr>
        <w:pStyle w:val="Heading4"/>
        <w:numPr>
          <w:ilvl w:val="3"/>
          <w:numId w:val="1"/>
        </w:numPr>
        <w:rPr/>
      </w:pPr>
      <w:bookmarkStart w:id="568" w:name="__RefHeading___Toc580720_774463916"/>
      <w:bookmarkStart w:id="569" w:name="_Toc228"/>
      <w:bookmarkEnd w:id="568"/>
      <w:r>
        <w:rPr>
          <w:rtl w:val="true"/>
        </w:rPr>
        <w:t xml:space="preserve">شرائط الأمر بالمعروف والنهی عن المنکر </w:t>
      </w:r>
      <w:r>
        <w:rPr>
          <w:rtl w:val="true"/>
        </w:rPr>
        <w:t>(</w:t>
      </w:r>
      <w:r>
        <w:rPr/>
        <w:t>2</w:t>
      </w:r>
      <w:r>
        <w:rPr>
          <w:rtl w:val="true"/>
        </w:rPr>
        <w:t>)</w:t>
      </w:r>
      <w:bookmarkEnd w:id="56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التأثیر، إذ الوجوب هنا توصّلی لرفع المنکر وإتیان المعروف لاتعبّدی محض، فمع العلم بعدم الملاک یکون الوجوب لغواً، نعم لایلزم العلم بالتأثیر ولا الظن بل ولا الشک فیکفی احتماله لإطلاق الخطابات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بالتأثیر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أن یکون الأمر والنهی مؤثّراً فی رفع المعصیة کمّاً ولو بالنسبة إلی فرد من المعصیة، کالغیبة فی هذا المجلس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یشمل التأخیر والتقلیل کیفا؟ أو احتمال التأثیر بالنسبة إلی المعاصی الآتیة؟ وجوه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الإصرار، إذ الأمر أو النهی هنا لیس توبیخاً وعقوبة لما صدر من العاصی، بل هو منع له فی الآتی استدامة أو حدوثاً، فمع عدم الإصرار لا موضوع للأمر والنهی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تنجز الواجب والحرام فی حق التارک؛ إذ مع الارتکاب معذوراً لاشتباهه فی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کمن یشرب النجس وهو لایعلم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فی الحکم اجتهاداً أو تقلیداً، لایصدق علی فعله المنکر لیلزم ردعه بل هو لغو بالنسبة إلی الثانی، لاعتقاده الجواز</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استلزم الاشتباه المذکور مفسدة أخری، کتشجیع الآخرین علی المعصیة أو وقوع مالایرضی الشارع بوقوعه حتی من الجاهل المعذور، کقتل النفس وتلف الأموال والأعراض، یجب منعه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الضرر؛ 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المستفادة من قوله صلی الله علیه و آله فی مناقشة الصحابی مع سمرة وإضرار سمرة به وإبائه عن المصالحة حتّی فی مقابل نخلة فی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رجل مضار ولاضرر ولاضرار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وفی روایة فإنّه لاضرر ولاضرار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ولا یفرق فی الضرر المنفی، توجّه الضرر إلی الآمر والناهی أو غیره ممّن یکون محترماً شرعاً؛ لإطلاق دلیل لاضرر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المورد مهما جدّاً یجبان بالرغم من لزوم الضرر، ولعلّه من ذلک إقدام بعض الأولیاء من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 فی سائر الأعصار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والمشهور أنّ لهما مراتب ثلاث، الإنکار بالقلب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المراد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إظهار الکراهة بعد الانزعاج القلبی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باللسان ثم بالید؛ لإنّهما من مصادیق الأمر والنهی والروایات تؤیّده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یجوز الانتقال إلی الجرح أو القتل إذا لم تنجح سائر المراتب؟ فیه کلام بین الأعلام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والمشهور لزوم التدرج فی المراتب الثلاث، فلا یجوز الانتقال إلی اللاحقة مع إجداء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ویتأکّد الوجوب علی المکلّف بالنسبة إلی أهله؛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قُوا أَنْفُسَکُمْ وَ أَهْلِیکُمْ ناراً وَقُودُهَا النّاسُ وَ الْحِجارَةُ</w:t>
      </w:r>
      <w:r>
        <w:rPr>
          <w:rFonts w:eastAsia="Amiri" w:cs="Amiri" w:ascii="Amiri" w:hAnsi="Amiri"/>
          <w:color w:val="111111"/>
          <w:sz w:val="28"/>
          <w:szCs w:val="28"/>
          <w:rtl w:val="true"/>
          <w:lang w:bidi="ar-SA"/>
        </w:rPr>
        <w:t xml:space="preserve">... .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وکذلک علی العلماء الرّبانیّین،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یَنْهاهُمُ الرَّبّانِیُّونَ وَ الْأَحْبارُ عَنْ قَوْلِهِمُ الْإِثْمَ وَ أَکْلِهِمُ السُّحْتَ لَبِئْسَ ما کانُوا یَصْنَعُونَ </w:t>
      </w:r>
      <w:r>
        <w:rPr>
          <w:rFonts w:eastAsia="Amiri" w:cs="Amiri" w:ascii="Amiri" w:hAnsi="Amiri"/>
          <w:color w:val="111111"/>
          <w:sz w:val="28"/>
          <w:szCs w:val="28"/>
          <w:rtl w:val="true"/>
          <w:lang w:bidi="ar-SA"/>
        </w:rPr>
        <w:t xml:space="preserve">. </w:t>
      </w:r>
      <w:r>
        <w:rPr>
          <w:rStyle w:val="FootnoteAnchor"/>
          <w:rtl w:val="true"/>
        </w:rPr>
        <w:footnoteReference w:id="431"/>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علی علیه السلام فی بعض خطبه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فإنّه إنّما هلک من کان قبلکم حیثما عملوا من المعاصی ولم ینههم الربّانیّون والأحبار عن ذلک، وأنهم لمّا تمادوا فی المعاصی ولم ینههم الرّبانیّون والأحبار عن ذلک نزلت بهم العقوبات</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کما یتأکّد التزیّ بلباس المعروف وخلع رداء المنکر لرجال الدین؛ لأن ذلک بنفسه یحقّق اسلوباً للأمر بالمعروف والنهی عن المنکر بل ولربّما یکون بعض المکروهات محرّماً علی بعض إذا کان موجباً لتضعیف الدین ورجاله عند العوام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أعظم أفراد الأمر بالمعروف والنهی عن المنکر خصوصاً بالنسبة إلی رجل الدین أن یلبس رداء المعروف واجبه ومندوبه، وینزع رداء المنکر محرّمه ومکروهه، ویستکمل نفسه بالأخلاق الکریمة، وینزّهها عن الأخلاق الذمیمة فإنّ ذلک سبب تام لفعل الناس المعروف ونزعهم المنکر</w:t>
      </w:r>
      <w:r>
        <w:rPr>
          <w:rFonts w:eastAsia="IRNazanin" w:cs="IRNazanin"/>
          <w:color w:val="111111"/>
          <w:sz w:val="28"/>
          <w:szCs w:val="28"/>
          <w:rtl w:val="true"/>
          <w:lang w:bidi="fa-IR"/>
        </w:rPr>
        <w:t xml:space="preserve">. </w:t>
      </w:r>
      <w:r>
        <w:rPr>
          <w:rStyle w:val="FootnoteAnchor"/>
          <w:rtl w:val="true"/>
        </w:rPr>
        <w:footnoteReference w:id="433"/>
      </w:r>
      <w:bookmarkStart w:id="570" w:name="pg5021_49323"/>
    </w:p>
    <w:p>
      <w:pPr>
        <w:pStyle w:val="Heading2"/>
        <w:numPr>
          <w:ilvl w:val="1"/>
          <w:numId w:val="1"/>
        </w:numPr>
        <w:rPr/>
      </w:pPr>
      <w:bookmarkStart w:id="571" w:name="__RefHeading___Toc580722_774463916"/>
      <w:bookmarkStart w:id="572" w:name="_Toc229"/>
      <w:bookmarkEnd w:id="570"/>
      <w:bookmarkEnd w:id="571"/>
      <w:r>
        <w:rPr>
          <w:rtl w:val="true"/>
        </w:rPr>
        <w:t>القسم الثانی</w:t>
      </w:r>
      <w:r>
        <w:rPr>
          <w:rtl w:val="true"/>
        </w:rPr>
        <w:t xml:space="preserve">: </w:t>
      </w:r>
      <w:r>
        <w:rPr>
          <w:rtl w:val="true"/>
        </w:rPr>
        <w:t>العقود</w:t>
      </w:r>
      <w:bookmarkEnd w:id="572"/>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3" w:name="__RefHeading___Toc580724_774463916"/>
      <w:bookmarkStart w:id="574" w:name="_Toc230"/>
      <w:bookmarkEnd w:id="573"/>
      <w:r>
        <w:rPr>
          <w:rtl w:val="true"/>
        </w:rPr>
        <w:t>اشارة</w:t>
      </w:r>
      <w:bookmarkStart w:id="575" w:name="pg5021_49324"/>
      <w:bookmarkEnd w:id="574"/>
    </w:p>
    <w:p>
      <w:pPr>
        <w:pStyle w:val="Heading3"/>
        <w:numPr>
          <w:ilvl w:val="2"/>
          <w:numId w:val="1"/>
        </w:numPr>
        <w:rPr/>
      </w:pPr>
      <w:bookmarkStart w:id="576" w:name="__RefHeading___Toc580726_774463916"/>
      <w:bookmarkStart w:id="577" w:name="_Toc231"/>
      <w:bookmarkEnd w:id="575"/>
      <w:bookmarkEnd w:id="576"/>
      <w:r>
        <w:rPr>
          <w:rtl w:val="true"/>
        </w:rPr>
        <w:t>الدرس</w:t>
      </w:r>
      <w:r>
        <w:rPr/>
        <w:t>1</w:t>
      </w:r>
      <w:r>
        <w:rPr>
          <w:rtl w:val="true"/>
        </w:rPr>
        <w:t xml:space="preserve"> - </w:t>
      </w:r>
      <w:r>
        <w:rPr>
          <w:rtl w:val="true"/>
        </w:rPr>
        <w:t>کتاب البیع</w:t>
      </w:r>
      <w:bookmarkEnd w:id="577"/>
    </w:p>
    <w:p>
      <w:pPr>
        <w:pStyle w:val="Heading4"/>
        <w:numPr>
          <w:ilvl w:val="3"/>
          <w:numId w:val="1"/>
        </w:numPr>
        <w:rPr/>
      </w:pPr>
      <w:bookmarkStart w:id="578" w:name="__RefHeading___Toc580728_774463916"/>
      <w:bookmarkStart w:id="579" w:name="_Toc232"/>
      <w:bookmarkEnd w:id="578"/>
      <w:r>
        <w:rPr>
          <w:rtl w:val="true"/>
        </w:rPr>
        <w:t>اشارة</w:t>
      </w:r>
      <w:bookmarkEnd w:id="579"/>
    </w:p>
    <w:p>
      <w:pPr>
        <w:pStyle w:val="BookText"/>
        <w:rPr/>
      </w:pPr>
      <w:r>
        <w:rPr>
          <w:rFonts w:ascii="IRNazanin" w:hAnsi="IRNazanin" w:eastAsia="IRNazanin"/>
          <w:color w:val="111111"/>
          <w:sz w:val="28"/>
          <w:sz w:val="28"/>
          <w:szCs w:val="28"/>
          <w:rtl w:val="true"/>
          <w:lang w:bidi="fa-IR"/>
        </w:rPr>
        <w:t>البیع،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تملیک عین بعوض، کما عن الشیخ ألانصاری </w:t>
      </w:r>
      <w:r>
        <w:rPr>
          <w:rStyle w:val="FootnoteAnchor"/>
          <w:rtl w:val="true"/>
        </w:rPr>
        <w:footnoteReference w:id="434"/>
      </w:r>
      <w:r>
        <w:rPr>
          <w:rFonts w:ascii="IRNazanin" w:hAnsi="IRNazanin" w:eastAsia="IRNazanin"/>
          <w:color w:val="111111"/>
          <w:sz w:val="28"/>
          <w:sz w:val="28"/>
          <w:szCs w:val="28"/>
          <w:rtl w:val="true"/>
          <w:lang w:bidi="fa-IR"/>
        </w:rPr>
        <w:t>بخلاف الهبة، والإجارة، والقرض، والعاریه، وهو بهذا المعنی، فعل أحد الطرفین فی مقابل الشراء الذی حقیقته التملک بعوض مباشرةً</w:t>
      </w:r>
      <w:r>
        <w:rPr>
          <w:rFonts w:eastAsia="IRNazanin" w:cs="IRNazanin"/>
          <w:color w:val="111111"/>
          <w:sz w:val="28"/>
          <w:szCs w:val="28"/>
          <w:rtl w:val="true"/>
          <w:lang w:bidi="fa-IR"/>
        </w:rPr>
        <w:t>.</w:t>
      </w:r>
    </w:p>
    <w:p>
      <w:pPr>
        <w:pStyle w:val="Heading4"/>
        <w:numPr>
          <w:ilvl w:val="3"/>
          <w:numId w:val="1"/>
        </w:numPr>
        <w:rPr/>
      </w:pPr>
      <w:bookmarkStart w:id="580" w:name="__RefHeading___Toc580730_774463916"/>
      <w:bookmarkStart w:id="581" w:name="_Toc233"/>
      <w:bookmarkEnd w:id="580"/>
      <w:r>
        <w:rPr>
          <w:rtl w:val="true"/>
        </w:rPr>
        <w:t>شروط عقد البیع</w:t>
      </w:r>
      <w:bookmarkEnd w:id="581"/>
    </w:p>
    <w:p>
      <w:pPr>
        <w:pStyle w:val="BookText"/>
        <w:rPr/>
      </w:pPr>
      <w:r>
        <w:rPr>
          <w:rFonts w:ascii="IRNazanin" w:hAnsi="IRNazanin" w:eastAsia="IRNazanin"/>
          <w:color w:val="111111"/>
          <w:sz w:val="28"/>
          <w:sz w:val="28"/>
          <w:szCs w:val="28"/>
          <w:rtl w:val="true"/>
          <w:lang w:bidi="fa-IR"/>
        </w:rPr>
        <w:t>یعتبر فیه الإیجاب والقبول؛ اذ العقد متقوّم بهما، ویکفی کلّ ما یدل علیه وإن کان مجازاً أو ملحوناً أو بغیر الماضی مثل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أبیعک، أو أنا بایعک، أو بعنی، أو ملّکتک، ونحو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بغیر العربیة، کل ذلک لإطلاق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أَحَلَّ اللّهُ الْبَیْعَ</w:t>
      </w:r>
      <w:r>
        <w:rPr>
          <w:rFonts w:eastAsia="IRNazanin" w:cs="IRNazanin"/>
          <w:color w:val="111111"/>
          <w:sz w:val="28"/>
          <w:szCs w:val="28"/>
          <w:rtl w:val="true"/>
          <w:lang w:bidi="fa-IR"/>
        </w:rPr>
        <w:t xml:space="preserve">... . </w:t>
      </w:r>
      <w:r>
        <w:rPr>
          <w:rStyle w:val="FootnoteAnchor"/>
          <w:rtl w:val="true"/>
        </w:rPr>
        <w:footnoteReference w:id="435"/>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العربیة من باب وجوب التأسی بالنبی صلی الله علیه و آله ، المدلول علیه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فَآمِنُوا بِاللّهِ وَ رَسُولِهِ النَّبِیِّ الْأُمِّیِّ الَّذِی یُؤْمِنُ بِاللّهِ وَ کَلِماتِهِ وَ اتَّبِعُوهُ لَعَلَّکُمْ تَهْتَدُونَ </w:t>
      </w:r>
      <w:r>
        <w:rPr>
          <w:rFonts w:eastAsia="Amiri" w:cs="Amiri" w:ascii="Amiri" w:hAnsi="Amiri"/>
          <w:color w:val="111111"/>
          <w:sz w:val="28"/>
          <w:szCs w:val="28"/>
          <w:rtl w:val="true"/>
          <w:lang w:bidi="ar-SA"/>
        </w:rPr>
        <w:t xml:space="preserve">. </w:t>
      </w:r>
      <w:r>
        <w:rPr>
          <w:rStyle w:val="FootnoteAnchor"/>
          <w:rtl w:val="true"/>
        </w:rPr>
        <w:footnoteReference w:id="436"/>
      </w:r>
      <w:r>
        <w:rPr>
          <w:rFonts w:ascii="IRNazanin" w:hAnsi="IRNazanin" w:eastAsia="IRNazanin"/>
          <w:color w:val="111111"/>
          <w:sz w:val="28"/>
          <w:sz w:val="28"/>
          <w:szCs w:val="28"/>
          <w:rtl w:val="true"/>
          <w:lang w:bidi="fa-IR"/>
        </w:rPr>
        <w:t>مدفوعة بأنّ وجوب اتّباعه صلی الله علیه و آله منوط بفهم وجه عمله صلی الله علیه و آله وإلاّ فمجرّد الفعل أعم من الوجوب، ولایمکن الالتزام بوجوب کلّ ما یفعله النبی صلی الله علیه و آله ولولم نفهم وجهه، اذ</w:t>
      </w:r>
    </w:p>
    <w:p>
      <w:pPr>
        <w:pStyle w:val="BookText"/>
        <w:rPr/>
      </w:pPr>
      <w:r>
        <w:rPr>
          <w:rFonts w:ascii="IRNazanin" w:hAnsi="IRNazanin" w:eastAsia="IRNazanin"/>
          <w:color w:val="111111"/>
          <w:sz w:val="28"/>
          <w:sz w:val="28"/>
          <w:szCs w:val="28"/>
          <w:rtl w:val="true"/>
          <w:lang w:bidi="fa-IR"/>
        </w:rPr>
        <w:t>النبی صلی الله علیه و آله قل یأتی بالمباح والمستحبّ کما یأتی بالواجب، ولامعنی لوجوب الاتباع فی غیر الواجب إلاّ بعد معرفة وجه فعله صلی الله علیه و آله وإلاّ یلزم الالتزام بوجوب التکلّم بالعربیة مطلقاً أو التلبّس بما یشابه لباسه صلی الله علیه و آله ، والتأسّی به فی غذاءه وسوا که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کفایة الکتابة حتی مع القدرة علی اللفظ فضلاً عن العجز عنه لصدق العقد والبیع عرفاً، ویعتبر فیه التطابق فی المضمون بین الإیجاب والقبول؛ لتوقف عنوان العقد والبیع والتجارة عن تراض علیه، فلوا ختلفا فی المضمون بأن أوجب البایع البیع علی وجه خاصٍّ من حیث خصوص المشتری أو الثمن أو المثمن فقبل المشتری علی وجه آخر لم ینعقد؛ کما إذا باع من زید فقبل عمرو، أو بمئة فقبل بخمسین، وهل یعتبر فیه الموالاة؟ وجهان من أنّ الإیجاب والقبول کلام واحد ومعنْوَن بالعقد وهو لایصدق مع الفاصل الطویل، ومِن أنّ المعاقدة إنّما هی بین المتعاقدین دون اللفظّین والعقد صادق حتی مع الفصل الطویل مادام الموجب لم یعرض عن إیجابه وعلیه فیصّح القبول ولو بعد سنة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لایعتبر تقدّم الإیجاب، فاذا قال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 هذا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صحّ لصدق البیع وشمول الإطلاق له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اعتبار التنجّز کلام، والمشهور اعتباره بل ادّعی علیه الإجماع، </w:t>
      </w:r>
      <w:r>
        <w:rPr>
          <w:rStyle w:val="FootnoteAnchor"/>
          <w:rtl w:val="true"/>
        </w:rPr>
        <w:footnoteReference w:id="437"/>
      </w:r>
      <w:r>
        <w:rPr>
          <w:rFonts w:ascii="IRNazanin" w:hAnsi="IRNazanin" w:eastAsia="IRNazanin"/>
          <w:color w:val="111111"/>
          <w:sz w:val="28"/>
          <w:sz w:val="28"/>
          <w:szCs w:val="28"/>
          <w:rtl w:val="true"/>
          <w:lang w:bidi="fa-IR"/>
        </w:rPr>
        <w:t>وعلیه فاذا علّقه بطل، 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هذا ان قدم أبی من السفر یوم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المال لک إذا أخذته من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بعضهم علی ذلک، بأن العقود المتعارفة هی المنّجزة والمعلّقة لیست متداولة إلاّ لدی الملوک والدُول أحیاناً، وادلّة إلامضاء منصرفة إلی العقود المتعارفة، </w:t>
      </w:r>
      <w:r>
        <w:rPr>
          <w:rStyle w:val="FootnoteAnchor"/>
          <w:rtl w:val="true"/>
        </w:rPr>
        <w:footnoteReference w:id="438"/>
      </w:r>
      <w:r>
        <w:rPr>
          <w:rFonts w:ascii="IRNazanin" w:hAnsi="IRNazanin" w:eastAsia="IRNazanin"/>
          <w:color w:val="111111"/>
          <w:sz w:val="28"/>
          <w:sz w:val="28"/>
          <w:szCs w:val="28"/>
          <w:rtl w:val="true"/>
          <w:lang w:bidi="fa-IR"/>
        </w:rPr>
        <w:t>واستدل الآخر علی ذلک بإنّ الأسباب الشرعیة توقیفیة، فیجب الاقتصار علی المتّیقن عند الشک وهو العقد المنجّز</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وردّه الشیخ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إطلاق الأدلة،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حلّیة البیع، وتسّلط الناس علی أموالهم، وحلّ التجارة عن تراض، ووجوب الوفاء بالعقود وأدلّة سائر العقود کاف فی التوقیف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وبالجملة، فإثبات هذا الشرط فی العقود مع عموم أدلّتها ووقوع کثیر منها فی العرف علی وجه التعلیق بغیر الإجماع محققاً أو منقولاً مشکل</w:t>
      </w:r>
      <w:r>
        <w:rPr>
          <w:rFonts w:eastAsia="IRNazanin" w:cs="IRNazanin"/>
          <w:color w:val="111111"/>
          <w:sz w:val="28"/>
          <w:szCs w:val="28"/>
          <w:rtl w:val="true"/>
          <w:lang w:bidi="fa-IR"/>
        </w:rPr>
        <w:t xml:space="preserve">». </w:t>
      </w:r>
      <w:r>
        <w:rPr>
          <w:rStyle w:val="FootnoteAnchor"/>
          <w:rtl w:val="true"/>
        </w:rPr>
        <w:footnoteReference w:id="439"/>
      </w:r>
      <w:bookmarkStart w:id="582" w:name="pg5021_49327"/>
    </w:p>
    <w:p>
      <w:pPr>
        <w:pStyle w:val="Heading3"/>
        <w:numPr>
          <w:ilvl w:val="2"/>
          <w:numId w:val="1"/>
        </w:numPr>
        <w:rPr/>
      </w:pPr>
      <w:bookmarkStart w:id="583" w:name="__RefHeading___Toc580732_774463916"/>
      <w:bookmarkStart w:id="584" w:name="_Toc234"/>
      <w:bookmarkEnd w:id="582"/>
      <w:bookmarkEnd w:id="583"/>
      <w:r>
        <w:rPr>
          <w:rtl w:val="true"/>
        </w:rPr>
        <w:t>الدرس</w:t>
      </w:r>
      <w:r>
        <w:rPr/>
        <w:t>2</w:t>
      </w:r>
      <w:r>
        <w:rPr>
          <w:rtl w:val="true"/>
        </w:rPr>
        <w:t xml:space="preserve"> - </w:t>
      </w:r>
      <w:r>
        <w:rPr>
          <w:rtl w:val="true"/>
        </w:rPr>
        <w:t>المعاطاة</w:t>
      </w:r>
      <w:bookmarkEnd w:id="584"/>
    </w:p>
    <w:p>
      <w:pPr>
        <w:pStyle w:val="BookText"/>
        <w:rPr/>
      </w:pPr>
      <w:r>
        <w:rPr>
          <w:rFonts w:ascii="IRNazanin" w:hAnsi="IRNazanin" w:eastAsia="IRNazanin"/>
          <w:color w:val="111111"/>
          <w:sz w:val="28"/>
          <w:sz w:val="28"/>
          <w:szCs w:val="28"/>
          <w:rtl w:val="true"/>
          <w:lang w:bidi="fa-IR"/>
        </w:rPr>
        <w:t xml:space="preserve">لایعتبر فی تحقق البیع اللفظ وتکفی المعاطاة؛ لصدق البیع علیه عرفاً فیکون صحیحاً شرعاً، بعد عدم الردع عنه شرعاً، بل یشمله إطلاق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أَحَلَّ اللّهُ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المراد من الحلّیة 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الوضعیة التی بمعنی الإمضاء فواضح، وامّا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التکلیفیة التی بمعنی جواز التصرفات المترتبة علیه بعد عدم احتمال حرمة نفس إنشاء البیع تکلیفاً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فلازمه أیضاً صحته وإفادته للملک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أفاد الشیخ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440"/>
      </w:r>
      <w:r>
        <w:rPr>
          <w:rFonts w:ascii="IRNazanin" w:hAnsi="IRNazanin" w:eastAsia="IRNazanin"/>
          <w:color w:val="111111"/>
          <w:sz w:val="28"/>
          <w:sz w:val="28"/>
          <w:szCs w:val="28"/>
          <w:rtl w:val="true"/>
          <w:lang w:bidi="fa-IR"/>
        </w:rPr>
        <w:t xml:space="preserve">إلا إنّ إلمعروف بین القدماء إنّها مفیدة لإباحة التصرّف </w:t>
      </w:r>
      <w:r>
        <w:rPr>
          <w:rStyle w:val="FootnoteAnchor"/>
          <w:rtl w:val="true"/>
        </w:rPr>
        <w:footnoteReference w:id="441"/>
      </w:r>
      <w:r>
        <w:rPr>
          <w:rFonts w:ascii="IRNazanin" w:hAnsi="IRNazanin" w:eastAsia="IRNazanin"/>
          <w:color w:val="111111"/>
          <w:sz w:val="28"/>
          <w:sz w:val="28"/>
          <w:szCs w:val="28"/>
          <w:rtl w:val="true"/>
          <w:lang w:bidi="fa-IR"/>
        </w:rPr>
        <w:t>کما إنّ المعروف بین المتأخرین إفادتها الملک وتؤیده السیرة علی معاملة المأخوذ بالمعاطاة معاملة الملک بالعتق والبیع والإیصاء وتوریثه، وغیر ذلک من آثار الملک</w:t>
      </w:r>
      <w:r>
        <w:rPr>
          <w:rFonts w:eastAsia="IRNazanin" w:cs="IRNazanin"/>
          <w:color w:val="111111"/>
          <w:sz w:val="28"/>
          <w:szCs w:val="28"/>
          <w:rtl w:val="true"/>
          <w:lang w:bidi="fa-IR"/>
        </w:rPr>
        <w:t xml:space="preserve">. </w:t>
      </w:r>
      <w:r>
        <w:rPr>
          <w:rStyle w:val="FootnoteAnchor"/>
          <w:rtl w:val="true"/>
        </w:rPr>
        <w:footnoteReference w:id="442"/>
      </w:r>
      <w:r>
        <w:rPr>
          <w:rFonts w:ascii="IRNazanin" w:hAnsi="IRNazanin" w:eastAsia="IRNazanin"/>
          <w:color w:val="111111"/>
          <w:sz w:val="28"/>
          <w:sz w:val="28"/>
          <w:szCs w:val="28"/>
          <w:rtl w:val="true"/>
          <w:lang w:bidi="fa-IR"/>
        </w:rPr>
        <w:t>وعلیه فهل هی لازمة أو هی غیر لازمة فیجوز لکلِّ منهما الرجوع فی ماله کما علیه أکثر القائلین بالملک؟ وجهان</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ویدلّ علی اللزوم، مادلّ علی أصالة اللزوم فی کلّ عقد وهی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قوله</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المعاطاة عقد عرفاً، ومنها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تَأْکُلُوا أَمْوالَکُمْ بَیْنَکُمْ بِالْباطِلِ إِلاّ أَنْ تَکُونَ تِجارَةً عَنْ تَراضٍ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فلوکان البیع المذکور جائزاً یکون التصّرف فی المال بعد الفسخ من أحدهما أکلاً للمال بالباطل، لأنّه لیس تجارة عن تراض ومنها استصحاب بقاء الملک بعد فسخ احدهما بدون رضا صاحبه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والمعیار فی المعاطاة وصول العوضین أو أحدهما مع الرضا بالتصرّف؛ فإعطاء المثمن، بیع، وأخذ المشتری له، قبول، کما أنّ أخذ الماء مع غیبة السقّاء ووضع الفلس فی المکان المعدّله إذا علم من حال السقاء الرضا بذلک، بیع وشراء، وإن لم یصدق إعطا أصلاً، ومثله جعل المال فی الأجهزة الجدیدة وأخذ المال المعدّ فیه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یثبت للمعاطاة کلّ ما یثبت للبیع اللفظی من شروط أو خیار؛ لصدق البیع علیها کما عرفت، والمعاطاة تجری فی جمیع المعاملات کالإجارة، والقرض، والهبة، ونحوها لصدق عناوینها علیها فیشملها إطلاق دلیلها وأحکامها نعم، هی لاتجری فی النکاح والطلاق ونحوهما مما خرج بالدلیل کما یأتی انشاء الله تعالی</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لایخفی إنّ ماذکر فی شرائط عقد البیع من لزوم الإیجاب، والقبول، والتطابق والموالاة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والتنجیز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وکفایة المعاطاة ولزومها، هو من أحکام مطلق العقد ومنه البیع ولا اختصاص لها بالبیع فقط</w:t>
      </w:r>
      <w:r>
        <w:rPr>
          <w:rFonts w:eastAsia="IRNazanin" w:cs="IRNazanin"/>
          <w:color w:val="111111"/>
          <w:sz w:val="28"/>
          <w:szCs w:val="28"/>
          <w:rtl w:val="true"/>
          <w:lang w:bidi="fa-IR"/>
        </w:rPr>
        <w:t>.</w:t>
      </w:r>
      <w:bookmarkStart w:id="585" w:name="pg5021_49329"/>
    </w:p>
    <w:p>
      <w:pPr>
        <w:pStyle w:val="Heading3"/>
        <w:numPr>
          <w:ilvl w:val="2"/>
          <w:numId w:val="1"/>
        </w:numPr>
        <w:rPr/>
      </w:pPr>
      <w:bookmarkStart w:id="586" w:name="__RefHeading___Toc580734_774463916"/>
      <w:bookmarkStart w:id="587" w:name="_Toc235"/>
      <w:bookmarkEnd w:id="585"/>
      <w:bookmarkEnd w:id="586"/>
      <w:r>
        <w:rPr>
          <w:rtl w:val="true"/>
        </w:rPr>
        <w:t>الدرس</w:t>
      </w:r>
      <w:r>
        <w:rPr/>
        <w:t>3</w:t>
      </w:r>
      <w:r>
        <w:rPr>
          <w:rtl w:val="true"/>
        </w:rPr>
        <w:t xml:space="preserve"> - </w:t>
      </w:r>
      <w:r>
        <w:rPr>
          <w:rtl w:val="true"/>
        </w:rPr>
        <w:t>شروط المتعاقدین</w:t>
      </w:r>
      <w:bookmarkEnd w:id="5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کما عن الدروس، والکفایة، بطلان عقد الصبی بل عن الغنیة، الإجماع علیه وإن أجاز الولی؛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واستدل علی ذلک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ابْتَلُوا الْیَتامی حَتّی إِذا بَلَغُوا النِّکاحَ فَإِنْ آنَسْتُمْ مِنْهُمْ رُشْداً فَادْفَعُوا إِلَیْهِمْ أَمْوالَهُمْ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ظاهره اشتراط أمرین فی صحة تصرفّ الیتامی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النکاح الذی هو کنایة عن البلوغ، وإیناس الرشد ولاخصوصیة للیتیم عرفاً لاسیما بمناسبة الحکم والموضوع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مختص بالتصرّف فی أموال نفسه دون الغیر، اللهم إلا أن یدّعی 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ما دلّ علی أنّ الصبی مرفوع القلم؛ ففی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اتی عمر بامرأة مجنونة قدزنت، فأمر برجمها، فقال علی علیه السلام أما علمت أنّ القلم یرفع عن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الصبی حتی یحتلم، وعن المجنون حتی یفیق، وعن النائم حتی یستیقظ</w:t>
      </w:r>
      <w:r>
        <w:rPr>
          <w:rFonts w:eastAsia="IRNazanin" w:cs="IRNazanin"/>
          <w:color w:val="111111"/>
          <w:sz w:val="28"/>
          <w:szCs w:val="28"/>
          <w:rtl w:val="true"/>
          <w:lang w:bidi="fa-IR"/>
        </w:rPr>
        <w:t xml:space="preserve">. </w:t>
      </w:r>
      <w:r>
        <w:rPr>
          <w:rStyle w:val="FootnoteAnchor"/>
          <w:rtl w:val="true"/>
        </w:rPr>
        <w:footnoteReference w:id="443"/>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ومفهوم موثقة عمار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احتلم قبل ذلک فقد وجب علیه الصلاة، وجری علیه القلم</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بدعوی إنّ إطلاق القلم یقتضی رفع مطلق الحکم حتی الوضعی منه لاخصوص إلالزامی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صحیح أبی الحسین الخادم، بیاع اللؤلؤ، عن أبی عبدالله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الیتیم متی یجوز أمره؟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یبلغ أشدّه،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أشدّه؟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قدیکون الغلام ابن عشرة سنة أو أقّل أو أکثر ولم یحتلم،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 وکتب علیه الشئ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نبت علیه الشعر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أمره إلاّ أن یکون سفیهاً أو ضعیفاً</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ثمّ مقتضی إطلاق عدم جواز أمره عدم الفرق بین إجازة الولی وعدمها إذا کان الصبی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یشمل الإطلاق ما إذا کان دور الصبی، دور إجراء الصیغة فقط بإذن الولیّ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إطلاق المنع، ومن قوة احتمال انصرافه عن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المراد من عدم جواز أمره، نفی الجواز الثابت للبالغین أی عدم استقلال الصبیّ لا کونه مسلوب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یشمل إطلاق المنع معاملاته فی الأمور الیسیرة مستقلاً بإذن الولّی؟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لعدم المانع من ذلک،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فتصحّ للسیرة المتشرعّه من جمیع المسلمین فی جمیع الأعصار علی البیع والشراء معهم فیها، وهی مخصّصة لإطلاق دلیل المنع فیبقی إطلاق دلیل جواز مطلق البیع بلامانع من شموله، وفی المسأله تفاصیل تطلب من مظانّها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کون العاقد جادّاً لأنشاء مدلول العقد، فإذا أراد الإجارة، و بعثتُ</w:t>
      </w:r>
    </w:p>
    <w:p>
      <w:pPr>
        <w:pStyle w:val="BookText"/>
        <w:rPr/>
      </w:pPr>
      <w:r>
        <w:rPr>
          <w:rFonts w:ascii="IRNazanin" w:hAnsi="IRNazanin" w:eastAsia="IRNazanin"/>
          <w:color w:val="111111"/>
          <w:sz w:val="28"/>
          <w:sz w:val="28"/>
          <w:szCs w:val="28"/>
          <w:rtl w:val="true"/>
          <w:lang w:bidi="fa-IR"/>
        </w:rPr>
        <w:t>خطأً أو قصد الإخبار دون الإنشاء أو قصد الإنشاء من غیر جدّ، کالهزل ونحوه، فلاینعقد لتقوّم عنوان العقد بالقصد لاسیما عنوان التجارة عن تراض وهو أمر متفّق‌علیه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فلایصحّ عقد المجنون للسیرة العقلائیة وفحوی اعتبار البلوغ والرشد، کما فی الآیه الکریمه، وصحیح أبی الحسین المتقدّم، وإطلاق رفع القلم عن المجنون</w:t>
      </w:r>
      <w:r>
        <w:rPr>
          <w:rFonts w:eastAsia="IRNazanin" w:cs="IRNazanin"/>
          <w:color w:val="111111"/>
          <w:sz w:val="28"/>
          <w:szCs w:val="28"/>
          <w:rtl w:val="true"/>
          <w:lang w:bidi="fa-IR"/>
        </w:rPr>
        <w:t>.</w:t>
      </w:r>
      <w:bookmarkStart w:id="588" w:name="pg5021_49332"/>
    </w:p>
    <w:p>
      <w:pPr>
        <w:pStyle w:val="Heading3"/>
        <w:numPr>
          <w:ilvl w:val="2"/>
          <w:numId w:val="1"/>
        </w:numPr>
        <w:rPr/>
      </w:pPr>
      <w:bookmarkStart w:id="589" w:name="__RefHeading___Toc580736_774463916"/>
      <w:bookmarkStart w:id="590" w:name="_Toc236"/>
      <w:bookmarkEnd w:id="588"/>
      <w:bookmarkEnd w:id="589"/>
      <w:r>
        <w:rPr>
          <w:rtl w:val="true"/>
        </w:rPr>
        <w:t>الدرس</w:t>
      </w:r>
      <w:r>
        <w:rPr/>
        <w:t>4</w:t>
      </w:r>
      <w:r>
        <w:rPr>
          <w:rtl w:val="true"/>
        </w:rPr>
        <w:t xml:space="preserve"> - </w:t>
      </w:r>
      <w:r>
        <w:rPr>
          <w:rtl w:val="true"/>
        </w:rPr>
        <w:t xml:space="preserve">شروط المتعاقدین </w:t>
      </w:r>
      <w:r>
        <w:rPr>
          <w:rtl w:val="true"/>
        </w:rPr>
        <w:t>(</w:t>
      </w:r>
      <w:r>
        <w:rPr/>
        <w:t>2</w:t>
      </w:r>
      <w:r>
        <w:rPr>
          <w:rtl w:val="true"/>
        </w:rPr>
        <w:t>)</w:t>
      </w:r>
      <w:bookmarkEnd w:id="590"/>
    </w:p>
    <w:p>
      <w:pPr>
        <w:pStyle w:val="Heading4"/>
        <w:numPr>
          <w:ilvl w:val="3"/>
          <w:numId w:val="1"/>
        </w:numPr>
        <w:rPr/>
      </w:pPr>
      <w:bookmarkStart w:id="591" w:name="__RefHeading___Toc580738_774463916"/>
      <w:bookmarkStart w:id="592" w:name="_Toc237"/>
      <w:bookmarkEnd w:id="591"/>
      <w:r>
        <w:rPr>
          <w:rtl w:val="true"/>
        </w:rPr>
        <w:t>اشارة</w:t>
      </w:r>
      <w:bookmarkEnd w:id="592"/>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الرشد وعدم السفاهة؛ لآیة الابتلاء المتقدّمة، 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تُؤْتُوا السُّفَهاءَ أَمْوالَکُمُ الَّتِی جَعَلَ اللّهُ لَکُمْ قِیاماً وَ ارْزُقُوهُمْ فِیها وَ اکْسُوهُمْ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وصحیح هشام عن أبی عبدالله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انقطاع یُتم الیتم بالاحتلام، وهو أشدّه، وإن احتلم ولم یؤنس منه رشد وکان سفیهاً أو ضعیفاً، فلیمسک عنه ولیه ماله</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ولعّل بناء العقلاء أیضاً علی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الإکراه؛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تَأْکُلُوا أَمْوالَکُمْ بَیْنَکُمْ بِالْباطِلِ إِلاّ أَنْ تَکُونَ تِجارَةً عَنْ تَراضٍ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ولقوله صلی الله علیه و آله فی صحیحة زید الشحام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لایحل دم امرء مسلم ولاماله إلّا بطیبة نفسه</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وقوله صلی الله علیه و آله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عن أمتی تسعة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السهو، والنسیان، وما أکرهوا علیه</w:t>
      </w:r>
      <w:r>
        <w:rPr>
          <w:rFonts w:eastAsia="IRNazanin" w:cs="IRNazanin"/>
          <w:color w:val="111111"/>
          <w:sz w:val="28"/>
          <w:szCs w:val="28"/>
          <w:rtl w:val="true"/>
          <w:lang w:bidi="fa-IR"/>
        </w:rPr>
        <w:t xml:space="preserve">... .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بناء علی إطلاقه وعدم اختصامه بالأحکام الإلزامیة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یکون المتعاقدان مالکین أو مأذونین من المالک أو الشارع؛ بان یکون العاقد مالکاً أو وکیلاً عنه أو ولیاً علیه غیر محجور لسفه أو فلس، فعقدْ الفضولی قبل الإجازه غیر صحیح، ای لا یترتب علیه أثر؛ لأنه لاینتسب إلی المالک غالباً،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ولیس العقد عقده حتی یلزم به ویشمله دلیل الإمضاء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الإجازة، فالمشهور صحّته، إذ بعد الإجازة ینتسب إلی المالک عرفاً وإن أوجده الفضولی ابتداءً فیکون بیعاً عن تراض فیشمله عموم أدلّه الإمضاء،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 اللّهُ الْبَیْعَ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ویؤید ذلک روایة عروة البارقی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قدم جلب، فأعطانی صلی الله علیه و آله دیناراً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بها شاة، فاشتریت شاتین بدینار فلحقنی رجل فبعت أحداهما منه بدینار، ثمّ أتیت النبی صلی الله علیه و آله بشاة ودینار، فردّه علیّ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صفقة یمینک</w:t>
      </w:r>
      <w:r>
        <w:rPr>
          <w:rFonts w:eastAsia="IRNazanin" w:cs="IRNazanin"/>
          <w:color w:val="111111"/>
          <w:sz w:val="28"/>
          <w:szCs w:val="28"/>
          <w:rtl w:val="true"/>
          <w:lang w:bidi="fa-IR"/>
        </w:rPr>
        <w:t xml:space="preserve">. </w:t>
      </w:r>
      <w:r>
        <w:rPr>
          <w:rStyle w:val="FootnoteAnchor"/>
          <w:rtl w:val="true"/>
        </w:rPr>
        <w:footnoteReference w:id="449"/>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بیع إحدی الشاتین کان فضولیاً إلاّ أنْ یناقش فی ذلک، بأنّ عروة یعلم بانّ‌النبی صلی الله علیه و آله کان راضیاً بذلک، بناء علی اشتراط الفضولیة بعدم رضا المالک کما عن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50"/>
      </w:r>
      <w:r>
        <w:rPr>
          <w:rFonts w:ascii="IRNazanin" w:hAnsi="IRNazanin" w:eastAsia="IRNazanin"/>
          <w:color w:val="111111"/>
          <w:sz w:val="28"/>
          <w:sz w:val="28"/>
          <w:szCs w:val="28"/>
          <w:rtl w:val="true"/>
          <w:lang w:bidi="fa-IR"/>
        </w:rPr>
        <w:t>واستدل للبطلان بوجوه منها، النبوی المستفیض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لاتبع ما لیس عندک</w:t>
      </w:r>
      <w:r>
        <w:rPr>
          <w:rFonts w:eastAsia="IRNazanin" w:cs="IRNazanin"/>
          <w:color w:val="111111"/>
          <w:sz w:val="28"/>
          <w:szCs w:val="28"/>
          <w:rtl w:val="true"/>
          <w:lang w:bidi="fa-IR"/>
        </w:rPr>
        <w:t xml:space="preserve">». </w:t>
      </w:r>
      <w:r>
        <w:rPr>
          <w:rStyle w:val="FootnoteAnchor"/>
          <w:rtl w:val="true"/>
        </w:rPr>
        <w:footnoteReference w:id="451"/>
      </w:r>
      <w:bookmarkStart w:id="593" w:name="pg5021_49334"/>
    </w:p>
    <w:p>
      <w:pPr>
        <w:pStyle w:val="BookText"/>
        <w:rPr/>
      </w:pPr>
      <w:bookmarkEnd w:id="593"/>
      <w:r>
        <w:rPr>
          <w:rFonts w:ascii="IRNazanin" w:hAnsi="IRNazanin" w:eastAsia="IRNazanin"/>
          <w:color w:val="111111"/>
          <w:sz w:val="28"/>
          <w:sz w:val="28"/>
          <w:szCs w:val="28"/>
          <w:rtl w:val="true"/>
          <w:lang w:bidi="fa-IR"/>
        </w:rPr>
        <w:t xml:space="preserve">وما ورد فی توقیع العسکری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 بیع ما لیس یملک</w:t>
      </w:r>
      <w:r>
        <w:rPr>
          <w:rFonts w:eastAsia="IRNazanin" w:cs="IRNazanin"/>
          <w:color w:val="111111"/>
          <w:sz w:val="28"/>
          <w:szCs w:val="28"/>
          <w:rtl w:val="true"/>
          <w:lang w:bidi="fa-IR"/>
        </w:rPr>
        <w:t xml:space="preserve">». </w:t>
      </w:r>
      <w:r>
        <w:rPr>
          <w:rStyle w:val="FootnoteAnchor"/>
          <w:rtl w:val="true"/>
        </w:rPr>
        <w:footnoteReference w:id="452"/>
      </w:r>
      <w:r>
        <w:rPr>
          <w:rFonts w:ascii="IRNazanin" w:hAnsi="IRNazanin" w:eastAsia="IRNazanin"/>
          <w:color w:val="111111"/>
          <w:sz w:val="28"/>
          <w:sz w:val="28"/>
          <w:szCs w:val="28"/>
          <w:rtl w:val="true"/>
          <w:lang w:bidi="fa-IR"/>
        </w:rPr>
        <w:t>وغیر ذلک من الروایات التی ذکرها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المکاسب مع أجوبتها، فراجع</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ثمّ إنّهم اختلفوا فی أنّ الإجازة هل هی کاشفة أو ناقلة؟ بمعنی انّه لو حصل نماء بین العقد والإجازة کما إذا بیع الحیوان یوم السبت فضولة، واُجیز یوم الخمیس وحصل فی المدة لبن، فعلی القول بالکشف یکون اللبن للمشتری؛ إذ الإجازة تکشف عن کونه مالکاً للحیوان من حین العقد الفضولی فیحصل اللبن فی ملکه، بخلاف النقل والأکثر علی الأوّل إذ المالک بالإجازة إنما قصد إمضاء البیع من حین صدوره لاحین الإجازة فإمضاء الإجازة شرعاً معناها صحة العقد من حینه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المسالة مباحث هامّة تطلب من مظانّها</w:t>
      </w:r>
      <w:r>
        <w:rPr>
          <w:rFonts w:eastAsia="IRNazanin" w:cs="IRNazanin"/>
          <w:color w:val="111111"/>
          <w:sz w:val="28"/>
          <w:szCs w:val="28"/>
          <w:rtl w:val="true"/>
          <w:lang w:bidi="fa-IR"/>
        </w:rPr>
        <w:t xml:space="preserve">. </w:t>
      </w:r>
      <w:r>
        <w:rPr>
          <w:rStyle w:val="FootnoteAnchor"/>
          <w:rtl w:val="true"/>
        </w:rPr>
        <w:footnoteReference w:id="454"/>
      </w:r>
    </w:p>
    <w:p>
      <w:pPr>
        <w:pStyle w:val="Heading4"/>
        <w:numPr>
          <w:ilvl w:val="3"/>
          <w:numId w:val="1"/>
        </w:numPr>
        <w:rPr/>
      </w:pPr>
      <w:bookmarkStart w:id="594" w:name="__RefHeading___Toc580740_774463916"/>
      <w:bookmarkStart w:id="595" w:name="_Toc238"/>
      <w:bookmarkEnd w:id="594"/>
      <w:r>
        <w:rPr>
          <w:rtl w:val="true"/>
        </w:rPr>
        <w:t>ولایة الأب والجدّ</w:t>
      </w:r>
      <w:bookmarkEnd w:id="595"/>
    </w:p>
    <w:p>
      <w:pPr>
        <w:pStyle w:val="BookText"/>
        <w:rPr/>
      </w:pPr>
      <w:r>
        <w:rPr>
          <w:rFonts w:ascii="IRNazanin" w:hAnsi="IRNazanin" w:eastAsia="IRNazanin"/>
          <w:color w:val="111111"/>
          <w:sz w:val="28"/>
          <w:sz w:val="28"/>
          <w:szCs w:val="28"/>
          <w:rtl w:val="true"/>
          <w:lang w:bidi="fa-IR"/>
        </w:rPr>
        <w:t xml:space="preserve">یجوز للأب والجّد أن یتصرّفا فی مال الطفل بالبیع والشراء؛ ویدل علیه قبل الإجماع الأخبار المستفیضة المصرّحة فی موارد کثیرة، وفحوی سلطنتهما علی بضع البنت فی باب النکاح، </w:t>
      </w:r>
      <w:r>
        <w:rPr>
          <w:rStyle w:val="FootnoteAnchor"/>
          <w:rtl w:val="true"/>
        </w:rPr>
        <w:footnoteReference w:id="455"/>
      </w:r>
      <w:r>
        <w:rPr>
          <w:rFonts w:ascii="IRNazanin" w:hAnsi="IRNazanin" w:eastAsia="IRNazanin"/>
          <w:color w:val="111111"/>
          <w:sz w:val="28"/>
          <w:sz w:val="28"/>
          <w:szCs w:val="28"/>
          <w:rtl w:val="true"/>
          <w:lang w:bidi="fa-IR"/>
        </w:rPr>
        <w:t>کما افاد الشیخ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456"/>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المشهور عدم اعتبار العدالة؛ للإصل والإطلاقات، وهل یشترط فی تصرفهما المصلحة أو یکفی عدم المفسدة أم لا یعتبر شئ؟ وجوه والأحوط اشتراط المصلحة بل استظهر فی مفتاح الکرامة الإجماع علی ذلک</w:t>
      </w:r>
      <w:r>
        <w:rPr>
          <w:rFonts w:eastAsia="IRNazanin" w:cs="IRNazanin"/>
          <w:color w:val="111111"/>
          <w:sz w:val="28"/>
          <w:szCs w:val="28"/>
          <w:rtl w:val="true"/>
          <w:lang w:bidi="fa-IR"/>
        </w:rPr>
        <w:t xml:space="preserve">. </w:t>
      </w:r>
      <w:r>
        <w:rPr>
          <w:rStyle w:val="FootnoteAnchor"/>
          <w:rtl w:val="true"/>
        </w:rPr>
        <w:footnoteReference w:id="457"/>
      </w:r>
      <w:r>
        <w:rPr>
          <w:rFonts w:ascii="IRNazanin" w:hAnsi="IRNazanin" w:eastAsia="IRNazanin"/>
          <w:color w:val="111111"/>
          <w:sz w:val="28"/>
          <w:sz w:val="28"/>
          <w:szCs w:val="28"/>
          <w:rtl w:val="true"/>
          <w:lang w:bidi="fa-IR"/>
        </w:rPr>
        <w:t>وإن کان الأقوی کفایة عدم</w:t>
      </w:r>
    </w:p>
    <w:p>
      <w:pPr>
        <w:pStyle w:val="BookText"/>
        <w:rPr/>
      </w:pPr>
      <w:r>
        <w:rPr>
          <w:rFonts w:ascii="IRNazanin" w:hAnsi="IRNazanin" w:eastAsia="IRNazanin"/>
          <w:color w:val="111111"/>
          <w:sz w:val="28"/>
          <w:sz w:val="28"/>
          <w:szCs w:val="28"/>
          <w:rtl w:val="true"/>
          <w:lang w:bidi="fa-IR"/>
        </w:rPr>
        <w:t xml:space="preserve">المفسدة، ففی صحیح أبی حمزة الثمالی عن ابی جعفر علیه السلام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 الله علیه و آله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ومالک لأبیک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لانحبّ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یأخذ من مال ابنه إلاّ ما یحتاج إلیه مما لابدّ منه، إنّ الله لا یحب الفساد</w:t>
      </w:r>
      <w:r>
        <w:rPr>
          <w:rFonts w:eastAsia="IRNazanin" w:cs="IRNazanin"/>
          <w:color w:val="111111"/>
          <w:sz w:val="28"/>
          <w:szCs w:val="28"/>
          <w:rtl w:val="true"/>
          <w:lang w:bidi="fa-IR"/>
        </w:rPr>
        <w:t xml:space="preserve">. </w:t>
      </w:r>
      <w:r>
        <w:rPr>
          <w:rStyle w:val="FootnoteAnchor"/>
          <w:rtl w:val="true"/>
        </w:rPr>
        <w:footnoteReference w:id="458"/>
      </w:r>
      <w:bookmarkStart w:id="596" w:name="pg5021_49336"/>
    </w:p>
    <w:p>
      <w:pPr>
        <w:pStyle w:val="Heading3"/>
        <w:numPr>
          <w:ilvl w:val="2"/>
          <w:numId w:val="1"/>
        </w:numPr>
        <w:rPr/>
      </w:pPr>
      <w:bookmarkStart w:id="597" w:name="__RefHeading___Toc580742_774463916"/>
      <w:bookmarkStart w:id="598" w:name="_Toc239"/>
      <w:bookmarkEnd w:id="596"/>
      <w:bookmarkEnd w:id="597"/>
      <w:r>
        <w:rPr>
          <w:rtl w:val="true"/>
        </w:rPr>
        <w:t>الدرس</w:t>
      </w:r>
      <w:r>
        <w:rPr/>
        <w:t>5</w:t>
      </w:r>
      <w:r>
        <w:rPr>
          <w:rtl w:val="true"/>
        </w:rPr>
        <w:t xml:space="preserve"> - </w:t>
      </w:r>
      <w:r>
        <w:rPr>
          <w:rtl w:val="true"/>
        </w:rPr>
        <w:t>شروط العوضین فی البیع</w:t>
      </w:r>
      <w:bookmarkEnd w:id="598"/>
    </w:p>
    <w:p>
      <w:pPr>
        <w:pStyle w:val="BookText"/>
        <w:rPr/>
      </w:pPr>
      <w:r>
        <w:rPr>
          <w:rFonts w:ascii="IRNazanin" w:hAnsi="IRNazanin" w:eastAsia="IRNazanin"/>
          <w:color w:val="111111"/>
          <w:sz w:val="28"/>
          <w:sz w:val="28"/>
          <w:szCs w:val="28"/>
          <w:rtl w:val="true"/>
          <w:lang w:bidi="fa-IR"/>
        </w:rPr>
        <w:t>یشترط فی کل من العوضین أمور نذکر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الملکیة؛ فلا یصحّ بیع المباحات العامة مما یشترک فیه الناس قبل حیازتها، کالماء والکلاء والسموک؛ وعلّل بأنّ البیع تملیک فکیف یملّک من لایملک؟</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طلقاً، أی یکون الملک تاماً، بحیث یکون المالک مطلق العنان فی التصرّف فی ملکه بما شاء بأن لا یتعلّق به حقّ مانع عن نقله، فلایجوز بیع الوقف والمرهون والمنذور،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المالیة، فما لامنفعة محلّلة مقصودة له عند العقلاء لایصح بیعه، کبیع الخمر والخنزیر؛ لعدم المالیه شرعاً بعد حرمة منفعتهما، وکبیع الخنافس والدیدان مما لامنفعة له عند العقلاء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 علی اعتباره السیرة العقلائیة؛ إذ لا یرون معاوضة مالانفع فیه إلاّ عقداً صوریاً مضافاً إلی أن أکل المال بأزاء ذلک أکل بالباطل المنهی عنه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تَأْکُلُوا أَمْوالَکُمْ بَیْنَکُمْ بِالْباطِلِ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القدرة علی التسلیم؛ إجماعاً، </w:t>
      </w:r>
      <w:r>
        <w:rPr>
          <w:rStyle w:val="FootnoteAnchor"/>
          <w:rtl w:val="true"/>
        </w:rPr>
        <w:footnoteReference w:id="459"/>
      </w:r>
      <w:r>
        <w:rPr>
          <w:rFonts w:ascii="IRNazanin" w:hAnsi="IRNazanin" w:eastAsia="IRNazanin"/>
          <w:color w:val="111111"/>
          <w:sz w:val="28"/>
          <w:sz w:val="28"/>
          <w:szCs w:val="28"/>
          <w:rtl w:val="true"/>
          <w:lang w:bidi="fa-IR"/>
        </w:rPr>
        <w:t>فلایجوز بیع السمک فی الماء ولا الطیر فی</w:t>
      </w:r>
    </w:p>
    <w:p>
      <w:pPr>
        <w:pStyle w:val="BookText"/>
        <w:rPr/>
      </w:pPr>
      <w:r>
        <w:rPr>
          <w:rFonts w:ascii="IRNazanin" w:hAnsi="IRNazanin" w:eastAsia="IRNazanin"/>
          <w:color w:val="111111"/>
          <w:sz w:val="28"/>
          <w:sz w:val="28"/>
          <w:szCs w:val="28"/>
          <w:rtl w:val="true"/>
          <w:lang w:bidi="fa-IR"/>
        </w:rPr>
        <w:t>الهواء، واستدل علی ذلک بأمور منها النبِوی المعروف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النبی صلی الله علیه و آله عن بیع الغرر</w:t>
      </w:r>
      <w:r>
        <w:rPr>
          <w:rFonts w:eastAsia="IRNazanin" w:cs="IRNazanin"/>
          <w:color w:val="111111"/>
          <w:sz w:val="28"/>
          <w:szCs w:val="28"/>
          <w:rtl w:val="true"/>
          <w:lang w:bidi="fa-IR"/>
        </w:rPr>
        <w:t xml:space="preserve">». </w:t>
      </w:r>
      <w:r>
        <w:rPr>
          <w:rStyle w:val="FootnoteAnchor"/>
          <w:rtl w:val="true"/>
        </w:rPr>
        <w:footnoteReference w:id="460"/>
      </w:r>
      <w:r>
        <w:rPr>
          <w:rFonts w:ascii="IRNazanin" w:hAnsi="IRNazanin" w:eastAsia="IRNazanin"/>
          <w:color w:val="111111"/>
          <w:sz w:val="28"/>
          <w:sz w:val="28"/>
          <w:szCs w:val="28"/>
          <w:rtl w:val="true"/>
          <w:lang w:bidi="fa-IR"/>
        </w:rPr>
        <w:t xml:space="preserve">والنهی فی المعاملات إرشاد إلی الشرطیة أو المانعیة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وضعف الخبر بالأرسال منجبر باشتهار بین الخاصّه والعامة، والغرر وإن ذکر له معان کالخدعة والهلکة والخطر، إلاّ أنّ استدلال الفریقین من العامة والخاصّة بالنبوی المذکور علی اعتبار القدرة علی التسلیم، </w:t>
      </w:r>
      <w:r>
        <w:rPr>
          <w:rStyle w:val="FootnoteAnchor"/>
          <w:rtl w:val="true"/>
        </w:rPr>
        <w:footnoteReference w:id="461"/>
      </w:r>
      <w:r>
        <w:rPr>
          <w:rFonts w:ascii="IRNazanin" w:hAnsi="IRNazanin" w:eastAsia="IRNazanin"/>
          <w:color w:val="111111"/>
          <w:sz w:val="28"/>
          <w:sz w:val="28"/>
          <w:szCs w:val="28"/>
          <w:rtl w:val="true"/>
          <w:lang w:bidi="fa-IR"/>
        </w:rPr>
        <w:t>یدل علی أنّ المراد هو المعنی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أن ما لا یقدر علی تسلیمه لیس مالاً؛ فلا یصح بیعه من هذه الجهة، </w:t>
      </w:r>
      <w:r>
        <w:rPr>
          <w:rStyle w:val="FootnoteAnchor"/>
          <w:rtl w:val="true"/>
        </w:rPr>
        <w:footnoteReference w:id="462"/>
      </w:r>
      <w:r>
        <w:rPr>
          <w:rFonts w:ascii="Amiri" w:hAnsi="Amiri" w:eastAsia="Amiri" w:cs="Amiri"/>
          <w:color w:val="111111"/>
          <w:sz w:val="28"/>
          <w:sz w:val="28"/>
          <w:szCs w:val="28"/>
          <w:rtl w:val="true"/>
          <w:lang w:bidi="ar-SA"/>
        </w:rPr>
        <w:t>إلاّ أنّه خلاف الوجدان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 أنّ الغرض من البیع وهو الانتفاع لایتّم إلاّ بالتسلیم؛ وفیه أنّ مطلق الانتفاع لایتوقّف علی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أنّ بذل الثمن علی غیر المقدور سفه فیکون أکله ممنوعاً وأکلاً بالباطل، وفیه أنّه قد لایکون ذلک کبذل المال القلیل فی مقابل الکثیر المحتمل الحصول بل هو رائج عند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أحسن ما یتمسّک به بعد الإجماع، الروایات الناهیة عن بیع الآبق بلا ضمیمة؛ </w:t>
      </w:r>
      <w:r>
        <w:rPr>
          <w:rStyle w:val="FootnoteAnchor"/>
          <w:rtl w:val="true"/>
        </w:rPr>
        <w:footnoteReference w:id="463"/>
      </w:r>
      <w:r>
        <w:rPr>
          <w:rFonts w:ascii="IRNazanin" w:hAnsi="IRNazanin" w:eastAsia="IRNazanin"/>
          <w:color w:val="111111"/>
          <w:sz w:val="28"/>
          <w:sz w:val="28"/>
          <w:szCs w:val="28"/>
          <w:rtl w:val="true"/>
          <w:lang w:bidi="fa-IR"/>
        </w:rPr>
        <w:t>إذ لولا اعتبار القدرة علی التسلیم کان بیع الآبق صحیحاً مطلقاً ولا یحتاج إلی ضم الضمیمة فی تصحیحه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العبرة فی القدرة بزمان استحقاق التسلیم فلاینفع وجودها حال العقد إذا علم بعدمها حال استحقاق التسلیم کما لایقدح عدمها قبل الاستحقاق</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 القدرة علی التسلیم لیس مقصودة إلاّ بالتبع والمهم هو التسلّم، ولذا لوکان المشتری قادراً دون البایع کفی، وکذلک إذا لم یقدر أحدهما لکن یوثق بحصوله عند استحقاق المشتری للتسلیم، کالطائر إذا عتاد العود علی ما افاد الشیخ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464"/>
      </w:r>
      <w:r>
        <w:rPr>
          <w:rFonts w:ascii="IRNazanin" w:hAnsi="IRNazanin" w:eastAsia="IRNazanin"/>
          <w:color w:val="111111"/>
          <w:sz w:val="28"/>
          <w:sz w:val="28"/>
          <w:szCs w:val="28"/>
          <w:rtl w:val="true"/>
          <w:lang w:bidi="fa-IR"/>
        </w:rPr>
        <w:t>کلّ ذلک لعدم الغرر والخطر</w:t>
      </w:r>
      <w:r>
        <w:rPr>
          <w:rFonts w:eastAsia="IRNazanin" w:cs="IRNazanin"/>
          <w:color w:val="111111"/>
          <w:sz w:val="28"/>
          <w:szCs w:val="28"/>
          <w:rtl w:val="true"/>
          <w:lang w:bidi="fa-IR"/>
        </w:rPr>
        <w:t>.</w:t>
      </w:r>
      <w:bookmarkStart w:id="599" w:name="pg5021_49339"/>
    </w:p>
    <w:p>
      <w:pPr>
        <w:pStyle w:val="Heading3"/>
        <w:numPr>
          <w:ilvl w:val="2"/>
          <w:numId w:val="1"/>
        </w:numPr>
        <w:rPr/>
      </w:pPr>
      <w:bookmarkStart w:id="600" w:name="__RefHeading___Toc580744_774463916"/>
      <w:bookmarkStart w:id="601" w:name="_Toc240"/>
      <w:bookmarkEnd w:id="599"/>
      <w:bookmarkEnd w:id="600"/>
      <w:r>
        <w:rPr>
          <w:rtl w:val="true"/>
        </w:rPr>
        <w:t>الدرس</w:t>
      </w:r>
      <w:r>
        <w:rPr/>
        <w:t>6</w:t>
      </w:r>
      <w:r>
        <w:rPr>
          <w:rtl w:val="true"/>
        </w:rPr>
        <w:t xml:space="preserve"> - </w:t>
      </w:r>
      <w:r>
        <w:rPr>
          <w:rtl w:val="true"/>
        </w:rPr>
        <w:t xml:space="preserve">شروط العوضین فی البیع </w:t>
      </w:r>
      <w:r>
        <w:rPr>
          <w:rtl w:val="true"/>
        </w:rPr>
        <w:t>(</w:t>
      </w:r>
      <w:r>
        <w:rPr/>
        <w:t>2</w:t>
      </w:r>
      <w:r>
        <w:rPr>
          <w:rtl w:val="true"/>
        </w:rPr>
        <w:t>)</w:t>
      </w:r>
      <w:bookmarkEnd w:id="601"/>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العوضین، بأن یکونا معلومین قدراً؛ فلو باع بحکم أحدهما أو باع المبیع جزافاً بطل إجماعا؛ </w:t>
      </w:r>
      <w:r>
        <w:rPr>
          <w:rStyle w:val="FootnoteAnchor"/>
          <w:rtl w:val="true"/>
        </w:rPr>
        <w:footnoteReference w:id="465"/>
      </w:r>
      <w:r>
        <w:rPr>
          <w:rFonts w:ascii="IRNazanin" w:hAnsi="IRNazanin" w:eastAsia="IRNazanin"/>
          <w:color w:val="111111"/>
          <w:sz w:val="28"/>
          <w:sz w:val="28"/>
          <w:szCs w:val="28"/>
          <w:rtl w:val="true"/>
          <w:lang w:bidi="fa-IR"/>
        </w:rPr>
        <w:t>للنهی عن الغرر، وللروایات منها موثقة سماعة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شراء الطعام وما یکال وما یوزن بغیر کیل ولا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تأتی رجلاً فی طعام قد کیل أو وزن تشتری مند مرابحة فلا بأس إن اشتریته منه ولم تکله ولم تزنه إذا کان المشتری الأوّل أخذه بکیل أو وزن</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وفی صحیح الحلبی عن أبی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کان من طعام سمّیت فیه کیلاً فلا یصلح بیعه مجازفة</w:t>
      </w:r>
      <w:r>
        <w:rPr>
          <w:rFonts w:eastAsia="IRNazanin" w:cs="IRNazanin"/>
          <w:color w:val="111111"/>
          <w:sz w:val="28"/>
          <w:szCs w:val="28"/>
          <w:rtl w:val="true"/>
          <w:lang w:bidi="fa-IR"/>
        </w:rPr>
        <w:t xml:space="preserve">. </w:t>
      </w:r>
      <w:r>
        <w:rPr>
          <w:rStyle w:val="FootnoteAnchor"/>
          <w:rtl w:val="true"/>
        </w:rPr>
        <w:footnoteReference w:id="467"/>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وغیر ذلک من الروایات التی یظهر منها کون الحکم مفروغاً عند السائل کما أفاد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468"/>
      </w:r>
      <w:r>
        <w:rPr>
          <w:rFonts w:ascii="IRNazanin" w:hAnsi="IRNazanin" w:eastAsia="IRNazanin"/>
          <w:color w:val="111111"/>
          <w:sz w:val="28"/>
          <w:sz w:val="28"/>
          <w:szCs w:val="28"/>
          <w:rtl w:val="true"/>
          <w:lang w:bidi="fa-IR"/>
        </w:rPr>
        <w:t xml:space="preserve">ولا خصوصیة عرفاً للْمثمن المکیل والموزون، بل یفهم منها لزوم معلومیة العوضین مطلقاً کما یقتضیة أیضاً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بین المسلمین، وتکفی المشاهدة فیما ینضبط بها کما فی صوف النعاج مثلاً، لعدم الخطر وعدم لزوم شئ</w:t>
      </w:r>
    </w:p>
    <w:p>
      <w:pPr>
        <w:pStyle w:val="BookText"/>
        <w:rPr/>
      </w:pPr>
      <w:r>
        <w:rPr>
          <w:rFonts w:ascii="IRNazanin" w:hAnsi="IRNazanin" w:eastAsia="IRNazanin"/>
          <w:color w:val="111111"/>
          <w:sz w:val="28"/>
          <w:sz w:val="28"/>
          <w:szCs w:val="28"/>
          <w:rtl w:val="true"/>
          <w:lang w:bidi="fa-IR"/>
        </w:rPr>
        <w:t>أکثر من الضبط العرفی، وکما یلزم العلم بالعوضین قدراً یلزم العلم بهما جنساً وصفة مما تختلف قیمته باختلافه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فلایصحّ بیع الصبرة المجهولة جنساً أو وصفاً وإن علم مقدارها، للزوم الغرر واعتبار عدم الجهالة المفهوم من الروایات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أخبر البایع بمقدار المبیع جاز الاعتماد علیه علی المشهور، ویدلّ علیه غیر واحد من الأخبار ومنها موثقة سماعة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یجوز الاعتماد علی أصالة صحة المبیع لعدم الغرر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المبیع عیناً، علی المشهور، فلایصح بیع المنفعة أو العمل بأن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منفعة هذه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خیاطة هذا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تملیک المنفعة أو العمل إّنما هو شأن الإجارة دون البیع عرفاً، ولاأقل من الشکّ فی صدق البیع، فلا یصحّ التمسّک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 اللّهُ الْبَیْعَ والأصل فی العقد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إذا تخلّف الشرط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البیع باطلاً ویکون ما عند الاخر باقیاً علی ملک طرفه، لایجوز له التصرّف فیه إلاّ إذا علم رضاه بالتصرّف مطلقاً، لِماتقدّم من جواز التصرّف حینئذٍ</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لافرق فی عدم جواز بیع المجهول بین ضمّ معلوم إلیه وعدمه؛ لأنّ ذلک لا یخرجه عن الجهالة بل یکون المجموع مجهولاً وعلیه لایصحّ بیع اللبن فی الضرع ولو ضمّ إلیه ما یحلب منه أو غیره علی المشهور؛ خلافاً لجماعة بل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المشهور بین المتقدمین</w:t>
      </w:r>
      <w:r>
        <w:rPr>
          <w:rFonts w:eastAsia="IRNazanin" w:cs="IRNazanin"/>
          <w:color w:val="111111"/>
          <w:sz w:val="28"/>
          <w:szCs w:val="28"/>
          <w:rtl w:val="true"/>
          <w:lang w:bidi="fa-IR"/>
        </w:rPr>
        <w:t xml:space="preserve">. </w:t>
      </w:r>
      <w:r>
        <w:rPr>
          <w:rStyle w:val="FootnoteAnchor"/>
          <w:rtl w:val="true"/>
        </w:rPr>
        <w:footnoteReference w:id="469"/>
      </w:r>
      <w:r>
        <w:rPr>
          <w:rFonts w:ascii="IRNazanin" w:hAnsi="IRNazanin" w:eastAsia="IRNazanin"/>
          <w:color w:val="111111"/>
          <w:sz w:val="28"/>
          <w:sz w:val="28"/>
          <w:szCs w:val="28"/>
          <w:rtl w:val="true"/>
          <w:lang w:bidi="fa-IR"/>
        </w:rPr>
        <w:t>واستدلوا بأخبار واردة فی مسألتی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السمک، واللبن، وغیرهما وفصّل آخرون وخصّوا المنع بما إذا کان المجهول مقصوداً بالاستقلال أو منضمّاً إلی المعلوم وجوّزوا بیعه اذ کان تابعاً للمعلوم، والمسأله محتاجة إلی تأمّل 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یجب عقلاً لمن یتصدّی للتجارة التفقه فیها تقلیداً او اجتهاداً؛ لئلا یقع فی الحرام وأکل مال الغیر، کما یجب ذلک علی کل احد بالنسبة إلی ما یبتلی به من الأمور إذ لا عذرله عند الوقوع فی الحرام بعد احتمال الحرمة وتنجّز الواقع علیه بالعلم الإجمالی، بل أصالة الفساد فی المعاملات وحرمة التصرّف فی مال الغیر إلا إذا علم بإمضاء الشارع لتلک المعاملة، وعن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أراد التجارة فلیتفقه فی دینه لیعلم بذلک ما یحلّ له ممّا یحرم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لم یتفقه فی دینه ثمّ اتجر تورّط فی الشبهات</w:t>
      </w:r>
      <w:r>
        <w:rPr>
          <w:rFonts w:eastAsia="IRNazanin" w:cs="IRNazanin"/>
          <w:color w:val="111111"/>
          <w:sz w:val="28"/>
          <w:szCs w:val="28"/>
          <w:rtl w:val="true"/>
          <w:lang w:bidi="fa-IR"/>
        </w:rPr>
        <w:t xml:space="preserve">. </w:t>
      </w:r>
      <w:r>
        <w:rPr>
          <w:rStyle w:val="FootnoteAnchor"/>
          <w:rtl w:val="true"/>
        </w:rPr>
        <w:footnoteReference w:id="470"/>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 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فالحکم باستحباب التفقّه للتاجر محل نظر، بل الأولی وجوبه علیه عقلاً ومشروعاً، وإن کان وجوب معرفة باقی المحرمات من باب العقل فقط</w:t>
      </w:r>
      <w:r>
        <w:rPr>
          <w:rFonts w:eastAsia="IRNazanin" w:cs="IRNazanin"/>
          <w:color w:val="111111"/>
          <w:sz w:val="28"/>
          <w:szCs w:val="28"/>
          <w:rtl w:val="true"/>
          <w:lang w:bidi="fa-IR"/>
        </w:rPr>
        <w:t xml:space="preserve">. </w:t>
      </w:r>
      <w:r>
        <w:rPr>
          <w:rStyle w:val="FootnoteAnchor"/>
          <w:rtl w:val="true"/>
        </w:rPr>
        <w:footnoteReference w:id="471"/>
      </w:r>
      <w:bookmarkStart w:id="602" w:name="pg5021_49342"/>
    </w:p>
    <w:p>
      <w:pPr>
        <w:pStyle w:val="Heading3"/>
        <w:numPr>
          <w:ilvl w:val="2"/>
          <w:numId w:val="1"/>
        </w:numPr>
        <w:rPr/>
      </w:pPr>
      <w:bookmarkStart w:id="603" w:name="__RefHeading___Toc580746_774463916"/>
      <w:bookmarkStart w:id="604" w:name="_Toc241"/>
      <w:bookmarkEnd w:id="602"/>
      <w:bookmarkEnd w:id="603"/>
      <w:r>
        <w:rPr>
          <w:rtl w:val="true"/>
        </w:rPr>
        <w:t>الدرس</w:t>
      </w:r>
      <w:r>
        <w:rPr/>
        <w:t>7</w:t>
      </w:r>
      <w:r>
        <w:rPr>
          <w:rtl w:val="true"/>
        </w:rPr>
        <w:t xml:space="preserve"> - </w:t>
      </w:r>
      <w:r>
        <w:rPr>
          <w:rtl w:val="true"/>
        </w:rPr>
        <w:t>الاحتکار</w:t>
      </w:r>
      <w:bookmarkEnd w:id="604"/>
    </w:p>
    <w:p>
      <w:pPr>
        <w:pStyle w:val="BookText"/>
        <w:rPr/>
      </w:pPr>
      <w:r>
        <w:rPr>
          <w:rFonts w:ascii="IRNazanin" w:hAnsi="IRNazanin" w:eastAsia="IRNazanin"/>
          <w:color w:val="111111"/>
          <w:sz w:val="28"/>
          <w:sz w:val="28"/>
          <w:szCs w:val="28"/>
          <w:rtl w:val="true"/>
          <w:lang w:bidi="fa-IR"/>
        </w:rPr>
        <w:t>یحرم احتکار الطعام،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حبسه یتربص به الغلاء؛ للروایات، منها قول أمیرالمؤمنین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إلی مالک الأشتر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فامنع من الاحتکار فإنّ رسول‌الله صلی الله علیه و آله منع منه، ولیکن البیع بیعاً سمحاً بموازین عدل واسعاً لایجحف بالفریقین البائع والمبتاع، فمن قارف حکرة بعد نهیک إیاهُ، فنکّل به وعاقب فی غیر إسراف</w:t>
      </w:r>
      <w:r>
        <w:rPr>
          <w:rFonts w:eastAsia="IRNazanin" w:cs="IRNazanin"/>
          <w:color w:val="111111"/>
          <w:sz w:val="28"/>
          <w:szCs w:val="28"/>
          <w:rtl w:val="true"/>
          <w:lang w:bidi="fa-IR"/>
        </w:rPr>
        <w:t xml:space="preserve">. </w:t>
      </w:r>
      <w:r>
        <w:rPr>
          <w:rStyle w:val="FootnoteAnchor"/>
          <w:rtl w:val="true"/>
        </w:rPr>
        <w:footnoteReference w:id="472"/>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یختص بأمور خاصّه کالحنطة والشعیر، والتمر، والزیت، والزبیب، والسمن، کما جاء فی روایة السکونی، </w:t>
      </w:r>
      <w:r>
        <w:rPr>
          <w:rStyle w:val="FootnoteAnchor"/>
          <w:rtl w:val="true"/>
        </w:rPr>
        <w:footnoteReference w:id="473"/>
      </w:r>
      <w:r>
        <w:rPr>
          <w:rFonts w:ascii="IRNazanin" w:hAnsi="IRNazanin" w:eastAsia="IRNazanin"/>
          <w:color w:val="111111"/>
          <w:sz w:val="28"/>
          <w:sz w:val="28"/>
          <w:szCs w:val="28"/>
          <w:rtl w:val="true"/>
          <w:lang w:bidi="fa-IR"/>
        </w:rPr>
        <w:t xml:space="preserve">أو یعمّ کلّ ما یحتاج إلیه الناس مما یجعل الناس فی ضیق وحرج إذا احتکر، علی ما استفید من تعلیل الحرمة فی بعض الأخبار بحاجة الناس؛ </w:t>
      </w:r>
      <w:r>
        <w:rPr>
          <w:rStyle w:val="FootnoteAnchor"/>
          <w:rtl w:val="true"/>
        </w:rPr>
        <w:footnoteReference w:id="474"/>
      </w:r>
      <w:r>
        <w:rPr>
          <w:rFonts w:ascii="Amiri" w:hAnsi="Amiri" w:eastAsia="Amiri" w:cs="Amiri"/>
          <w:color w:val="111111"/>
          <w:sz w:val="28"/>
          <w:sz w:val="28"/>
          <w:szCs w:val="28"/>
          <w:rtl w:val="true"/>
          <w:lang w:bidi="ar-SA"/>
        </w:rPr>
        <w:t xml:space="preserve">ولذا ألحق الملح جماعةٌ، </w:t>
      </w:r>
      <w:r>
        <w:rPr>
          <w:rStyle w:val="FootnoteAnchor"/>
          <w:rtl w:val="true"/>
        </w:rPr>
        <w:footnoteReference w:id="475"/>
      </w: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w:t>
      </w:r>
      <w:bookmarkStart w:id="605" w:name="pg5021_49343"/>
    </w:p>
    <w:p>
      <w:pPr>
        <w:pStyle w:val="Heading3"/>
        <w:numPr>
          <w:ilvl w:val="2"/>
          <w:numId w:val="1"/>
        </w:numPr>
        <w:rPr/>
      </w:pPr>
      <w:bookmarkStart w:id="606" w:name="__RefHeading___Toc580748_774463916"/>
      <w:bookmarkStart w:id="607" w:name="_Toc242"/>
      <w:bookmarkEnd w:id="605"/>
      <w:bookmarkEnd w:id="606"/>
      <w:r>
        <w:rPr>
          <w:rtl w:val="true"/>
        </w:rPr>
        <w:t>الدرس</w:t>
      </w:r>
      <w:r>
        <w:rPr/>
        <w:t>8</w:t>
      </w:r>
      <w:r>
        <w:rPr>
          <w:rtl w:val="true"/>
        </w:rPr>
        <w:t xml:space="preserve"> - </w:t>
      </w:r>
      <w:r>
        <w:rPr>
          <w:rtl w:val="true"/>
        </w:rPr>
        <w:t>الخیارات</w:t>
      </w:r>
      <w:bookmarkEnd w:id="607"/>
    </w:p>
    <w:p>
      <w:pPr>
        <w:pStyle w:val="Heading4"/>
        <w:numPr>
          <w:ilvl w:val="3"/>
          <w:numId w:val="1"/>
        </w:numPr>
        <w:rPr/>
      </w:pPr>
      <w:bookmarkStart w:id="608" w:name="__RefHeading___Toc580750_774463916"/>
      <w:bookmarkStart w:id="609" w:name="_Toc243"/>
      <w:bookmarkEnd w:id="608"/>
      <w:r>
        <w:rPr>
          <w:rtl w:val="true"/>
        </w:rPr>
        <w:t>حقیقة الخیارات وأقسامها</w:t>
      </w:r>
      <w:bookmarkEnd w:id="609"/>
    </w:p>
    <w:p>
      <w:pPr>
        <w:pStyle w:val="Heading5"/>
        <w:numPr>
          <w:ilvl w:val="4"/>
          <w:numId w:val="1"/>
        </w:numPr>
        <w:rPr/>
      </w:pPr>
      <w:bookmarkStart w:id="610" w:name="__RefHeading___Toc580752_774463916"/>
      <w:bookmarkStart w:id="611" w:name="_Toc244"/>
      <w:bookmarkEnd w:id="610"/>
      <w:r>
        <w:rPr>
          <w:rtl w:val="true"/>
        </w:rPr>
        <w:t>اشارة</w:t>
      </w:r>
      <w:bookmarkEnd w:id="611"/>
    </w:p>
    <w:p>
      <w:pPr>
        <w:pStyle w:val="BookText"/>
        <w:rPr/>
      </w:pPr>
      <w:r>
        <w:rPr>
          <w:rFonts w:ascii="IRNazanin" w:hAnsi="IRNazanin" w:eastAsia="IRNazanin"/>
          <w:color w:val="111111"/>
          <w:sz w:val="28"/>
          <w:sz w:val="28"/>
          <w:szCs w:val="28"/>
          <w:rtl w:val="true"/>
          <w:lang w:bidi="fa-IR"/>
        </w:rPr>
        <w:t>الخیار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مصدر من الاختیار، بمعنی مُلْک فسخ العقد</w:t>
      </w:r>
      <w:r>
        <w:rPr>
          <w:rFonts w:eastAsia="IRNazanin" w:cs="IRNazanin"/>
          <w:color w:val="111111"/>
          <w:sz w:val="28"/>
          <w:szCs w:val="28"/>
          <w:rtl w:val="true"/>
          <w:lang w:bidi="fa-IR"/>
        </w:rPr>
        <w:t xml:space="preserve">. </w:t>
      </w:r>
      <w:r>
        <w:rPr>
          <w:rStyle w:val="FootnoteAnchor"/>
          <w:rtl w:val="true"/>
        </w:rPr>
        <w:footnoteReference w:id="476"/>
      </w:r>
      <w:r>
        <w:rPr>
          <w:rFonts w:ascii="IRNazanin" w:hAnsi="IRNazanin" w:eastAsia="IRNazanin"/>
          <w:color w:val="111111"/>
          <w:sz w:val="28"/>
          <w:sz w:val="28"/>
          <w:szCs w:val="28"/>
          <w:rtl w:val="true"/>
          <w:lang w:bidi="fa-IR"/>
        </w:rPr>
        <w:t>وهو علی أقسام نذکر أهمها</w:t>
      </w:r>
      <w:r>
        <w:rPr>
          <w:rFonts w:eastAsia="IRNazanin" w:cs="IRNazanin"/>
          <w:color w:val="111111"/>
          <w:sz w:val="28"/>
          <w:szCs w:val="28"/>
          <w:rtl w:val="true"/>
          <w:lang w:bidi="fa-IR"/>
        </w:rPr>
        <w:t>:</w:t>
      </w:r>
    </w:p>
    <w:p>
      <w:pPr>
        <w:pStyle w:val="Heading5"/>
        <w:numPr>
          <w:ilvl w:val="4"/>
          <w:numId w:val="1"/>
        </w:numPr>
        <w:rPr/>
      </w:pPr>
      <w:bookmarkStart w:id="612" w:name="__RefHeading___Toc580754_774463916"/>
      <w:bookmarkStart w:id="613" w:name="_Toc245"/>
      <w:bookmarkEnd w:id="612"/>
      <w:r>
        <w:rPr/>
        <w:t>1</w:t>
      </w:r>
      <w:r>
        <w:rPr>
          <w:rtl w:val="true"/>
        </w:rPr>
        <w:t xml:space="preserve">- </w:t>
      </w:r>
      <w:r>
        <w:rPr>
          <w:rtl w:val="true"/>
        </w:rPr>
        <w:t>خیار المجلس</w:t>
      </w:r>
      <w:bookmarkEnd w:id="613"/>
    </w:p>
    <w:p>
      <w:pPr>
        <w:pStyle w:val="BookText"/>
        <w:rPr/>
      </w:pPr>
      <w:r>
        <w:rPr>
          <w:rFonts w:ascii="IRNazanin" w:hAnsi="IRNazanin" w:eastAsia="IRNazanin"/>
          <w:color w:val="111111"/>
          <w:sz w:val="28"/>
          <w:sz w:val="28"/>
          <w:szCs w:val="28"/>
          <w:rtl w:val="true"/>
          <w:lang w:bidi="fa-IR"/>
        </w:rPr>
        <w:t>لاخلاف فی ثبوت خیار المجلس؛ ویدل علیه الروایات المستفیضة، منها صحیح محمد بن مسلم عن أبی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البیعان بالخیار حتی یفترقا وصاحب الحیوان بالخیار ثلاثة أیام</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 xml:space="preserve">فإذا تمّ البیع فهما بالخیار فی فسخ البیع مادام لم یفترقا وإن کانا ماشیین؛ لأنّ غایته افتراقهما عن الآخر لاعن المجلس، لقوله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یفترقا</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یختص بالمتبایعین دون مطلق المتعاقدین، لقصور المقتضی وعدم معهودتیه عند العقلاء بل هو خیار شرعی محض</w:t>
      </w:r>
      <w:r>
        <w:rPr>
          <w:rFonts w:eastAsia="IRNazanin" w:cs="IRNazanin"/>
          <w:color w:val="111111"/>
          <w:sz w:val="28"/>
          <w:szCs w:val="28"/>
          <w:rtl w:val="true"/>
          <w:lang w:bidi="fa-IR"/>
        </w:rPr>
        <w:t>.</w:t>
      </w:r>
      <w:bookmarkStart w:id="614" w:name="pg5021_49344"/>
    </w:p>
    <w:p>
      <w:pPr>
        <w:pStyle w:val="Heading5"/>
        <w:numPr>
          <w:ilvl w:val="4"/>
          <w:numId w:val="1"/>
        </w:numPr>
        <w:rPr/>
      </w:pPr>
      <w:bookmarkStart w:id="615" w:name="__RefHeading___Toc580756_774463916"/>
      <w:bookmarkStart w:id="616" w:name="_Toc246"/>
      <w:bookmarkEnd w:id="614"/>
      <w:bookmarkEnd w:id="615"/>
      <w:r>
        <w:rPr/>
        <w:t>2</w:t>
      </w:r>
      <w:r>
        <w:rPr>
          <w:rtl w:val="true"/>
        </w:rPr>
        <w:t xml:space="preserve">- </w:t>
      </w:r>
      <w:r>
        <w:rPr>
          <w:rtl w:val="true"/>
        </w:rPr>
        <w:t>خیار الحیوان</w:t>
      </w:r>
      <w:bookmarkEnd w:id="616"/>
    </w:p>
    <w:p>
      <w:pPr>
        <w:pStyle w:val="BookText"/>
        <w:rPr/>
      </w:pPr>
      <w:r>
        <w:rPr>
          <w:rFonts w:ascii="IRNazanin" w:hAnsi="IRNazanin" w:eastAsia="IRNazanin"/>
          <w:color w:val="111111"/>
          <w:sz w:val="28"/>
          <w:sz w:val="28"/>
          <w:szCs w:val="28"/>
          <w:rtl w:val="true"/>
          <w:lang w:bidi="fa-IR"/>
        </w:rPr>
        <w:t>لاخلاف فی ثبوت الخیار لمشتری الحیوان؛ للروایات کما تأتی وهو ثابت ثلاثة، أیام لما فی عدة من الصحاح عن الصادق علیه السلام ، کقوله علیه السلام فی صحیح الحلبی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الحیوان کلّه شرط ثلاثة أیام للمشتری وهو بالخیار فیها إن شرط أو لم یشترط</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وهل یثبت لبایعه إیضاً؟ المشهور عدمه للروایات، ومنها ما تقدّم،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لما فی صحیح محمد بن مسلم عن أبی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المتبایعان بالخیار ثلاثة أیام فی الحیوان وفی ما سوی ذلک من بیع حتی یفترقا</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وقد یقال جمعاً بین الأدله بثبوت الخیار لمن انتقل إلیه الحیوان ثمناً أو مثمناً وعلیه یحمل الصحیح الأخیر</w:t>
      </w:r>
      <w:r>
        <w:rPr>
          <w:rFonts w:eastAsia="IRNazanin" w:cs="IRNazanin"/>
          <w:color w:val="111111"/>
          <w:sz w:val="28"/>
          <w:szCs w:val="28"/>
          <w:rtl w:val="true"/>
          <w:lang w:bidi="fa-IR"/>
        </w:rPr>
        <w:t>.</w:t>
      </w:r>
    </w:p>
    <w:p>
      <w:pPr>
        <w:pStyle w:val="Heading5"/>
        <w:numPr>
          <w:ilvl w:val="4"/>
          <w:numId w:val="1"/>
        </w:numPr>
        <w:rPr/>
      </w:pPr>
      <w:bookmarkStart w:id="617" w:name="__RefHeading___Toc580758_774463916"/>
      <w:bookmarkStart w:id="618" w:name="_Toc247"/>
      <w:bookmarkEnd w:id="617"/>
      <w:r>
        <w:rPr/>
        <w:t>3</w:t>
      </w:r>
      <w:r>
        <w:rPr>
          <w:rtl w:val="true"/>
        </w:rPr>
        <w:t xml:space="preserve">- </w:t>
      </w:r>
      <w:r>
        <w:rPr>
          <w:rtl w:val="true"/>
        </w:rPr>
        <w:t>خیار الشرط‌</w:t>
      </w:r>
      <w:bookmarkEnd w:id="618"/>
    </w:p>
    <w:p>
      <w:pPr>
        <w:pStyle w:val="BookText"/>
        <w:rPr/>
      </w:pPr>
      <w:r>
        <w:rPr>
          <w:rFonts w:ascii="IRNazanin" w:hAnsi="IRNazanin" w:eastAsia="IRNazanin"/>
          <w:color w:val="111111"/>
          <w:sz w:val="28"/>
          <w:sz w:val="28"/>
          <w:szCs w:val="28"/>
          <w:rtl w:val="true"/>
          <w:lang w:bidi="fa-IR"/>
        </w:rPr>
        <w:t>وهو الثابت بسبب اشتراطه فی العقد للمتعاقدین أو أحدهما أو لأجنبّی؛ کأن یبیع داره بکذا ویشترط علی المشتری أنّ له حقّ فسخ العقد إلی سنة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لاخلاف فی صحّته؛ للأخبار المستفیضة الدالة علی أنّ المسلمین عند شروطهم کما فی صحیح عبدالله بن سنان، </w:t>
      </w:r>
      <w:r>
        <w:rPr>
          <w:rStyle w:val="FootnoteAnchor"/>
          <w:rtl w:val="true"/>
        </w:rPr>
        <w:footnoteReference w:id="480"/>
      </w:r>
      <w:r>
        <w:rPr>
          <w:rFonts w:ascii="IRNazanin" w:hAnsi="IRNazanin" w:eastAsia="IRNazanin"/>
          <w:color w:val="111111"/>
          <w:sz w:val="28"/>
          <w:sz w:val="28"/>
          <w:szCs w:val="28"/>
          <w:rtl w:val="true"/>
          <w:lang w:bidi="fa-IR"/>
        </w:rPr>
        <w:t>وعمومه یشمل الأجنبی أیضاً</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یشترط تعیین المدة، فلو تراضیا علی مدة مجهولة، کقدوم الحاجّ بطل بلاخلاف بل حکی الإجماع علیه صریحاً لصیرورة المعامله بذلک غرریة علی ما أفاد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 xml:space="preserve">وعلیه فیجوز للبایع أن یشترط علی المشتری، إن جاء بالثمن الذی أخذه فی المدة المعینة، له أن یرتجع المبیع ویصطلح ببیع الخیار ویستعمله من یرید أن یقرض زیداً مبلغاً فی مدة، معینّة ویستوثق من استرداده فی تلک المدة، فیشتری بدل القرض من زید داره أو غیرها مما هو أکثر قیمة من المبلغ الذی یرید أن یقرضه، بذلک المبلغ نقداً بشرط أن زیداً إن جاء بالثمن فی المدة المعینة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یأتی به قطعاً لاسترداد داره التی هی أکثر قیمة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یرتجع المبیع، وتدل علیه أیضاً الروایات الخاصّة، کموثق إسحق بن عمار</w:t>
      </w:r>
      <w:r>
        <w:rPr>
          <w:rFonts w:eastAsia="IRNazanin" w:cs="IRNazanin"/>
          <w:color w:val="111111"/>
          <w:sz w:val="28"/>
          <w:szCs w:val="28"/>
          <w:rtl w:val="true"/>
          <w:lang w:bidi="fa-IR"/>
        </w:rPr>
        <w:t xml:space="preserve">. </w:t>
      </w:r>
      <w:r>
        <w:rPr>
          <w:rStyle w:val="FootnoteAnchor"/>
          <w:rtl w:val="true"/>
        </w:rPr>
        <w:footnoteReference w:id="482"/>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الخیار لایختص بالبیع بل یجری فی کلّ معاوضة لازمة 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bookmarkStart w:id="619" w:name="pg5021_49346"/>
    </w:p>
    <w:p>
      <w:pPr>
        <w:pStyle w:val="Heading3"/>
        <w:numPr>
          <w:ilvl w:val="2"/>
          <w:numId w:val="1"/>
        </w:numPr>
        <w:rPr/>
      </w:pPr>
      <w:bookmarkStart w:id="620" w:name="__RefHeading___Toc580760_774463916"/>
      <w:bookmarkStart w:id="621" w:name="_Toc248"/>
      <w:bookmarkEnd w:id="619"/>
      <w:bookmarkEnd w:id="620"/>
      <w:r>
        <w:rPr>
          <w:rtl w:val="true"/>
        </w:rPr>
        <w:t>الدرس</w:t>
      </w:r>
      <w:r>
        <w:rPr/>
        <w:t>9</w:t>
      </w:r>
      <w:r>
        <w:rPr>
          <w:rtl w:val="true"/>
        </w:rPr>
        <w:t xml:space="preserve"> - </w:t>
      </w:r>
      <w:r>
        <w:rPr>
          <w:rtl w:val="true"/>
        </w:rPr>
        <w:t xml:space="preserve">الخیارات </w:t>
      </w:r>
      <w:r>
        <w:rPr>
          <w:rtl w:val="true"/>
        </w:rPr>
        <w:t>(</w:t>
      </w:r>
      <w:r>
        <w:rPr/>
        <w:t>2</w:t>
      </w:r>
      <w:r>
        <w:rPr>
          <w:rtl w:val="true"/>
        </w:rPr>
        <w:t>)</w:t>
      </w:r>
      <w:bookmarkEnd w:id="621"/>
    </w:p>
    <w:p>
      <w:pPr>
        <w:pStyle w:val="Heading4"/>
        <w:numPr>
          <w:ilvl w:val="3"/>
          <w:numId w:val="1"/>
        </w:numPr>
        <w:rPr/>
      </w:pPr>
      <w:bookmarkStart w:id="622" w:name="__RefHeading___Toc580762_774463916"/>
      <w:bookmarkStart w:id="623" w:name="_Toc249"/>
      <w:bookmarkEnd w:id="622"/>
      <w:r>
        <w:rPr/>
        <w:t>4</w:t>
      </w:r>
      <w:r>
        <w:rPr>
          <w:rtl w:val="true"/>
        </w:rPr>
        <w:t xml:space="preserve">- </w:t>
      </w:r>
      <w:r>
        <w:rPr>
          <w:rtl w:val="true"/>
        </w:rPr>
        <w:t>خیار الغبن</w:t>
      </w:r>
      <w:bookmarkEnd w:id="623"/>
    </w:p>
    <w:p>
      <w:pPr>
        <w:pStyle w:val="BookText"/>
        <w:rPr/>
      </w:pPr>
      <w:r>
        <w:rPr>
          <w:rFonts w:ascii="IRNazanin" w:hAnsi="IRNazanin" w:eastAsia="IRNazanin"/>
          <w:color w:val="111111"/>
          <w:sz w:val="28"/>
          <w:sz w:val="28"/>
          <w:szCs w:val="28"/>
          <w:rtl w:val="true"/>
          <w:lang w:bidi="fa-IR"/>
        </w:rPr>
        <w:t>وأصله الخدیعة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تملیک ماله بما یزید علی قیمته زیادة غیر متسامح فیها مع جهل المغبون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ولاخلاف فی ثبوته بل هو ثابت بالإجماع کما عن المختلف </w:t>
      </w:r>
      <w:r>
        <w:rPr>
          <w:rStyle w:val="FootnoteAnchor"/>
          <w:rtl w:val="true"/>
        </w:rPr>
        <w:footnoteReference w:id="483"/>
      </w:r>
      <w:r>
        <w:rPr>
          <w:rFonts w:ascii="IRNazanin" w:hAnsi="IRNazanin" w:eastAsia="IRNazanin"/>
          <w:color w:val="111111"/>
          <w:sz w:val="28"/>
          <w:sz w:val="28"/>
          <w:szCs w:val="28"/>
          <w:rtl w:val="true"/>
          <w:lang w:bidi="fa-IR"/>
        </w:rPr>
        <w:t xml:space="preserve">واستدل علیه تاره بقوله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لاضرر ولاضرار</w:t>
      </w:r>
      <w:r>
        <w:rPr>
          <w:rFonts w:eastAsia="IRNazanin" w:cs="IRNazanin"/>
          <w:color w:val="111111"/>
          <w:sz w:val="28"/>
          <w:szCs w:val="28"/>
          <w:rtl w:val="true"/>
          <w:lang w:bidi="fa-IR"/>
        </w:rPr>
        <w:t xml:space="preserve">». </w:t>
      </w:r>
      <w:r>
        <w:rPr>
          <w:rStyle w:val="FootnoteAnchor"/>
          <w:rtl w:val="true"/>
        </w:rPr>
        <w:footnoteReference w:id="484"/>
      </w:r>
      <w:r>
        <w:rPr>
          <w:rFonts w:ascii="IRNazanin" w:hAnsi="IRNazanin" w:eastAsia="IRNazanin"/>
          <w:color w:val="111111"/>
          <w:sz w:val="28"/>
          <w:sz w:val="28"/>
          <w:szCs w:val="28"/>
          <w:rtl w:val="true"/>
          <w:lang w:bidi="fa-IR"/>
        </w:rPr>
        <w:t>إذ لزوم هذا البیع ضرر علی المغبون والشارع لم یحکم بحکم یکون فیه الضرر، وأخری بفکرة الشرط الضمنی علی تقدیر الغبن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الخیار ثابت للبایع أیضاً؛ لنفس الدلیل کما هو ثابت فی کل معاوضة مالیة لذلک، والمشهور ظاهراً أنّه علی الفور؛ لأنّه خلاف الأصل، فیقتصر فیه علی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بالتراخی؛ للاستصحاب</w:t>
      </w:r>
      <w:r>
        <w:rPr>
          <w:rFonts w:eastAsia="IRNazanin" w:cs="IRNazanin"/>
          <w:color w:val="111111"/>
          <w:sz w:val="28"/>
          <w:szCs w:val="28"/>
          <w:rtl w:val="true"/>
          <w:lang w:bidi="fa-IR"/>
        </w:rPr>
        <w:t>.</w:t>
      </w:r>
    </w:p>
    <w:p>
      <w:pPr>
        <w:pStyle w:val="Heading4"/>
        <w:numPr>
          <w:ilvl w:val="3"/>
          <w:numId w:val="1"/>
        </w:numPr>
        <w:rPr/>
      </w:pPr>
      <w:bookmarkStart w:id="624" w:name="__RefHeading___Toc580764_774463916"/>
      <w:bookmarkStart w:id="625" w:name="_Toc250"/>
      <w:bookmarkEnd w:id="624"/>
      <w:r>
        <w:rPr/>
        <w:t>5</w:t>
      </w:r>
      <w:r>
        <w:rPr>
          <w:rtl w:val="true"/>
        </w:rPr>
        <w:t xml:space="preserve">- </w:t>
      </w:r>
      <w:r>
        <w:rPr>
          <w:rtl w:val="true"/>
        </w:rPr>
        <w:t>خیار التأخیر</w:t>
      </w:r>
      <w:bookmarkEnd w:id="625"/>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یجوز للبایع فسخ البیع بعد ثلاثة أیام إذا لم یأت المشتری بالثمن فیها، والأصل فی ذلک قبل الإجماع هو الروایات، منها صحیحة زرارة عن أبی جعفر علیه السلام </w:t>
      </w:r>
      <w:r>
        <w:rPr>
          <w:rFonts w:eastAsia="IRNazanin" w:cs="IRNazanin"/>
          <w:color w:val="111111"/>
          <w:sz w:val="28"/>
          <w:szCs w:val="28"/>
          <w:rtl w:val="true"/>
          <w:lang w:bidi="fa-IR"/>
        </w:rPr>
        <w:t>:</w:t>
      </w:r>
      <w:bookmarkStart w:id="626" w:name="pg5021_49347"/>
    </w:p>
    <w:p>
      <w:pPr>
        <w:pStyle w:val="BookText"/>
        <w:rPr/>
      </w:pPr>
      <w:bookmarkEnd w:id="626"/>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یشتری من الرجل المتاع ثمّ یدعه عنده،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آتیک بثمنه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 فیما بینه وبین ثلاثة أیام وإلا فلا بیع له</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ونفی البیع فی الروایه کنایة عن نفی اللزوم لابطلان البیع، کما لایخفی، ویؤیده فهم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فیه عدم قبض العوضین ولا أحدهما کما فی الصحیحة، ولا اشتراط التأخیر؛ لإنه المنصرف من الصحیحة، وهو یختص بالبیع لأنّه علی خلاف الأصل، إذ مقتضی الشرط الضّمنی فی کل عقد لزوم تسلیم العوضین وحرمة التأخیر العرفی ولو ساعة، وأنه إذا امتنع أحدهما کان للآخر الفسخ، وخیار التأخیر المذکور حکم شرعی خاصّ ثبت فی مورد البیع خاصة فیقتصر علیه، وأما فی غیره بیعاً کان أو غیره من المعاوضات، فالأصل هو الخیار مطلقاً</w:t>
      </w:r>
      <w:r>
        <w:rPr>
          <w:rFonts w:eastAsia="IRNazanin" w:cs="IRNazanin"/>
          <w:color w:val="111111"/>
          <w:sz w:val="28"/>
          <w:szCs w:val="28"/>
          <w:rtl w:val="true"/>
          <w:lang w:bidi="fa-IR"/>
        </w:rPr>
        <w:t>.</w:t>
      </w:r>
    </w:p>
    <w:p>
      <w:pPr>
        <w:pStyle w:val="Heading4"/>
        <w:numPr>
          <w:ilvl w:val="3"/>
          <w:numId w:val="1"/>
        </w:numPr>
        <w:rPr/>
      </w:pPr>
      <w:bookmarkStart w:id="627" w:name="__RefHeading___Toc580766_774463916"/>
      <w:bookmarkStart w:id="628" w:name="_Toc251"/>
      <w:bookmarkEnd w:id="627"/>
      <w:r>
        <w:rPr/>
        <w:t>6</w:t>
      </w:r>
      <w:r>
        <w:rPr>
          <w:rtl w:val="true"/>
        </w:rPr>
        <w:t xml:space="preserve">- </w:t>
      </w:r>
      <w:r>
        <w:rPr>
          <w:rtl w:val="true"/>
        </w:rPr>
        <w:t>خیار الرّویة</w:t>
      </w:r>
      <w:bookmarkEnd w:id="628"/>
    </w:p>
    <w:p>
      <w:pPr>
        <w:pStyle w:val="BookText"/>
        <w:rPr/>
      </w:pPr>
      <w:r>
        <w:rPr>
          <w:rFonts w:ascii="IRNazanin" w:hAnsi="IRNazanin" w:eastAsia="IRNazanin"/>
          <w:color w:val="111111"/>
          <w:sz w:val="28"/>
          <w:sz w:val="28"/>
          <w:szCs w:val="28"/>
          <w:rtl w:val="true"/>
          <w:lang w:bidi="fa-IR"/>
        </w:rPr>
        <w:t xml:space="preserve">أی الخیار المسبب عن رؤیه المبیع علی خلاف ما اشترطه المتبایعان کما إذا اشتری اعتماداً علی رؤیة سابقة أو علی توصیف البایع، ثمّ وجده علی خلاف ذلک، کان بالخیار بین الردّ والإمساک إجماعاً، واستدل علیه بحدیث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والشرط الضّمنی، والسیرة العقلائیّة، وبعض الروایات الخاصّة، نحو صحیح جمیل بن دراج</w:t>
      </w:r>
      <w:r>
        <w:rPr>
          <w:rFonts w:eastAsia="IRNazanin" w:cs="IRNazanin"/>
          <w:color w:val="111111"/>
          <w:sz w:val="28"/>
          <w:szCs w:val="28"/>
          <w:rtl w:val="true"/>
          <w:lang w:bidi="fa-IR"/>
        </w:rPr>
        <w:t xml:space="preserve">. </w:t>
      </w:r>
      <w:r>
        <w:rPr>
          <w:rStyle w:val="FootnoteAnchor"/>
          <w:rtl w:val="true"/>
        </w:rPr>
        <w:footnoteReference w:id="486"/>
      </w:r>
      <w:r>
        <w:rPr>
          <w:rFonts w:ascii="IRNazanin" w:hAnsi="IRNazanin" w:eastAsia="IRNazanin"/>
          <w:color w:val="111111"/>
          <w:sz w:val="28"/>
          <w:sz w:val="28"/>
          <w:szCs w:val="28"/>
          <w:rtl w:val="true"/>
          <w:lang w:bidi="fa-IR"/>
        </w:rPr>
        <w:t>وهو ثابت للبایع أیضاً بالنسبة إلی الثمن، لشمول دلیل نفی الضرر، والشرط الضّمنی، والسیرة العقلائیه له أیضاً</w:t>
      </w:r>
      <w:r>
        <w:rPr>
          <w:rFonts w:eastAsia="IRNazanin" w:cs="IRNazanin"/>
          <w:color w:val="111111"/>
          <w:sz w:val="28"/>
          <w:szCs w:val="28"/>
          <w:rtl w:val="true"/>
          <w:lang w:bidi="fa-IR"/>
        </w:rPr>
        <w:t>.</w:t>
      </w:r>
    </w:p>
    <w:p>
      <w:pPr>
        <w:pStyle w:val="Heading4"/>
        <w:numPr>
          <w:ilvl w:val="3"/>
          <w:numId w:val="1"/>
        </w:numPr>
        <w:rPr/>
      </w:pPr>
      <w:bookmarkStart w:id="629" w:name="__RefHeading___Toc580768_774463916"/>
      <w:bookmarkStart w:id="630" w:name="_Toc252"/>
      <w:bookmarkEnd w:id="629"/>
      <w:r>
        <w:rPr/>
        <w:t>7</w:t>
      </w:r>
      <w:r>
        <w:rPr>
          <w:rtl w:val="true"/>
        </w:rPr>
        <w:t xml:space="preserve">- </w:t>
      </w:r>
      <w:r>
        <w:rPr>
          <w:rtl w:val="true"/>
        </w:rPr>
        <w:t>خیار العیب</w:t>
      </w:r>
      <w:bookmarkEnd w:id="630"/>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انتقل إلیه بالبیع شیئ فیه عیب، یجوز له أن یردّه؛ لسیرة العقلاء، وللشرط</w:t>
      </w:r>
    </w:p>
    <w:p>
      <w:pPr>
        <w:pStyle w:val="BookText"/>
        <w:rPr/>
      </w:pPr>
      <w:r>
        <w:rPr>
          <w:rFonts w:ascii="IRNazanin" w:hAnsi="IRNazanin" w:eastAsia="IRNazanin"/>
          <w:color w:val="111111"/>
          <w:sz w:val="28"/>
          <w:sz w:val="28"/>
          <w:szCs w:val="28"/>
          <w:rtl w:val="true"/>
          <w:lang w:bidi="fa-IR"/>
        </w:rPr>
        <w:t>الضمنی، ولافرق فی ذلک بین البایع والمشتری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له أخذ الأرش بدل الرّد؟ فیه کلام، والمشهور ذلک، نعم، إذا أحدث فیه حدثاً یتعیّن الأرش دون الرد؛ لصحیح زرارة عن أبی جعفر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أیّما رجل اشتری شیئاً، وبه عیب وعوار لم یتبرء إلیه، ولم یبین، فأحدث فیه بعدما قبضه شیئاً، ثمّ علم بذلک العوار وبذلک الداء، إنه یمضی علیه البیع ویرد علیه بقدر ما نقص من ذلک الداء والعیب من ثمن ذلک لو لم یکن به</w:t>
      </w:r>
      <w:r>
        <w:rPr>
          <w:rFonts w:eastAsia="IRNazanin" w:cs="IRNazanin"/>
          <w:color w:val="111111"/>
          <w:sz w:val="28"/>
          <w:szCs w:val="28"/>
          <w:rtl w:val="true"/>
          <w:lang w:bidi="fa-IR"/>
        </w:rPr>
        <w:t xml:space="preserve">. </w:t>
      </w:r>
      <w:r>
        <w:rPr>
          <w:rStyle w:val="FootnoteAnchor"/>
          <w:rtl w:val="true"/>
        </w:rPr>
        <w:footnoteReference w:id="487"/>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 یعلم اشتراط الخیار بعدم العلم بالعیب أو التبّری منه کما تقضیة السیرة إیضاً، ولا یختص بالمشتری ولا بالبیع، لعموم السیرة</w:t>
      </w:r>
      <w:r>
        <w:rPr>
          <w:rFonts w:eastAsia="IRNazanin" w:cs="IRNazanin"/>
          <w:color w:val="111111"/>
          <w:sz w:val="28"/>
          <w:szCs w:val="28"/>
          <w:rtl w:val="true"/>
          <w:lang w:bidi="fa-IR"/>
        </w:rPr>
        <w:t>.</w:t>
      </w:r>
      <w:bookmarkStart w:id="631" w:name="pg5021_49349"/>
    </w:p>
    <w:p>
      <w:pPr>
        <w:pStyle w:val="Heading3"/>
        <w:numPr>
          <w:ilvl w:val="2"/>
          <w:numId w:val="1"/>
        </w:numPr>
        <w:rPr/>
      </w:pPr>
      <w:bookmarkStart w:id="632" w:name="__RefHeading___Toc580770_774463916"/>
      <w:bookmarkStart w:id="633" w:name="_Toc253"/>
      <w:bookmarkEnd w:id="631"/>
      <w:bookmarkEnd w:id="632"/>
      <w:r>
        <w:rPr>
          <w:rtl w:val="true"/>
        </w:rPr>
        <w:t>الدرس</w:t>
      </w:r>
      <w:r>
        <w:rPr/>
        <w:t>10</w:t>
      </w:r>
      <w:r>
        <w:rPr>
          <w:rtl w:val="true"/>
        </w:rPr>
        <w:t xml:space="preserve"> - </w:t>
      </w:r>
      <w:r>
        <w:rPr>
          <w:rtl w:val="true"/>
        </w:rPr>
        <w:t xml:space="preserve">الخیارات </w:t>
      </w:r>
      <w:r>
        <w:rPr>
          <w:rtl w:val="true"/>
        </w:rPr>
        <w:t>(</w:t>
      </w:r>
      <w:r>
        <w:rPr/>
        <w:t>3</w:t>
      </w:r>
      <w:r>
        <w:rPr>
          <w:rtl w:val="true"/>
        </w:rPr>
        <w:t>)</w:t>
      </w:r>
      <w:bookmarkEnd w:id="633"/>
    </w:p>
    <w:p>
      <w:pPr>
        <w:pStyle w:val="Heading4"/>
        <w:numPr>
          <w:ilvl w:val="3"/>
          <w:numId w:val="1"/>
        </w:numPr>
        <w:rPr/>
      </w:pPr>
      <w:bookmarkStart w:id="634" w:name="__RefHeading___Toc580772_774463916"/>
      <w:bookmarkStart w:id="635" w:name="_Toc254"/>
      <w:bookmarkEnd w:id="634"/>
      <w:r>
        <w:rPr/>
        <w:t>8</w:t>
      </w:r>
      <w:r>
        <w:rPr>
          <w:rtl w:val="true"/>
        </w:rPr>
        <w:t xml:space="preserve">- </w:t>
      </w:r>
      <w:r>
        <w:rPr>
          <w:rtl w:val="true"/>
        </w:rPr>
        <w:t>خیار تخلّف الشرط</w:t>
      </w:r>
      <w:bookmarkEnd w:id="635"/>
    </w:p>
    <w:p>
      <w:pPr>
        <w:pStyle w:val="BookText"/>
        <w:rPr/>
      </w:pPr>
      <w:r>
        <w:rPr>
          <w:rFonts w:ascii="IRNazanin" w:hAnsi="IRNazanin" w:eastAsia="IRNazanin"/>
          <w:color w:val="111111"/>
          <w:sz w:val="28"/>
          <w:sz w:val="28"/>
          <w:szCs w:val="28"/>
          <w:rtl w:val="true"/>
          <w:lang w:bidi="fa-IR"/>
        </w:rPr>
        <w:t xml:space="preserve">یجب الوفاء بکل ما یُشترط فی العقد؛ لقوله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ومادلّ علی وجوب الوفاء بالعقود والعهود، ولبعض الروایات الخاصّه، ولافرق فی ذلک بین الصریح منه والضمنی، بأن یبتنی العقد علیه وإن لم یُذکر صریحاً کما فی الشروط الارتکازیة العقلائیة المتقدّمة؛ لصدق عنوان الشرط، نعم لاعبرة بالابتدائی منه،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مالایرتبط بالعقد؛ لأنه وعدٌ </w:t>
      </w:r>
      <w:r>
        <w:rPr>
          <w:rStyle w:val="FootnoteAnchor"/>
          <w:rtl w:val="true"/>
        </w:rPr>
        <w:footnoteReference w:id="488"/>
      </w:r>
      <w:r>
        <w:rPr>
          <w:rFonts w:ascii="IRNazanin" w:hAnsi="IRNazanin" w:eastAsia="IRNazanin"/>
          <w:color w:val="111111"/>
          <w:sz w:val="28"/>
          <w:sz w:val="28"/>
          <w:szCs w:val="28"/>
          <w:rtl w:val="true"/>
          <w:lang w:bidi="fa-IR"/>
        </w:rPr>
        <w:t>لاشرط، إذ الشرط التزام ضمن التزام، هذا حکمه تکلیفاً، فإذا لم یف المشروط علیه بالشرط فللمشروط له فسخ العقد؛ لانّ هذا هو مقتضی الشرط عرفاً، مضافاً إلی السیرة العقلائیة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یلزم أن لا یکون الشرط مخالفاً للشرع إذ لا یحتمل إلزام الشارع بالوفاء بما کان مخالفاً له، وإلا یکون الشرط محلّلاً للمحرمات ومحرماً للواجبات، ویدل علی ذلک أیضاً الروایات المستفیضة، ففی موثّق إسحاق بن عمار عن جعفر عن أبیه علیه السلام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علی بن أبی طالب کان یقول</w:t>
      </w:r>
      <w:r>
        <w:rPr>
          <w:rFonts w:eastAsia="IRNazanin" w:cs="IRNazanin"/>
          <w:color w:val="111111"/>
          <w:sz w:val="28"/>
          <w:szCs w:val="28"/>
          <w:rtl w:val="true"/>
          <w:lang w:bidi="fa-IR"/>
        </w:rPr>
        <w:t>:</w:t>
      </w:r>
      <w:bookmarkStart w:id="636" w:name="pg5021_49350"/>
    </w:p>
    <w:p>
      <w:pPr>
        <w:pStyle w:val="BookText"/>
        <w:rPr/>
      </w:pPr>
      <w:bookmarkEnd w:id="636"/>
      <w:r>
        <w:rPr>
          <w:rFonts w:ascii="IRNazanin" w:hAnsi="IRNazanin" w:eastAsia="IRNazanin"/>
          <w:color w:val="111111"/>
          <w:sz w:val="28"/>
          <w:sz w:val="28"/>
          <w:szCs w:val="28"/>
          <w:rtl w:val="true"/>
          <w:lang w:bidi="fa-IR"/>
        </w:rPr>
        <w:t>من شرط لامرأته شرطاً فلیف لها به، فإنّ المسلمین عند شروطهم إلا شرطاً حرّم حلالاً أوأحلّ حراماً</w:t>
      </w:r>
      <w:r>
        <w:rPr>
          <w:rFonts w:eastAsia="IRNazanin" w:cs="IRNazanin"/>
          <w:color w:val="111111"/>
          <w:sz w:val="28"/>
          <w:szCs w:val="28"/>
          <w:rtl w:val="true"/>
          <w:lang w:bidi="fa-IR"/>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وکذلک یلزم أن لایکون مخالفاً لمقتضی العقد کالبیع أو القرض مجاناً، اذ یستحیل الوفاء بهذا العقد المقّید فإمّا یتساقطان أو یقدم جانب العقد، لأنه المقصود بالذات وعلی کلّ تقدیر لایصحّ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وأصل الحکم لا إشکال فیه إنما الإشکال والخلاف فی تشخیص مصادیقه،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أن یهب الکتاب أو الدار لزید ویشترط علیه عدم بیعه أو هبته؟ هل یعدّ هذا مخالفاً لمقتضی، الهبة أی ملک الموهوب له الذی یقتضی تسلّطه علی ماله؟</w:t>
      </w:r>
    </w:p>
    <w:p>
      <w:pPr>
        <w:pStyle w:val="BookText"/>
        <w:rPr/>
      </w:pPr>
      <w:r>
        <w:rPr>
          <w:rFonts w:ascii="IRNazanin" w:hAnsi="IRNazanin" w:eastAsia="IRNazanin"/>
          <w:color w:val="111111"/>
          <w:sz w:val="28"/>
          <w:sz w:val="28"/>
          <w:szCs w:val="28"/>
          <w:rtl w:val="true"/>
          <w:lang w:bidi="fa-IR"/>
        </w:rPr>
        <w:t>وکذلک یلزم أن لایکون الشرط مجهولاً وإلا صار العقد مشتملاً علی الغرر علی ما أفاده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90"/>
      </w:r>
      <w:r>
        <w:rPr>
          <w:rFonts w:ascii="IRNazanin" w:hAnsi="IRNazanin" w:eastAsia="IRNazanin"/>
          <w:color w:val="111111"/>
          <w:sz w:val="28"/>
          <w:sz w:val="28"/>
          <w:szCs w:val="28"/>
          <w:rtl w:val="true"/>
          <w:lang w:bidi="fa-IR"/>
        </w:rPr>
        <w:t>ثمّ إذا فسد الشرط لاختلال بعض شرائطه لایجب العمل به کما هو واضح، ولکن هل یفسد العقد بفساده فیکون مفسداً أولا؟ فیه خلاف یطلب من المطولاّت</w:t>
      </w:r>
      <w:r>
        <w:rPr>
          <w:rFonts w:eastAsia="IRNazanin" w:cs="IRNazanin"/>
          <w:color w:val="111111"/>
          <w:sz w:val="28"/>
          <w:szCs w:val="28"/>
          <w:rtl w:val="true"/>
          <w:lang w:bidi="fa-IR"/>
        </w:rPr>
        <w:t>.</w:t>
      </w:r>
    </w:p>
    <w:p>
      <w:pPr>
        <w:pStyle w:val="Heading4"/>
        <w:numPr>
          <w:ilvl w:val="3"/>
          <w:numId w:val="1"/>
        </w:numPr>
        <w:rPr/>
      </w:pPr>
      <w:bookmarkStart w:id="637" w:name="__RefHeading___Toc580774_774463916"/>
      <w:bookmarkStart w:id="638" w:name="_Toc255"/>
      <w:bookmarkEnd w:id="637"/>
      <w:r>
        <w:rPr>
          <w:rtl w:val="true"/>
        </w:rPr>
        <w:t>الرّبا</w:t>
      </w:r>
      <w:bookmarkEnd w:id="638"/>
    </w:p>
    <w:p>
      <w:pPr>
        <w:pStyle w:val="BookText"/>
        <w:rPr/>
      </w:pPr>
      <w:r>
        <w:rPr>
          <w:rFonts w:ascii="Amiri" w:hAnsi="Amiri" w:eastAsia="Amiri" w:cs="Amiri"/>
          <w:color w:val="111111"/>
          <w:sz w:val="28"/>
          <w:sz w:val="28"/>
          <w:szCs w:val="28"/>
          <w:rtl w:val="true"/>
          <w:lang w:bidi="ar-SA"/>
        </w:rPr>
        <w:t>وهو حرام بضرورة الدین وصریح الآیات؛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أَحَلَّ اللّهُ الْبَیْعَ وَ حَرَّمَ الرِّبا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والروایات الکثیرة منها صحیح هشام بن سالم عن ابی عبدالله علیه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درهم ربا أشدّ من سبعین زنیة کلها بذات محرم</w:t>
      </w:r>
      <w:r>
        <w:rPr>
          <w:rFonts w:eastAsia="IRNazanin" w:cs="IRNazanin"/>
          <w:color w:val="111111"/>
          <w:sz w:val="28"/>
          <w:szCs w:val="28"/>
          <w:rtl w:val="true"/>
          <w:lang w:bidi="fa-IR"/>
        </w:rPr>
        <w:t xml:space="preserve">. </w:t>
      </w:r>
      <w:r>
        <w:rPr>
          <w:rStyle w:val="FootnoteAnchor"/>
          <w:rtl w:val="true"/>
        </w:rPr>
        <w:footnoteReference w:id="491"/>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شامل للربا القرضی الذی یأتی فی کتاب القرض إنشاء الله، والربا المعاوضی فی البیع، ویشترط فی الربا فی البیع أمور ثلاثة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اتحاد الجنسین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کونهما من المکیل أو الموزون دون غیرهما من الأجناس کالمعدود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زیادة أحدهما علی الآخر، أما الأخیر فواضع إذ الربا لغة هو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الأولان، فللروایات کموثقة منصور بن حازم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البیضة بالبیضتین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به والثوب بالثوبین، قال لابأس به، والفرس بالفرسین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شئ یکال أو یوزن فلایصلح مثلین بمثل إذا کان من جنس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لا یکال ولا یوزن فلا بأس به اثنین بواحد</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وبها یقیّد إطلاق ادلّة حرمة الربا ثم والزیادة المحرّمة، کما تشمل زیادة عینیة کما فی الحدیث تشمل الزیادة الحکمیّة کاشتراط کنس المسجد مثلاً أوکون أحدها نقداً والآخر نسیة؛ لصدق الزیادة ففی صحیح ولید بن صبیح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 بالذهب، والفضّة بالفضّة، الفضل بینهما هو الربا المنکر هو الربا المنکر</w:t>
      </w:r>
      <w:r>
        <w:rPr>
          <w:rFonts w:eastAsia="IRNazanin" w:cs="IRNazanin"/>
          <w:color w:val="111111"/>
          <w:sz w:val="28"/>
          <w:szCs w:val="28"/>
          <w:rtl w:val="true"/>
          <w:lang w:bidi="fa-IR"/>
        </w:rPr>
        <w:t xml:space="preserve">.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ولادخل لتساوی القیمة فی الحکم، فإذا باع منّاً من الحنطّة الجیّدة بمنیّن من الرّدیئة کان ربا، وان تساوت قیمتهما لصدق الزیادة بخلاف ما، اذا تساوا قدراً وتخالفا جودة، وکذلک بیع الذهب الجید بأکثر من غیر الجید أو المصوغ بأکثر من غیر المصوغ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عموم مثل موثقة منصور المتقدّمة یقتضی تعمیم التحریم لغیر البیع أیضاً کالصلح</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المشهور عدم حرمة الربا بین الرجل وولده وعبده وأهله؛ لروایة زرارة عن أبی جعفر علیه السلام </w:t>
      </w:r>
      <w:r>
        <w:rPr>
          <w:rFonts w:eastAsia="IRNazanin" w:cs="IRNazanin"/>
          <w:color w:val="111111"/>
          <w:sz w:val="28"/>
          <w:szCs w:val="28"/>
          <w:rtl w:val="true"/>
          <w:lang w:bidi="fa-IR"/>
        </w:rPr>
        <w:t xml:space="preserve">. </w:t>
      </w:r>
      <w:r>
        <w:rPr>
          <w:rStyle w:val="FootnoteAnchor"/>
          <w:rtl w:val="true"/>
        </w:rPr>
        <w:footnoteReference w:id="494"/>
      </w:r>
      <w:r>
        <w:rPr>
          <w:rFonts w:ascii="IRNazanin" w:hAnsi="IRNazanin" w:eastAsia="IRNazanin"/>
          <w:color w:val="111111"/>
          <w:sz w:val="28"/>
          <w:sz w:val="28"/>
          <w:szCs w:val="28"/>
          <w:rtl w:val="true"/>
          <w:lang w:bidi="fa-IR"/>
        </w:rPr>
        <w:t>ولا بین المسلم والکافر الحربی إذا أخذ الفضل، لروایة عمرو بن جمیع</w:t>
      </w:r>
      <w:r>
        <w:rPr>
          <w:rFonts w:eastAsia="IRNazanin" w:cs="IRNazanin"/>
          <w:color w:val="111111"/>
          <w:sz w:val="28"/>
          <w:szCs w:val="28"/>
          <w:rtl w:val="true"/>
          <w:lang w:bidi="fa-IR"/>
        </w:rPr>
        <w:t xml:space="preserve">. </w:t>
      </w:r>
      <w:r>
        <w:rPr>
          <w:rStyle w:val="FootnoteAnchor"/>
          <w:rtl w:val="true"/>
        </w:rPr>
        <w:footnoteReference w:id="495"/>
      </w:r>
      <w:bookmarkStart w:id="639" w:name="pg5021_49352"/>
    </w:p>
    <w:p>
      <w:pPr>
        <w:pStyle w:val="Heading3"/>
        <w:numPr>
          <w:ilvl w:val="2"/>
          <w:numId w:val="1"/>
        </w:numPr>
        <w:rPr/>
      </w:pPr>
      <w:bookmarkStart w:id="640" w:name="__RefHeading___Toc580776_774463916"/>
      <w:bookmarkStart w:id="641" w:name="_Toc256"/>
      <w:bookmarkEnd w:id="639"/>
      <w:bookmarkEnd w:id="640"/>
      <w:r>
        <w:rPr>
          <w:rtl w:val="true"/>
        </w:rPr>
        <w:t>الدرس</w:t>
      </w:r>
      <w:r>
        <w:rPr/>
        <w:t>11</w:t>
      </w:r>
      <w:r>
        <w:rPr>
          <w:rtl w:val="true"/>
        </w:rPr>
        <w:t xml:space="preserve"> - </w:t>
      </w:r>
      <w:r>
        <w:rPr>
          <w:rtl w:val="true"/>
        </w:rPr>
        <w:t>بیع الصرف والسَلَم</w:t>
      </w:r>
      <w:bookmarkEnd w:id="641"/>
    </w:p>
    <w:p>
      <w:pPr>
        <w:pStyle w:val="Heading4"/>
        <w:numPr>
          <w:ilvl w:val="3"/>
          <w:numId w:val="1"/>
        </w:numPr>
        <w:rPr/>
      </w:pPr>
      <w:bookmarkStart w:id="642" w:name="__RefHeading___Toc580778_774463916"/>
      <w:bookmarkStart w:id="643" w:name="_Toc257"/>
      <w:bookmarkEnd w:id="642"/>
      <w:r>
        <w:rPr>
          <w:rtl w:val="true"/>
        </w:rPr>
        <w:t>بیع الصرف</w:t>
      </w:r>
      <w:bookmarkEnd w:id="643"/>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الذهب بالذهب أو الفضة بالفضّة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ویشترط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التقابض قبل تحقق الافتراق بینهما؛ للروایات ومنها صحیح منصور بن حازم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اشتریت ذهباً بفضّة، أو فضة بذهب فلا تفارقه حتی تأخذ منه، وإن نزا </w:t>
      </w:r>
      <w:r>
        <w:rPr>
          <w:rStyle w:val="FootnoteAnchor"/>
          <w:rtl w:val="true"/>
        </w:rPr>
        <w:footnoteReference w:id="496"/>
      </w:r>
      <w:r>
        <w:rPr>
          <w:rFonts w:ascii="IRNazanin" w:hAnsi="IRNazanin" w:eastAsia="IRNazanin"/>
          <w:color w:val="111111"/>
          <w:sz w:val="28"/>
          <w:sz w:val="28"/>
          <w:szCs w:val="28"/>
          <w:rtl w:val="true"/>
          <w:lang w:bidi="fa-IR"/>
        </w:rPr>
        <w:t>حائطاً فانز معه</w:t>
      </w:r>
      <w:r>
        <w:rPr>
          <w:rFonts w:eastAsia="IRNazanin" w:cs="IRNazanin"/>
          <w:color w:val="111111"/>
          <w:sz w:val="28"/>
          <w:szCs w:val="28"/>
          <w:rtl w:val="true"/>
          <w:lang w:bidi="fa-IR"/>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بناءً علی أنّ ظاهر النهی عن شیء فی المعاملات إرشاد إلی الفساد معه، وأنّه مانع، وهذا الشرط یختص بالبیع دون الصلح والإجارة ونحوهما لقصور المقتضی وکونه خلاف الأصل؛ إذ البیع والصلح ونحوهما من سائر المعاوضات لاتتقّوم بالتقابض عند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وإطلاق النصوص یقتضی عدم الفرق بین المسکوک منهما وغیره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إذا کان العوضان متّحدی الجنس، یلزم تساویهما للتحّفظ من الربا؛ لأنّهما من الموزون، والحکم المذکور لایشمل الأوراق النقدیة؛ لأنها لیست ذهباً ولا فضّة، نعم، هما سبب لاعتبارهما غالباً ولیس التعامل إلّا علی الأوراق</w:t>
      </w:r>
      <w:r>
        <w:rPr>
          <w:rFonts w:eastAsia="IRNazanin" w:cs="IRNazanin"/>
          <w:color w:val="111111"/>
          <w:sz w:val="28"/>
          <w:szCs w:val="28"/>
          <w:rtl w:val="true"/>
          <w:lang w:bidi="fa-IR"/>
        </w:rPr>
        <w:t>.</w:t>
      </w:r>
      <w:bookmarkStart w:id="644" w:name="pg5021_49353"/>
    </w:p>
    <w:p>
      <w:pPr>
        <w:pStyle w:val="Heading4"/>
        <w:numPr>
          <w:ilvl w:val="3"/>
          <w:numId w:val="1"/>
        </w:numPr>
        <w:rPr/>
      </w:pPr>
      <w:bookmarkStart w:id="645" w:name="__RefHeading___Toc580780_774463916"/>
      <w:bookmarkStart w:id="646" w:name="_Toc258"/>
      <w:bookmarkEnd w:id="644"/>
      <w:bookmarkEnd w:id="645"/>
      <w:r>
        <w:rPr>
          <w:rtl w:val="true"/>
        </w:rPr>
        <w:t>بیع السلف أوالسلّم</w:t>
      </w:r>
      <w:bookmarkEnd w:id="646"/>
    </w:p>
    <w:p>
      <w:pPr>
        <w:pStyle w:val="BookText"/>
        <w:rPr/>
      </w:pPr>
      <w:r>
        <w:rPr>
          <w:rFonts w:ascii="IRNazanin" w:hAnsi="IRNazanin" w:eastAsia="IRNazanin"/>
          <w:color w:val="111111"/>
          <w:sz w:val="28"/>
          <w:sz w:val="28"/>
          <w:szCs w:val="28"/>
          <w:rtl w:val="true"/>
          <w:lang w:bidi="fa-IR"/>
        </w:rPr>
        <w:t>وهو ابتیاع کلّی مؤجل بثمن حالّ عکس النسیئة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للمشتری المسلِّم، وللبایع المسلَم إلیه، وللثمن المسلَم، وللبیع المسلَم فیه، کما إذ ابتاع سیّارة من صانعها قبل حدوثها بکذا نقداً، ولاخلاف فی جوازه وتدل علیه الروایات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فیه أمور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کون المبیع مضبوط الأوصاف التی تختلف القیمة باختلافها لما تقدّم من اشتراط الضبط وعدم الغرر فی مطلق البیع؛ ولقول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 بالسلم فی الحیوان والمتاع إذا وصفت الطول والعرض وفی الحیوان إذا وصفت أسنانها</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وعلیه فلا یصح فیما لا یمکن ضبط أوصافه، کالجواهر واللئالی، مما لا ترتفع الجهالة فیها إلا بالمشاهدة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ضبط أجل المبیع؛</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ضبط مقداره؛ للزوم الغرر من عدمهما وخصوص موثّقة غیاث بن إبراهیم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بالسلم کیلاً معلوماً إلی أجل معلوم ولاتسلّمه إلی دیاس ولا إلی حصاد</w:t>
      </w:r>
      <w:r>
        <w:rPr>
          <w:rFonts w:eastAsia="IRNazanin" w:cs="IRNazanin"/>
          <w:color w:val="111111"/>
          <w:sz w:val="28"/>
          <w:szCs w:val="28"/>
          <w:rtl w:val="true"/>
          <w:lang w:bidi="fa-IR"/>
        </w:rPr>
        <w:t xml:space="preserve">.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قبض الثمن قبل التفرق؛ إجماعاً حکاه فی الجواهر عن عدة،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العمدة فی المسألة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تمکّن البایع من دفع المبیع فی الوقت أو المکان الذی تعّهد؛ إجماعاً کما یستظهر من الجواهر ویؤیده قول الصادق علیه السلام ، فی صحیح عبدالرحمن بن الحجاج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ببیع کل متاع کنت تجده فی الوقت الذی بعته فیه</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ثمّ إن اتضح العجز أو طرأ بعده فله فسخ العقد؛ للسیرة العقلائیة علی ذلک أو فقل للشرط الضمنی؛ ولمایأتی من الروایات، بلازیادة علی ماهو مقتضی الفسخ الموجب لرجوع العوضین إلی حالتهما الأولی، وتدل علیه، ایضاً موثقة عبدالله بن بکیر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سألت إبا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أسلف فی شیء یسلف الناس فیه من الثمار، فذهب زمانها ولم یستوف سلفه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فلیأخذ رأس ماله أو لینظره</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ویدل علیه أیضاً صحیح محمد بن قیس</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وله الصبر إلی أن یأتی البایع بالمبیع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الروایتین</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 ادُّعی الإجماع علی عدم صحة بیع المشتری لما ابتاعه سلفاً قبل حلول الأجل من غیر البایع </w:t>
      </w:r>
      <w:r>
        <w:rPr>
          <w:rStyle w:val="FootnoteAnchor"/>
          <w:rtl w:val="true"/>
        </w:rPr>
        <w:footnoteReference w:id="503"/>
      </w:r>
      <w:r>
        <w:rPr>
          <w:rFonts w:ascii="IRNazanin" w:hAnsi="IRNazanin" w:eastAsia="IRNazanin"/>
          <w:color w:val="111111"/>
          <w:sz w:val="28"/>
          <w:sz w:val="28"/>
          <w:szCs w:val="28"/>
          <w:rtl w:val="true"/>
          <w:lang w:bidi="fa-IR"/>
        </w:rPr>
        <w:t>ولایجوز السلم إذا کان العوضان متحدی الجنس ومن المکیل والموزون حتی ولو کانا متساویین قدراً، للزوم الربا الحاصل من زیادة النقد علی النسیئة حکماً کما لایجوز فی الصرف لذلک وکذلک ولو کانا مختلفی الجنس، لاشتراط التقابض فی الصرف، کما تقدم</w:t>
      </w:r>
      <w:r>
        <w:rPr>
          <w:rFonts w:eastAsia="IRNazanin" w:cs="IRNazanin"/>
          <w:color w:val="111111"/>
          <w:sz w:val="28"/>
          <w:szCs w:val="28"/>
          <w:rtl w:val="true"/>
          <w:lang w:bidi="fa-IR"/>
        </w:rPr>
        <w:t>.</w:t>
      </w:r>
      <w:bookmarkStart w:id="647" w:name="pg5021_49355"/>
    </w:p>
    <w:p>
      <w:pPr>
        <w:pStyle w:val="Heading3"/>
        <w:numPr>
          <w:ilvl w:val="2"/>
          <w:numId w:val="1"/>
        </w:numPr>
        <w:rPr/>
      </w:pPr>
      <w:bookmarkStart w:id="648" w:name="__RefHeading___Toc580782_774463916"/>
      <w:bookmarkStart w:id="649" w:name="_Toc259"/>
      <w:bookmarkEnd w:id="647"/>
      <w:bookmarkEnd w:id="648"/>
      <w:r>
        <w:rPr>
          <w:rtl w:val="true"/>
        </w:rPr>
        <w:t>الدرس</w:t>
      </w:r>
      <w:r>
        <w:rPr/>
        <w:t>12</w:t>
      </w:r>
      <w:r>
        <w:rPr>
          <w:rtl w:val="true"/>
        </w:rPr>
        <w:t xml:space="preserve"> - </w:t>
      </w:r>
      <w:r>
        <w:rPr>
          <w:rtl w:val="true"/>
        </w:rPr>
        <w:t>شروط المتبایعین</w:t>
      </w:r>
      <w:bookmarkEnd w:id="649"/>
    </w:p>
    <w:p>
      <w:pPr>
        <w:pStyle w:val="Heading4"/>
        <w:numPr>
          <w:ilvl w:val="3"/>
          <w:numId w:val="1"/>
        </w:numPr>
        <w:rPr/>
      </w:pPr>
      <w:bookmarkStart w:id="650" w:name="__RefHeading___Toc580784_774463916"/>
      <w:bookmarkStart w:id="651" w:name="_Toc260"/>
      <w:bookmarkEnd w:id="650"/>
      <w:r>
        <w:rPr>
          <w:rtl w:val="true"/>
        </w:rPr>
        <w:t>القبض والتسلیم</w:t>
      </w:r>
      <w:bookmarkEnd w:id="651"/>
    </w:p>
    <w:p>
      <w:pPr>
        <w:pStyle w:val="BookText"/>
        <w:rPr/>
      </w:pPr>
      <w:r>
        <w:rPr>
          <w:rFonts w:ascii="IRNazanin" w:hAnsi="IRNazanin" w:eastAsia="IRNazanin"/>
          <w:color w:val="111111"/>
          <w:sz w:val="28"/>
          <w:sz w:val="28"/>
          <w:szCs w:val="28"/>
          <w:rtl w:val="true"/>
          <w:lang w:bidi="fa-IR"/>
        </w:rPr>
        <w:t>یجب علی المتبایعین تسلیم العوضین عند انتهاء العقد؛ لحرمة إمساک مال الغیر والتصرّف فیه بلا رضا مالکه، وللشرط الارتکازی الضّمنی إلا إذا اشترطا التأخیر فیکون ذا حق فی إلامساک فإن امتنعا أو أحدهما مع تسلیم الآخر اجبرا من قبل الحاکم لأنه؛ ولی الممتنع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یقال بجواز إجبار الممتنع من الطرف الآخر مع تسلیمه؛ لأنّ له حق استنقاذ ماله</w:t>
      </w:r>
      <w:r>
        <w:rPr>
          <w:rFonts w:eastAsia="IRNazanin" w:cs="IRNazanin"/>
          <w:color w:val="111111"/>
          <w:sz w:val="28"/>
          <w:szCs w:val="28"/>
          <w:rtl w:val="true"/>
          <w:lang w:bidi="fa-IR"/>
        </w:rPr>
        <w:t xml:space="preserve">. </w:t>
      </w:r>
      <w:r>
        <w:rPr>
          <w:rStyle w:val="FootnoteAnchor"/>
          <w:rtl w:val="true"/>
        </w:rPr>
        <w:footnoteReference w:id="504"/>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یکفی فی التسلیم التخلیة، ورفع المانع، وإلاذن لصاحبه فی التصرف وإن لم یصدق علیها القبض، لعدم الدلیل علی أزید منها، ویجب تفریغ المبیع مما فیه من متاع أو غیره کما هو مقتضی وجوب التخلیه والشرط الضمنی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تلف البیع بآفة سماویة أو أرضیة قبل قبض المشتری انفسخ البیع، للأجماع المدّعی، والنبوی المنجبر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مبیع تلف قبل قبضه فهو من مال بائعه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05"/>
      </w:r>
      <w:r>
        <w:rPr>
          <w:rFonts w:ascii="IRNazanin" w:hAnsi="IRNazanin" w:eastAsia="IRNazanin"/>
          <w:color w:val="111111"/>
          <w:sz w:val="28"/>
          <w:sz w:val="28"/>
          <w:szCs w:val="28"/>
          <w:rtl w:val="true"/>
          <w:lang w:bidi="fa-IR"/>
        </w:rPr>
        <w:t>وروایة عقبة بن خالد</w:t>
      </w:r>
      <w:r>
        <w:rPr>
          <w:rFonts w:eastAsia="IRNazanin" w:cs="IRNazanin"/>
          <w:color w:val="111111"/>
          <w:sz w:val="28"/>
          <w:szCs w:val="28"/>
          <w:rtl w:val="true"/>
          <w:lang w:bidi="fa-IR"/>
        </w:rPr>
        <w:t xml:space="preserve">. </w:t>
      </w:r>
      <w:r>
        <w:rPr>
          <w:rStyle w:val="FootnoteAnchor"/>
          <w:rtl w:val="true"/>
        </w:rPr>
        <w:footnoteReference w:id="506"/>
      </w:r>
      <w:bookmarkStart w:id="652" w:name="pg5021_49356"/>
    </w:p>
    <w:p>
      <w:pPr>
        <w:pStyle w:val="BookText"/>
        <w:rPr/>
      </w:pPr>
      <w:bookmarkEnd w:id="652"/>
      <w:r>
        <w:rPr>
          <w:rFonts w:ascii="IRNazanin" w:hAnsi="IRNazanin" w:eastAsia="IRNazanin"/>
          <w:color w:val="111111"/>
          <w:sz w:val="28"/>
          <w:sz w:val="28"/>
          <w:szCs w:val="28"/>
          <w:rtl w:val="true"/>
          <w:lang w:bidi="fa-IR"/>
        </w:rPr>
        <w:t>وکان تلفه من مال البایع، ورجع الثمن إلی المشتری؛ لأنّه مقتضی الانفساخ والمستفاد من الروایتین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للمشتری بیع ما اشتراه قبل القبض مطلقاً لعمومات جواز البیع والعقد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البیع مما یکال أو یوزن ففی جواز بیعه بربح قبل قبضه قولان، منشأهما اختلاف المستفاد من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ولایسع هذا المختصر لایرادها</w:t>
      </w:r>
      <w:r>
        <w:rPr>
          <w:rFonts w:eastAsia="IRNazanin" w:cs="IRNazanin"/>
          <w:color w:val="111111"/>
          <w:sz w:val="28"/>
          <w:szCs w:val="28"/>
          <w:rtl w:val="true"/>
          <w:lang w:bidi="fa-IR"/>
        </w:rPr>
        <w:t>.</w:t>
      </w:r>
    </w:p>
    <w:p>
      <w:pPr>
        <w:pStyle w:val="Heading4"/>
        <w:numPr>
          <w:ilvl w:val="3"/>
          <w:numId w:val="1"/>
        </w:numPr>
        <w:rPr/>
      </w:pPr>
      <w:bookmarkStart w:id="653" w:name="__RefHeading___Toc580786_774463916"/>
      <w:bookmarkStart w:id="654" w:name="_Toc261"/>
      <w:bookmarkEnd w:id="653"/>
      <w:r>
        <w:rPr>
          <w:rtl w:val="true"/>
        </w:rPr>
        <w:t>النقد والنسیئة</w:t>
      </w:r>
      <w:bookmarkEnd w:id="654"/>
    </w:p>
    <w:p>
      <w:pPr>
        <w:pStyle w:val="BookText"/>
        <w:rPr/>
      </w:pPr>
      <w:r>
        <w:rPr>
          <w:rFonts w:ascii="IRNazanin" w:hAnsi="IRNazanin" w:eastAsia="IRNazanin"/>
          <w:color w:val="111111"/>
          <w:sz w:val="28"/>
          <w:sz w:val="28"/>
          <w:szCs w:val="28"/>
          <w:rtl w:val="true"/>
          <w:lang w:bidi="fa-IR"/>
        </w:rPr>
        <w:t xml:space="preserve">إطلاق البیع یقتضی کون الثمن حالاًًّ؛ للسیرة، فلا یجوز التأخیر مطلقاً بعد العقد، لأنّ حبس مال الغیر أو عدم أداء الدین الحالّ ظلم، کما لایجوز للمشتری الامتناع من أخذه إجماعاً وللسیرة،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ولأنّه ظلم ینافی سلطنة المشتری علی إفراغ ذمّته عن الدین وعهدته عن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یقال</w:t>
      </w:r>
      <w:r>
        <w:rPr>
          <w:rFonts w:eastAsia="IRNazanin" w:cs="IRNazanin"/>
          <w:color w:val="111111"/>
          <w:sz w:val="28"/>
          <w:szCs w:val="28"/>
          <w:rtl w:val="true"/>
          <w:lang w:bidi="fa-IR"/>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وإذا اشترط تأجیل الثمن یکون نسیئة لایجب علی المشتری دفعه قبل الأجل بمقتضی الشرط ولکن یجب علی البایع أخذه إذا دفعه المشتری لِما تقدّم من سلطنة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اذا دلّت القرینة علی کون التأجیل حقّاً للبایع أیضاً فله الامتناع من اخذه بمقتضی حقه کما إذا باع نسیة للحفظ من السرقة والغصب فی مکان مخوف، ویجب أن یکون الأجل معیّناً وإلاّ بطل العقد؛ لِما تقدّم من النهی عن الغرر الظاهر فی الفساد فی أمثال المقام، وعلیه فلایجوز جعل أداء الثمن أو بعضه مردداً بین أوّل الشهر إلی وسطه أو عند تحقق مقدمات ثبت السند ونحوه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والمشهور بطلان بیع الشئ نقداً بکذا ونسیّة بأکثر منه؛ بان ینشئ البایع الإنشاء المرددّ فیقبل المشتری ذلک، ومقتضی القاعده فساده؛ إذ البایع أنشأ بیعین والمشتری قبلهما معاً مع إن الشئَ الواحد لا یقبل تملیکین فی آن واحد، نعم، إذا قبل المشتری</w:t>
      </w:r>
    </w:p>
    <w:p>
      <w:pPr>
        <w:pStyle w:val="BookText"/>
        <w:rPr/>
      </w:pPr>
      <w:r>
        <w:rPr>
          <w:rFonts w:ascii="IRNazanin" w:hAnsi="IRNazanin" w:eastAsia="IRNazanin"/>
          <w:color w:val="111111"/>
          <w:sz w:val="28"/>
          <w:sz w:val="28"/>
          <w:szCs w:val="28"/>
          <w:rtl w:val="true"/>
          <w:lang w:bidi="fa-IR"/>
        </w:rPr>
        <w:t>أحدهما المعیّن صحّ لعدم المانع وفی المسالة روایات محتاجة إلی التأمل، ولا یجوز تأجیل الثمن الحال بل مطلق الدین بأزید منه لیؤخره إلی أجل بلا خلاف؛ ولانّه ربا لأنّ حقیقة الربا فی القرض راجعة إلی جعل الزیادة فی مقابل إمهال المقرض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قال الشیخ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508"/>
      </w:r>
      <w:r>
        <w:rPr>
          <w:rFonts w:ascii="IRNazanin" w:hAnsi="IRNazanin" w:eastAsia="IRNazanin"/>
          <w:color w:val="111111"/>
          <w:sz w:val="28"/>
          <w:sz w:val="28"/>
          <w:szCs w:val="28"/>
          <w:rtl w:val="true"/>
          <w:lang w:bidi="fa-IR"/>
        </w:rPr>
        <w:t>وفی المقام روایات استفید منها أیضاً ذلک</w:t>
      </w:r>
      <w:r>
        <w:rPr>
          <w:rFonts w:eastAsia="IRNazanin" w:cs="IRNazanin"/>
          <w:color w:val="111111"/>
          <w:sz w:val="28"/>
          <w:szCs w:val="28"/>
          <w:rtl w:val="true"/>
          <w:lang w:bidi="fa-IR"/>
        </w:rPr>
        <w:t xml:space="preserve">. </w:t>
      </w:r>
      <w:r>
        <w:rPr>
          <w:rStyle w:val="FootnoteAnchor"/>
          <w:rtl w:val="true"/>
        </w:rPr>
        <w:footnoteReference w:id="509"/>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لا یجوز أن یزید فی الثمن المؤجل لیزید فی الأجل، لِما تقدّم؛ ویجوز عکس ذلک، بان یعجّل بنقصان منه علی وجه الصلح أو الإبراء؛ لعموم أدلتهما وعدم المانع ویدل علیه بعض النصوص، </w:t>
      </w:r>
      <w:r>
        <w:rPr>
          <w:rStyle w:val="FootnoteAnchor"/>
          <w:rtl w:val="true"/>
        </w:rPr>
        <w:footnoteReference w:id="510"/>
      </w:r>
      <w:r>
        <w:rPr>
          <w:rFonts w:ascii="IRNazanin" w:hAnsi="IRNazanin" w:eastAsia="IRNazanin"/>
          <w:color w:val="111111"/>
          <w:sz w:val="28"/>
          <w:sz w:val="28"/>
          <w:szCs w:val="28"/>
          <w:rtl w:val="true"/>
          <w:lang w:bidi="fa-IR"/>
        </w:rPr>
        <w:t>ویجوز بیع الشئ المؤجّل بالأقل منه حالاًّ لأنّه ملکه، وإن کان علی ذمّة الغیر فیجوز بیعه إلاّ فیما یکال ویوزن، فلایجوز لأنّه ربا</w:t>
      </w:r>
      <w:r>
        <w:rPr>
          <w:rFonts w:eastAsia="IRNazanin" w:cs="IRNazanin"/>
          <w:color w:val="111111"/>
          <w:sz w:val="28"/>
          <w:szCs w:val="28"/>
          <w:rtl w:val="true"/>
          <w:lang w:bidi="fa-IR"/>
        </w:rPr>
        <w:t>.</w:t>
      </w:r>
      <w:bookmarkStart w:id="655" w:name="pg5021_49358"/>
    </w:p>
    <w:p>
      <w:pPr>
        <w:pStyle w:val="Heading3"/>
        <w:numPr>
          <w:ilvl w:val="2"/>
          <w:numId w:val="1"/>
        </w:numPr>
        <w:rPr/>
      </w:pPr>
      <w:bookmarkStart w:id="656" w:name="__RefHeading___Toc580788_774463916"/>
      <w:bookmarkStart w:id="657" w:name="_Toc262"/>
      <w:bookmarkEnd w:id="655"/>
      <w:bookmarkEnd w:id="656"/>
      <w:r>
        <w:rPr>
          <w:rtl w:val="true"/>
        </w:rPr>
        <w:t>الدرس</w:t>
      </w:r>
      <w:r>
        <w:rPr/>
        <w:t>13</w:t>
      </w:r>
      <w:r>
        <w:rPr>
          <w:rtl w:val="true"/>
        </w:rPr>
        <w:t xml:space="preserve"> - </w:t>
      </w:r>
      <w:r>
        <w:rPr>
          <w:rtl w:val="true"/>
        </w:rPr>
        <w:t>کتاب الإجارة</w:t>
      </w:r>
      <w:bookmarkEnd w:id="657"/>
    </w:p>
    <w:p>
      <w:pPr>
        <w:pStyle w:val="Heading4"/>
        <w:numPr>
          <w:ilvl w:val="3"/>
          <w:numId w:val="1"/>
        </w:numPr>
        <w:rPr/>
      </w:pPr>
      <w:bookmarkStart w:id="658" w:name="__RefHeading___Toc580790_774463916"/>
      <w:bookmarkStart w:id="659" w:name="_Toc263"/>
      <w:bookmarkEnd w:id="658"/>
      <w:r>
        <w:rPr>
          <w:rtl w:val="true"/>
        </w:rPr>
        <w:t>حقیقة الإجارة</w:t>
      </w:r>
      <w:bookmarkEnd w:id="659"/>
    </w:p>
    <w:p>
      <w:pPr>
        <w:pStyle w:val="BookText"/>
        <w:rPr/>
      </w:pPr>
      <w:r>
        <w:rPr>
          <w:rFonts w:ascii="IRNazanin" w:hAnsi="IRNazanin" w:eastAsia="IRNazanin"/>
          <w:color w:val="111111"/>
          <w:sz w:val="28"/>
          <w:sz w:val="28"/>
          <w:szCs w:val="28"/>
          <w:rtl w:val="true"/>
          <w:lang w:bidi="fa-IR"/>
        </w:rPr>
        <w:t>الإجارة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تملیک المنفعة بعوض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والمنفعة قد تکون عملاً کإیجار الشخص للخیاطة أو غیره، کایجار الدار للسکن، ویقال لمستحق المنفعة المستأجر، ولمستحق الاُجرة فی إجارة الأعیان المؤجر، وفی الإجارة علی العمل الأجیر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وهی عقد عقلائی امضاه الشرع کسائر العقود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تَکُونَ تِجارَةً عَنْ تَراضٍ</w:t>
      </w:r>
      <w:r>
        <w:rPr>
          <w:rFonts w:eastAsia="Amiri" w:cs="Amiri" w:ascii="Amiri" w:hAnsi="Amiri"/>
          <w:color w:val="111111"/>
          <w:sz w:val="28"/>
          <w:szCs w:val="28"/>
          <w:rtl w:val="true"/>
          <w:lang w:bidi="ar-SA"/>
        </w:rPr>
        <w:t xml:space="preserve">... . </w:t>
      </w:r>
      <w:r>
        <w:rPr>
          <w:rStyle w:val="FootnoteAnchor"/>
          <w:rtl w:val="true"/>
        </w:rPr>
        <w:footnoteReference w:id="511"/>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وشرائط المتعاقدین فیها لا تختلف عما ذکر فی مطلق المتعاقدین فی بحث البیع بعین تلک الادلّه؛ لعمومها ویعتبر فیها الإیجاب والقبول؛ لأنّها من العقود عرفاً، کأنْ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آجرتک نفسی أو داری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المستأجر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وتتحقق بالمعاطاة لصدق عنوان الإجارة بها ویشترط فی طرفی الإجارة إی المتعاقدین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والبلوغ، والرشد، والقصد والاختیار، والمالکیة، والمالیة، کما تقدّم فی باب البیع بعین تلک الأدلة لعمومها</w:t>
      </w:r>
      <w:r>
        <w:rPr>
          <w:rFonts w:eastAsia="IRNazanin" w:cs="IRNazanin"/>
          <w:color w:val="111111"/>
          <w:sz w:val="28"/>
          <w:szCs w:val="28"/>
          <w:rtl w:val="true"/>
          <w:lang w:bidi="fa-IR"/>
        </w:rPr>
        <w:t>.</w:t>
      </w:r>
      <w:bookmarkStart w:id="660" w:name="pg5021_49359"/>
    </w:p>
    <w:p>
      <w:pPr>
        <w:pStyle w:val="Heading4"/>
        <w:numPr>
          <w:ilvl w:val="3"/>
          <w:numId w:val="1"/>
        </w:numPr>
        <w:rPr/>
      </w:pPr>
      <w:bookmarkStart w:id="661" w:name="__RefHeading___Toc580792_774463916"/>
      <w:bookmarkStart w:id="662" w:name="_Toc264"/>
      <w:bookmarkEnd w:id="660"/>
      <w:bookmarkEnd w:id="661"/>
      <w:r>
        <w:rPr>
          <w:rtl w:val="true"/>
        </w:rPr>
        <w:t>شرائط العوضین</w:t>
      </w:r>
      <w:bookmarkEnd w:id="662"/>
    </w:p>
    <w:p>
      <w:pPr>
        <w:pStyle w:val="BookText"/>
        <w:rPr/>
      </w:pPr>
      <w:r>
        <w:rPr>
          <w:rFonts w:ascii="IRNazanin" w:hAnsi="IRNazanin" w:eastAsia="IRNazanin"/>
          <w:color w:val="111111"/>
          <w:sz w:val="28"/>
          <w:sz w:val="28"/>
          <w:szCs w:val="28"/>
          <w:rtl w:val="true"/>
          <w:lang w:bidi="fa-IR"/>
        </w:rPr>
        <w:t>یلزم فیهما أمور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معلومیة العوضین؛ لِما تقدم من النهی عن الغرر المنجبر بتسالم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الثابت هو النهی عن بیع الغرر،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لامطلق الغرر، وفی المقام روایات اخری مثل النبوی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استأجر أجیراً فلیعلمه اجره</w:t>
      </w:r>
      <w:r>
        <w:rPr>
          <w:rFonts w:eastAsia="IRNazanin" w:cs="IRNazanin"/>
          <w:color w:val="111111"/>
          <w:sz w:val="28"/>
          <w:szCs w:val="28"/>
          <w:rtl w:val="true"/>
          <w:lang w:bidi="fa-IR"/>
        </w:rPr>
        <w:t xml:space="preserve">.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إلاّ إنّها ضعیفه سنداً أو دلالة فالعمدة هو التسالم وإلاّ فالحکم مبنی علی الاحتیاط لاسیما بلحاظ أنّ بعض مراتب الجهالة عند السیرة غیر مقبول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التسلیم؛ وإلاّ کان البیع لغواً لاتشمله سیرة العقلاء، وبالتالی أدلة الإمضاء فلاتصحّ إجارة السیارة المغصوبة التی لا یقدر مالکها علی تسلیمها للمستأجر ولا إجارة الأجیر علی عمل لا یقدر علی تحقیقه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 العین ذات منفعة، فلا تصحّ إجارة الأرض التی لا یمکن الزراعة فیها لها لاستحالة تملیک المستعیل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بقاء العین عند الانتفاع بها؛ فلاتصحّ إجارة الخبز للأکل؛ لأنّ ذلک مقوّم لها عرفاً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إباحة المنفعة؛ فلا تصحّ إجارة المساکن لعمل محرّم، کبیع الخمر، ولا الشخص للسرقة، ونحوها، أمّا الثانی فلإنّ الصّحة معناها لزوم العمل بها ولامعنی لوجوب السرقة بالإجارة، وأمّا الأوّل؛ فوجوه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التسلیم، لکونه، إعانة لإثم، وکل ماکان کذلک لا یصحّ بیعه عند العقلاء، ومنها أنّ هذه الحصة من المنفعة أی قابلیة المکان لبیع الخمر غیر مملوک للمالک إذ الحرام لا یملکه أحد، ومنها لزوم</w:t>
      </w:r>
    </w:p>
    <w:p>
      <w:pPr>
        <w:pStyle w:val="BookText"/>
        <w:rPr/>
      </w:pPr>
      <w:r>
        <w:rPr>
          <w:rFonts w:ascii="IRNazanin" w:hAnsi="IRNazanin" w:eastAsia="IRNazanin"/>
          <w:color w:val="111111"/>
          <w:sz w:val="28"/>
          <w:sz w:val="28"/>
          <w:szCs w:val="28"/>
          <w:rtl w:val="true"/>
          <w:lang w:bidi="fa-IR"/>
        </w:rPr>
        <w:t>اللغویة؛ إذ المستأجر لا یجوز له الانتفاع بالعین أما غیر بیع الخمر فی المثال فلعدم الإجارة علی ذلک و أما بیع الخمر؛ فللحرمة شرعاً، فلا تشمله ادلّة إلامضاء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تسالم الأصحاب علیه واستنکار جوازه عند المتشرعة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المانع شرعاً للمستأجر من العمل بالإجارة؛ فلا تصح إجارة الحائض لکنس المسجد، لعدم القدرة علی التسلیم شرعاً، وعدم شمول دلیل لزوم الوفاء لها للزوم ایجاب الحرام وتحلیل المحرّم بالإجارة، بل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یشمله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المسلمون عند شروطهم ألاّ شرطاً حرّم حلالاً أو أحّل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لاّن الشرط یشمل العقد أیضاً أو بالغاء الخصوصیة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المملوکیة، فلا تصحّ إجارة المباحات العامة، لأنّها لیست ملکاً لأحد حتی یمکن له تملیکها للغیر والإجارة تملیک، وفیه إنّه لا دلیل علی توقّف التملیک علی الملکیة عند العقل والعقلاء، فللأمام مثلاً تملیک المباحات عیناً ومنفعة وإن لم تکن من الأنفال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الولایة علی الإجارة، إمّا بالملک أو الوکالة أو الولایة علی المالک، إذ الإجارة فقدها تکون فضولیاً عرفاً یحتاج إلی الإذن وبدونه فاسد</w:t>
      </w:r>
      <w:r>
        <w:rPr>
          <w:rFonts w:eastAsia="IRNazanin" w:cs="IRNazanin"/>
          <w:color w:val="111111"/>
          <w:sz w:val="28"/>
          <w:szCs w:val="28"/>
          <w:rtl w:val="true"/>
          <w:lang w:bidi="fa-IR"/>
        </w:rPr>
        <w:t>.</w:t>
      </w:r>
      <w:bookmarkStart w:id="663" w:name="pg5021_49361"/>
    </w:p>
    <w:p>
      <w:pPr>
        <w:pStyle w:val="Heading3"/>
        <w:numPr>
          <w:ilvl w:val="2"/>
          <w:numId w:val="1"/>
        </w:numPr>
        <w:rPr/>
      </w:pPr>
      <w:bookmarkStart w:id="664" w:name="__RefHeading___Toc580794_774463916"/>
      <w:bookmarkStart w:id="665" w:name="_Toc265"/>
      <w:bookmarkEnd w:id="663"/>
      <w:bookmarkEnd w:id="664"/>
      <w:r>
        <w:rPr>
          <w:rtl w:val="true"/>
        </w:rPr>
        <w:t>الدرس</w:t>
      </w:r>
      <w:r>
        <w:rPr/>
        <w:t>14</w:t>
      </w:r>
      <w:r>
        <w:rPr>
          <w:rtl w:val="true"/>
        </w:rPr>
        <w:t xml:space="preserve"> - </w:t>
      </w:r>
      <w:r>
        <w:rPr>
          <w:rtl w:val="true"/>
        </w:rPr>
        <w:t xml:space="preserve">کتاب الإجارة </w:t>
      </w:r>
      <w:r>
        <w:rPr>
          <w:rtl w:val="true"/>
        </w:rPr>
        <w:t>(</w:t>
      </w:r>
      <w:r>
        <w:rPr/>
        <w:t>2</w:t>
      </w:r>
      <w:r>
        <w:rPr>
          <w:rtl w:val="true"/>
        </w:rPr>
        <w:t>)</w:t>
      </w:r>
      <w:bookmarkEnd w:id="665"/>
    </w:p>
    <w:p>
      <w:pPr>
        <w:pStyle w:val="Heading4"/>
        <w:numPr>
          <w:ilvl w:val="3"/>
          <w:numId w:val="1"/>
        </w:numPr>
        <w:rPr/>
      </w:pPr>
      <w:bookmarkStart w:id="666" w:name="__RefHeading___Toc580796_774463916"/>
      <w:bookmarkStart w:id="667" w:name="_Toc266"/>
      <w:bookmarkEnd w:id="666"/>
      <w:r>
        <w:rPr>
          <w:rtl w:val="true"/>
        </w:rPr>
        <w:t>من أحکام الإجارة</w:t>
      </w:r>
      <w:bookmarkEnd w:id="667"/>
    </w:p>
    <w:p>
      <w:pPr>
        <w:pStyle w:val="BookText"/>
        <w:rPr/>
      </w:pPr>
      <w:r>
        <w:rPr>
          <w:rFonts w:ascii="IRNazanin" w:hAnsi="IRNazanin" w:eastAsia="IRNazanin"/>
          <w:color w:val="111111"/>
          <w:sz w:val="28"/>
          <w:sz w:val="28"/>
          <w:szCs w:val="28"/>
          <w:rtl w:val="true"/>
          <w:lang w:bidi="fa-IR"/>
        </w:rPr>
        <w:t xml:space="preserve">الأجارة؛ عقد لازم، لما تقدّم من أنّه الأصل فی کلِّ عقد، </w:t>
      </w:r>
      <w:r>
        <w:rPr>
          <w:rStyle w:val="FootnoteAnchor"/>
          <w:rtl w:val="true"/>
        </w:rPr>
        <w:footnoteReference w:id="513"/>
      </w:r>
      <w:r>
        <w:rPr>
          <w:rFonts w:ascii="IRNazanin" w:hAnsi="IRNazanin" w:eastAsia="IRNazanin"/>
          <w:color w:val="111111"/>
          <w:sz w:val="28"/>
          <w:sz w:val="28"/>
          <w:szCs w:val="28"/>
          <w:rtl w:val="true"/>
          <w:lang w:bidi="fa-IR"/>
        </w:rPr>
        <w:t xml:space="preserve">ولا تنفسخ إلاّ بالتقایل؛ للسیرة العقلائیة غیر المردوعة بل الممضاة بمثل 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موثقة سماعة بن مهران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أربعة ینظر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إلیهم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أقال نادماً، أو أغاث لهفاناً أو أعتق نسمة أو زوّج عزباً</w:t>
      </w:r>
      <w:r>
        <w:rPr>
          <w:rFonts w:eastAsia="IRNazanin" w:cs="IRNazanin"/>
          <w:color w:val="111111"/>
          <w:sz w:val="28"/>
          <w:szCs w:val="28"/>
          <w:rtl w:val="true"/>
          <w:lang w:bidi="fa-IR"/>
        </w:rPr>
        <w:t xml:space="preserve">.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ولعل وجهه أنّ اللزوم فی مثلها حقّ یرتبط بهما فقط فلهما إسقاطه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بالفسخ عند اشتراط الخیار أو تخلّف الشرط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المسلمین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تمّ العقد، یملک کلّ منهما ماله علی الآخر بلا توقف علی شیءٍ کانقضاء المجلس أو قبض الاجرة ولو بعضها أو العین ونحوها لأنّ العقد سبب تام ولا دلیل علی توقف الأثر علی شئ آخر ویجب علی کلّ واحد منهما تسلیم ما علیه إلی الآخر لحرمة إمساک مال الغیر بلا 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لمستأجر العین إیجارها علی آخر؛ لأنّه مالک للمنفعة ما لم یشترط علیه عدمه ولو ضمناً وبقرنیة العادة الغالبة، والا فلا یجوز إذ المسلمون عند شروطهم، وکذلک یجوز للأجیر استیجار غیره للقیام بذلک العمل لما ذکر إذا لم یشترط علیه المباشرة ولو ضمناً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لایجوز إذا کانت الأجرة فی الثانیة أقلّ من الأولی ألاّ إذا عمل شیئاً؛ لصحیح محمد بن مسلم عن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 عن رجل یتقبل بالعمل فلا یعمل فیه ویدفعه إلی آخر فیربح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یکون قد عمل فیه شیئاً</w:t>
      </w:r>
      <w:r>
        <w:rPr>
          <w:rFonts w:eastAsia="IRNazanin" w:cs="IRNazanin"/>
          <w:color w:val="111111"/>
          <w:sz w:val="28"/>
          <w:szCs w:val="28"/>
          <w:rtl w:val="true"/>
          <w:lang w:bidi="fa-IR"/>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ویجب علی المستأجر بعد انتهاء مدة الإجارة تخلیة المکان إذا طالبها المالک؛ لحرمة الغصب والتصّرف فی مال الغیر بلا رضاه ولا یجوز له مطالبة شیءٍ وان طالت مدة إقامته، لانه زور وظلم، کما لایجوز له أجارته من ثالث؛ لعدم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إذا اشترط المستأجر علی المالک ولو ضمنیّاً بدلالة عرف عام أو خاص فی عقد إجارته أن یکون له حق إیجاره من نفسه أو ثالث قبل انتهاء المدة أو بعدها، المعبّر عنه بحق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السرقفلیة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مقابل مبلغ معین، فیجوز، کلّ ذلک لعموم سلطنة المالک علی ملکه، فله أن یتنازل عن حقه فی مقابل مبلغ ویجعله لغیره ویجب علیه بعد الاشتراط المذکور الوفاء به عملاً بوجوب الوفاء بالشرط، لسیرة العقلاء، وللروایات کما تأتی</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مستأجر العین أمین علیها لایضمنها إذا تلفت أو تعیبّت فلا یجوز أن یتصرّف فیها تصرّفاً مغایراً لما اتفقا علیه فی الإجارة، فاذا تعّدی أو فرّط فی حفظها فهو ضامن؛ 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الدالة علی ضمان کلّ یدٍ عادیة وخصوص الروایات؛ کصحیح الحلبی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عبدالله علیه السلام عن رجل تکاری دابة إلی مکان معلوم، فنفقت الدابة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جاز الشرط فهو ضامن وإن کان دخل وادیاً لم یوثقها فهو ضامن، وإن وقعت فی بئر فهو ضامن لأنّه لم یستوثق منها</w:t>
      </w:r>
      <w:r>
        <w:rPr>
          <w:rFonts w:eastAsia="IRNazanin" w:cs="IRNazanin"/>
          <w:color w:val="111111"/>
          <w:sz w:val="28"/>
          <w:szCs w:val="28"/>
          <w:rtl w:val="true"/>
          <w:lang w:bidi="fa-IR"/>
        </w:rPr>
        <w:t xml:space="preserve">. </w:t>
      </w:r>
      <w:r>
        <w:rPr>
          <w:rStyle w:val="FootnoteAnchor"/>
          <w:rtl w:val="true"/>
        </w:rPr>
        <w:footnoteReference w:id="516"/>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لا یضمنها إذا تلفت أو تعیّبت من غیر تعدٍّ أو تفریط منه علی ما هو مقتضی الأمانة، ویستفاد أیضا من الروایة المذکورة</w:t>
      </w:r>
      <w:r>
        <w:rPr>
          <w:rFonts w:eastAsia="IRNazanin" w:cs="IRNazanin"/>
          <w:color w:val="111111"/>
          <w:sz w:val="28"/>
          <w:szCs w:val="28"/>
          <w:rtl w:val="true"/>
          <w:lang w:bidi="fa-IR"/>
        </w:rPr>
        <w:t>.</w:t>
      </w:r>
      <w:bookmarkStart w:id="668" w:name="pg5021_49364"/>
    </w:p>
    <w:p>
      <w:pPr>
        <w:pStyle w:val="Heading3"/>
        <w:numPr>
          <w:ilvl w:val="2"/>
          <w:numId w:val="1"/>
        </w:numPr>
        <w:rPr/>
      </w:pPr>
      <w:bookmarkStart w:id="669" w:name="__RefHeading___Toc580798_774463916"/>
      <w:bookmarkStart w:id="670" w:name="_Toc267"/>
      <w:bookmarkEnd w:id="668"/>
      <w:bookmarkEnd w:id="669"/>
      <w:r>
        <w:rPr>
          <w:rtl w:val="true"/>
        </w:rPr>
        <w:t>الدرس</w:t>
      </w:r>
      <w:r>
        <w:rPr/>
        <w:t>15</w:t>
      </w:r>
      <w:r>
        <w:rPr>
          <w:rtl w:val="true"/>
        </w:rPr>
        <w:t xml:space="preserve"> - </w:t>
      </w:r>
      <w:r>
        <w:rPr>
          <w:rtl w:val="true"/>
        </w:rPr>
        <w:t>کتاب المزارعة</w:t>
      </w:r>
      <w:bookmarkEnd w:id="670"/>
    </w:p>
    <w:p>
      <w:pPr>
        <w:pStyle w:val="Heading4"/>
        <w:numPr>
          <w:ilvl w:val="3"/>
          <w:numId w:val="1"/>
        </w:numPr>
        <w:rPr/>
      </w:pPr>
      <w:bookmarkStart w:id="671" w:name="__RefHeading___Toc580800_774463916"/>
      <w:bookmarkStart w:id="672" w:name="_Toc268"/>
      <w:bookmarkEnd w:id="671"/>
      <w:r>
        <w:rPr>
          <w:rtl w:val="true"/>
        </w:rPr>
        <w:t>حقیقة المزارعة</w:t>
      </w:r>
      <w:bookmarkEnd w:id="672"/>
    </w:p>
    <w:p>
      <w:pPr>
        <w:pStyle w:val="BookText"/>
        <w:rPr/>
      </w:pPr>
      <w:r>
        <w:rPr>
          <w:rFonts w:ascii="IRNazanin" w:hAnsi="IRNazanin" w:eastAsia="IRNazanin"/>
          <w:color w:val="111111"/>
          <w:sz w:val="28"/>
          <w:sz w:val="28"/>
          <w:szCs w:val="28"/>
          <w:rtl w:val="true"/>
          <w:lang w:bidi="fa-IR"/>
        </w:rPr>
        <w:t>المزارعة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علی زرع الأرض بحصّة من حاصلها؛ بان یقول المالک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زارعتک هذه الأرض بالنصف من حاصلها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عقد عقلائی ممضی کسائر العقود، یحتاج إلی إیجاب وقبول لفظیاً کان أو بالفعل أو لمعاطاة؛ لعموم السیرة، ودلیل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وروایات باب المزارعة، کماتأتی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ویلزم فیه ما یلزم فی سائر العقود، من شرائط المتعاقدین، کالبلوغ، والعقل، والاختیار وعدم الحجر لسفه أو فلس،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لم یشارک الزارع بمال فلایلزم اشتراط عدم المحجوریة فی حقّه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شرائط العوضین، من عدم الجهالة فی المدة بدایة ونهایة، وفی ما یزرع إذا لم یقصدا التعمیم وفی الأرض وحدودها، وفی المصارف من البذر وغیره، بأن یجعل علی أحدهما أو کلیهما، کلّ ذلک إذا لم یکن هناک انصراف، کالتعارف الخارجی وإلاّ کفی ذلک فی التعیین والدلیل علی لزوم تعیین ذلک؛ ما تقدم من التسالم علی لزوم رفع الجهالة، وکذا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الروایات الخاصه فی باب المزارعة کما یعتبر أن یکون الموجب له الحقّ علی عقد المزارعة علی الأرض بملک أو منفعة أو وکالة أو ولایة وإلاکان فضولیاً، وکذلک یشترط إمکان حصول الناتج المذکور فی العقد فلو لم</w:t>
      </w:r>
    </w:p>
    <w:p>
      <w:pPr>
        <w:pStyle w:val="BookText"/>
        <w:rPr/>
      </w:pPr>
      <w:r>
        <w:rPr>
          <w:rFonts w:ascii="IRNazanin" w:hAnsi="IRNazanin" w:eastAsia="IRNazanin"/>
          <w:color w:val="111111"/>
          <w:sz w:val="28"/>
          <w:sz w:val="28"/>
          <w:szCs w:val="28"/>
          <w:rtl w:val="true"/>
          <w:lang w:bidi="fa-IR"/>
        </w:rPr>
        <w:t>تکن المدة قابلة له أو لم تکن الأرض قابلة للزارعة ولو بالعلاج لکونها سبخة ونحو ذلک، لم یصح لاشتراط القدرة علی التسلیم فی المعاوضات وإلّا کان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عقد لازم لا تنفسخ لأصالة اللزوم فی کلّ عقد، إلا بالتقایل أو الفسخ عند اشتراط الخیار أو تخّلف الشروط، کما فی کلّ عقد لماتقدّم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الحقیقة، عقد المزارعة عقد کسائر العقود اللازمه ویشترط فیه ما یشترط فی عامة العقود اللازمة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خصوصیتها فی نحو تعیین حصّة العامل، إذ یلزم أن یکون الناتج مشترکاً بین المالک والزارع بنحو الإشاعه بالکسر المشاع، کالنصف، والثلث ونحوهما، فلوقال للزارع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ازرع وأعطنی مأة کیلو، أو لک مأة کیلو والباقی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تصح وکذلک إذا شرط لأحدهما بالناتج من قطعة خاصّة من الأرض ونحو ذلک مماینافی الإشاعة، فلوکنا نحن ودلیل لزوم تعیین العوض فی المعاوضات، لم یکف هذا المقدار من التعیین المرددّ بین النقصان والزیادة، لکن سیرة العقلاء وبعض الروایات تدلاّن علی کفایة ذلک، ففی صحیح الحلبی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تقبل الأرض بحنطة مسمّاة ولکن بالنصف والثلث والربح والخمس لابأس به</w:t>
      </w:r>
      <w:r>
        <w:rPr>
          <w:rFonts w:eastAsia="IRNazanin" w:cs="IRNazanin"/>
          <w:color w:val="111111"/>
          <w:sz w:val="28"/>
          <w:szCs w:val="28"/>
          <w:rtl w:val="true"/>
          <w:lang w:bidi="fa-IR"/>
        </w:rPr>
        <w:t xml:space="preserve">.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ویجوز فی المزارعة أن یکون البذر منهما أو من المزارع کما یجوز أن تکون الأرض من العامل</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المزارعة تحتاج إلی الأرض والبذر والعمل والعوامل، وإطلاق دلیل الصحة یقتضی جواز أن یکون بعض هذه الأربعة من أحدهما والآخر علی الآخر أو الاشتراک فی الکلّ، نعم، قدیقال بلزوم کون البذر وغیره من النفقات علی العامل؛ لصحیحة یقعوب بن شعیب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وسألته عن المزارعة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النفقة منک والأرض لصاحبها، فما أخرج الله من شیئٍ قسّم علی الشطر، وکذلک أعطی رسول‌الله صلی الله علیه و آله خیبر حین أتوه فأعطاهم إیاها علی أن یعمّروها ولهم النصف مما أخرجت</w:t>
      </w:r>
      <w:r>
        <w:rPr>
          <w:rFonts w:eastAsia="IRNazanin" w:cs="IRNazanin"/>
          <w:color w:val="111111"/>
          <w:sz w:val="28"/>
          <w:szCs w:val="28"/>
          <w:rtl w:val="true"/>
          <w:lang w:bidi="fa-IR"/>
        </w:rPr>
        <w:t xml:space="preserve">.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إلاّ أنها محمولة علی المتعارف فی تلک الفترة بقرینة موثقة سماعة</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سألته عن مزارعة المسلم، المشرک فیکون من عند المسلم، البذر، والبقر، وتکون الأرض، والماء والخرج والعمل علی العلج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به</w:t>
      </w:r>
      <w:r>
        <w:rPr>
          <w:rFonts w:eastAsia="IRNazanin" w:cs="IRNazanin"/>
          <w:color w:val="111111"/>
          <w:sz w:val="28"/>
          <w:szCs w:val="28"/>
          <w:rtl w:val="true"/>
          <w:lang w:bidi="fa-IR"/>
        </w:rPr>
        <w:t xml:space="preserve">. </w:t>
      </w:r>
      <w:r>
        <w:rPr>
          <w:rStyle w:val="FootnoteAnchor"/>
          <w:rtl w:val="true"/>
        </w:rPr>
        <w:footnoteReference w:id="519"/>
      </w:r>
      <w:bookmarkStart w:id="673" w:name="pg5021_49367"/>
    </w:p>
    <w:p>
      <w:pPr>
        <w:pStyle w:val="Heading3"/>
        <w:numPr>
          <w:ilvl w:val="2"/>
          <w:numId w:val="1"/>
        </w:numPr>
        <w:rPr/>
      </w:pPr>
      <w:bookmarkStart w:id="674" w:name="__RefHeading___Toc580802_774463916"/>
      <w:bookmarkStart w:id="675" w:name="_Toc269"/>
      <w:bookmarkEnd w:id="673"/>
      <w:bookmarkEnd w:id="674"/>
      <w:r>
        <w:rPr>
          <w:rtl w:val="true"/>
        </w:rPr>
        <w:t>الدرس</w:t>
      </w:r>
      <w:r>
        <w:rPr/>
        <w:t>16</w:t>
      </w:r>
      <w:r>
        <w:rPr>
          <w:rtl w:val="true"/>
        </w:rPr>
        <w:t xml:space="preserve"> - </w:t>
      </w:r>
      <w:r>
        <w:rPr>
          <w:rtl w:val="true"/>
        </w:rPr>
        <w:t>کتاب المساقاة</w:t>
      </w:r>
      <w:bookmarkEnd w:id="675"/>
    </w:p>
    <w:p>
      <w:pPr>
        <w:pStyle w:val="Heading4"/>
        <w:numPr>
          <w:ilvl w:val="3"/>
          <w:numId w:val="1"/>
        </w:numPr>
        <w:rPr/>
      </w:pPr>
      <w:bookmarkStart w:id="676" w:name="__RefHeading___Toc580804_774463916"/>
      <w:bookmarkStart w:id="677" w:name="_Toc270"/>
      <w:bookmarkEnd w:id="676"/>
      <w:r>
        <w:rPr>
          <w:rtl w:val="true"/>
        </w:rPr>
        <w:t>حقیقة المساقاة</w:t>
      </w:r>
      <w:bookmarkEnd w:id="677"/>
    </w:p>
    <w:p>
      <w:pPr>
        <w:pStyle w:val="BookText"/>
        <w:rPr/>
      </w:pP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علی سقی الاشجار الموجودة وإصلاح شؤونها فی مدة معینه بحصّة من حاصلها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ویفترق عن المزارعة بأنّ الأرض فیها غیر مزروعة حین العقد بخلاف المساقاة لغرس الأشجار فیها قبله ودور العامل السقی وإصلاح شؤنها، ویعتبر فیها ما تقدّم فی المزارعة وفی کلِّ عقد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یختص باغتفار بعض الجهالة فیه، کتعیین حصّة کلٍّ منهما بنحو الکسر المشاع مما هو محتمل الزیادة والنقصان، وتدل علیه صحیحة یعقوب بن شعیب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رجل یعطی الرجل أرضه وفیها ماء أو نخل أو فاکهة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 هذا من الماء واعمره، ولک نصف ما أخرج الله عزوجل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w:t>
      </w:r>
      <w:r>
        <w:rPr>
          <w:rFonts w:eastAsia="IRNazanin" w:cs="IRNazanin"/>
          <w:color w:val="111111"/>
          <w:sz w:val="28"/>
          <w:szCs w:val="28"/>
          <w:rtl w:val="true"/>
          <w:lang w:bidi="fa-IR"/>
        </w:rPr>
        <w:t xml:space="preserve">. </w:t>
      </w:r>
      <w:r>
        <w:rPr>
          <w:rStyle w:val="FootnoteAnchor"/>
          <w:rtl w:val="true"/>
        </w:rPr>
        <w:footnoteReference w:id="520"/>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ککفایة تحدید المدة ببلوغ الثمرة القابلة للزیادة والنقصان، ویدل علیه نفس الصحیح المذکور، وبما أن عقد المساقاة مشتمل علی بعض الجهالة، فهو عقد علی خلاف القاعدة، فیقتصر فی صحته علی مقدار الدلیل ولذا اشترطوا أن تکون المساقاة</w:t>
      </w:r>
      <w:bookmarkStart w:id="678" w:name="pg5021_49368"/>
    </w:p>
    <w:p>
      <w:pPr>
        <w:pStyle w:val="BookText"/>
        <w:rPr/>
      </w:pPr>
      <w:bookmarkEnd w:id="678"/>
      <w:r>
        <w:rPr>
          <w:rFonts w:ascii="IRNazanin" w:hAnsi="IRNazanin" w:eastAsia="IRNazanin"/>
          <w:color w:val="111111"/>
          <w:sz w:val="28"/>
          <w:sz w:val="28"/>
          <w:szCs w:val="28"/>
          <w:rtl w:val="true"/>
          <w:lang w:bidi="fa-IR"/>
        </w:rPr>
        <w:t>علی أصل ثابت کما فی النخل وأشجار الفواکه، دون مثل البطیخ والباذنجان، وغیرهما من الخضر لعدم شمول صحیحة شعیب لذلک، وان تکون علی الأشجار المثمرة دون غیرها حتی الشجر الذی ینتفع بورقه کالحنّاء، إلا أن یدعی عدم الخصوصیة للثمر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تعتبر أیضاً حاجة الشجر إلی الإعمار سقیاً أو غیره دون مجرد الحفظ والقطف؛ لقصور الروایة عن شمول مثل ذلک</w:t>
      </w:r>
      <w:r>
        <w:rPr>
          <w:rFonts w:eastAsia="IRNazanin" w:cs="IRNazanin"/>
          <w:color w:val="111111"/>
          <w:sz w:val="28"/>
          <w:szCs w:val="28"/>
          <w:rtl w:val="true"/>
          <w:lang w:bidi="fa-IR"/>
        </w:rPr>
        <w:t>.</w:t>
      </w:r>
    </w:p>
    <w:p>
      <w:pPr>
        <w:pStyle w:val="Heading4"/>
        <w:numPr>
          <w:ilvl w:val="3"/>
          <w:numId w:val="1"/>
        </w:numPr>
        <w:rPr/>
      </w:pPr>
      <w:bookmarkStart w:id="679" w:name="__RefHeading___Toc580806_774463916"/>
      <w:bookmarkStart w:id="680" w:name="_Toc271"/>
      <w:bookmarkEnd w:id="679"/>
      <w:r>
        <w:rPr>
          <w:rtl w:val="true"/>
        </w:rPr>
        <w:t>من أحکام المساقات</w:t>
      </w:r>
      <w:bookmarkEnd w:id="680"/>
    </w:p>
    <w:p>
      <w:pPr>
        <w:pStyle w:val="BookText"/>
        <w:rPr/>
      </w:pPr>
      <w:r>
        <w:rPr>
          <w:rFonts w:ascii="IRNazanin" w:hAnsi="IRNazanin" w:eastAsia="IRNazanin"/>
          <w:color w:val="111111"/>
          <w:sz w:val="28"/>
          <w:sz w:val="28"/>
          <w:szCs w:val="28"/>
          <w:rtl w:val="true"/>
          <w:lang w:bidi="fa-IR"/>
        </w:rPr>
        <w:t>هی عقد لازم، لاینفسخ إلا بالتقایل أو الفسخ الجامع لشرائطه، کما فی کلِّ 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وتجوز علی الأشجار التی لا تحتاج إلی السقی مادامت بحاجة إلی الإعمار من جهات أخری، لما فی صحیح یعقوب من عطف الإعمار علی السقی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ان یشترط أحدهما مضافاً إلی حصّته شیئاً آخر، کدفع مبلغ من النقود، بلاخلاف لعموم وجوب الوفاء بالشرط إذ لامانع منه بعد صحة الشرط</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ویبطل عقد المساقاة بجعل تمام الحاصل للمالک؛ لِما تقدم من لزوم کون الحاصل مشترکاً، ومع البطلان یکون تمام الحاصل له؛ إذ النّماء تابع للأصل ولیس للعامل مطالبته بالأجرة لأنه أقدَمَ علی العمل مجاناً، نعم، إذا کان البطلان من جهة اخری وجب علی المالک أجرة المثل للعامل؛ لأنّ المالک استوفی منفعته ولیس مبنیاً علی المجّانیة، فهو ضامن طبقاً لقاعدة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یضمن بصحیحه یضمن بفاسده</w:t>
      </w:r>
      <w:r>
        <w:rPr>
          <w:rFonts w:eastAsia="IRNazanin" w:cs="IRNazanin"/>
          <w:color w:val="111111"/>
          <w:sz w:val="28"/>
          <w:szCs w:val="28"/>
          <w:rtl w:val="true"/>
          <w:lang w:bidi="fa-IR"/>
        </w:rPr>
        <w:t>».</w:t>
      </w:r>
      <w:bookmarkStart w:id="681" w:name="pg5021_49369"/>
    </w:p>
    <w:p>
      <w:pPr>
        <w:pStyle w:val="Heading3"/>
        <w:numPr>
          <w:ilvl w:val="2"/>
          <w:numId w:val="1"/>
        </w:numPr>
        <w:rPr/>
      </w:pPr>
      <w:bookmarkStart w:id="682" w:name="__RefHeading___Toc580808_774463916"/>
      <w:bookmarkStart w:id="683" w:name="_Toc272"/>
      <w:bookmarkEnd w:id="681"/>
      <w:bookmarkEnd w:id="682"/>
      <w:r>
        <w:rPr>
          <w:rtl w:val="true"/>
        </w:rPr>
        <w:t>الدرس</w:t>
      </w:r>
      <w:r>
        <w:rPr/>
        <w:t>17</w:t>
      </w:r>
      <w:r>
        <w:rPr>
          <w:rtl w:val="true"/>
        </w:rPr>
        <w:t xml:space="preserve"> - </w:t>
      </w:r>
      <w:r>
        <w:rPr>
          <w:rtl w:val="true"/>
        </w:rPr>
        <w:t>کتاب الشرکة</w:t>
      </w:r>
      <w:bookmarkEnd w:id="683"/>
    </w:p>
    <w:p>
      <w:pPr>
        <w:pStyle w:val="Heading4"/>
        <w:numPr>
          <w:ilvl w:val="3"/>
          <w:numId w:val="1"/>
        </w:numPr>
        <w:rPr/>
      </w:pPr>
      <w:bookmarkStart w:id="684" w:name="__RefHeading___Toc580810_774463916"/>
      <w:bookmarkStart w:id="685" w:name="_Toc273"/>
      <w:bookmarkEnd w:id="684"/>
      <w:r>
        <w:rPr>
          <w:rtl w:val="true"/>
        </w:rPr>
        <w:t>حقیقة الشرکة</w:t>
      </w:r>
      <w:bookmarkEnd w:id="685"/>
    </w:p>
    <w:p>
      <w:pPr>
        <w:pStyle w:val="BookText"/>
        <w:rPr/>
      </w:pPr>
      <w:r>
        <w:rPr>
          <w:rFonts w:ascii="IRNazanin" w:hAnsi="IRNazanin" w:eastAsia="IRNazanin"/>
          <w:color w:val="111111"/>
          <w:sz w:val="28"/>
          <w:sz w:val="28"/>
          <w:szCs w:val="28"/>
          <w:rtl w:val="true"/>
          <w:lang w:bidi="fa-IR"/>
        </w:rPr>
        <w:t>الشرکة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الأوّل من الشرکة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شئ واحد لا ثنین أو أزید بنحو الإشاعة، کما إذا ورثوا مالاً أو اشترکوا فی عمل معاً، کاصطیاد الأسماک بواسطة شبکة أو امتزج مال عدّة من دون تمییز بنحوس عدّ عرفاً شیئاً واحداً، کما فی امتزاج المتماثلین، کالحنطة بالحنطة وکما إذا امتلکا شیئاً واحداً، کالدار بشراء أو هبة، وحصول الشرکة بهذه الأمور واضح مطابق للقاعدة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تکون هذه الشرکة بالصیغة بان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شرّکنی فی نصف هذه الدار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فیقبل، فتصیر لهما بنحو الإشاعة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صحیحة هشام بن سالم عن أبی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الرجل یشارک فی السلعة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ربح فله وإن وضع فعلیه</w:t>
      </w:r>
      <w:r>
        <w:rPr>
          <w:rFonts w:eastAsia="IRNazanin" w:cs="IRNazanin"/>
          <w:color w:val="111111"/>
          <w:sz w:val="28"/>
          <w:szCs w:val="28"/>
          <w:rtl w:val="true"/>
          <w:lang w:bidi="fa-IR"/>
        </w:rPr>
        <w:t xml:space="preserve">». </w:t>
      </w:r>
      <w:r>
        <w:rPr>
          <w:rStyle w:val="FootnoteAnchor"/>
          <w:rtl w:val="true"/>
        </w:rPr>
        <w:footnoteReference w:id="521"/>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واذا تحققت الشرکة بالنحو المذکور لایجوز لبعض الشرکاء التصرّف فی العین المشترکة إلاّ بإذن البقیة؛ لأن کل واحد من الشرکاء له حق فی کل جزء من المال المشاع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لتصرف فیه بلا رضاهم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طلب أحد الشرکاء القسمة، لزمت إجابته إذ لکلّ مالک حق فرز ماله عن شریکه عند العقلاء سواءً فی ذلک قسمة إفراز وهی التی لا تحتاج إلی تعدیل السهام لتساوی أجزائه فی القیمة، کصبّرة من الحنطة، أو قسمة تعدیل کالدار مثلاً، نعم، إذا لزم منها الضرر لنقصان فی العین أو القیمة بما لایتسامح عادة لم تجب 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تدلّ علی نفی الحکم الذی ینشأمنه الضرر بل یکون الإجبار علی القسمة حینئذٍ محرّماً لحرمة الإضرار، ولعّل السیرة العقلائیة أیضاً قاصرة عن شمول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والشرکة العقلائیه عقد لازم لأصالة اللزوم فی کل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لکلّ منهما حقّ القسمة کما تقدّم وهو غیر جواز العقد إذ الجواز معناه إمکان فسخ العقد ومطالبة العوض الذی أدّاه بخلاف القسمة التی معناه تعیین السهام وإخراجها عن الإشاعه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الثانی من الشرکة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الاتفاق بین طرفین أو أزید علی الاتجار بمالهم مع الاشتراک فی الربح والخسارة، فیأتی کلّ منهما بعین أو مبلغ من النقود ویتّجران بها، ویلزم فیها الإیجاب والقبول؛ لأنّها 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ویلزم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والعقل، والاختیار، وعدم الحجر، کما فی سائر العقود، ویلزم فیها مزج مالی الشریکین قبل العقد أو بعده بنحو لا یتمیزان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مستند له سوی الإجماع المدّعی والشهرة والاحتیاط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تصح لوجاء کل واحد منهما بعین ممتازة عن عین صاحبه، کالسیارة مثلاً</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بعد الامتزاج المذکور یکونان شریکین فی الممتزج، کما فی النّحو الأوّل من الشرکة ألاّ أنّهما هنا مأذونان فی الاتجار به بمقتضی العقد، ویکون الربح لهما والخسارة علیهما بنسبة المالین؛ لأنّ النماء والربح تابع للأصل عند العقلاء، وأما الخسارة فقد حصلت علی المجموع ولا دلیل علی تحمّل الغیر خسارة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شرطت زیادة</w:t>
      </w:r>
      <w:bookmarkStart w:id="686" w:name="pg5021_49371"/>
    </w:p>
    <w:p>
      <w:pPr>
        <w:pStyle w:val="BookText"/>
        <w:rPr/>
      </w:pPr>
      <w:bookmarkEnd w:id="686"/>
      <w:r>
        <w:rPr>
          <w:rFonts w:ascii="IRNazanin" w:hAnsi="IRNazanin" w:eastAsia="IRNazanin"/>
          <w:color w:val="111111"/>
          <w:sz w:val="28"/>
          <w:sz w:val="28"/>
          <w:szCs w:val="28"/>
          <w:rtl w:val="true"/>
          <w:lang w:bidi="fa-IR"/>
        </w:rPr>
        <w:t xml:space="preserve">من الربح لأحدهما فإن کانت فی مقابل عمل صحّ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المسلمین عند شروطهم</w:t>
      </w:r>
      <w:r>
        <w:rPr>
          <w:rFonts w:eastAsia="IRNazanin" w:cs="IRNazanin"/>
          <w:color w:val="111111"/>
          <w:sz w:val="28"/>
          <w:szCs w:val="28"/>
          <w:rtl w:val="true"/>
          <w:lang w:bidi="fa-IR"/>
        </w:rPr>
        <w:t xml:space="preserve">).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وإلاّ ففیه وجهان من انّه أکل للمال بالباطل، ومن عموم دلیل الوفاء بالشروط وهکذا الحال فی اشتراط الخسارة أو زیادتها علی أحدهما والمسأله محل تأمل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والشریک المأذون أمین لا یضمن إلاّ بالتعدّی أو التفریط 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ضمان الأمین إلاّ بالتقصیر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وعقد الشرکة هذا عقد جائز قبل التصرف لأنّه من العقود الأذنیة عرفاً التی حقیقتها الإذن للآخر فی التصرف، ولکل آذن التراجع عن 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وجه للجواز بعد التصرّف وأثناء الموضوع</w:t>
      </w:r>
      <w:r>
        <w:rPr>
          <w:rFonts w:eastAsia="IRNazanin" w:cs="IRNazanin"/>
          <w:color w:val="111111"/>
          <w:sz w:val="28"/>
          <w:szCs w:val="28"/>
          <w:rtl w:val="true"/>
          <w:lang w:bidi="fa-IR"/>
        </w:rPr>
        <w:t>.</w:t>
      </w:r>
    </w:p>
    <w:p>
      <w:pPr>
        <w:pStyle w:val="Heading4"/>
        <w:numPr>
          <w:ilvl w:val="3"/>
          <w:numId w:val="1"/>
        </w:numPr>
        <w:rPr/>
      </w:pPr>
      <w:bookmarkStart w:id="687" w:name="__RefHeading___Toc580812_774463916"/>
      <w:bookmarkStart w:id="688" w:name="_Toc274"/>
      <w:bookmarkEnd w:id="687"/>
      <w:r>
        <w:rPr>
          <w:rtl w:val="true"/>
        </w:rPr>
        <w:t>أنواع الشرکة الفاسدة</w:t>
      </w:r>
      <w:bookmarkEnd w:id="688"/>
    </w:p>
    <w:p>
      <w:pPr>
        <w:pStyle w:val="BookText"/>
        <w:rPr/>
      </w:pPr>
      <w:r>
        <w:rPr>
          <w:rFonts w:ascii="IRNazanin" w:hAnsi="IRNazanin" w:eastAsia="IRNazanin"/>
          <w:color w:val="111111"/>
          <w:sz w:val="28"/>
          <w:sz w:val="28"/>
          <w:szCs w:val="28"/>
          <w:rtl w:val="true"/>
          <w:lang w:bidi="fa-IR"/>
        </w:rPr>
        <w:t>تصح الشرکة بالنحو الثانی فی الأموال فقط، کما تقدّم ویصطلح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بشرکة العنان وأما بقیه أشکالها فباطلة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شرکة الابدان، وهی التعاقد علی عمل معین من کلّ واحد مستقلاً مع اقتسام الأجرة بینهما کما لو قررّ خیاطان اقتسام أجرة خیاطتهما وهی باطلة لأنها غرریة إذ لا یعلم کلّ منهما ما یتعلّق به مضافاً إلی دعوی استفاضة الأجماع أو تواتره علیها</w:t>
      </w:r>
      <w:r>
        <w:rPr>
          <w:rFonts w:eastAsia="IRNazanin" w:cs="IRNazanin"/>
          <w:color w:val="111111"/>
          <w:sz w:val="28"/>
          <w:szCs w:val="28"/>
          <w:rtl w:val="true"/>
          <w:lang w:bidi="fa-IR"/>
        </w:rPr>
        <w:t xml:space="preserve">.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ومنها شرکة الوجوه، بان یتعاقدا علی أن یشتری کلّ منهما مالاً بثمن فی ذمته إلی أجل ثمّ یبیعانه ویکون ربحه بینهما والخسران علیهما وهی أیضاً باطلة، لنفس ما تقدّم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شرکة المفاوضة، وهی أن یتعاقدا علی أن یکون ما یحصل لکلّ منهما من ربح تجارة أو زراعة أوارث ونحو ذلک لهما، وما یرد علی کلّ منهما من غرامة تکون</w:t>
      </w:r>
    </w:p>
    <w:p>
      <w:pPr>
        <w:pStyle w:val="BookText"/>
        <w:rPr/>
      </w:pPr>
      <w:r>
        <w:rPr>
          <w:rFonts w:ascii="IRNazanin" w:hAnsi="IRNazanin" w:eastAsia="IRNazanin"/>
          <w:color w:val="111111"/>
          <w:sz w:val="28"/>
          <w:sz w:val="28"/>
          <w:szCs w:val="28"/>
          <w:rtl w:val="true"/>
          <w:lang w:bidi="fa-IR"/>
        </w:rPr>
        <w:t>علیهما، وهی أیضاً فاسدة، لما تقدّم بل فسادها أوضح</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یستدل أیضاً علی فساد هذه الأنواع من الشرکة بانّ ربح العمل المستقبلی أمر معدوم حین العقد وتملیک المعدوم أمر غیر عقلائی تحتاج صحته إلی قیام دلیل خاص علیها وهو مفقود</w:t>
      </w:r>
      <w:r>
        <w:rPr>
          <w:rFonts w:eastAsia="IRNazanin" w:cs="IRNazanin"/>
          <w:color w:val="111111"/>
          <w:sz w:val="28"/>
          <w:szCs w:val="28"/>
          <w:rtl w:val="true"/>
          <w:lang w:bidi="fa-IR"/>
        </w:rPr>
        <w:t xml:space="preserve">. </w:t>
      </w:r>
      <w:r>
        <w:rPr>
          <w:rStyle w:val="FootnoteAnchor"/>
          <w:rtl w:val="true"/>
        </w:rPr>
        <w:footnoteReference w:id="524"/>
      </w:r>
      <w:bookmarkStart w:id="689" w:name="pg5021_49373"/>
    </w:p>
    <w:p>
      <w:pPr>
        <w:pStyle w:val="Heading3"/>
        <w:numPr>
          <w:ilvl w:val="2"/>
          <w:numId w:val="1"/>
        </w:numPr>
        <w:rPr/>
      </w:pPr>
      <w:bookmarkStart w:id="690" w:name="__RefHeading___Toc580814_774463916"/>
      <w:bookmarkStart w:id="691" w:name="_Toc275"/>
      <w:bookmarkEnd w:id="689"/>
      <w:bookmarkEnd w:id="690"/>
      <w:r>
        <w:rPr>
          <w:rtl w:val="true"/>
        </w:rPr>
        <w:t>الدرس</w:t>
      </w:r>
      <w:r>
        <w:rPr/>
        <w:t>18</w:t>
      </w:r>
      <w:r>
        <w:rPr>
          <w:rtl w:val="true"/>
        </w:rPr>
        <w:t xml:space="preserve"> - </w:t>
      </w:r>
      <w:r>
        <w:rPr>
          <w:rtl w:val="true"/>
        </w:rPr>
        <w:t>کتاب المضاربة</w:t>
      </w:r>
      <w:bookmarkEnd w:id="691"/>
    </w:p>
    <w:p>
      <w:pPr>
        <w:pStyle w:val="Heading4"/>
        <w:numPr>
          <w:ilvl w:val="3"/>
          <w:numId w:val="1"/>
        </w:numPr>
        <w:rPr/>
      </w:pPr>
      <w:bookmarkStart w:id="692" w:name="__RefHeading___Toc580816_774463916"/>
      <w:bookmarkStart w:id="693" w:name="_Toc276"/>
      <w:bookmarkEnd w:id="692"/>
      <w:r>
        <w:rPr>
          <w:rtl w:val="true"/>
        </w:rPr>
        <w:t>حقیقة المضاربة</w:t>
      </w:r>
      <w:bookmarkEnd w:id="693"/>
    </w:p>
    <w:p>
      <w:pPr>
        <w:pStyle w:val="BookText"/>
        <w:rPr/>
      </w:pP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یتضمّن دفع المال إلی أحد لیتجّر فیه مع اقتسام الربح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وتفترق عن الأجارة بأنّ الربح فی الإجارة جمیعه للمالک وأنما للأجیر الأجرة بخلاف المضاربة حیث یکون الربح بینهما بدواً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ولاکلام فی مشروعیتها عند العقلاء وتستفاد من النصوص الکثیرة منها صحیح محمد بن مسلم عن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الرجل یعطی المال مضاربة وینهی أن یخرج به فخرج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یضمن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والربح بینهما</w:t>
      </w:r>
      <w:r>
        <w:rPr>
          <w:rFonts w:eastAsia="IRNazanin" w:cs="IRNazanin"/>
          <w:color w:val="111111"/>
          <w:sz w:val="28"/>
          <w:szCs w:val="28"/>
          <w:rtl w:val="true"/>
          <w:lang w:bidi="fa-IR"/>
        </w:rPr>
        <w:t xml:space="preserve">.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و یعتبر فیها ما یعتبر فی مطلق العقود من الإیجاب والقبول بکلّ ما یدلّ علیهما، ولو بالمعاطاة، والبلوغ، والعقل، والاختیار، فی الطرفین، وعدم الحَجرْ لسفه أو فلس فی المالک دون العامل؛ بناء علی ما هو المشهور من عدم کون السفه والفلس مانعاً عن التصّرف فی النفس، وإن کان فی جواز ذلک فی السفیه کلام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یعتبر فیها مضافاً إلی تلک الشرائط العامة لمطلق العقود، أمور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حصة کلّ منهما فی الربح بنحو الکسر المشاع، فلا تصحّ لوقال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اتجّر بهذا المال ولک مأة دینار، لأنّ ذلک یکون إجارة أو جعالة، لا مضاربة، هذا مضافاً إلی دعوی الإجماع والتسالم من المسلمین علی ذلک وإلی أنّه القَدَر المتیقّن من صحّة المضاربة وما سواه لا دلیل علی صحته بعد کونها علی خلاف القاعدة من جهة الجهالة فی الربح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یکفی فی التعیین التعارف الخارجی الموجب لاتصراف الأطلاق الیه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یکون الربح بینهما، فلو شرط مقداراً منه لأجنبی لم تصحّ، واستدل علیه بأنّه المتیقّن الظاهر من أدلة صحة المضاربة، والأصل عدم الجواز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اشترط علیه عمل متعلّق بالتجارة یجوز جعل شئٍ من الربح له بناء علی جواز تعدد العامل لإطلاق الأدلة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قدرة العامل علی التجارة إذا اشترطت مباشرته، إذ لا موضوع للمقابلة بین الربح والمنفعة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یکون رأس المال عیناً لا دیناً، فلا یجوز للدائن جعل دینه عند المدیون مضاربة، بأن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ربح الحنطة التی لی فی ذمتک، ولک نصف الربح؛ لعدم الدلیل علی صحتها ولأن الأصل فیها الفساد، وعدم شمول أدله الإمضاء لها لظهورها فی دفع العین، نعم، إذا قبض الدین خارجاً ولو بتوکیل المدیون فتصح لعدم المانع؛ ویدل علی الأمرین أیضاً موثقة السکونی،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امیرالمؤمنین علیه السلام فی رجل له علی رجل مال فیتقاضاه ولایکون عنده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عندک مضاربة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لایصلح حتی یقبضه منه</w:t>
      </w:r>
      <w:r>
        <w:rPr>
          <w:rFonts w:eastAsia="IRNazanin" w:cs="IRNazanin"/>
          <w:color w:val="111111"/>
          <w:sz w:val="28"/>
          <w:szCs w:val="28"/>
          <w:rtl w:val="true"/>
          <w:lang w:bidi="fa-IR"/>
        </w:rPr>
        <w:t xml:space="preserve">. </w:t>
      </w:r>
      <w:r>
        <w:rPr>
          <w:rStyle w:val="FootnoteAnchor"/>
          <w:rtl w:val="true"/>
        </w:rPr>
        <w:footnoteReference w:id="526"/>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وبها یقید إطلاق روایة المرادی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عبدالله عن الرجل یقول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أبتاع لک متاعاً والربح بینی وبینک،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بناء علی أن ذلک وکالة فی الابتیاع بشرط المضاربة فی البیع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یکون رأس المال الذهب والفضة المسکوکین بسکة المعامله؛ فلا تصحّ فی غیرهما علی المشهور وادعی فی الجواهر الإجماع بقسمیه علیه، والمناسب التعمیم لکلّ مال لإطلاق عنوان المال المذکور فی صحیحة محمد بن مسلم المتقدّمة، والإجماع المذکور لم یحرز تحقّقه</w:t>
      </w:r>
      <w:r>
        <w:rPr>
          <w:rFonts w:eastAsia="IRNazanin" w:cs="IRNazanin"/>
          <w:color w:val="111111"/>
          <w:sz w:val="28"/>
          <w:szCs w:val="28"/>
          <w:rtl w:val="true"/>
          <w:lang w:bidi="fa-IR"/>
        </w:rPr>
        <w:t>.</w:t>
      </w:r>
      <w:bookmarkStart w:id="694" w:name="pg5021_49376"/>
    </w:p>
    <w:p>
      <w:pPr>
        <w:pStyle w:val="Heading3"/>
        <w:numPr>
          <w:ilvl w:val="2"/>
          <w:numId w:val="1"/>
        </w:numPr>
        <w:rPr/>
      </w:pPr>
      <w:bookmarkStart w:id="695" w:name="__RefHeading___Toc580818_774463916"/>
      <w:bookmarkStart w:id="696" w:name="_Toc277"/>
      <w:bookmarkEnd w:id="694"/>
      <w:bookmarkEnd w:id="695"/>
      <w:r>
        <w:rPr>
          <w:rtl w:val="true"/>
        </w:rPr>
        <w:t>الدرس</w:t>
      </w:r>
      <w:r>
        <w:rPr/>
        <w:t>19</w:t>
      </w:r>
      <w:r>
        <w:rPr>
          <w:rtl w:val="true"/>
        </w:rPr>
        <w:t xml:space="preserve"> - </w:t>
      </w:r>
      <w:r>
        <w:rPr>
          <w:rtl w:val="true"/>
        </w:rPr>
        <w:t xml:space="preserve">کتاب المضاربة </w:t>
      </w:r>
      <w:r>
        <w:rPr>
          <w:rtl w:val="true"/>
        </w:rPr>
        <w:t>(</w:t>
      </w:r>
      <w:r>
        <w:rPr/>
        <w:t>2</w:t>
      </w:r>
      <w:r>
        <w:rPr>
          <w:rtl w:val="true"/>
        </w:rPr>
        <w:t>)</w:t>
      </w:r>
      <w:bookmarkEnd w:id="696"/>
    </w:p>
    <w:p>
      <w:pPr>
        <w:pStyle w:val="Heading4"/>
        <w:numPr>
          <w:ilvl w:val="3"/>
          <w:numId w:val="1"/>
        </w:numPr>
        <w:rPr/>
      </w:pPr>
      <w:bookmarkStart w:id="697" w:name="__RefHeading___Toc580820_774463916"/>
      <w:bookmarkStart w:id="698" w:name="_Toc278"/>
      <w:bookmarkEnd w:id="697"/>
      <w:r>
        <w:rPr>
          <w:rtl w:val="true"/>
        </w:rPr>
        <w:t>من أحکام المضاربة</w:t>
      </w:r>
      <w:bookmarkEnd w:id="698"/>
    </w:p>
    <w:p>
      <w:pPr>
        <w:pStyle w:val="BookText"/>
        <w:rPr/>
      </w:pPr>
      <w:r>
        <w:rPr>
          <w:rFonts w:ascii="Amiri" w:hAnsi="Amiri" w:eastAsia="Amiri" w:cs="Amiri"/>
          <w:color w:val="111111"/>
          <w:sz w:val="28"/>
          <w:sz w:val="28"/>
          <w:szCs w:val="28"/>
          <w:rtl w:val="true"/>
          <w:lang w:bidi="ar-SA"/>
        </w:rPr>
        <w:t xml:space="preserve">عقد المضاربة، جائز بالأجماع؛ </w:t>
      </w:r>
      <w:r>
        <w:rPr>
          <w:rStyle w:val="FootnoteAnchor"/>
          <w:rtl w:val="true"/>
        </w:rPr>
        <w:footnoteReference w:id="528"/>
      </w:r>
      <w:r>
        <w:rPr>
          <w:rFonts w:ascii="IRNazanin" w:hAnsi="IRNazanin" w:eastAsia="IRNazanin"/>
          <w:color w:val="111111"/>
          <w:sz w:val="28"/>
          <w:sz w:val="28"/>
          <w:szCs w:val="28"/>
          <w:rtl w:val="true"/>
          <w:lang w:bidi="fa-IR"/>
        </w:rPr>
        <w:t xml:space="preserve">ولأنّ حقیقته الأذن فی التصرف الذی یجوز للآذن الرجوع عنه متی شاء، کالعاریة، فیجوز لکلٍّ منهما فسخه، ولایضمن العامل شیئاً من الخسارة إلا مع التجاوز عن الحدّ المقرر له، إذ هو أمین علی المال، ووکیل فی التجارة ولا دلیل علی ضمانه ویدل علیه أیضاً صحیح أبی الصباح الکنانی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الرجل یعمل بالمال مضاربة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الربح، ولیس علیه من الوضیعة شئ إلاّ أن یخالف عن شئ مما أمر صاحب المال</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 xml:space="preserve">نعم، إذا تجاوز ما أمر به صاحب المال وتلف أو خسر فهو ضامن، بمقتضی الخیانة وان ربح فهو بینهما؛ ففی روایة الحلبی عن أبی عبدالله علیه السلام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الرجل یعطی المال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إئت أرض کذا وکذا، ولاتجاوزها، واشترمنها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جاوزها وهلک المال فهو ضامن وإن اشتری متاعاً فوضع فیه فهو علیه، وان ربح فهو بینهما</w:t>
      </w:r>
      <w:r>
        <w:rPr>
          <w:rFonts w:eastAsia="IRNazanin" w:cs="IRNazanin"/>
          <w:color w:val="111111"/>
          <w:sz w:val="28"/>
          <w:szCs w:val="28"/>
          <w:rtl w:val="true"/>
          <w:lang w:bidi="fa-IR"/>
        </w:rPr>
        <w:t xml:space="preserve">.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ثم إذا اشترط المالک تقسیم الخسارة کالربح، فالشرط فاسد؛ کما یدّل علیه صحیح الکنانی، فاشتراط الضّمان مخالف للمشروع، نعم، قدیقال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للمالک أن یشترط علی العامل تدارک الخسارة من کیسه إذا وقعت، إذ یجوز للمالک اشتراط أی شیئ مشروع علی العامل ومنه إعطاء مال بمقدار الخسارة أو بعضها، أللّهم إلّا أن یقال ببطلان الشرط المجهول بل عدم شمول أدلة المضاربة لمثل هذا العقد 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وتبطل المضاربة بموت العامل، لاختصاص الإذن فی التجارة به، وکذلک بموت المالک؛ لانقضاء ملکه وإذنه، فیحتاج التصرّف إلی الإذن من المالک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والعامل یملک حصّته فی الربح من غیر توقّف علی الإنضاض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تحویله إلی النقود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القسمة، فلو اشتری بالمالک متاعاً فیه الربح، یملکه فوراً من غیر توقّف علی الأمرین؛ لصدق الربح فیکون لهما بمقتضی ألمضاربة، ویدل علیه أیضا صحیح محمد بن قیس</w:t>
      </w:r>
      <w:r>
        <w:rPr>
          <w:rFonts w:eastAsia="IRNazanin" w:cs="IRNazanin"/>
          <w:color w:val="111111"/>
          <w:sz w:val="28"/>
          <w:szCs w:val="28"/>
          <w:rtl w:val="true"/>
          <w:lang w:bidi="fa-IR"/>
        </w:rPr>
        <w:t xml:space="preserve">.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 xml:space="preserve">فراجع ولایجوز للعامل التصرف فی رأس المال إلاّ بإذن المالک، کأن یوکّل وکیلاً أو یستأجر أجیراً أو یضارب غیره، فلو فعل وتلف ضمن 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 العادیه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ماکان متعارفاً فی مثل المورد، فیجوز لانصراف إلاطلاق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العامل أمین لا یضمن تلف المال أو تعیبّه، روی محمد بن مسلم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الرجل یستبضع المال فیهلک أو یسرق، أعلی صاحبه ضمان؟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غرم بعد أن یکون الرجل أمیناً</w:t>
      </w:r>
      <w:r>
        <w:rPr>
          <w:rFonts w:eastAsia="IRNazanin" w:cs="IRNazanin"/>
          <w:color w:val="111111"/>
          <w:sz w:val="28"/>
          <w:szCs w:val="28"/>
          <w:rtl w:val="true"/>
          <w:lang w:bidi="fa-IR"/>
        </w:rPr>
        <w:t xml:space="preserve">. </w:t>
      </w:r>
      <w:r>
        <w:rPr>
          <w:rStyle w:val="FootnoteAnchor"/>
          <w:rtl w:val="true"/>
        </w:rPr>
        <w:footnoteReference w:id="532"/>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إذا کان مقصّرا فیکون خائناً، فیضمن 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 العادیة</w:t>
      </w:r>
      <w:r>
        <w:rPr>
          <w:rFonts w:eastAsia="IRNazanin" w:cs="IRNazanin"/>
          <w:color w:val="111111"/>
          <w:sz w:val="28"/>
          <w:szCs w:val="28"/>
          <w:rtl w:val="true"/>
          <w:lang w:bidi="fa-IR"/>
        </w:rPr>
        <w:t>).</w:t>
      </w:r>
      <w:bookmarkStart w:id="699" w:name="pg5021_49378"/>
    </w:p>
    <w:p>
      <w:pPr>
        <w:pStyle w:val="Heading3"/>
        <w:numPr>
          <w:ilvl w:val="2"/>
          <w:numId w:val="1"/>
        </w:numPr>
        <w:rPr/>
      </w:pPr>
      <w:bookmarkStart w:id="700" w:name="__RefHeading___Toc580822_774463916"/>
      <w:bookmarkStart w:id="701" w:name="_Toc279"/>
      <w:bookmarkEnd w:id="699"/>
      <w:bookmarkEnd w:id="700"/>
      <w:r>
        <w:rPr>
          <w:rtl w:val="true"/>
        </w:rPr>
        <w:t>الدرس</w:t>
      </w:r>
      <w:r>
        <w:rPr/>
        <w:t>20</w:t>
      </w:r>
      <w:r>
        <w:rPr>
          <w:rtl w:val="true"/>
        </w:rPr>
        <w:t xml:space="preserve"> - </w:t>
      </w:r>
      <w:r>
        <w:rPr>
          <w:rtl w:val="true"/>
        </w:rPr>
        <w:t>کتاب الودیعة</w:t>
      </w:r>
      <w:bookmarkEnd w:id="701"/>
    </w:p>
    <w:p>
      <w:pPr>
        <w:pStyle w:val="Heading4"/>
        <w:numPr>
          <w:ilvl w:val="3"/>
          <w:numId w:val="1"/>
        </w:numPr>
        <w:rPr/>
      </w:pPr>
      <w:bookmarkStart w:id="702" w:name="__RefHeading___Toc580824_774463916"/>
      <w:bookmarkStart w:id="703" w:name="_Toc280"/>
      <w:bookmarkEnd w:id="702"/>
      <w:r>
        <w:rPr>
          <w:rtl w:val="true"/>
        </w:rPr>
        <w:t>حقیقة الودیعة</w:t>
      </w:r>
      <w:bookmarkEnd w:id="703"/>
    </w:p>
    <w:p>
      <w:pPr>
        <w:pStyle w:val="BookText"/>
        <w:rPr/>
      </w:pPr>
      <w:r>
        <w:rPr>
          <w:rFonts w:ascii="Amiri" w:hAnsi="Amiri" w:eastAsia="Amiri" w:cs="Amiri"/>
          <w:color w:val="111111"/>
          <w:sz w:val="28"/>
          <w:sz w:val="28"/>
          <w:szCs w:val="28"/>
          <w:rtl w:val="true"/>
          <w:lang w:bidi="ar-SA"/>
        </w:rPr>
        <w:t>وهی استنابة الغیر فی حفظ المال وقبوله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أمانة بالمعنی الأخص، لا کنحو استیمان المستأجر للعین؛ ویشملها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أَمِنَ بَعْضُکُمْ بَعْضاً فَلْیُؤَدِّ الَّذِی اؤْتُمِنَ أَمانَتَهُ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یَأْمُرُکُمْ أَنْ تُؤَدُّوا الْأَماناتِ إِلی أَهْلِها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والروایات فی أداء الأمانة والتأکید علی عدم الخیانة کثیرة جداً </w:t>
      </w:r>
      <w:r>
        <w:rPr>
          <w:rStyle w:val="FootnoteAnchor"/>
          <w:rtl w:val="true"/>
        </w:rPr>
        <w:footnoteReference w:id="533"/>
      </w:r>
      <w:r>
        <w:rPr>
          <w:rFonts w:ascii="IRNazanin" w:hAnsi="IRNazanin" w:eastAsia="IRNazanin"/>
          <w:color w:val="111111"/>
          <w:sz w:val="28"/>
          <w:sz w:val="28"/>
          <w:szCs w:val="28"/>
          <w:rtl w:val="true"/>
          <w:lang w:bidi="fa-IR"/>
        </w:rPr>
        <w:t>منها مارواه إسحاق بن عمار عن أبی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تغترّوا بکثرة صلاتهم ولا بصیامهم، فإنّ الرجل ربّما لهج بالصلاة والصوم حتی لو ترکه استوحش، ولکن اختبروهم عند صدق الحدیث وأداء الأمانة</w:t>
      </w:r>
      <w:r>
        <w:rPr>
          <w:rFonts w:eastAsia="IRNazanin" w:cs="IRNazanin"/>
          <w:color w:val="111111"/>
          <w:sz w:val="28"/>
          <w:szCs w:val="28"/>
          <w:rtl w:val="true"/>
          <w:lang w:bidi="fa-IR"/>
        </w:rPr>
        <w:t xml:space="preserve">. </w:t>
      </w:r>
      <w:r>
        <w:rPr>
          <w:rStyle w:val="FootnoteAnchor"/>
          <w:rtl w:val="true"/>
        </w:rPr>
        <w:footnoteReference w:id="534"/>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عقد یحتاج إلی القبول، فلولم یقبل الودعی لایضمنه لو تلف أو تعیب إذا ترکه المالک عنده، لعدم صدق الأمانة، ویجب علی الودعی الحفاظ علی الودیعة بما هو المتعارف فی الحفظ لأمثالها، إذ لاحدّ له شرعاً، فالمرجع هو العرف الذی ینصرف</w:t>
      </w:r>
    </w:p>
    <w:p>
      <w:pPr>
        <w:pStyle w:val="BookText"/>
        <w:rPr/>
      </w:pPr>
      <w:r>
        <w:rPr>
          <w:rFonts w:ascii="IRNazanin" w:hAnsi="IRNazanin" w:eastAsia="IRNazanin"/>
          <w:color w:val="111111"/>
          <w:sz w:val="28"/>
          <w:sz w:val="28"/>
          <w:szCs w:val="28"/>
          <w:rtl w:val="true"/>
          <w:lang w:bidi="fa-IR"/>
        </w:rPr>
        <w:t xml:space="preserve">إلیه الإطلاق، فلوخالف ضمن 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 العادیة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مع الخوف ان لم یخالف، وما علی المحسنین من 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عقد جایز بلاإشکال ولاخلاف، بل الإجماع بقسمیه علیه، کما عن الجواهر</w:t>
      </w:r>
      <w:r>
        <w:rPr>
          <w:rFonts w:eastAsia="IRNazanin" w:cs="IRNazanin"/>
          <w:color w:val="111111"/>
          <w:sz w:val="28"/>
          <w:szCs w:val="28"/>
          <w:rtl w:val="true"/>
          <w:lang w:bidi="fa-IR"/>
        </w:rPr>
        <w:t xml:space="preserve">.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و هو کذلک عند العقلاء، إلاّ إذا اشترط عدم الفسخ إلی أجل؛ فیجب الوفاء به؛ لأنّ المسلمین عند شروطهم، وعموم الحدیث یشمل الشرط فی کل عقد ولو کان جائزاً، کالودیعه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یجب ردّ الودیعة إلی صاحبها عند المطالبة بها؛ للآیات والروایات، ولو لم یکن مؤمناً لعموم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یَأْمُرُکُمْ أَنْ تُؤَدُّوا الْأَماناتِ إِلی أَهْلِها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 الحدیث عن سید العابدین علی بن الحسین علیه السلام یقول لشیعته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علیکم بأداء الأمانة، فوالذی بعث محمّداً بالحق نبیاً لو انّ قاتل أبی الحسین بن علی علیه السلام ائتمننی علی السیف الذی قتله به لاّدیته إلیه</w:t>
      </w:r>
      <w:r>
        <w:rPr>
          <w:rFonts w:eastAsia="IRNazanin" w:cs="IRNazanin"/>
          <w:color w:val="111111"/>
          <w:sz w:val="28"/>
          <w:szCs w:val="28"/>
          <w:rtl w:val="true"/>
          <w:lang w:bidi="fa-IR"/>
        </w:rPr>
        <w:t xml:space="preserve">.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إلی غیر ذلک 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المودع غاصباً، فلایجوز ردّها إلیه؛ لأنّه لیس أهلها وصاحبها حتی یجب الرّدّ إلیه، بل هی أمانة شرعیة فی یده یجب ردها إلی مالکها والاّ ضمن،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الودعی لایضمن تلف الودیعه أو تعیبّها علی ما هو مقتضی عقد الودیعه عرفاً ویؤیده ما رواه محمد بن مسلم عن أبی جعفر علیه السلام قال</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سألته عن الرجل یستبضع المال فیهلک أو یسرق، أعلی صاحبه ضمان؟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علیه غُرم بعد أن یکون الرجل أمیناً</w:t>
      </w:r>
      <w:r>
        <w:rPr>
          <w:rFonts w:eastAsia="IRNazanin" w:cs="IRNazanin"/>
          <w:color w:val="111111"/>
          <w:sz w:val="28"/>
          <w:szCs w:val="28"/>
          <w:rtl w:val="true"/>
          <w:lang w:bidi="fa-IR"/>
        </w:rPr>
        <w:t xml:space="preserve">. </w:t>
      </w:r>
      <w:r>
        <w:rPr>
          <w:rStyle w:val="FootnoteAnchor"/>
          <w:rtl w:val="true"/>
        </w:rPr>
        <w:footnoteReference w:id="537"/>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الأمانة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یودعها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وشرعیة وهی التی یودعها الشارع کما فی اللقطة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أذن الشارع بالالتقاط والتحفّظ علی المال، وحکمها واحد بعد صدق الأمانة علیهما</w:t>
      </w:r>
      <w:r>
        <w:rPr>
          <w:rFonts w:eastAsia="IRNazanin" w:cs="IRNazanin"/>
          <w:color w:val="111111"/>
          <w:sz w:val="28"/>
          <w:szCs w:val="28"/>
          <w:rtl w:val="true"/>
          <w:lang w:bidi="fa-IR"/>
        </w:rPr>
        <w:t>.</w:t>
      </w:r>
      <w:bookmarkStart w:id="704" w:name="pg5021_49381"/>
    </w:p>
    <w:p>
      <w:pPr>
        <w:pStyle w:val="Heading3"/>
        <w:numPr>
          <w:ilvl w:val="2"/>
          <w:numId w:val="1"/>
        </w:numPr>
        <w:rPr/>
      </w:pPr>
      <w:bookmarkStart w:id="705" w:name="__RefHeading___Toc580826_774463916"/>
      <w:bookmarkStart w:id="706" w:name="_Toc281"/>
      <w:bookmarkEnd w:id="704"/>
      <w:bookmarkEnd w:id="705"/>
      <w:r>
        <w:rPr>
          <w:rtl w:val="true"/>
        </w:rPr>
        <w:t>الدرس</w:t>
      </w:r>
      <w:r>
        <w:rPr/>
        <w:t>21</w:t>
      </w:r>
      <w:r>
        <w:rPr>
          <w:rtl w:val="true"/>
        </w:rPr>
        <w:t xml:space="preserve"> - </w:t>
      </w:r>
      <w:r>
        <w:rPr>
          <w:rtl w:val="true"/>
        </w:rPr>
        <w:t>کتاب العاریة</w:t>
      </w:r>
      <w:bookmarkEnd w:id="706"/>
    </w:p>
    <w:p>
      <w:pPr>
        <w:pStyle w:val="Heading4"/>
        <w:numPr>
          <w:ilvl w:val="3"/>
          <w:numId w:val="1"/>
        </w:numPr>
        <w:rPr/>
      </w:pPr>
      <w:bookmarkStart w:id="707" w:name="__RefHeading___Toc580828_774463916"/>
      <w:bookmarkStart w:id="708" w:name="_Toc282"/>
      <w:bookmarkEnd w:id="707"/>
      <w:r>
        <w:rPr>
          <w:rtl w:val="true"/>
        </w:rPr>
        <w:t>حقیقة العاریة</w:t>
      </w:r>
      <w:bookmarkEnd w:id="708"/>
    </w:p>
    <w:p>
      <w:pPr>
        <w:pStyle w:val="BookText"/>
        <w:rPr/>
      </w:pP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یتضمّن تسلیط الغیر علی عینٍ للانتفاع بها مجاناً، بخلاف الإجارة التی هی تملیک للمنفعة بعوض، فالفارق اثنان، وهو من العقود الإذنیة یترتب علیه ما یترتب علیها من الأحکام، فیتحقّق بالإیجاب والقبول، ولو بالمعاطاة، ویلزم أن یکون المعیر مسلّطاً شرعاً علی إباحة الانتفاع بأن یکون مالکاً للمنفعة، ولو بالإجارة، أو وکیلاً عنه، أو ولیاً له، وإلا کان فضولیاً یحتاج إلی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ویلزم علی المستعیر أن لا ینتفع من العین إلا بما یؤذن له أو بما جرت علیه العادة، لانصراف الأطلاق إلیه والمستعیر أمین عرفاً من قبل المالک فلایضمن النقص الحاصل بالاستعمال المأذون إلا إذا اشترط علیه أو کانت العین من الذهب والفضة، لموثّقة إسحاق بن عمار عن أبی عبدالله أو أبی ابراهیم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العاریة لیس علی مستعیرها ضمان إلاّ ما کان من ذهب او فضّة فإنّهما مضمونان اشترطا أو لم یشترطا</w:t>
      </w:r>
      <w:r>
        <w:rPr>
          <w:rFonts w:eastAsia="IRNazanin" w:cs="IRNazanin"/>
          <w:color w:val="111111"/>
          <w:sz w:val="28"/>
          <w:szCs w:val="28"/>
          <w:rtl w:val="true"/>
          <w:lang w:bidi="fa-IR"/>
        </w:rPr>
        <w:t xml:space="preserve">. </w:t>
      </w:r>
      <w:r>
        <w:rPr>
          <w:rStyle w:val="FootnoteAnchor"/>
          <w:rtl w:val="true"/>
        </w:rPr>
        <w:footnoteReference w:id="538"/>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وهل یختص الحکم بخصوص الدرهم والدینار من الذهب والفضة کما یظهر من</w:t>
      </w:r>
    </w:p>
    <w:p>
      <w:pPr>
        <w:pStyle w:val="BookText"/>
        <w:rPr/>
      </w:pPr>
      <w:r>
        <w:rPr>
          <w:rFonts w:ascii="IRNazanin" w:hAnsi="IRNazanin" w:eastAsia="IRNazanin"/>
          <w:color w:val="111111"/>
          <w:sz w:val="28"/>
          <w:sz w:val="28"/>
          <w:szCs w:val="28"/>
          <w:rtl w:val="true"/>
          <w:lang w:bidi="fa-IR"/>
        </w:rPr>
        <w:t>بعض الروایات، أو یعمّ کما فی الموثقة؟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ویعتبرفی العین المعارة إمکان الانتفاع بها، وبقاء عینها بالانتفاع، فلو لم یمکن الانتفاع بها لعدم قابلیتها أو تنعدم بالانتفاع کما فی المأکولات، فلاتصح العاریة؛ لتقومها بذلک عرفاً، ویضمن المستعیر إذا تجاوز الانتفاع المأذن و 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 العادیة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والعاریة عقد جائز وإن کانت مؤجّلة للتسالم علی ذلک</w:t>
      </w:r>
      <w:r>
        <w:rPr>
          <w:rFonts w:eastAsia="IRNazanin" w:cs="IRNazanin"/>
          <w:color w:val="111111"/>
          <w:sz w:val="28"/>
          <w:szCs w:val="28"/>
          <w:rtl w:val="true"/>
          <w:lang w:bidi="fa-IR"/>
        </w:rPr>
        <w:t xml:space="preserve">. </w:t>
      </w:r>
      <w:r>
        <w:rPr>
          <w:rStyle w:val="FootnoteAnchor"/>
          <w:rtl w:val="true"/>
        </w:rPr>
        <w:footnoteReference w:id="539"/>
      </w:r>
      <w:r>
        <w:rPr>
          <w:rFonts w:ascii="IRNazanin" w:hAnsi="IRNazanin" w:eastAsia="IRNazanin"/>
          <w:color w:val="111111"/>
          <w:sz w:val="28"/>
          <w:sz w:val="28"/>
          <w:szCs w:val="28"/>
          <w:rtl w:val="true"/>
          <w:lang w:bidi="fa-IR"/>
        </w:rPr>
        <w:t>ولأنّ حقیقتها الإذن فی التصرّف ولکل آذن الرجوع عنه متی شاء، نعم، إذا اشترط عدم فسخها إلی مدة معیّنه، یحب الوفاء به، لوجوب العمل بالشرط، وهل یفسخ إذا فسخ عصیاناً؟ قیل نعم؛ إذ النهی التکلیفی فی المعاملات لاینافی الصحّة</w:t>
      </w:r>
      <w:r>
        <w:rPr>
          <w:rFonts w:eastAsia="IRNazanin" w:cs="IRNazanin"/>
          <w:color w:val="111111"/>
          <w:sz w:val="28"/>
          <w:szCs w:val="28"/>
          <w:rtl w:val="true"/>
          <w:lang w:bidi="fa-IR"/>
        </w:rPr>
        <w:t>.</w:t>
      </w:r>
      <w:bookmarkStart w:id="709" w:name="pg5021_49383"/>
    </w:p>
    <w:p>
      <w:pPr>
        <w:pStyle w:val="Heading3"/>
        <w:numPr>
          <w:ilvl w:val="2"/>
          <w:numId w:val="1"/>
        </w:numPr>
        <w:rPr/>
      </w:pPr>
      <w:bookmarkStart w:id="710" w:name="__RefHeading___Toc580830_774463916"/>
      <w:bookmarkStart w:id="711" w:name="_Toc283"/>
      <w:bookmarkEnd w:id="709"/>
      <w:bookmarkEnd w:id="710"/>
      <w:r>
        <w:rPr>
          <w:rtl w:val="true"/>
        </w:rPr>
        <w:t>الدرس</w:t>
      </w:r>
      <w:r>
        <w:rPr/>
        <w:t>22</w:t>
      </w:r>
      <w:r>
        <w:rPr>
          <w:rtl w:val="true"/>
        </w:rPr>
        <w:t xml:space="preserve">- </w:t>
      </w:r>
      <w:r>
        <w:rPr>
          <w:rtl w:val="true"/>
        </w:rPr>
        <w:t>کتاب الجعالة</w:t>
      </w:r>
      <w:bookmarkEnd w:id="711"/>
    </w:p>
    <w:p>
      <w:pPr>
        <w:pStyle w:val="Heading4"/>
        <w:numPr>
          <w:ilvl w:val="3"/>
          <w:numId w:val="1"/>
        </w:numPr>
        <w:rPr/>
      </w:pPr>
      <w:bookmarkStart w:id="712" w:name="__RefHeading___Toc580832_774463916"/>
      <w:bookmarkStart w:id="713" w:name="_Toc284"/>
      <w:bookmarkEnd w:id="712"/>
      <w:r>
        <w:rPr>
          <w:rtl w:val="true"/>
        </w:rPr>
        <w:t>حقیقة الجعالة</w:t>
      </w:r>
      <w:bookmarkEnd w:id="713"/>
    </w:p>
    <w:p>
      <w:pPr>
        <w:pStyle w:val="BookText"/>
        <w:rPr/>
      </w:pP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یجعل الإنسان علی شئ یفعله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 الالتزام بعوض علی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من الایقاعات عرفاً؛ اذ لا تعّهد فیها علی أحد حتی یحتاج إلی القبول او فقل لیست معاملة بین الطرفین وبهذا تفترق عن الإجارة إذ العامل فیها معیّن مشغول الذمة بالعمل، ومالک للأجرة بالعقد بخلاف الجعاله، لعدم لزوم تعیّن العامل وعدم اشتغال ذمته بشئ بالایقاع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علی نحوین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ردّ فرسی فله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رددت علیّ فرسی فلک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صحّتها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مارواه عبدالله بن سنان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أبی یسأل أبا عبدالله علیه السلام وأنا أسمع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الرجل فیشتری لنا الأرض والدار والغلام والجاریة، ونجعل له جعلاً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وما رواه علی بن جعفر علیه السلام قال</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سألته عن جعل الآبق والضالّة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ولاتصحّ علی العمل المحرّم ولا علی مالافائدة فیه، لعدم الدلیل علی صحتها بعد عدم شمول الروایات لمثل ذلک والأصل هو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أن یکون العمل مجهولاً؛ لأنّه هو الغالب فیها، کردّ الآبق والضالة المنصوص علیهما، کما یجوز أن یکون الجعل مجهولاً لإطلاق الأدلة ولتعارف مثل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ردّ فرسی فله عندی جائزة، أو فله عشرة، نعم، إذا کان مجهولاً محضاً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ردّ فرسی فله شئٌ، بطلت؛ لانصراف الدلیل عن مثل ذلک وعدم التعارف علی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تبرّع العامل، فلاأجرة له؛ إذ التبرّع ینافی الاستحقاق عرفاً، ویجوز أن یکون الجعل من غیر المالک، بلاخلاف ولا إشکال کما فی الجواهر، ویمکن استظهاره من إطلاق روایة علی بن جعفر المتقدّمة، ویستحق العامل الجعل بالعمل بما عیّنه الجاعل، کالتسلیم، إلیه، أو إلی البلد، أو عند زید، أو محض العمل، کالخیاطة</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ویجوز للجاعل الرجوع فیها قبل العمل بلاخلاف أجده کما فی الجواهر، وتقتضیه السیرة، إمّا فی أثنائه ففیه إشکال لعدم، احراز السیرة واستصحاب بقاء العهد، بل عموم دلیل الشرط یقتضی عدم جواز الرجوع، ثمّ لو صّح الرجوع فله أجرة عمله؛ لاحترام عمل المسلم غیر المتبرّع</w:t>
      </w:r>
      <w:r>
        <w:rPr>
          <w:rFonts w:eastAsia="IRNazanin" w:cs="IRNazanin"/>
          <w:color w:val="111111"/>
          <w:sz w:val="28"/>
          <w:szCs w:val="28"/>
          <w:rtl w:val="true"/>
          <w:lang w:bidi="fa-IR"/>
        </w:rPr>
        <w:t>.</w:t>
      </w:r>
      <w:bookmarkStart w:id="714" w:name="pg5021_49385"/>
    </w:p>
    <w:p>
      <w:pPr>
        <w:pStyle w:val="Heading3"/>
        <w:numPr>
          <w:ilvl w:val="2"/>
          <w:numId w:val="1"/>
        </w:numPr>
        <w:rPr/>
      </w:pPr>
      <w:bookmarkStart w:id="715" w:name="__RefHeading___Toc580834_774463916"/>
      <w:bookmarkStart w:id="716" w:name="_Toc285"/>
      <w:bookmarkEnd w:id="714"/>
      <w:bookmarkEnd w:id="715"/>
      <w:r>
        <w:rPr>
          <w:rtl w:val="true"/>
        </w:rPr>
        <w:t>الدرس</w:t>
      </w:r>
      <w:r>
        <w:rPr/>
        <w:t>23</w:t>
      </w:r>
      <w:r>
        <w:rPr>
          <w:rtl w:val="true"/>
        </w:rPr>
        <w:t xml:space="preserve"> -</w:t>
      </w:r>
      <w:r>
        <w:rPr>
          <w:rtl w:val="true"/>
        </w:rPr>
        <w:t>کتاب الضمان</w:t>
      </w:r>
      <w:bookmarkEnd w:id="716"/>
    </w:p>
    <w:p>
      <w:pPr>
        <w:pStyle w:val="Heading4"/>
        <w:numPr>
          <w:ilvl w:val="3"/>
          <w:numId w:val="1"/>
        </w:numPr>
        <w:rPr/>
      </w:pPr>
      <w:bookmarkStart w:id="717" w:name="__RefHeading___Toc580836_774463916"/>
      <w:bookmarkStart w:id="718" w:name="_Toc286"/>
      <w:bookmarkEnd w:id="717"/>
      <w:r>
        <w:rPr>
          <w:rtl w:val="true"/>
        </w:rPr>
        <w:t>صور الضمان وحقیقته</w:t>
      </w:r>
      <w:bookmarkEnd w:id="718"/>
    </w:p>
    <w:p>
      <w:pPr>
        <w:pStyle w:val="BookText"/>
        <w:rPr/>
      </w:pPr>
      <w:r>
        <w:rPr>
          <w:rFonts w:ascii="IRNazanin" w:hAnsi="IRNazanin" w:eastAsia="IRNazanin"/>
          <w:color w:val="111111"/>
          <w:sz w:val="28"/>
          <w:sz w:val="28"/>
          <w:szCs w:val="28"/>
          <w:rtl w:val="true"/>
          <w:lang w:bidi="fa-IR"/>
        </w:rPr>
        <w:t>للضمان صور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التعهّد بالمال للغیر من دون اشتغال ذمّة الضامن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متداول عند العقلاء، کضمان الدین للدّائن إن لم یؤده المدیون؛ ویدل علی صحّته السیرة العقلائیّة، وأدلة لزوم الوفاء بالعقود، والشروط، والعهود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التعهّد بالمال للغیر، بنحو ینتقل من ذمة المضمون عنه إلی ذمّة الضامن، فیبرأ المضمون عنه، کأن یقول الضامن للمضمون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دینک الذّی فی عهدة فلان، أو أنا ضامن له، وصحة هذا عندنا عدّ من بدیهیات الفقه، ویدل علیها صحیحة عبدالله بن سنان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یموت وعلیه دین، فیضمنه ضامن للغرماء،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رضی به الغرماء فقد برئت ذمة المیّت</w:t>
      </w:r>
      <w:r>
        <w:rPr>
          <w:rFonts w:eastAsia="IRNazanin" w:cs="IRNazanin"/>
          <w:color w:val="111111"/>
          <w:sz w:val="28"/>
          <w:szCs w:val="28"/>
          <w:rtl w:val="true"/>
          <w:lang w:bidi="fa-IR"/>
        </w:rPr>
        <w:t xml:space="preserve">. </w:t>
      </w:r>
      <w:r>
        <w:rPr>
          <w:rStyle w:val="FootnoteAnchor"/>
          <w:rtl w:val="true"/>
        </w:rPr>
        <w:footnoteReference w:id="542"/>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الثانیة مع بقاء ذمة المضون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ضمُّ ذمةٍ إلی ذمةٍ، ویتخیّر المضمون له فی المطالبة عن أیّهما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الضمان هو المنسوب إلی</w:t>
      </w:r>
      <w:bookmarkStart w:id="719" w:name="pg5021_49386"/>
    </w:p>
    <w:p>
      <w:pPr>
        <w:pStyle w:val="BookText"/>
        <w:rPr/>
      </w:pPr>
      <w:bookmarkEnd w:id="719"/>
      <w:r>
        <w:rPr>
          <w:rFonts w:ascii="IRNazanin" w:hAnsi="IRNazanin" w:eastAsia="IRNazanin"/>
          <w:color w:val="111111"/>
          <w:sz w:val="28"/>
          <w:sz w:val="28"/>
          <w:szCs w:val="28"/>
          <w:rtl w:val="true"/>
          <w:lang w:bidi="fa-IR"/>
        </w:rPr>
        <w:t>أکثر العامه، والمعروف بین أصحابنا عدم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الضمان عقد فیعتبر فیه ما یعتبر فیه من الشرائط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الضامن، والمضمون له کما فی النصّ المتقدّم دون المضمون عنه، فلایلزم رضاه إجماعاً؛ لصحة أداء دین الغیر تبرّعاً</w:t>
      </w:r>
      <w:r>
        <w:rPr>
          <w:rFonts w:eastAsia="IRNazanin" w:cs="IRNazanin"/>
          <w:color w:val="111111"/>
          <w:sz w:val="28"/>
          <w:szCs w:val="28"/>
          <w:rtl w:val="true"/>
          <w:lang w:bidi="fa-IR"/>
        </w:rPr>
        <w:t xml:space="preserve">. </w:t>
      </w:r>
      <w:r>
        <w:rPr>
          <w:rStyle w:val="FootnoteAnchor"/>
          <w:rtl w:val="true"/>
        </w:rPr>
        <w:footnoteReference w:id="543"/>
      </w:r>
      <w:r>
        <w:rPr>
          <w:rFonts w:ascii="IRNazanin" w:hAnsi="IRNazanin" w:eastAsia="IRNazanin"/>
          <w:color w:val="111111"/>
          <w:sz w:val="28"/>
          <w:sz w:val="28"/>
          <w:szCs w:val="28"/>
          <w:rtl w:val="true"/>
          <w:lang w:bidi="fa-IR"/>
        </w:rPr>
        <w:t>نعم، لا یجوز للضامن الرجوع إلیه بعد الأداء، لأنّ المتبرّع لا یستحق شیئاً کما لا یلزم کون المضمون عنه کاملاً أو غیر محجور؛ لأنّه أجنبی عن العقد، ویؤیده صحة الضمان عن المیّت کما تقدّم فی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الضمان فی الصورة الثانیة یلزم فیه عدم فلس المضمون له؛ لأنّ المفلّس ممنوع من التصرّف فی أمواله وقبوله ضمان الضامن یلزمه نقل دینه من ذمة المدیون إلی الضامن، وهو محجور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 الضمان بالمعنی الثانی التنجیز علی المشهور؛ فلا یصحّ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ضامن إن لم یف المدیون دینه؛ لأنّه من التعلیق المدعی علی بطلانه الإجماع، نعم، لایعتبر ذلک فی الضمان بالمعنی الثانی، لأنّ به قوامه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ثبوت الدین فی الضمان بالمعنی الثانی؛ فلا یصحّ قبل القرض، بأن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أقرض فلاناً وانا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معنی لإنتقال المعدوم، نعم، لا یشترط ذلک فی الضمان بالمعنی الأوّل؛ للسیرة</w:t>
      </w:r>
      <w:r>
        <w:rPr>
          <w:rFonts w:eastAsia="IRNazanin" w:cs="IRNazanin"/>
          <w:color w:val="111111"/>
          <w:sz w:val="28"/>
          <w:szCs w:val="28"/>
          <w:rtl w:val="true"/>
          <w:lang w:bidi="fa-IR"/>
        </w:rPr>
        <w:t>.</w:t>
      </w:r>
    </w:p>
    <w:p>
      <w:pPr>
        <w:pStyle w:val="Heading4"/>
        <w:numPr>
          <w:ilvl w:val="3"/>
          <w:numId w:val="1"/>
        </w:numPr>
        <w:rPr/>
      </w:pPr>
      <w:bookmarkStart w:id="720" w:name="__RefHeading___Toc580838_774463916"/>
      <w:bookmarkStart w:id="721" w:name="_Toc287"/>
      <w:bookmarkEnd w:id="720"/>
      <w:r>
        <w:rPr>
          <w:rtl w:val="true"/>
        </w:rPr>
        <w:t>من أحکام الضمان</w:t>
      </w:r>
      <w:bookmarkEnd w:id="721"/>
    </w:p>
    <w:p>
      <w:pPr>
        <w:pStyle w:val="BookText"/>
        <w:rPr/>
      </w:pPr>
      <w:r>
        <w:rPr>
          <w:rFonts w:ascii="IRNazanin" w:hAnsi="IRNazanin" w:eastAsia="IRNazanin"/>
          <w:color w:val="111111"/>
          <w:sz w:val="28"/>
          <w:sz w:val="28"/>
          <w:szCs w:val="28"/>
          <w:rtl w:val="true"/>
          <w:lang w:bidi="fa-IR"/>
        </w:rPr>
        <w:t>و إذا ضمن الضامن بإذن المضمون، وتحقق الأداء منه، جاز له الرجوع علیه، لموثّق عمر بن یزید، قال</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سألت أبا عبدالله علیه السلام عن رجل ضمن عن رجل ضماناً ثمّ صالح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إلا الّذی صالح علیه</w:t>
      </w:r>
      <w:r>
        <w:rPr>
          <w:rFonts w:eastAsia="IRNazanin" w:cs="IRNazanin"/>
          <w:color w:val="111111"/>
          <w:sz w:val="28"/>
          <w:szCs w:val="28"/>
          <w:rtl w:val="true"/>
          <w:lang w:bidi="fa-IR"/>
        </w:rPr>
        <w:t xml:space="preserve">.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نعم، إذا ضمن وادّی مع عدم الإذن، لم یستحق شیئاً لإنّه متبرّع کما أنه لو صالح مع المضمون له بأ قل لم یجز له الرجوع إلا بما صالح علیه للموثّقه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عقد لازم لأصالة اللزوم فی العقد، وفی صحّة الضمان فی الأعیان الخارجیة، کأن یضمن العین للمعیر فی العاریة وجهان من عدم الثبوت فی الذمة وکونه بمعنی التعهد عند التلف أو التعّیب من التعلیق فی العقود، ومن کونه أمراً متعارفاً بین العقلاء، ولم یردع عنه الشارع المقدّس، فهو نظیر الضمان بالمعنی الأوّل</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قال للمالک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 متاعک فی البحر وعلیّ ضمانه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فالقاه، أو أمره بعمل لآخر، أو لنفسه، کما لوأمره بالضیافة مع التزام بالضمان، فإنّه ضامن للسیره العقلائیّة ألاّ إذا قصد المأمورُ التبّرع</w:t>
      </w:r>
      <w:r>
        <w:rPr>
          <w:rFonts w:eastAsia="IRNazanin" w:cs="IRNazanin"/>
          <w:color w:val="111111"/>
          <w:sz w:val="28"/>
          <w:szCs w:val="28"/>
          <w:rtl w:val="true"/>
          <w:lang w:bidi="fa-IR"/>
        </w:rPr>
        <w:t>.</w:t>
      </w:r>
      <w:bookmarkStart w:id="722" w:name="pg5021_49388"/>
    </w:p>
    <w:p>
      <w:pPr>
        <w:pStyle w:val="Heading3"/>
        <w:numPr>
          <w:ilvl w:val="2"/>
          <w:numId w:val="1"/>
        </w:numPr>
        <w:rPr/>
      </w:pPr>
      <w:bookmarkStart w:id="723" w:name="__RefHeading___Toc580840_774463916"/>
      <w:bookmarkStart w:id="724" w:name="_Toc288"/>
      <w:bookmarkEnd w:id="722"/>
      <w:bookmarkEnd w:id="723"/>
      <w:r>
        <w:rPr>
          <w:rtl w:val="true"/>
        </w:rPr>
        <w:t>الدرس</w:t>
      </w:r>
      <w:r>
        <w:rPr/>
        <w:t>24</w:t>
      </w:r>
      <w:r>
        <w:rPr>
          <w:rtl w:val="true"/>
        </w:rPr>
        <w:t xml:space="preserve"> - </w:t>
      </w:r>
      <w:r>
        <w:rPr>
          <w:rtl w:val="true"/>
        </w:rPr>
        <w:t>کتاب الحوالة والکفالة</w:t>
      </w:r>
      <w:bookmarkEnd w:id="724"/>
    </w:p>
    <w:p>
      <w:pPr>
        <w:pStyle w:val="Heading4"/>
        <w:numPr>
          <w:ilvl w:val="3"/>
          <w:numId w:val="1"/>
        </w:numPr>
        <w:rPr/>
      </w:pPr>
      <w:bookmarkStart w:id="725" w:name="__RefHeading___Toc580842_774463916"/>
      <w:bookmarkStart w:id="726" w:name="_Toc289"/>
      <w:bookmarkEnd w:id="725"/>
      <w:r>
        <w:rPr>
          <w:rtl w:val="true"/>
        </w:rPr>
        <w:t>حقیقة الحوالة</w:t>
      </w:r>
      <w:bookmarkEnd w:id="726"/>
    </w:p>
    <w:p>
      <w:pPr>
        <w:pStyle w:val="BookText"/>
        <w:rPr/>
      </w:pPr>
      <w:r>
        <w:rPr>
          <w:rFonts w:ascii="IRNazanin" w:hAnsi="IRNazanin" w:eastAsia="IRNazanin"/>
          <w:color w:val="111111"/>
          <w:sz w:val="28"/>
          <w:sz w:val="28"/>
          <w:szCs w:val="28"/>
          <w:rtl w:val="true"/>
          <w:lang w:bidi="fa-IR"/>
        </w:rPr>
        <w:t>وهی تحویل المدین ما فی ذمته من الدین إلی ذمّة غیره بإحالة الدائن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عقد علی المشهور، وطرفاه المحیل والمحال دون المحال علیه، فإذا کان زید صاحب الحساب فی البنک وکان مدیوناً لعمرو، فزید هو المحیل، وعمرو هو المحال علیه، فعند تسلیم الصّکّ من زید إلی عمرو تتحقق الحوالة، فلایشترط رضا البنک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فیها الایجاب والقبول والبلوغ والعقل والاختیار وعدم الحجر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من الشرائط العامة فی العقود، نعم، فی الحوالة علی البریء لا یعتبر عدم الحجر فی المحیل، لعدم التصرّف فی أمواله بل هی اشغال لذمّة الغیر بما ثبت فی ذمة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ویعتبر فیها ثبوت الدین فی ذمّة المحیل، فلا تصح الحوالة بما سیستقرضه لعدم صدق مفهوم الحوالة، إذ هی تحویل الدین إلی ذمة الآخر والمعدوم لایقبل النقل وادعی علیه الإجماع أیضاً</w:t>
      </w:r>
      <w:r>
        <w:rPr>
          <w:rFonts w:eastAsia="IRNazanin" w:cs="IRNazanin"/>
          <w:color w:val="111111"/>
          <w:sz w:val="28"/>
          <w:szCs w:val="28"/>
          <w:rtl w:val="true"/>
          <w:lang w:bidi="fa-IR"/>
        </w:rPr>
        <w:t>.</w:t>
      </w:r>
    </w:p>
    <w:p>
      <w:pPr>
        <w:pStyle w:val="Heading4"/>
        <w:numPr>
          <w:ilvl w:val="3"/>
          <w:numId w:val="1"/>
        </w:numPr>
        <w:rPr/>
      </w:pPr>
      <w:bookmarkStart w:id="727" w:name="__RefHeading___Toc580844_774463916"/>
      <w:bookmarkStart w:id="728" w:name="_Toc290"/>
      <w:bookmarkEnd w:id="727"/>
      <w:r>
        <w:rPr>
          <w:rtl w:val="true"/>
        </w:rPr>
        <w:t>من أحکام الحوالة</w:t>
      </w:r>
      <w:bookmarkEnd w:id="728"/>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یعتبر فی الحوالة رضا المحال علیه؛ لان المال ملک للمحیل، فله نقله إلی أی ذمة شاء، إلاّ إذا کانت علی البریء أو بغیر الجنس؛ اذ لا سلطنة للمحیل علی إشغال</w:t>
      </w:r>
      <w:bookmarkStart w:id="729" w:name="pg5021_49389"/>
    </w:p>
    <w:p>
      <w:pPr>
        <w:pStyle w:val="BookText"/>
        <w:rPr/>
      </w:pPr>
      <w:bookmarkEnd w:id="729"/>
      <w:r>
        <w:rPr>
          <w:rFonts w:ascii="IRNazanin" w:hAnsi="IRNazanin" w:eastAsia="IRNazanin"/>
          <w:color w:val="111111"/>
          <w:sz w:val="28"/>
          <w:sz w:val="28"/>
          <w:szCs w:val="28"/>
          <w:rtl w:val="true"/>
          <w:lang w:bidi="fa-IR"/>
        </w:rPr>
        <w:t xml:space="preserve">ذمة من لیس مدیوناً له مطلقاً، أو بالجنس الخاص، فلا تصحّ الحوالة علی البنک إذا لم یکن فی حسابه شئ أو کان فی حسابه ریالاً وأحال دولاراً مثلاً، والحوالة عقد لازم لا یجوز فسخها بدون التراضی؛ لأصالة اللزوم فی کلّ عقد الّا إذا اتضح کون المحال علیه مفلّساً حین الحوالة؛ لصحیحة أبی أیوب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الرجل یحیل الرجل بالمال، أیرجع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لایرجع علیه أبداً إلا أن یکون قد أفلس قبل ذلک</w:t>
      </w:r>
      <w:r>
        <w:rPr>
          <w:rFonts w:eastAsia="IRNazanin" w:cs="IRNazanin"/>
          <w:color w:val="111111"/>
          <w:sz w:val="28"/>
          <w:szCs w:val="28"/>
          <w:rtl w:val="true"/>
          <w:lang w:bidi="fa-IR"/>
        </w:rPr>
        <w:t xml:space="preserve">.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مضافاً إلی أنّه مقتضی الشرط الارتکازی غالباً ویجوز لهما اشتراط الفسخ ولو للمحال علیه؛ لعموم الوفاء بالشروط، وإذا قبل المحال الحوالة تبرأ ذمة المحیل، وتشتغل ذمة المحال علیه للمحال، وتبرأ من اشتغالها للمحیل، بمقتضی مفهوم الحوالة عرفاً، فزید فی المثال السابق تبرأ ذمته بمجرد إعطاء الصّکّ إلی عمرو إذا کان له محل، ویکون البنک مدیوناً لعمرو دون زید بمقدار مبلغ الصّکّ، ثم، إنّه یجوز لعمرو وصاحب الصّکّ فعلاً أن یحیل به إلی آخر، وهکذا ویسمی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الترامی بالحوالة؛ کلّ ذلک لإطلاق دلیل مشروعیتها</w:t>
      </w:r>
      <w:r>
        <w:rPr>
          <w:rFonts w:eastAsia="IRNazanin" w:cs="IRNazanin"/>
          <w:color w:val="111111"/>
          <w:sz w:val="28"/>
          <w:szCs w:val="28"/>
          <w:rtl w:val="true"/>
          <w:lang w:bidi="fa-IR"/>
        </w:rPr>
        <w:t>.</w:t>
      </w:r>
    </w:p>
    <w:p>
      <w:pPr>
        <w:pStyle w:val="Heading4"/>
        <w:numPr>
          <w:ilvl w:val="3"/>
          <w:numId w:val="1"/>
        </w:numPr>
        <w:rPr/>
      </w:pPr>
      <w:bookmarkStart w:id="730" w:name="__RefHeading___Toc580846_774463916"/>
      <w:bookmarkStart w:id="731" w:name="_Toc291"/>
      <w:bookmarkEnd w:id="730"/>
      <w:r>
        <w:rPr>
          <w:rtl w:val="true"/>
        </w:rPr>
        <w:t>حقیقة الکفالة</w:t>
      </w:r>
      <w:bookmarkEnd w:id="731"/>
    </w:p>
    <w:p>
      <w:pPr>
        <w:pStyle w:val="BookText"/>
        <w:rPr/>
      </w:pPr>
      <w:r>
        <w:rPr>
          <w:rFonts w:ascii="IRNazanin" w:hAnsi="IRNazanin" w:eastAsia="IRNazanin"/>
          <w:color w:val="111111"/>
          <w:sz w:val="28"/>
          <w:sz w:val="28"/>
          <w:szCs w:val="28"/>
          <w:rtl w:val="true"/>
          <w:lang w:bidi="fa-IR"/>
        </w:rPr>
        <w:t>الکفالة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التعهد بتسلیم المدین إلی الدائن عند طلبه، أو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التعهد بالنفس بخلاف الضمان الذی هی التعهد بالمال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مشروعة للسیرة، العقلائیة الممضاة بعدم الردع، بل بمثل قول الصادق علیه السلام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صحیحة داود بن سرحان، حیث سأله عن الکفیل والرهن فی بیع النسیئة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وطرفاه الکفیل والمکفول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یشترط فیه رضا المکفول؟ فیه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الشکّ لابدّ من تحصیله إذ لا یصدق علی فاقده عقد الکفالة لتشمله الادلّة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ویعتبر فیها الإیجاب والقبول وسائر ما یشترط فی عامة العقود، وهی عقد لازم لأصالة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ویجب علی الکفیل إحضار المکفول فی الموعد المقررّ، والتوسل بکل وسیلة مشروعة من باب وجوب مقدمة الواجب، ولو لم یفعل حبسه الحاکم، لانّ‌ّه ولی الممتنع ویدل علیه موثقة عمار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اتی أمیرالمؤمنین برجل قد تکفّل بنفس رجل، فحبسه،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أطلب صاحبک</w:t>
      </w:r>
      <w:r>
        <w:rPr>
          <w:rFonts w:eastAsia="IRNazanin" w:cs="IRNazanin"/>
          <w:color w:val="111111"/>
          <w:sz w:val="28"/>
          <w:szCs w:val="28"/>
          <w:rtl w:val="true"/>
          <w:lang w:bidi="fa-IR"/>
        </w:rPr>
        <w:t xml:space="preserve">.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إلاّ أن یؤدّی ما علی المکفول من الدین إذ لایبقی حینئذ موضوع للکفالة، وإذا ادّی الکفیل دینَ المکفول، یرجع إلیه إن کان بطلب منه؛ للسیرة العقلائیة، وأمّا مع عدم الطلب فلاموجب للرجوع</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أخرج أحد المدیون من ید الغریم قهراً أو حیلة بحیث لا یظفر به، فهو بحکم الکفیل یجب علیه إحضاره لدیه وإلاّ فیضمن عنه دینه؛ إجماعاً کما عن بعض، وللسیرة وقاعدة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ثبوت الضمان به</w:t>
      </w:r>
      <w:r>
        <w:rPr>
          <w:rFonts w:eastAsia="IRNazanin" w:cs="IRNazanin"/>
          <w:color w:val="111111"/>
          <w:sz w:val="28"/>
          <w:szCs w:val="28"/>
          <w:rtl w:val="true"/>
          <w:lang w:bidi="fa-IR"/>
        </w:rPr>
        <w:t>.</w:t>
      </w:r>
      <w:bookmarkStart w:id="732" w:name="pg5021_49391"/>
    </w:p>
    <w:p>
      <w:pPr>
        <w:pStyle w:val="Heading3"/>
        <w:numPr>
          <w:ilvl w:val="2"/>
          <w:numId w:val="1"/>
        </w:numPr>
        <w:rPr/>
      </w:pPr>
      <w:bookmarkStart w:id="733" w:name="__RefHeading___Toc580848_774463916"/>
      <w:bookmarkStart w:id="734" w:name="_Toc292"/>
      <w:bookmarkEnd w:id="732"/>
      <w:bookmarkEnd w:id="733"/>
      <w:r>
        <w:rPr>
          <w:rtl w:val="true"/>
        </w:rPr>
        <w:t>الدرس</w:t>
      </w:r>
      <w:r>
        <w:rPr/>
        <w:t>25</w:t>
      </w:r>
      <w:r>
        <w:rPr>
          <w:rtl w:val="true"/>
        </w:rPr>
        <w:t xml:space="preserve"> - </w:t>
      </w:r>
      <w:r>
        <w:rPr>
          <w:rtl w:val="true"/>
        </w:rPr>
        <w:t>کتاب الصلح</w:t>
      </w:r>
      <w:bookmarkEnd w:id="734"/>
    </w:p>
    <w:p>
      <w:pPr>
        <w:pStyle w:val="Heading4"/>
        <w:numPr>
          <w:ilvl w:val="3"/>
          <w:numId w:val="1"/>
        </w:numPr>
        <w:rPr/>
      </w:pPr>
      <w:bookmarkStart w:id="735" w:name="__RefHeading___Toc580850_774463916"/>
      <w:bookmarkStart w:id="736" w:name="_Toc293"/>
      <w:bookmarkEnd w:id="735"/>
      <w:r>
        <w:rPr>
          <w:rtl w:val="true"/>
        </w:rPr>
        <w:t>حقیقة الصلح</w:t>
      </w:r>
      <w:bookmarkEnd w:id="736"/>
    </w:p>
    <w:p>
      <w:pPr>
        <w:pStyle w:val="BookText"/>
        <w:rPr/>
      </w:pPr>
      <w:r>
        <w:rPr>
          <w:rFonts w:ascii="IRNazanin" w:hAnsi="IRNazanin" w:eastAsia="IRNazanin"/>
          <w:color w:val="111111"/>
          <w:sz w:val="28"/>
          <w:sz w:val="28"/>
          <w:szCs w:val="28"/>
          <w:rtl w:val="true"/>
          <w:lang w:bidi="fa-IR"/>
        </w:rPr>
        <w:t>الصلح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التسالم علی أمرٍ، من تملیک مال، أو إسقاط دین أو حقٍّ مجاناً أو بعوض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عقد مشروع؛ للسیرة العقلائیة، ولقول الصادق علیه السلام فی صحیح حفص بن البختری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الصلح جائز بین المسلمین</w:t>
      </w:r>
      <w:r>
        <w:rPr>
          <w:rFonts w:eastAsia="IRNazanin" w:cs="IRNazanin"/>
          <w:color w:val="111111"/>
          <w:sz w:val="28"/>
          <w:szCs w:val="28"/>
          <w:rtl w:val="true"/>
          <w:lang w:bidi="fa-IR"/>
        </w:rPr>
        <w:t xml:space="preserve">.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بل قد یستدل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امْرَأَةٌ خافَتْ مِنْ بَعْلِها نُشُوزاً أَوْ إِعْراضاً فَلا جُناحَ عَلَیْهِما أَنْ یُصْلِحا بَیْنَهُما صُلْحاً وَ الصُّلْحُ خَیْرٌ</w:t>
      </w:r>
      <w:r>
        <w:rPr>
          <w:rFonts w:eastAsia="Amiri" w:cs="Amiri" w:ascii="Amiri" w:hAnsi="Amiri"/>
          <w:color w:val="111111"/>
          <w:sz w:val="28"/>
          <w:szCs w:val="28"/>
          <w:rtl w:val="true"/>
          <w:lang w:bidi="ar-SA"/>
        </w:rPr>
        <w:t xml:space="preserve">... . </w:t>
      </w:r>
      <w:r>
        <w:rPr>
          <w:rStyle w:val="FootnoteAnchor"/>
          <w:rtl w:val="true"/>
        </w:rPr>
        <w:footnoteReference w:id="549"/>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المشهور کونه عقداً مستقلاً، لا یرجع إلی سائر العقود وإن أفاد فائدتها، فیفید فائدة البیع إذا کان علی عین بعوض، والهبة إذا کان علی عین بغیر عوض، والإجارة إذا کان علی منفعة بعوض، والإبراء إذا کان علی إسقاط دین أو حقٍّ؛ واستدل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المفهوم منه عرفاً غیر سائر العقود، ولذا تسالموا علی عدم اشتراط معلومیة ما یصالح علیه </w:t>
      </w:r>
      <w:r>
        <w:rPr>
          <w:rStyle w:val="FootnoteAnchor"/>
          <w:rtl w:val="true"/>
        </w:rPr>
        <w:footnoteReference w:id="550"/>
      </w:r>
      <w:r>
        <w:rPr>
          <w:rFonts w:ascii="IRNazanin" w:hAnsi="IRNazanin" w:eastAsia="IRNazanin"/>
          <w:color w:val="111111"/>
          <w:sz w:val="28"/>
          <w:sz w:val="28"/>
          <w:szCs w:val="28"/>
          <w:rtl w:val="true"/>
          <w:lang w:bidi="fa-IR"/>
        </w:rPr>
        <w:t>مع اشتراطهم لها فی البیع، ونتیجة ذلک أن الأحکام الخاصّة بسائر العقود</w:t>
      </w:r>
      <w:bookmarkStart w:id="737" w:name="pg5021_49392"/>
    </w:p>
    <w:p>
      <w:pPr>
        <w:pStyle w:val="BookText"/>
        <w:rPr/>
      </w:pPr>
      <w:bookmarkEnd w:id="737"/>
      <w:r>
        <w:rPr>
          <w:rFonts w:ascii="IRNazanin" w:hAnsi="IRNazanin" w:eastAsia="IRNazanin"/>
          <w:color w:val="111111"/>
          <w:sz w:val="28"/>
          <w:sz w:val="28"/>
          <w:szCs w:val="28"/>
          <w:rtl w:val="true"/>
          <w:lang w:bidi="fa-IR"/>
        </w:rPr>
        <w:t>لا یمکن تسریتها، إلیه کالخیارات الخاصّة فی البیع، والقبض فی الهبة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ولایشترط فیه شئً بعد توفّر شرائط العقود، کالبلوغ، والعقل، والقصد، والاختیار وکذلک عدم الحجر فیمن یقتضی الصلح التصرف فی ماله، والإیجاب والقبول، ولو بکلِّ لفظٍ، نعم، یلزم أن لا یکون مستلزماً لتحلیل محرم أو تحریم محلّل، لأنّه لا یکون مشرّعاً قطعاً، کالصلح علی تملّک الخمر أو شربه، ویؤیده مرسلة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الصلح جائز بین المسلمین إلاصلحاً أحلّ حراماً أو حرمّ حلالاً</w:t>
      </w:r>
      <w:r>
        <w:rPr>
          <w:rFonts w:eastAsia="IRNazanin" w:cs="IRNazanin"/>
          <w:color w:val="111111"/>
          <w:sz w:val="28"/>
          <w:szCs w:val="28"/>
          <w:rtl w:val="true"/>
          <w:lang w:bidi="fa-IR"/>
        </w:rPr>
        <w:t xml:space="preserve">.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ولا یلزم فیه وجود نزاع ولفظ الصلح لا یلازم ذلک، نعم، لعلّه مشعر بذلک إلاّ أنّه لایمنع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عقد لازم؛ لأصالة اللزوم فی کلّ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فسخه إلاّ بالإقاله، لعموم دلیلها من السیرة والنص، وقد تقدّم أو بالخیار لعموم لزوم الوفاء بالشرط بعد کون اللزوم حقیّاً لا حکمیّا، وتغتفر الجهالة فی المصالح علیه وبه إجماعاً، کما عن المسالک، وغیرها</w:t>
      </w:r>
      <w:r>
        <w:rPr>
          <w:rFonts w:eastAsia="IRNazanin" w:cs="IRNazanin"/>
          <w:color w:val="111111"/>
          <w:sz w:val="28"/>
          <w:szCs w:val="28"/>
          <w:rtl w:val="true"/>
          <w:lang w:bidi="fa-IR"/>
        </w:rPr>
        <w:t xml:space="preserve">. </w:t>
      </w:r>
      <w:r>
        <w:rPr>
          <w:rStyle w:val="FootnoteAnchor"/>
          <w:rtl w:val="true"/>
        </w:rPr>
        <w:footnoteReference w:id="552"/>
      </w:r>
      <w:r>
        <w:rPr>
          <w:rFonts w:ascii="IRNazanin" w:hAnsi="IRNazanin" w:eastAsia="IRNazanin"/>
          <w:color w:val="111111"/>
          <w:sz w:val="28"/>
          <w:sz w:val="28"/>
          <w:szCs w:val="28"/>
          <w:rtl w:val="true"/>
          <w:lang w:bidi="fa-IR"/>
        </w:rPr>
        <w:t xml:space="preserve">ولإطلاق قوله صلی الله علیه و آله </w:t>
      </w:r>
      <w:r>
        <w:rPr>
          <w:rFonts w:eastAsia="IRNazanin" w:cs="IRNazanin"/>
          <w:color w:val="111111"/>
          <w:sz w:val="28"/>
          <w:szCs w:val="28"/>
          <w:rtl w:val="true"/>
          <w:lang w:bidi="fa-IR"/>
        </w:rPr>
        <w:t>:</w:t>
      </w:r>
    </w:p>
    <w:p>
      <w:pPr>
        <w:pStyle w:val="Heading4"/>
        <w:numPr>
          <w:ilvl w:val="3"/>
          <w:numId w:val="1"/>
        </w:numPr>
        <w:rPr/>
      </w:pPr>
      <w:bookmarkStart w:id="738" w:name="__RefHeading___Toc580852_774463916"/>
      <w:bookmarkStart w:id="739" w:name="_Toc294"/>
      <w:bookmarkEnd w:id="738"/>
      <w:r>
        <w:rPr>
          <w:rtl w:val="true"/>
        </w:rPr>
        <w:t>الصلح جائز بین المسلمین</w:t>
      </w:r>
      <w:bookmarkEnd w:id="739"/>
    </w:p>
    <w:p>
      <w:pPr>
        <w:pStyle w:val="BookText"/>
        <w:rPr/>
      </w:pPr>
      <w:r>
        <w:rPr>
          <w:rFonts w:ascii="IRNazanin" w:hAnsi="IRNazanin" w:eastAsia="IRNazanin"/>
          <w:color w:val="111111"/>
          <w:sz w:val="28"/>
          <w:sz w:val="28"/>
          <w:szCs w:val="28"/>
          <w:rtl w:val="true"/>
          <w:lang w:bidi="fa-IR"/>
        </w:rPr>
        <w:t>وقوله علیه السلام فی صحیح الحلبی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الرجل یکون علیه الشیء فیصالح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بطیب نفسٍ مِن صاحبه فلا بأس</w:t>
      </w:r>
      <w:r>
        <w:rPr>
          <w:rFonts w:eastAsia="IRNazanin" w:cs="IRNazanin"/>
          <w:color w:val="111111"/>
          <w:sz w:val="28"/>
          <w:szCs w:val="28"/>
          <w:rtl w:val="true"/>
          <w:lang w:bidi="fa-IR"/>
        </w:rPr>
        <w:t xml:space="preserve">. </w:t>
      </w:r>
      <w:r>
        <w:rPr>
          <w:rStyle w:val="FootnoteAnchor"/>
          <w:rtl w:val="true"/>
        </w:rPr>
        <w:footnoteReference w:id="553"/>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وخصوص صحیح محمد بن مسلم عن أبی جعفر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رجلین کان لکل واحد منهما طعام عند صاحبه ولا یدری کلّ واحد منهما کم له عند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کلّ واحد منهما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ما عندک ولی ما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اذا تراضیا وطابت أنفسهما</w:t>
      </w:r>
      <w:r>
        <w:rPr>
          <w:rFonts w:eastAsia="IRNazanin" w:cs="IRNazanin"/>
          <w:color w:val="111111"/>
          <w:sz w:val="28"/>
          <w:szCs w:val="28"/>
          <w:rtl w:val="true"/>
          <w:lang w:bidi="fa-IR"/>
        </w:rPr>
        <w:t xml:space="preserve">.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 xml:space="preserve">وإطلاق الأدلة یشمل حتی مورد إمکان التعرّف علیهما، وفی جواز التصالح علی الجنس الربوی بما یماثله و مع التفاضل إشکال؛ لعدم اختصاص أدلة الربا بالبیع کقوله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موثّقة منصور بن حازم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شیء یکال أو یوزن فلا یصلح مثلین بمثل إذا کان من جنس واحد</w:t>
      </w:r>
      <w:r>
        <w:rPr>
          <w:rFonts w:eastAsia="IRNazanin" w:cs="IRNazanin"/>
          <w:color w:val="111111"/>
          <w:sz w:val="28"/>
          <w:szCs w:val="28"/>
          <w:rtl w:val="true"/>
          <w:lang w:bidi="fa-IR"/>
        </w:rPr>
        <w:t xml:space="preserve">.... </w:t>
      </w:r>
      <w:r>
        <w:rPr>
          <w:rStyle w:val="FootnoteAnchor"/>
          <w:rtl w:val="true"/>
        </w:rPr>
        <w:footnoteReference w:id="555"/>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یجری فیه الخیار الذی یختصّ بالبیع، کالحیوان، والمجلس، والتأخیر، ویجری فیه خیار الشرط ولو ارتکازاً؛ لعموم الوفاء بالشروط، فلو صالح نقداً فأخّر فللآخر الفسخ</w:t>
      </w:r>
      <w:r>
        <w:rPr>
          <w:rFonts w:eastAsia="IRNazanin" w:cs="IRNazanin"/>
          <w:color w:val="111111"/>
          <w:sz w:val="28"/>
          <w:szCs w:val="28"/>
          <w:rtl w:val="true"/>
          <w:lang w:bidi="fa-IR"/>
        </w:rPr>
        <w:t>.</w:t>
      </w:r>
      <w:bookmarkStart w:id="740" w:name="pg5021_49394"/>
    </w:p>
    <w:p>
      <w:pPr>
        <w:pStyle w:val="Heading3"/>
        <w:numPr>
          <w:ilvl w:val="2"/>
          <w:numId w:val="1"/>
        </w:numPr>
        <w:rPr/>
      </w:pPr>
      <w:bookmarkStart w:id="741" w:name="__RefHeading___Toc580854_774463916"/>
      <w:bookmarkStart w:id="742" w:name="_Toc295"/>
      <w:bookmarkEnd w:id="740"/>
      <w:bookmarkEnd w:id="741"/>
      <w:r>
        <w:rPr>
          <w:rtl w:val="true"/>
        </w:rPr>
        <w:t>الدرس</w:t>
      </w:r>
      <w:r>
        <w:rPr/>
        <w:t>26</w:t>
      </w:r>
      <w:r>
        <w:rPr>
          <w:rtl w:val="true"/>
        </w:rPr>
        <w:t xml:space="preserve"> - </w:t>
      </w:r>
      <w:r>
        <w:rPr>
          <w:rtl w:val="true"/>
        </w:rPr>
        <w:t>کتاب الوکالة</w:t>
      </w:r>
      <w:bookmarkEnd w:id="742"/>
    </w:p>
    <w:p>
      <w:pPr>
        <w:pStyle w:val="Heading4"/>
        <w:numPr>
          <w:ilvl w:val="3"/>
          <w:numId w:val="1"/>
        </w:numPr>
        <w:rPr/>
      </w:pPr>
      <w:bookmarkStart w:id="743" w:name="__RefHeading___Toc580856_774463916"/>
      <w:bookmarkStart w:id="744" w:name="_Toc296"/>
      <w:bookmarkEnd w:id="743"/>
      <w:r>
        <w:rPr>
          <w:rtl w:val="true"/>
        </w:rPr>
        <w:t>حقیقة الوکالة</w:t>
      </w:r>
      <w:bookmarkEnd w:id="744"/>
    </w:p>
    <w:p>
      <w:pPr>
        <w:pStyle w:val="BookText"/>
        <w:rPr/>
      </w:pP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علی المشهور، خلافاً لصاحب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أجاز إیقاعها عقداً وإیقاعاً</w:t>
      </w:r>
      <w:r>
        <w:rPr>
          <w:rFonts w:eastAsia="IRNazanin" w:cs="IRNazanin"/>
          <w:color w:val="111111"/>
          <w:sz w:val="28"/>
          <w:szCs w:val="28"/>
          <w:rtl w:val="true"/>
          <w:lang w:bidi="fa-IR"/>
        </w:rPr>
        <w:t xml:space="preserve">. </w:t>
      </w:r>
      <w:r>
        <w:rPr>
          <w:rStyle w:val="FootnoteAnchor"/>
          <w:rtl w:val="true"/>
        </w:rPr>
        <w:footnoteReference w:id="556"/>
      </w:r>
      <w:r>
        <w:rPr>
          <w:rFonts w:ascii="IRNazanin" w:hAnsi="IRNazanin" w:eastAsia="IRNazanin"/>
          <w:color w:val="111111"/>
          <w:sz w:val="28"/>
          <w:sz w:val="28"/>
          <w:szCs w:val="28"/>
          <w:rtl w:val="true"/>
          <w:lang w:bidi="fa-IR"/>
        </w:rPr>
        <w:t>لکنّ المعهود عند العقلاء کونها عقداً متقوّماً بالطرفین، فلا یکون من یبیع ملک الغیر عنه وکیلاً له وإن کان مأذوناً واقعاً ولم یعلم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لایشترط اللفظ ولا التوالی، فیحصل القبول ولو کان فعلاً متأخّراً</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حقیقته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تسلیط الغیر علی عمل یفعله عن الشخص، وهی أمر یغایر الإذن، إذ لا یکفی الإذن فی انتساب الفعل إلی الآذن کمن یأذن فی الانتفاع بماله عاریة أو إجارة أو إباحة، بخلاف إنشاء الوکالة، وکذلک هی تغایر النیابة؛ لعین تلک النکتة، فلا ینتسب الحجّ الآتی به النائب إلی المنوب عنه، فلا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حجّ، بخلاف الوکالة، ولذا یقول الموکل عند ما باع وکیله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وکیفما کان فهی أمر مشروع بسیرة العقلاء مع عدم الردع عنها؛ وللإجماع والروایات، ویعتبر فیها عدم التعلیق لقیام الإجماع علی عدم جواز التعلیق فی مطلق العقود</w:t>
      </w:r>
      <w:r>
        <w:rPr>
          <w:rFonts w:eastAsia="IRNazanin" w:cs="IRNazanin"/>
          <w:color w:val="111111"/>
          <w:sz w:val="28"/>
          <w:szCs w:val="28"/>
          <w:rtl w:val="true"/>
          <w:lang w:bidi="fa-IR"/>
        </w:rPr>
        <w:t xml:space="preserve">. </w:t>
      </w:r>
      <w:r>
        <w:rPr>
          <w:rStyle w:val="FootnoteAnchor"/>
          <w:rtl w:val="true"/>
        </w:rPr>
        <w:footnoteReference w:id="557"/>
      </w:r>
      <w:r>
        <w:rPr>
          <w:rFonts w:ascii="IRNazanin" w:hAnsi="IRNazanin" w:eastAsia="IRNazanin"/>
          <w:color w:val="111111"/>
          <w:sz w:val="28"/>
          <w:sz w:val="28"/>
          <w:szCs w:val="28"/>
          <w:rtl w:val="true"/>
          <w:lang w:bidi="fa-IR"/>
        </w:rPr>
        <w:t>وعلیه فلوقال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وکیلی فی بیع</w:t>
      </w:r>
      <w:bookmarkStart w:id="745" w:name="pg5021_49395"/>
    </w:p>
    <w:p>
      <w:pPr>
        <w:pStyle w:val="BookText"/>
        <w:rPr/>
      </w:pPr>
      <w:bookmarkEnd w:id="745"/>
      <w:r>
        <w:rPr>
          <w:rFonts w:ascii="IRNazanin" w:hAnsi="IRNazanin" w:eastAsia="IRNazanin"/>
          <w:color w:val="111111"/>
          <w:sz w:val="28"/>
          <w:sz w:val="28"/>
          <w:szCs w:val="28"/>
          <w:rtl w:val="true"/>
          <w:lang w:bidi="fa-IR"/>
        </w:rPr>
        <w:t>داری إن فعلتُ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فسد وقد تأمّل بعضهم فی حجیّة هذا الإجماع مطلقاً کما تقدّم، لاسیما فی مثل المقام، لاحتمال اختصاصه بالمعاوضات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تصحّ فی کلّ ما لا یتعلّق غرض الشارع بإیقاعه مباشرة دون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والصلاة والوضوء، والغسل، وإلاّ یلزم الخلف، ویعلم ببناء العرف والمتشرعة علیه</w:t>
      </w:r>
      <w:r>
        <w:rPr>
          <w:rFonts w:eastAsia="IRNazanin" w:cs="IRNazanin"/>
          <w:color w:val="111111"/>
          <w:sz w:val="28"/>
          <w:szCs w:val="28"/>
          <w:rtl w:val="true"/>
          <w:lang w:bidi="fa-IR"/>
        </w:rPr>
        <w:t>.</w:t>
      </w:r>
    </w:p>
    <w:p>
      <w:pPr>
        <w:pStyle w:val="Heading4"/>
        <w:numPr>
          <w:ilvl w:val="3"/>
          <w:numId w:val="1"/>
        </w:numPr>
        <w:rPr/>
      </w:pPr>
      <w:bookmarkStart w:id="746" w:name="__RefHeading___Toc580858_774463916"/>
      <w:bookmarkStart w:id="747" w:name="_Toc297"/>
      <w:bookmarkEnd w:id="746"/>
      <w:r>
        <w:rPr>
          <w:rtl w:val="true"/>
        </w:rPr>
        <w:t>من أحکام الوکالة</w:t>
      </w:r>
      <w:bookmarkEnd w:id="747"/>
    </w:p>
    <w:p>
      <w:pPr>
        <w:pStyle w:val="BookText"/>
        <w:rPr/>
      </w:pPr>
      <w:r>
        <w:rPr>
          <w:rFonts w:ascii="IRNazanin" w:hAnsi="IRNazanin" w:eastAsia="IRNazanin"/>
          <w:color w:val="111111"/>
          <w:sz w:val="28"/>
          <w:sz w:val="28"/>
          <w:szCs w:val="28"/>
          <w:rtl w:val="true"/>
          <w:lang w:bidi="fa-IR"/>
        </w:rPr>
        <w:t>لایجوز للوکیل التعدّی عما أذن له؛ لعدم جواز التصرّف فی ملک الغیر بلا إذنه، وتصیر المعاملة معه فضولیة کما لایخفی وهی من العقود الجائزة بلاخلاف</w:t>
      </w:r>
      <w:r>
        <w:rPr>
          <w:rFonts w:eastAsia="IRNazanin" w:cs="IRNazanin"/>
          <w:color w:val="111111"/>
          <w:sz w:val="28"/>
          <w:szCs w:val="28"/>
          <w:rtl w:val="true"/>
          <w:lang w:bidi="fa-IR"/>
        </w:rPr>
        <w:t xml:space="preserve">. </w:t>
      </w:r>
      <w:r>
        <w:rPr>
          <w:rStyle w:val="FootnoteAnchor"/>
          <w:rtl w:val="true"/>
        </w:rPr>
        <w:footnoteReference w:id="558"/>
      </w:r>
      <w:r>
        <w:rPr>
          <w:rFonts w:ascii="IRNazanin" w:hAnsi="IRNazanin" w:eastAsia="IRNazanin"/>
          <w:color w:val="111111"/>
          <w:sz w:val="28"/>
          <w:sz w:val="28"/>
          <w:szCs w:val="28"/>
          <w:rtl w:val="true"/>
          <w:lang w:bidi="fa-IR"/>
        </w:rPr>
        <w:t xml:space="preserve">کما تشهد به السیرة وتدل، علیه الروایات الآتیه، نعم، لا ینعزل إلاّ بعد بلوغ العزل؛ فلوتصرّف قبله کان صحیحاً، وان کان بعد العزل واقعاً؛ لصحیحة معاویة بن وهب، وجابر بن یزید،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وکّل رجلاً علی إمضاء أمر من الأمور، فالوکالة ثابتة أبداً حتی یعلمه بالخروج منها، کما أعلمه با الدخول فیها</w:t>
      </w:r>
      <w:r>
        <w:rPr>
          <w:rFonts w:eastAsia="IRNazanin" w:cs="IRNazanin"/>
          <w:color w:val="111111"/>
          <w:sz w:val="28"/>
          <w:szCs w:val="28"/>
          <w:rtl w:val="true"/>
          <w:lang w:bidi="fa-IR"/>
        </w:rPr>
        <w:t xml:space="preserve">.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ولا یضمن الوکیل؛ لأنّه أمین، إلاّ بتعّداو تفریط، فیخرج عن الإمانة لکن لا تبطل وکالته به لعدم التنافی بین الضمان وبقاء الوکالة،</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اشترط عدم العزل ضِمْن عقد الوکالة، یجب الوفاء به، وهل یلزم فیفسد العزل إذا عصی وعزل؟ فیه تأمل، والمشهور لزومها إذا اشترطت الوکالة ضمن عقد لازم بنحو شرط النتیجة، کما لو اشترطت الزوجة فی عقد نکاحها أن تکون وکیلة عن زوجها فی طلاق نفسها مطلقا أو فی صورة خاصة</w:t>
      </w:r>
      <w:r>
        <w:rPr>
          <w:rFonts w:eastAsia="IRNazanin" w:cs="IRNazanin"/>
          <w:color w:val="111111"/>
          <w:sz w:val="28"/>
          <w:szCs w:val="28"/>
          <w:rtl w:val="true"/>
          <w:lang w:bidi="fa-IR"/>
        </w:rPr>
        <w:t xml:space="preserve">. </w:t>
      </w:r>
      <w:r>
        <w:rPr>
          <w:rStyle w:val="FootnoteAnchor"/>
          <w:rtl w:val="true"/>
        </w:rPr>
        <w:footnoteReference w:id="560"/>
      </w:r>
      <w:r>
        <w:rPr>
          <w:rFonts w:ascii="IRNazanin" w:hAnsi="IRNazanin" w:eastAsia="IRNazanin"/>
          <w:color w:val="111111"/>
          <w:sz w:val="28"/>
          <w:sz w:val="28"/>
          <w:szCs w:val="28"/>
          <w:rtl w:val="true"/>
          <w:lang w:bidi="fa-IR"/>
        </w:rPr>
        <w:t>ولا ینافی هذا کون الطلاق بید</w:t>
      </w:r>
    </w:p>
    <w:p>
      <w:pPr>
        <w:pStyle w:val="BookText"/>
        <w:rPr/>
      </w:pPr>
      <w:r>
        <w:rPr>
          <w:rFonts w:ascii="IRNazanin" w:hAnsi="IRNazanin" w:eastAsia="IRNazanin"/>
          <w:color w:val="111111"/>
          <w:sz w:val="28"/>
          <w:sz w:val="28"/>
          <w:szCs w:val="28"/>
          <w:rtl w:val="true"/>
          <w:lang w:bidi="fa-IR"/>
        </w:rPr>
        <w:t>الزوج بعد ما عرفتَ أنّ الفعل فی الوکالة منتسب إلی الموکِّل، ویجوز للزوج توکیل أیّ شخص فی أمر الطلاق والوکالة مؤکدّة لحقّ الزوج لامنافیة له، نعم، إذا اشترط سلب الحقّ عن الزوج وکون ذلک للمرأة، فسد؛ لمخالفته للشرع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تصحّ الوکالة فیما لا یصحّ التصرّف فیه للموکل أو الوکیل، کالمحّرمات أو فیما یکونان محجورین فیه، وهل تصحّ وکالة الصغیر؟ فیه خلاف جوّزه بعضهم ولو بدون إذن ولیه، </w:t>
      </w:r>
      <w:r>
        <w:rPr>
          <w:rStyle w:val="FootnoteAnchor"/>
          <w:rtl w:val="true"/>
        </w:rPr>
        <w:footnoteReference w:id="561"/>
      </w:r>
      <w:r>
        <w:rPr>
          <w:rFonts w:ascii="IRNazanin" w:hAnsi="IRNazanin" w:eastAsia="IRNazanin"/>
          <w:color w:val="111111"/>
          <w:sz w:val="28"/>
          <w:sz w:val="28"/>
          <w:szCs w:val="28"/>
          <w:rtl w:val="true"/>
          <w:lang w:bidi="fa-IR"/>
        </w:rPr>
        <w:t xml:space="preserve">ونفاه الآخر، </w:t>
      </w:r>
      <w:r>
        <w:rPr>
          <w:rStyle w:val="FootnoteAnchor"/>
          <w:rtl w:val="true"/>
        </w:rPr>
        <w:footnoteReference w:id="562"/>
      </w:r>
      <w:r>
        <w:rPr>
          <w:rFonts w:ascii="IRNazanin" w:hAnsi="IRNazanin" w:eastAsia="IRNazanin"/>
          <w:color w:val="111111"/>
          <w:sz w:val="28"/>
          <w:sz w:val="28"/>
          <w:szCs w:val="28"/>
          <w:rtl w:val="true"/>
          <w:lang w:bidi="fa-IR"/>
        </w:rPr>
        <w:t>ومنشأ الخلاف، اختلاف الفقهاء فی استظهار شمول منع الصبی وعدم جواز أمره</w:t>
      </w:r>
      <w:r>
        <w:rPr>
          <w:rFonts w:eastAsia="IRNazanin" w:cs="IRNazanin"/>
          <w:color w:val="111111"/>
          <w:sz w:val="28"/>
          <w:szCs w:val="28"/>
          <w:rtl w:val="true"/>
          <w:lang w:bidi="fa-IR"/>
        </w:rPr>
        <w:t xml:space="preserve">. </w:t>
      </w:r>
      <w:r>
        <w:rPr>
          <w:rStyle w:val="FootnoteAnchor"/>
          <w:rtl w:val="true"/>
        </w:rPr>
        <w:footnoteReference w:id="563"/>
      </w:r>
      <w:r>
        <w:rPr>
          <w:rFonts w:ascii="IRNazanin" w:hAnsi="IRNazanin" w:eastAsia="IRNazanin"/>
          <w:color w:val="111111"/>
          <w:sz w:val="28"/>
          <w:sz w:val="28"/>
          <w:szCs w:val="28"/>
          <w:rtl w:val="true"/>
          <w:lang w:bidi="fa-IR"/>
        </w:rPr>
        <w:t>لمثل الوکالة، فاوّله ألاّول علی التصرفات المستقلة فی ماله، وتبطل الوکالة بموت الوکیل لاختصاص الإذن به، وموت الموکل لانتقال المال إلی الوارث وهولم یوکل الوکیل، وبتلف متعلّقها لانتفاء الموضوع وإغماء الموکّل؛ للإجماع المدّعی، وربما یوجّه بسقوطه عن أهلیة التصرّف فیتبعه الوکیل لما تقدّم من اشتراط أهلیة الموکلّ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ویستحب لذوی المرّوات التوکیل فی المنازعات؛ لحفظ کرامتهم؛ ولما روی عن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للخصومةِ قحما، وإنّ الشیطان لیحضرها، وإنّی لأکره أن أحضرها</w:t>
      </w:r>
      <w:r>
        <w:rPr>
          <w:rFonts w:eastAsia="IRNazanin" w:cs="IRNazanin"/>
          <w:color w:val="111111"/>
          <w:sz w:val="28"/>
          <w:szCs w:val="28"/>
          <w:rtl w:val="true"/>
          <w:lang w:bidi="fa-IR"/>
        </w:rPr>
        <w:t xml:space="preserve">.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بل یمکن استظهار ذلک فی کلّ مورد یتوقف حفظ الکرامة علیه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یجوز لواحد أنْ یتوکل لطرفی العقد، ولایضّر اتحاد الموجب والقابل؛ لکفایة التغایر بالاعتبار علی ما هو المشهور المدّعی علیه الإجماع، </w:t>
      </w:r>
      <w:r>
        <w:rPr>
          <w:rStyle w:val="FootnoteAnchor"/>
          <w:rtl w:val="true"/>
        </w:rPr>
        <w:footnoteReference w:id="565"/>
      </w:r>
      <w:r>
        <w:rPr>
          <w:rFonts w:ascii="Amiri" w:hAnsi="Amiri" w:eastAsia="Amiri" w:cs="Amiri"/>
          <w:color w:val="111111"/>
          <w:sz w:val="28"/>
          <w:sz w:val="28"/>
          <w:szCs w:val="28"/>
          <w:rtl w:val="true"/>
          <w:lang w:bidi="ar-SA"/>
        </w:rPr>
        <w:t>ولإطلاق الأدلة وعمومها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لاتشترط فیها عدالة الوکیل ولا ذکوریته؛ للإطلاق، فیجوز توکیل المرأة ولو فی طلاق نفسها، ولو وکلّه فی شراء شیء له ففی جواز أن یبیع من مال نفسه کلام؛ لورود النهی عنه فی الروایات، کخبر ابن الحکم عن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قال لک الرجل اشتر لی فلا تعطه من عندک، وإن کان الذی عندک خیراً منه</w:t>
      </w:r>
      <w:r>
        <w:rPr>
          <w:rFonts w:eastAsia="IRNazanin" w:cs="IRNazanin"/>
          <w:color w:val="111111"/>
          <w:sz w:val="28"/>
          <w:szCs w:val="28"/>
          <w:rtl w:val="true"/>
          <w:lang w:bidi="fa-IR"/>
        </w:rPr>
        <w:t xml:space="preserve">.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الاقوی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للصدق عرفاً وإمکان حمل النصوص المزبورة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ضرب من الکراهة للتهمة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استشهد بخبر میسر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یجیئنی الرجل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تشتری لی ویکون ما عندی خیراً من متاع السوق،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أمنت أن لایتهمک فأعطه من عندک، وإن خفت أن یتّهمک فاشترله من السوق</w:t>
      </w:r>
      <w:r>
        <w:rPr>
          <w:rFonts w:eastAsia="IRNazanin" w:cs="IRNazanin"/>
          <w:color w:val="111111"/>
          <w:sz w:val="28"/>
          <w:szCs w:val="28"/>
          <w:rtl w:val="true"/>
          <w:lang w:bidi="fa-IR"/>
        </w:rPr>
        <w:t xml:space="preserve">. </w:t>
      </w:r>
      <w:r>
        <w:rPr>
          <w:rStyle w:val="FootnoteAnchor"/>
          <w:rtl w:val="true"/>
        </w:rPr>
        <w:footnoteReference w:id="567"/>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مؤیداً ذلک کله بماورد من جواز أن یأخذ لنفسه مَنْ وَکّل علی تقسیم مال للمحاویج، وکان بصفتهم، وجواز حجّ الوصی بنفسه عمّن هو وصی عنه، والله العالم</w:t>
      </w:r>
      <w:r>
        <w:rPr>
          <w:rFonts w:eastAsia="IRNazanin" w:cs="IRNazanin"/>
          <w:color w:val="111111"/>
          <w:sz w:val="28"/>
          <w:szCs w:val="28"/>
          <w:rtl w:val="true"/>
          <w:lang w:bidi="fa-IR"/>
        </w:rPr>
        <w:t xml:space="preserve">. </w:t>
      </w:r>
      <w:r>
        <w:rPr>
          <w:rStyle w:val="FootnoteAnchor"/>
          <w:rtl w:val="true"/>
        </w:rPr>
        <w:footnoteReference w:id="568"/>
      </w:r>
      <w:bookmarkStart w:id="748" w:name="pg5021_49398"/>
    </w:p>
    <w:p>
      <w:pPr>
        <w:pStyle w:val="Heading3"/>
        <w:numPr>
          <w:ilvl w:val="2"/>
          <w:numId w:val="1"/>
        </w:numPr>
        <w:rPr/>
      </w:pPr>
      <w:bookmarkStart w:id="749" w:name="__RefHeading___Toc580860_774463916"/>
      <w:bookmarkStart w:id="750" w:name="_Toc298"/>
      <w:bookmarkEnd w:id="748"/>
      <w:bookmarkEnd w:id="749"/>
      <w:r>
        <w:rPr>
          <w:rtl w:val="true"/>
        </w:rPr>
        <w:t>الدرس</w:t>
      </w:r>
      <w:r>
        <w:rPr/>
        <w:t>27</w:t>
      </w:r>
      <w:r>
        <w:rPr>
          <w:rtl w:val="true"/>
        </w:rPr>
        <w:t xml:space="preserve"> - </w:t>
      </w:r>
      <w:r>
        <w:rPr>
          <w:rtl w:val="true"/>
        </w:rPr>
        <w:t>کتاب الرهن</w:t>
      </w:r>
      <w:bookmarkEnd w:id="750"/>
    </w:p>
    <w:p>
      <w:pPr>
        <w:pStyle w:val="Heading4"/>
        <w:numPr>
          <w:ilvl w:val="3"/>
          <w:numId w:val="1"/>
        </w:numPr>
        <w:rPr/>
      </w:pPr>
      <w:bookmarkStart w:id="751" w:name="__RefHeading___Toc580862_774463916"/>
      <w:bookmarkStart w:id="752" w:name="_Toc299"/>
      <w:bookmarkEnd w:id="751"/>
      <w:r>
        <w:rPr>
          <w:rtl w:val="true"/>
        </w:rPr>
        <w:t>حقیقة الرهن</w:t>
      </w:r>
      <w:bookmarkEnd w:id="752"/>
    </w:p>
    <w:p>
      <w:pPr>
        <w:pStyle w:val="BookText"/>
        <w:rPr/>
      </w:pPr>
      <w:r>
        <w:rPr>
          <w:rFonts w:ascii="IRNazanin" w:hAnsi="IRNazanin" w:eastAsia="IRNazanin"/>
          <w:color w:val="111111"/>
          <w:sz w:val="28"/>
          <w:sz w:val="28"/>
          <w:szCs w:val="28"/>
          <w:rtl w:val="true"/>
          <w:lang w:bidi="fa-IR"/>
        </w:rPr>
        <w:t>الرهن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الثبات أو الحبس بأی سبب</w:t>
      </w:r>
      <w:r>
        <w:rPr>
          <w:rFonts w:eastAsia="IRNazanin" w:cs="IRNazanin"/>
          <w:color w:val="111111"/>
          <w:sz w:val="28"/>
          <w:szCs w:val="28"/>
          <w:rtl w:val="true"/>
          <w:lang w:bidi="fa-IR"/>
        </w:rPr>
        <w:t xml:space="preserve">. </w:t>
      </w:r>
      <w:r>
        <w:rPr>
          <w:rStyle w:val="FootnoteAnchor"/>
          <w:rtl w:val="true"/>
        </w:rPr>
        <w:footnoteReference w:id="569"/>
      </w:r>
      <w:r>
        <w:rPr>
          <w:rFonts w:ascii="IRNazanin" w:hAnsi="IRNazanin" w:eastAsia="IRNazanin"/>
          <w:color w:val="111111"/>
          <w:sz w:val="28"/>
          <w:sz w:val="28"/>
          <w:szCs w:val="28"/>
          <w:rtl w:val="true"/>
          <w:lang w:bidi="fa-IR"/>
        </w:rPr>
        <w:t>واصطلاحاً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الوثیقة لدَین المرتهِن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عقد عرفاً بین الراهن والمرتهن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مشروع بالضرورة؛ ویدل علیه فی الجملة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إِنْ کُنْتُمْ عَلی سَفَرٍ وَ لَمْ تَجِدُوا کاتِباً فَرِهانٌ مَقْبُوضَةٌ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یشترط فی صحّته، مضافاً إلی الشرائط العامة، کالإیجاب والقبول، بکل ما یدلّ علیه، والبلوغ، والعقل، والاختیار فی الراهن والمرتهن، وعدم الحجر علی الراهن، لسفه أو فلس دون المرتهن لعدم منافاة قبول الرهن لحجره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کون المرهون عیناً لا دیناً وإلا امتنع قبضه، وهو شرط کمایأتی، ومملوکاً لامثل الطیر فی الهواء مما لا یملک أو لایقدر علیه، ولا مثل الوقف الذی لا یجوز بیعه، کلّ ذلک لعدم حصول الاستیثاق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یلزم أن یکون ملکاً للراهن؛ فیصح رهن ملک الغیر باذنه؛ لإطلاق الدلیل</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کون ما یرهن علیه حقاً ثابتاً فی الذمّة، بلاخلاف لعدم تحقق مفهوم الرهن بدون ذلک کما قیل، والشک فی الصدق أیضاً کافٍ فی اعتباره، لأصالة الفساد فی العقود،</w:t>
      </w:r>
      <w:bookmarkStart w:id="753" w:name="pg5021_49399"/>
    </w:p>
    <w:p>
      <w:pPr>
        <w:pStyle w:val="BookText"/>
        <w:rPr/>
      </w:pPr>
      <w:bookmarkEnd w:id="753"/>
      <w:r>
        <w:rPr>
          <w:rFonts w:ascii="IRNazanin" w:hAnsi="IRNazanin" w:eastAsia="IRNazanin"/>
          <w:color w:val="111111"/>
          <w:sz w:val="28"/>
          <w:sz w:val="28"/>
          <w:szCs w:val="28"/>
          <w:rtl w:val="true"/>
          <w:lang w:bidi="fa-IR"/>
        </w:rPr>
        <w:t xml:space="preserve">وعلیه فلا یصحّ الرهن قبل القرض أو سائر أسباب الدین، کالبیع نسیئة أو سَلَماً ومنها قبض المرتهن للعین المرهونة؛ لمارواه محمد بن قیس فی الصحیح عن أبی جعفر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لارهن إلّا مقبوضاً</w:t>
      </w:r>
      <w:r>
        <w:rPr>
          <w:rFonts w:eastAsia="Amiri" w:cs="Amiri" w:ascii="Amiri" w:hAnsi="Amiri"/>
          <w:color w:val="111111"/>
          <w:sz w:val="28"/>
          <w:szCs w:val="28"/>
          <w:rtl w:val="true"/>
          <w:lang w:bidi="ar-SA"/>
        </w:rPr>
        <w:t xml:space="preserve">. </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بل یشیر إلیه فی الجملة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فَرِهانٌ مَقْبُوضَةٌ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یشترط دوام القبض؛ ادّعی فی الجواهر الإجماع بقسمیه علی ذلک</w:t>
      </w:r>
      <w:r>
        <w:rPr>
          <w:rFonts w:eastAsia="IRNazanin" w:cs="IRNazanin"/>
          <w:color w:val="111111"/>
          <w:sz w:val="28"/>
          <w:szCs w:val="28"/>
          <w:rtl w:val="true"/>
          <w:lang w:bidi="fa-IR"/>
        </w:rPr>
        <w:t xml:space="preserve">. </w:t>
      </w:r>
      <w:r>
        <w:rPr>
          <w:rStyle w:val="FootnoteAnchor"/>
          <w:rtl w:val="true"/>
        </w:rPr>
        <w:footnoteReference w:id="571"/>
      </w:r>
    </w:p>
    <w:p>
      <w:pPr>
        <w:pStyle w:val="Heading4"/>
        <w:numPr>
          <w:ilvl w:val="3"/>
          <w:numId w:val="1"/>
        </w:numPr>
        <w:rPr/>
      </w:pPr>
      <w:bookmarkStart w:id="754" w:name="__RefHeading___Toc580864_774463916"/>
      <w:bookmarkStart w:id="755" w:name="_Toc300"/>
      <w:bookmarkEnd w:id="754"/>
      <w:r>
        <w:rPr>
          <w:rtl w:val="true"/>
        </w:rPr>
        <w:t>من أحکام الرهن</w:t>
      </w:r>
      <w:bookmarkEnd w:id="755"/>
    </w:p>
    <w:p>
      <w:pPr>
        <w:pStyle w:val="BookText"/>
        <w:rPr/>
      </w:pPr>
      <w:r>
        <w:rPr>
          <w:rFonts w:ascii="IRNazanin" w:hAnsi="IRNazanin" w:eastAsia="IRNazanin"/>
          <w:color w:val="111111"/>
          <w:sz w:val="28"/>
          <w:sz w:val="28"/>
          <w:szCs w:val="28"/>
          <w:rtl w:val="true"/>
          <w:lang w:bidi="fa-IR"/>
        </w:rPr>
        <w:t>الرهن عقد لازم؛ لأصالة اللزوم فی کلّ عقد لا سیما هنا، إذ الاستیثاق لا یحصل مع الجواز من جهة الراهن، ولا ینفسخ إلا برضا المرتهن لأنه حقّه، فله، إسقاطه أو أداء الدّین إذ لا یبقی معه للرهن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لمالک العین المرهونة التصرف فیها تصرفاً لا ینافی حقّ الرهانة، کالسکنی فی الدار؛ إذ لا وجه للمنع بعد کونه مالکاً ولا ینافی حقّ المرتِهن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فوائد الرهن کالغّلة تکون للمالک؛ إجماعاً، بل یمکن دعوی الضرورة علیه، کما فی الجواهر، </w:t>
      </w:r>
      <w:r>
        <w:rPr>
          <w:rStyle w:val="FootnoteAnchor"/>
          <w:rtl w:val="true"/>
        </w:rPr>
        <w:footnoteReference w:id="572"/>
      </w:r>
      <w:r>
        <w:rPr>
          <w:rFonts w:ascii="IRNazanin" w:hAnsi="IRNazanin" w:eastAsia="IRNazanin"/>
          <w:color w:val="111111"/>
          <w:sz w:val="28"/>
          <w:sz w:val="28"/>
          <w:szCs w:val="28"/>
          <w:rtl w:val="true"/>
          <w:lang w:bidi="fa-IR"/>
        </w:rPr>
        <w:t xml:space="preserve">والقاعدة أیضاً تقتضیه، وتدلّ علیه جملة من النصوص؛ فعن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 أمیرالمؤمنین علیه السلام فی کل رهن له غلّة، أنّ غلّته تحسب لصاحب الرهن مما علیه</w:t>
      </w:r>
      <w:r>
        <w:rPr>
          <w:rFonts w:eastAsia="IRNazanin" w:cs="IRNazanin"/>
          <w:color w:val="111111"/>
          <w:sz w:val="28"/>
          <w:szCs w:val="28"/>
          <w:rtl w:val="true"/>
          <w:lang w:bidi="fa-IR"/>
        </w:rPr>
        <w:t xml:space="preserve">. </w:t>
      </w:r>
      <w:r>
        <w:rPr>
          <w:rStyle w:val="FootnoteAnchor"/>
          <w:rtl w:val="true"/>
        </w:rPr>
        <w:footnoteReference w:id="573"/>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وهل یجوز للمرتهن بیع الرهن واستیفاء دینه منه إذا حلّ موعد الدین ولم یؤدّ؟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لاقتضاء الرهن ذلک عرفاً،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یجبره الحاکم، وإذا لم یمکن لایً سبب فللمرتمن ذلک، لأنّ نفس الإرتهان لایقتضی مباشرة المرتهن لذلک إلا إذا اشترط ذلک قبلاً</w:t>
      </w:r>
      <w:r>
        <w:rPr>
          <w:rFonts w:eastAsia="IRNazanin" w:cs="IRNazanin"/>
          <w:color w:val="111111"/>
          <w:sz w:val="28"/>
          <w:szCs w:val="28"/>
          <w:rtl w:val="true"/>
          <w:lang w:bidi="fa-IR"/>
        </w:rPr>
        <w:t>.</w:t>
      </w:r>
      <w:bookmarkStart w:id="756" w:name="pg5021_49401"/>
    </w:p>
    <w:p>
      <w:pPr>
        <w:pStyle w:val="Heading3"/>
        <w:numPr>
          <w:ilvl w:val="2"/>
          <w:numId w:val="1"/>
        </w:numPr>
        <w:rPr/>
      </w:pPr>
      <w:bookmarkStart w:id="757" w:name="__RefHeading___Toc580866_774463916"/>
      <w:bookmarkStart w:id="758" w:name="_Toc301"/>
      <w:bookmarkEnd w:id="756"/>
      <w:bookmarkEnd w:id="757"/>
      <w:r>
        <w:rPr>
          <w:rtl w:val="true"/>
        </w:rPr>
        <w:t>الدرس</w:t>
      </w:r>
      <w:r>
        <w:rPr/>
        <w:t>28</w:t>
      </w:r>
      <w:r>
        <w:rPr>
          <w:rtl w:val="true"/>
        </w:rPr>
        <w:t xml:space="preserve"> - </w:t>
      </w:r>
      <w:r>
        <w:rPr>
          <w:rtl w:val="true"/>
        </w:rPr>
        <w:t>کتاب الهبة</w:t>
      </w:r>
      <w:bookmarkEnd w:id="758"/>
    </w:p>
    <w:p>
      <w:pPr>
        <w:pStyle w:val="Heading4"/>
        <w:numPr>
          <w:ilvl w:val="3"/>
          <w:numId w:val="1"/>
        </w:numPr>
        <w:rPr/>
      </w:pPr>
      <w:bookmarkStart w:id="759" w:name="__RefHeading___Toc580868_774463916"/>
      <w:bookmarkStart w:id="760" w:name="_Toc302"/>
      <w:bookmarkEnd w:id="759"/>
      <w:r>
        <w:rPr>
          <w:rtl w:val="true"/>
        </w:rPr>
        <w:t>حقیقة الهبة</w:t>
      </w:r>
      <w:bookmarkEnd w:id="760"/>
    </w:p>
    <w:p>
      <w:pPr>
        <w:pStyle w:val="BookText"/>
        <w:rPr/>
      </w:pPr>
      <w:r>
        <w:rPr>
          <w:rFonts w:ascii="IRNazanin" w:hAnsi="IRNazanin" w:eastAsia="IRNazanin"/>
          <w:color w:val="111111"/>
          <w:sz w:val="28"/>
          <w:sz w:val="28"/>
          <w:szCs w:val="28"/>
          <w:rtl w:val="true"/>
          <w:lang w:bidi="fa-IR"/>
        </w:rPr>
        <w:t>وهی تملیک العین مجاناً وتحتاج إلی الإیجاب والقبول، کما هو واضح؛ للسیرة العقلائیة فإن کانت بقصد التکریم سمّیت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کانت بقصد القربة، سمّیت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عدمهما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 والعوض فی المعوضة منها لیس فی مقابل العین الموهوبة وعوضاً عنها حتی ینافی المجانیة بل هو شرط، أی یملک الواهب ماله للموهوب له مجاناً بشرط أن یهب هو للواهب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یلزم فیها مضافاً إلی شرائط 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الإیجاب والقبول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بالمعاطاة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والعقل، والبلوغ، والقصد، والاختیار، وعدم الحجر فی الواهب، دون الموهوب له، فتصح الهبة إلی الصبی والمجنون والمحجور علیه لسفه وفلس؛ إذ لایلزم تصّرفاً مالیاً منه، نعم، یلزم نیابة الولی عن الصبی والمجنون فی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القبض علی المشهور؛ </w:t>
      </w:r>
      <w:r>
        <w:rPr>
          <w:rStyle w:val="FootnoteAnchor"/>
          <w:rtl w:val="true"/>
        </w:rPr>
        <w:footnoteReference w:id="574"/>
      </w:r>
      <w:r>
        <w:rPr>
          <w:rFonts w:ascii="IRNazanin" w:hAnsi="IRNazanin" w:eastAsia="IRNazanin"/>
          <w:color w:val="111111"/>
          <w:sz w:val="28"/>
          <w:sz w:val="28"/>
          <w:szCs w:val="28"/>
          <w:rtl w:val="true"/>
          <w:lang w:bidi="fa-IR"/>
        </w:rPr>
        <w:t xml:space="preserve">ویدل علیه جملة من الروایات منها صحیحة أبی بصیر عن أبی عبدالله علیه السلام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الهبة لا تکون أبداً هبة حتی یقبضها</w:t>
      </w:r>
      <w:r>
        <w:rPr>
          <w:rFonts w:eastAsia="IRNazanin" w:cs="IRNazanin"/>
          <w:color w:val="111111"/>
          <w:sz w:val="28"/>
          <w:szCs w:val="28"/>
          <w:rtl w:val="true"/>
          <w:lang w:bidi="fa-IR"/>
        </w:rPr>
        <w:t xml:space="preserve">.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وغیرها من الروایات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شرط اللزوم دون الصحة؛ لما فی الصحیح عنه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الهبة جائزة قبضت أو لم تقبض</w:t>
      </w:r>
      <w:r>
        <w:rPr>
          <w:rFonts w:eastAsia="Amiri" w:cs="Amiri" w:ascii="Amiri" w:hAnsi="Amiri"/>
          <w:color w:val="111111"/>
          <w:sz w:val="28"/>
          <w:szCs w:val="28"/>
          <w:rtl w:val="true"/>
          <w:lang w:bidi="ar-SA"/>
        </w:rPr>
        <w:t xml:space="preserve">....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وقیل بالتعارض والتساقط والرجوع إلی الأصل المقتضی لعدم الأثر قبل القبض، فتکون النتیجة کما عن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لابدّ من أن یکون القبض عن إذن الواهب أما لانصراف مادلّ علی اعتبار القبض إلی ذلک أو لاقتضاء الأصل ذلک، للشکّ فی أنّ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یقبضها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المجرد أو الأفعال؛ وکیفما کان، الحکم مجمع علیه کما عن الجواهر</w:t>
      </w:r>
      <w:r>
        <w:rPr>
          <w:rFonts w:eastAsia="IRNazanin" w:cs="IRNazanin"/>
          <w:color w:val="111111"/>
          <w:sz w:val="28"/>
          <w:szCs w:val="28"/>
          <w:rtl w:val="true"/>
          <w:lang w:bidi="fa-IR"/>
        </w:rPr>
        <w:t xml:space="preserve">. </w:t>
      </w:r>
      <w:r>
        <w:rPr>
          <w:rStyle w:val="FootnoteAnchor"/>
          <w:rtl w:val="true"/>
        </w:rPr>
        <w:footnoteReference w:id="577"/>
      </w:r>
      <w:r>
        <w:rPr>
          <w:rFonts w:ascii="IRNazanin" w:hAnsi="IRNazanin" w:eastAsia="IRNazanin"/>
          <w:color w:val="111111"/>
          <w:sz w:val="28"/>
          <w:sz w:val="28"/>
          <w:szCs w:val="28"/>
          <w:rtl w:val="true"/>
          <w:lang w:bidi="fa-IR"/>
        </w:rPr>
        <w:t>نعم، لاحاجة إلی القبض إذا وهبه ما فی یده لتحققه، ومثله لو وهب الولی للطفل والمجنون وکانت العین بیده، ولایعتبر فیه الفوریة؛ لعدم الدلیل علیها بعد إطلاق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الهبة عقد جائز؛ یجوز الرجوع فیها بالرغم من اقتضاء الأصل خلافه، للروایات، منها صحیحة محمد بن مسلم عن أبی جعفر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الهبة والنحلة یرجع فیها صاحبها، إن شاء حیزت أو لم تُحز إلا لذی رحم فإنّه لا یرجع فیها</w:t>
      </w:r>
      <w:r>
        <w:rPr>
          <w:rFonts w:eastAsia="IRNazanin" w:cs="IRNazanin"/>
          <w:color w:val="111111"/>
          <w:sz w:val="28"/>
          <w:szCs w:val="28"/>
          <w:rtl w:val="true"/>
          <w:lang w:bidi="fa-IR"/>
        </w:rPr>
        <w:t xml:space="preserve">.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 xml:space="preserve">نعم، یستثنی من ذلک موارد، منها الهبة لذی الرحم کما فی الصحیحة، ومنها الهبة المعوّضة، لصحیح عبدالله بن سنان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عوّض صاحب الهبة، فلیس له ان یرجع</w:t>
      </w:r>
      <w:r>
        <w:rPr>
          <w:rFonts w:eastAsia="IRNazanin" w:cs="IRNazanin"/>
          <w:color w:val="111111"/>
          <w:sz w:val="28"/>
          <w:szCs w:val="28"/>
          <w:rtl w:val="true"/>
          <w:lang w:bidi="fa-IR"/>
        </w:rPr>
        <w:t xml:space="preserve">. </w:t>
      </w:r>
      <w:r>
        <w:rPr>
          <w:rStyle w:val="FootnoteAnchor"/>
          <w:rtl w:val="true"/>
        </w:rPr>
        <w:footnoteReference w:id="579"/>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وإطلاقها یشمل الهبة المطلقة غیر المعوضة إذا عوّض الموهوب له، فلیس للواهب حینئذ أن یرجع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الهبة التی قصد بها القربة؛ لأنها حینئذٍ صدقة ولایجوز الرجوع فی الصدقة لقول أبی جعفر علیه السلام فی صحیحة محمد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لایرجع فی الصدقة إذا ابتغی وجه الله</w:t>
      </w:r>
      <w:r>
        <w:rPr>
          <w:rFonts w:eastAsia="IRNazanin" w:cs="IRNazanin"/>
          <w:color w:val="111111"/>
          <w:sz w:val="28"/>
          <w:szCs w:val="28"/>
          <w:rtl w:val="true"/>
          <w:lang w:bidi="fa-IR"/>
        </w:rPr>
        <w:t xml:space="preserve">.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 xml:space="preserve">ومنها إذا تلف المال الموهوب أولم یکن باقیاً بعینه کما لوصبغ الثوب أو قطعه أو خاطه أو نقله إلی غیره کما فی منهاج الصالحین؛ </w:t>
      </w:r>
      <w:r>
        <w:rPr>
          <w:rStyle w:val="FootnoteAnchor"/>
          <w:rtl w:val="true"/>
        </w:rPr>
        <w:footnoteReference w:id="581"/>
      </w:r>
      <w:r>
        <w:rPr>
          <w:rFonts w:ascii="IRNazanin" w:hAnsi="IRNazanin" w:eastAsia="IRNazanin"/>
          <w:color w:val="111111"/>
          <w:sz w:val="28"/>
          <w:sz w:val="28"/>
          <w:szCs w:val="28"/>
          <w:rtl w:val="true"/>
          <w:lang w:bidi="fa-IR"/>
        </w:rPr>
        <w:t xml:space="preserve">لصحیحة الحلبی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کانت الهبة قائمة بعینها، فله أن یرجع وإلا فلیس له</w:t>
      </w:r>
      <w:r>
        <w:rPr>
          <w:rFonts w:eastAsia="IRNazanin" w:cs="IRNazanin"/>
          <w:color w:val="111111"/>
          <w:sz w:val="28"/>
          <w:szCs w:val="28"/>
          <w:rtl w:val="true"/>
          <w:lang w:bidi="fa-IR"/>
        </w:rPr>
        <w:t xml:space="preserve">.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 xml:space="preserve">ثمّ فی الهبة المشروطة یجب علی الموهوب له العمل بالشرط، لدلیل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الوفاء بالشرط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تعذّر أو امتنع من العمل به جاز للواهب الرجوع فی الهبة</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المشهور صحة هبة الدین لغیر من هو علیه، ویکون قبضه بقبض مصداقه فیشملها إطلاق دلیل مشروعیتّها، وأمّا هبته لمن هو علیه فلا تصحّ؛ لأنّ ذلک إبراء لا هبة، ولا أقل من الشّک فلا یشملها دلیل الهبة</w:t>
      </w:r>
      <w:r>
        <w:rPr>
          <w:rFonts w:eastAsia="IRNazanin" w:cs="IRNazanin"/>
          <w:color w:val="111111"/>
          <w:sz w:val="28"/>
          <w:szCs w:val="28"/>
          <w:rtl w:val="true"/>
          <w:lang w:bidi="fa-IR"/>
        </w:rPr>
        <w:t>.</w:t>
      </w:r>
      <w:bookmarkStart w:id="761" w:name="pg5021_49404"/>
    </w:p>
    <w:p>
      <w:pPr>
        <w:pStyle w:val="Heading3"/>
        <w:numPr>
          <w:ilvl w:val="2"/>
          <w:numId w:val="1"/>
        </w:numPr>
        <w:rPr/>
      </w:pPr>
      <w:bookmarkStart w:id="762" w:name="__RefHeading___Toc580870_774463916"/>
      <w:bookmarkStart w:id="763" w:name="_Toc303"/>
      <w:bookmarkEnd w:id="761"/>
      <w:bookmarkEnd w:id="762"/>
      <w:r>
        <w:rPr>
          <w:rtl w:val="true"/>
        </w:rPr>
        <w:t>الدرس</w:t>
      </w:r>
      <w:r>
        <w:rPr/>
        <w:t>29</w:t>
      </w:r>
      <w:r>
        <w:rPr>
          <w:rtl w:val="true"/>
        </w:rPr>
        <w:t xml:space="preserve"> - </w:t>
      </w:r>
      <w:r>
        <w:rPr>
          <w:rtl w:val="true"/>
        </w:rPr>
        <w:t>کتاب القرض</w:t>
      </w:r>
      <w:bookmarkEnd w:id="763"/>
    </w:p>
    <w:p>
      <w:pPr>
        <w:pStyle w:val="Heading4"/>
        <w:numPr>
          <w:ilvl w:val="3"/>
          <w:numId w:val="1"/>
        </w:numPr>
        <w:rPr/>
      </w:pPr>
      <w:bookmarkStart w:id="764" w:name="__RefHeading___Toc580872_774463916"/>
      <w:bookmarkStart w:id="765" w:name="_Toc304"/>
      <w:bookmarkEnd w:id="764"/>
      <w:r>
        <w:rPr>
          <w:rtl w:val="true"/>
        </w:rPr>
        <w:t>حقیقة القرض</w:t>
      </w:r>
      <w:bookmarkEnd w:id="765"/>
    </w:p>
    <w:p>
      <w:pPr>
        <w:pStyle w:val="BookText"/>
        <w:rPr/>
      </w:pP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تملیک عین مع الضمان ببدلها، ویفترق عن البیع الذی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تملیک عین بعوض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القرض لیس معاوضة بل تملیک مع الضمان بخلاف البیع؛ ولذا لا یصدق المعاوضة علی القرض، کما قاله الشیخ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83"/>
      </w:r>
      <w:r>
        <w:rPr>
          <w:rFonts w:ascii="IRNazanin" w:hAnsi="IRNazanin" w:eastAsia="IRNazanin"/>
          <w:color w:val="111111"/>
          <w:sz w:val="28"/>
          <w:sz w:val="28"/>
          <w:szCs w:val="28"/>
          <w:rtl w:val="true"/>
          <w:lang w:bidi="fa-IR"/>
        </w:rPr>
        <w:t>وهو أخصّ من الدین إذا الدین،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 الثابت فی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یحصل بالقرض وقد یحصل بأسباب اخری، کالضمان، وبیع السَلَم، والنسیة،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الإقراض سنّة مؤکّدة، ففی الحدیث، قال رسول‌الله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أقرض مؤمناً قرضاً ینظر به میسوره کان ماله فی زکاة، وکان هو فی صلاة من الملائکة حتی یؤدیه</w:t>
      </w:r>
      <w:r>
        <w:rPr>
          <w:rFonts w:eastAsia="IRNazanin" w:cs="IRNazanin"/>
          <w:color w:val="111111"/>
          <w:sz w:val="28"/>
          <w:szCs w:val="28"/>
          <w:rtl w:val="true"/>
          <w:lang w:bidi="fa-IR"/>
        </w:rPr>
        <w:t xml:space="preserve">.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بل فی بعض الروایات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شکا إلیه إخوه المسلم فلم یقرضه حرّم الله عزوجل علیه الجنة یوم یجزی المحسنین</w:t>
      </w:r>
      <w:r>
        <w:rPr>
          <w:rFonts w:eastAsia="IRNazanin" w:cs="IRNazanin"/>
          <w:color w:val="111111"/>
          <w:sz w:val="28"/>
          <w:szCs w:val="28"/>
          <w:rtl w:val="true"/>
          <w:lang w:bidi="fa-IR"/>
        </w:rPr>
        <w:t xml:space="preserve">.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 xml:space="preserve">وفی الحدیث عن الصادق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أقرض مؤمناً أحبّ إلیّ من أن أتصدّق بمثله</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القرض الواحد بثمانیة عشر</w:t>
      </w:r>
      <w:r>
        <w:rPr>
          <w:rFonts w:eastAsia="IRNazanin" w:cs="IRNazanin"/>
          <w:color w:val="111111"/>
          <w:sz w:val="28"/>
          <w:szCs w:val="28"/>
          <w:rtl w:val="true"/>
          <w:lang w:bidi="fa-IR"/>
        </w:rPr>
        <w:t xml:space="preserve">....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 xml:space="preserve">والمسنون هو الإقراض دون الاقتراض، ففی الحدیث عنه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إیاکم والدین، فإنّه شین الدِّین</w:t>
      </w:r>
      <w:r>
        <w:rPr>
          <w:rFonts w:eastAsia="Amiri" w:cs="Amiri" w:ascii="Amiri" w:hAnsi="Amiri"/>
          <w:color w:val="111111"/>
          <w:sz w:val="28"/>
          <w:szCs w:val="28"/>
          <w:rtl w:val="true"/>
          <w:lang w:bidi="ar-SA"/>
        </w:rPr>
        <w:t xml:space="preserve">.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 xml:space="preserve">وعن علی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إیاکم والدَّین، فإنّه همّ باللیل، وذلّ بالنهار</w:t>
      </w:r>
      <w:r>
        <w:rPr>
          <w:rFonts w:eastAsia="Amiri" w:cs="Amiri" w:ascii="Amiri" w:hAnsi="Amiri"/>
          <w:color w:val="111111"/>
          <w:sz w:val="28"/>
          <w:szCs w:val="28"/>
          <w:rtl w:val="true"/>
          <w:lang w:bidi="ar-SA"/>
        </w:rPr>
        <w:t xml:space="preserve">.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 xml:space="preserve">نعم، لا بأس به مع الحاجة أو شدّتها، فعن أبی الحسن الاوّل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طلب الرزق من حلّه، فغلب، فلیستقرض علی الله عزوجل وعلی رسوله صلی الله علیه و آله </w:t>
      </w:r>
      <w:r>
        <w:rPr>
          <w:rFonts w:eastAsia="IRNazanin" w:cs="IRNazanin"/>
          <w:color w:val="111111"/>
          <w:sz w:val="28"/>
          <w:szCs w:val="28"/>
          <w:rtl w:val="true"/>
          <w:lang w:bidi="fa-IR"/>
        </w:rPr>
        <w:t xml:space="preserve">.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 xml:space="preserve">ویشترط فیه بعد الشرائط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کالإیجاب والقبول، ولو بالمعاطاة، والبلوغ والعقل، والقصد، والاختیار، وعدم السفه فی الطرفین، وعدم الفلس فی المقرض لحجره عن التصرّف فی أمواله دون المقترض؛ لجواز اکتسابه بما لایلازم التصرّف فی أمواله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القبض إجماعاً وقد اعترف فی الجواهر، بأنّه لولا الإجماع لاتجّه القول بحصوله بتمامه من دون قبض علی حسب غیره من العقود</w:t>
      </w:r>
      <w:r>
        <w:rPr>
          <w:rFonts w:eastAsia="IRNazanin" w:cs="IRNazanin"/>
          <w:color w:val="111111"/>
          <w:sz w:val="28"/>
          <w:szCs w:val="28"/>
          <w:rtl w:val="true"/>
          <w:lang w:bidi="fa-IR"/>
        </w:rPr>
        <w:t xml:space="preserve">.... </w:t>
      </w:r>
      <w:r>
        <w:rPr>
          <w:rStyle w:val="FootnoteAnchor"/>
          <w:rtl w:val="true"/>
        </w:rPr>
        <w:footnoteReference w:id="591"/>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ولأجل ذلک التزموا بکون المال عیناً لا دیناً، لعدم إمکان القبض فیه فتأمل، ومنها</w:t>
      </w:r>
      <w:bookmarkStart w:id="766" w:name="pg5021_49406"/>
    </w:p>
    <w:p>
      <w:pPr>
        <w:pStyle w:val="BookText"/>
        <w:rPr/>
      </w:pPr>
      <w:bookmarkEnd w:id="766"/>
      <w:r>
        <w:rPr>
          <w:rFonts w:ascii="IRNazanin" w:hAnsi="IRNazanin" w:eastAsia="IRNazanin"/>
          <w:color w:val="111111"/>
          <w:sz w:val="28"/>
          <w:sz w:val="28"/>
          <w:szCs w:val="28"/>
          <w:rtl w:val="true"/>
          <w:lang w:bidi="fa-IR"/>
        </w:rPr>
        <w:t>کون المال مما یصحّ تملکه شرعاً، فلا یصحّ إقراض مثل الخمر والخزیر؛ لعدم صحة تملیکه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والقرض تملیک</w:t>
      </w:r>
      <w:r>
        <w:rPr>
          <w:rFonts w:eastAsia="IRNazanin" w:cs="IRNazanin"/>
          <w:color w:val="111111"/>
          <w:sz w:val="28"/>
          <w:szCs w:val="28"/>
          <w:rtl w:val="true"/>
          <w:lang w:bidi="fa-IR"/>
        </w:rPr>
        <w:t>.</w:t>
      </w:r>
    </w:p>
    <w:p>
      <w:pPr>
        <w:pStyle w:val="Heading4"/>
        <w:numPr>
          <w:ilvl w:val="3"/>
          <w:numId w:val="1"/>
        </w:numPr>
        <w:rPr/>
      </w:pPr>
      <w:bookmarkStart w:id="767" w:name="__RefHeading___Toc580874_774463916"/>
      <w:bookmarkStart w:id="768" w:name="_Toc305"/>
      <w:bookmarkEnd w:id="767"/>
      <w:r>
        <w:rPr>
          <w:rtl w:val="true"/>
        </w:rPr>
        <w:t>الربا فی القرض</w:t>
      </w:r>
      <w:bookmarkEnd w:id="768"/>
    </w:p>
    <w:p>
      <w:pPr>
        <w:pStyle w:val="BookText"/>
        <w:rPr/>
      </w:pPr>
      <w:r>
        <w:rPr>
          <w:rFonts w:ascii="IRNazanin" w:hAnsi="IRNazanin" w:eastAsia="IRNazanin"/>
          <w:color w:val="111111"/>
          <w:sz w:val="28"/>
          <w:sz w:val="28"/>
          <w:szCs w:val="28"/>
          <w:rtl w:val="true"/>
          <w:lang w:bidi="fa-IR"/>
        </w:rPr>
        <w:t>یحرم الربا فی القرض؛ بضرورة الدین وصراحة الآیات والروایات کما تقدّم بعضها عند البحث عن ربا المعاوضة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یتحقق باشتراط الزیادة فیه دون ما إذا لم یشترط واَعطی المقترض برضاه؛ لموثقة إسحاق بن عمار عن أبی الحسن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الرجل یکون له مع رجل مال قرضاً، فیعطیه الشئ من ربحه مخافة أن یقطع ذلک عنه، فیأخذ ماله من غیر أن یکون شَرَط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ما لم یکن شرطاً</w:t>
      </w:r>
      <w:r>
        <w:rPr>
          <w:rFonts w:eastAsia="IRNazanin" w:cs="IRNazanin"/>
          <w:color w:val="111111"/>
          <w:sz w:val="28"/>
          <w:szCs w:val="28"/>
          <w:rtl w:val="true"/>
          <w:lang w:bidi="fa-IR"/>
        </w:rPr>
        <w:t xml:space="preserve">.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 xml:space="preserve">و علیه یحمل ما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خیر القرض ما جرّ منفعة</w:t>
      </w:r>
      <w:r>
        <w:rPr>
          <w:rFonts w:eastAsia="IRNazanin" w:cs="IRNazanin"/>
          <w:color w:val="111111"/>
          <w:sz w:val="28"/>
          <w:szCs w:val="28"/>
          <w:rtl w:val="true"/>
          <w:lang w:bidi="fa-IR"/>
        </w:rPr>
        <w:t xml:space="preserve">». </w:t>
      </w:r>
      <w:r>
        <w:rPr>
          <w:rStyle w:val="FootnoteAnchor"/>
          <w:rtl w:val="true"/>
        </w:rPr>
        <w:footnoteReference w:id="593"/>
      </w:r>
      <w:r>
        <w:rPr>
          <w:rFonts w:ascii="IRNazanin" w:hAnsi="IRNazanin" w:eastAsia="IRNazanin"/>
          <w:color w:val="111111"/>
          <w:sz w:val="28"/>
          <w:sz w:val="28"/>
          <w:szCs w:val="28"/>
          <w:rtl w:val="true"/>
          <w:lang w:bidi="fa-IR"/>
        </w:rPr>
        <w:t xml:space="preserve">بل یستحبّ للمقترض دفع الزیادة مع عدم الاشتراط لأنّه احسان ومقابلة للإحسان بالإحسان، ففی الصحیح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أبی علیه السلام کان یستقرض الدراهم الفسولة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الردّیة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فیدخل علیها الدراهم الجیاد الجلال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ردّها علی الذی استقرضته منه،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أبه، إنّ دراهمه کانت فسولة وهذه أجود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إنّ هذا هو الفضل، فأعطه إیاها</w:t>
      </w:r>
      <w:r>
        <w:rPr>
          <w:rFonts w:eastAsia="IRNazanin" w:cs="IRNazanin"/>
          <w:color w:val="111111"/>
          <w:sz w:val="28"/>
          <w:szCs w:val="28"/>
          <w:rtl w:val="true"/>
          <w:lang w:bidi="fa-IR"/>
        </w:rPr>
        <w:t xml:space="preserve">. </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وکانّه أشار بقوله الأخیر 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تَنْسَوُا الْفَضْلَ بَیْنَکُمْ</w:t>
      </w:r>
      <w:r>
        <w:rPr>
          <w:rFonts w:eastAsia="Amiri" w:cs="Amiri" w:ascii="Amiri" w:hAnsi="Amiri"/>
          <w:color w:val="111111"/>
          <w:sz w:val="28"/>
          <w:szCs w:val="28"/>
          <w:rtl w:val="true"/>
          <w:lang w:bidi="ar-SA"/>
        </w:rPr>
        <w:t xml:space="preserve">... . </w:t>
      </w:r>
      <w:r>
        <w:rPr>
          <w:rStyle w:val="FootnoteAnchor"/>
          <w:rtl w:val="true"/>
        </w:rPr>
        <w:footnoteReference w:id="595"/>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والزیادة المحرّمة فی القرض تشمل کلّ ما لوحظ فیه المال، کأنْ یشترط علی</w:t>
      </w:r>
      <w:bookmarkStart w:id="769" w:name="pg5021_49407"/>
    </w:p>
    <w:p>
      <w:pPr>
        <w:pStyle w:val="BookText"/>
        <w:rPr/>
      </w:pPr>
      <w:bookmarkEnd w:id="769"/>
      <w:r>
        <w:rPr>
          <w:rFonts w:ascii="IRNazanin" w:hAnsi="IRNazanin" w:eastAsia="IRNazanin"/>
          <w:color w:val="111111"/>
          <w:sz w:val="28"/>
          <w:sz w:val="28"/>
          <w:szCs w:val="28"/>
          <w:rtl w:val="true"/>
          <w:lang w:bidi="fa-IR"/>
        </w:rPr>
        <w:t xml:space="preserve">المقترض إعطاء مال للمسجد أو المأتم أو کنس المسجد أو إقامة المآتم أو حمل متاع له أجرة، ونحو ذلک، کلّ ذلک لصدق الزیادة والربا؛ ولصحیحة یعقوب بن شعیب عن أبی عبدالله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کان قرضاً یجّر شیئاً فلا یصلح</w:t>
      </w:r>
      <w:r>
        <w:rPr>
          <w:rFonts w:eastAsia="Amiri" w:cs="Amiri" w:ascii="Amiri" w:hAnsi="Amiri"/>
          <w:color w:val="111111"/>
          <w:sz w:val="28"/>
          <w:szCs w:val="28"/>
          <w:rtl w:val="true"/>
          <w:lang w:bidi="ar-SA"/>
        </w:rPr>
        <w:t xml:space="preserve">...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وفی شمولها لکل نفع وإن لم یکن مالیاً کإرائة الطریق والصلاة لأبیه، أو الدعاء له، نعم، لا بأس باشتراط مایرجع نفعه إلی المقترض دون المقرِض، کإتیان واجبه والسنن أو الدفع بالأقل، لانصراف الدلیل عن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ما تقدّم فلا یجوز اشتراط إیجار دار بمبلغ فی إقراض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ویصح بیع الدّین مالم یلزم الربّا؛ لاطلاق أدلّة مشروعیة البیع، ولایصح بیعه بدین وإن لم یستلزم الرّبا؛ لمعتبرة طلحة بن زید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یباع الدین بالدین</w:t>
      </w:r>
      <w:r>
        <w:rPr>
          <w:rFonts w:eastAsia="IRNazanin" w:cs="IRNazanin"/>
          <w:color w:val="111111"/>
          <w:sz w:val="28"/>
          <w:szCs w:val="28"/>
          <w:rtl w:val="true"/>
          <w:lang w:bidi="fa-IR"/>
        </w:rPr>
        <w:t xml:space="preserve">.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ولایجوز تأجیل الدین الحالّ بزیادة؛ لکونه ربا فی مقابل الأجل، نعم، یجوز تعجیل المؤجّل ولو باسقاط بعضه کما هو معمول، لخروجه عن الربا رأساً، ویدل علیه بعض الروایات</w:t>
      </w:r>
      <w:r>
        <w:rPr>
          <w:rFonts w:eastAsia="IRNazanin" w:cs="IRNazanin"/>
          <w:color w:val="111111"/>
          <w:sz w:val="28"/>
          <w:szCs w:val="28"/>
          <w:rtl w:val="true"/>
          <w:lang w:bidi="fa-IR"/>
        </w:rPr>
        <w:t xml:space="preserve">. </w:t>
      </w:r>
      <w:r>
        <w:rPr>
          <w:rStyle w:val="FootnoteAnchor"/>
          <w:rtl w:val="true"/>
        </w:rPr>
        <w:footnoteReference w:id="598"/>
      </w:r>
    </w:p>
    <w:p>
      <w:pPr>
        <w:pStyle w:val="Heading4"/>
        <w:numPr>
          <w:ilvl w:val="3"/>
          <w:numId w:val="1"/>
        </w:numPr>
        <w:rPr/>
      </w:pPr>
      <w:bookmarkStart w:id="770" w:name="__RefHeading___Toc580876_774463916"/>
      <w:bookmarkStart w:id="771" w:name="_Toc306"/>
      <w:bookmarkEnd w:id="770"/>
      <w:r>
        <w:rPr>
          <w:rtl w:val="true"/>
        </w:rPr>
        <w:t>من أحکام القرض</w:t>
      </w:r>
      <w:bookmarkEnd w:id="771"/>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لایلزم فی المال المقترض أن یکون من النقود؛ لإطلاق الأدلّة؛ فیصح إقراض مثل الفرس، والفرش، والکتاب، فیملکه المقترض، ویجب علیه ردّ مثلها إن کان مثلیاً أو</w:t>
      </w:r>
    </w:p>
    <w:p>
      <w:pPr>
        <w:pStyle w:val="BookText"/>
        <w:rPr/>
      </w:pPr>
      <w:r>
        <w:rPr>
          <w:rFonts w:ascii="IRNazanin" w:hAnsi="IRNazanin" w:eastAsia="IRNazanin"/>
          <w:color w:val="111111"/>
          <w:sz w:val="28"/>
          <w:sz w:val="28"/>
          <w:szCs w:val="28"/>
          <w:rtl w:val="true"/>
          <w:lang w:bidi="fa-IR"/>
        </w:rPr>
        <w:t>قیمتها إن کان قیمیاً، ولا یشترط فیه ذکر الأجل، فإذا لم یُحدّد بأجل تجوز المطالبة بالوفاء فی أی وقت، لأنّ الدّین حینئذٍ حالّ یجوز للدائن مطالبته متی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عقد لازم؛ لأصالة اللزوم فی کلّ عقد، وحینئذ فلا یجوز للمقرض فسخ القرض واسترجاع العین، نعم، یجوز له المطالبة بالأداء فی أی وقت إذا لم یحدّد بأجل کما تقدم، وإذا اشترط فیه الأجل، لزم للزوم الوفاء بالشروط، ولقوله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إِذا تَدایَنْتُمْ بِدَیْنٍ إِلی أَجَلٍ مُسَمًّی فَاکْتُبُوهُ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والعین المقترضَةَ ملک للمقترض، فلا یلزم علیه تسدید القرض بها لعدم الدلیل بل الواجب علیه ابتداءً هو البدل إلاّ أن یتوافقا ویتصالحا علی شئ آخر ویجب الأداء فوراً عند مطالبة الدائن، لحرمة التوانی عن أداء الحقوق بأیّ وسیلة شرعیة ولو ببیع أملاکه إلاّ ما هو بحاجة ماسّة إلیه، کدار سکناه، ومرکبه، ونحو ذلک مما یعبّر عنه بمستثنیت الدین، لصحیح الحلبی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لاتباع الدار، ولا الجاریة فی الدین، ذلک انه لابد للرجل من ظلّ یسکنه، وخادم یخدمه</w:t>
      </w:r>
      <w:r>
        <w:rPr>
          <w:rFonts w:eastAsia="IRNazanin" w:cs="IRNazanin"/>
          <w:color w:val="111111"/>
          <w:sz w:val="28"/>
          <w:szCs w:val="28"/>
          <w:rtl w:val="true"/>
          <w:lang w:bidi="fa-IR"/>
        </w:rPr>
        <w:t xml:space="preserve">. </w:t>
      </w:r>
      <w:r>
        <w:rPr>
          <w:rStyle w:val="FootnoteAnchor"/>
          <w:rtl w:val="true"/>
        </w:rPr>
        <w:footnoteReference w:id="599"/>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وعموم التعلیل یقتضی تعمیم الحکم إلی سائر الأشیاء الضروریة للإنسان فی حیاته</w:t>
      </w:r>
      <w:r>
        <w:rPr>
          <w:rFonts w:eastAsia="IRNazanin" w:cs="IRNazanin"/>
          <w:color w:val="111111"/>
          <w:sz w:val="28"/>
          <w:szCs w:val="28"/>
          <w:rtl w:val="true"/>
          <w:lang w:bidi="fa-IR"/>
        </w:rPr>
        <w:t>.</w:t>
      </w:r>
      <w:bookmarkStart w:id="772" w:name="pg5021_49409"/>
    </w:p>
    <w:p>
      <w:pPr>
        <w:pStyle w:val="Heading3"/>
        <w:numPr>
          <w:ilvl w:val="2"/>
          <w:numId w:val="1"/>
        </w:numPr>
        <w:rPr/>
      </w:pPr>
      <w:bookmarkStart w:id="773" w:name="__RefHeading___Toc580878_774463916"/>
      <w:bookmarkStart w:id="774" w:name="_Toc307"/>
      <w:bookmarkEnd w:id="772"/>
      <w:bookmarkEnd w:id="773"/>
      <w:r>
        <w:rPr>
          <w:rtl w:val="true"/>
        </w:rPr>
        <w:t>الدرس</w:t>
      </w:r>
      <w:r>
        <w:rPr/>
        <w:t>30</w:t>
      </w:r>
      <w:r>
        <w:rPr>
          <w:rtl w:val="true"/>
        </w:rPr>
        <w:t xml:space="preserve"> - </w:t>
      </w:r>
      <w:r>
        <w:rPr>
          <w:rtl w:val="true"/>
        </w:rPr>
        <w:t>کتاب النکاح</w:t>
      </w:r>
      <w:bookmarkEnd w:id="774"/>
    </w:p>
    <w:p>
      <w:pPr>
        <w:pStyle w:val="Heading4"/>
        <w:numPr>
          <w:ilvl w:val="3"/>
          <w:numId w:val="1"/>
        </w:numPr>
        <w:rPr/>
      </w:pPr>
      <w:bookmarkStart w:id="775" w:name="__RefHeading___Toc580880_774463916"/>
      <w:bookmarkStart w:id="776" w:name="_Toc308"/>
      <w:bookmarkEnd w:id="775"/>
      <w:r>
        <w:rPr>
          <w:rtl w:val="true"/>
        </w:rPr>
        <w:t>حقیقة النکاح وبعض أحکامه</w:t>
      </w:r>
      <w:bookmarkEnd w:id="776"/>
    </w:p>
    <w:p>
      <w:pPr>
        <w:pStyle w:val="BookText"/>
        <w:rPr/>
      </w:pPr>
      <w:r>
        <w:rPr>
          <w:rFonts w:ascii="Amiri" w:hAnsi="Amiri" w:eastAsia="Amiri" w:cs="Amiri"/>
          <w:color w:val="111111"/>
          <w:sz w:val="28"/>
          <w:sz w:val="28"/>
          <w:szCs w:val="28"/>
          <w:rtl w:val="true"/>
          <w:lang w:bidi="ar-SA"/>
        </w:rPr>
        <w:t>وهو أمر قد أکد الشارع فی الکتاب والسنة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أَنْکِحُوا الْأَیامی مِنْکُمْ وَ الصّالِحِینَ مِنْ عِبادِکُمْ وَ إِمائِکُمْ إِنْ یَکُونُوا فُقَراءَ یُغْنِهِمُ اللّهُ مِنْ فَضْلِهِ وَ اللّهُ واسِعٌ عَلِیمٌ </w:t>
      </w:r>
      <w:r>
        <w:rPr>
          <w:rFonts w:eastAsia="Amiri" w:cs="Amiri" w:ascii="Amiri" w:hAnsi="Amiri"/>
          <w:color w:val="111111"/>
          <w:sz w:val="28"/>
          <w:szCs w:val="28"/>
          <w:rtl w:val="true"/>
          <w:lang w:bidi="ar-SA"/>
        </w:rPr>
        <w:t xml:space="preserve">.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وفی الحدیث عن أبی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تزوجّوا، فإنّ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یتبّع سنّتی فإنّ من سنّتی التزویج</w:t>
      </w:r>
      <w:r>
        <w:rPr>
          <w:rFonts w:eastAsia="IRNazanin" w:cs="IRNazanin"/>
          <w:color w:val="111111"/>
          <w:sz w:val="28"/>
          <w:szCs w:val="28"/>
          <w:rtl w:val="true"/>
          <w:lang w:bidi="fa-IR"/>
        </w:rPr>
        <w:t xml:space="preserve">.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وقد ورد فی السنة الشریفة له آثار، وبرکات 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والنکاح عقد یتضّمن إنشاء الزوجیة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وینقسم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ومنقطع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المنقطع فسیأتی الکلام عنه فیما بعد إنشاء الله تعالی</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ویلزم الإیجاب والقبول، أن یکونا لفظیین، کأن تقول الزوجة للزوج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العقد الدائم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زوّجتک نفسی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الزوج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علی لزوم اللفظ فی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کفایة مثل الکتابة، فضلاً عن غیرها من الأفعال هو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إجمع العلماء</w:t>
      </w:r>
    </w:p>
    <w:p>
      <w:pPr>
        <w:pStyle w:val="BookText"/>
        <w:rPr/>
      </w:pPr>
      <w:r>
        <w:rPr>
          <w:rFonts w:ascii="IRNazanin" w:hAnsi="IRNazanin" w:eastAsia="IRNazanin"/>
          <w:color w:val="111111"/>
          <w:sz w:val="28"/>
          <w:sz w:val="28"/>
          <w:szCs w:val="28"/>
          <w:rtl w:val="true"/>
          <w:lang w:bidi="fa-IR"/>
        </w:rPr>
        <w:t>من الخاصّة والعامة علی توقف النکاح علی الإیجاب والقبول اللفظیین</w:t>
      </w:r>
      <w:r>
        <w:rPr>
          <w:rFonts w:eastAsia="IRNazanin" w:cs="IRNazanin"/>
          <w:color w:val="111111"/>
          <w:sz w:val="28"/>
          <w:szCs w:val="28"/>
          <w:rtl w:val="true"/>
          <w:lang w:bidi="fa-IR"/>
        </w:rPr>
        <w:t xml:space="preserve">». </w:t>
      </w:r>
      <w:r>
        <w:rPr>
          <w:rStyle w:val="FootnoteAnchor"/>
          <w:rtl w:val="true"/>
        </w:rPr>
        <w:footnoteReference w:id="602"/>
      </w:r>
      <w:r>
        <w:rPr>
          <w:rFonts w:ascii="IRNazanin" w:hAnsi="IRNazanin" w:eastAsia="IRNazanin"/>
          <w:color w:val="111111"/>
          <w:sz w:val="28"/>
          <w:sz w:val="28"/>
          <w:szCs w:val="28"/>
          <w:rtl w:val="true"/>
          <w:lang w:bidi="fa-IR"/>
        </w:rPr>
        <w:t xml:space="preserve">وقد یستدل لذلک ببعض الروایات نحو روایة أبان بن تغلب، </w:t>
      </w:r>
      <w:r>
        <w:rPr>
          <w:rStyle w:val="FootnoteAnchor"/>
          <w:rtl w:val="true"/>
        </w:rPr>
        <w:footnoteReference w:id="603"/>
      </w:r>
      <w:r>
        <w:rPr>
          <w:rFonts w:ascii="IRNazanin" w:hAnsi="IRNazanin" w:eastAsia="IRNazanin"/>
          <w:color w:val="111111"/>
          <w:sz w:val="28"/>
          <w:sz w:val="28"/>
          <w:szCs w:val="28"/>
          <w:rtl w:val="true"/>
          <w:lang w:bidi="fa-IR"/>
        </w:rPr>
        <w:t>ویؤیده ارتکاز المتشرّعة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وینعقد بلفظ النکاح والزواج، بأن تقول الزوجة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زوجتک نفسی، أو أنکحتک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واضح ووارد بهما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انعقاده بلفظ التمتّعّ، ففیه تأمّل بعد عدم وروده فی شئٍ من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ویلزم علی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العقد عربیاً بلفظ الماضی، ولکن لادلیل علیه إلاّ الأصل، وأنّ العربی الماضی هو المتیقن وأنّه مقتضی الاحتیاط فی الفروج، والکلّ کما تری ولا تصل النوبة، إلیه بعد إطلاق النکاح علی غیر العربی وغیر الماضی، نعم، الاحتیاط مطلوب لاسیما فی مسألة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ویجوز للزوجین التوکیل فی ذلک؛ لإطلاق دلیل مشروعیة الوکالة، وللسیرة المتشرعیة، ولبعض الروایات، </w:t>
      </w:r>
      <w:r>
        <w:rPr>
          <w:rStyle w:val="FootnoteAnchor"/>
          <w:rtl w:val="true"/>
        </w:rPr>
        <w:footnoteReference w:id="604"/>
      </w:r>
      <w:r>
        <w:rPr>
          <w:rFonts w:ascii="IRNazanin" w:hAnsi="IRNazanin" w:eastAsia="IRNazanin"/>
          <w:color w:val="111111"/>
          <w:sz w:val="28"/>
          <w:sz w:val="28"/>
          <w:szCs w:val="28"/>
          <w:rtl w:val="true"/>
          <w:lang w:bidi="fa-IR"/>
        </w:rPr>
        <w:t>والأحوط أن لایتولی شخص واحد طرفی العقد، بأن یکون وکیلاً من الطرفین، او یکون واحد أصیلاً ووکیلاً من الآخر لأهمیة النکاح وإن کان إطلاق دلیل الوکالة یقتضی الجواز وکفایة المغایرة الاعتباریة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ولایعتبر فی صحته الإشهاد عندنا لعدم الدلیل علیه، بل فی الحدیث أنّ الامام الکاظم علیه السلام قال لأبی یوسف القاضی تلمیذ أبی حنیفه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أمر فی کتابه بالطلاق واکّد فیه بشاهدین، ولم یرض بهما إلاّ عدلین، وأمر فی کتابه بالتزویج فأهمله بلا شهود فأثبتم شاهدین فیما أهمل وأبطلتم الشاهدین فیما أکّد</w:t>
      </w:r>
      <w:r>
        <w:rPr>
          <w:rFonts w:eastAsia="IRNazanin" w:cs="IRNazanin"/>
          <w:color w:val="111111"/>
          <w:sz w:val="28"/>
          <w:szCs w:val="28"/>
          <w:rtl w:val="true"/>
          <w:lang w:bidi="fa-IR"/>
        </w:rPr>
        <w:t xml:space="preserve">. </w:t>
      </w:r>
      <w:r>
        <w:rPr>
          <w:rStyle w:val="FootnoteAnchor"/>
          <w:rtl w:val="true"/>
        </w:rPr>
        <w:footnoteReference w:id="605"/>
      </w:r>
      <w:bookmarkStart w:id="777" w:name="pg5021_49411"/>
    </w:p>
    <w:p>
      <w:pPr>
        <w:pStyle w:val="Heading4"/>
        <w:numPr>
          <w:ilvl w:val="3"/>
          <w:numId w:val="1"/>
        </w:numPr>
        <w:rPr/>
      </w:pPr>
      <w:bookmarkStart w:id="778" w:name="__RefHeading___Toc580882_774463916"/>
      <w:bookmarkStart w:id="779" w:name="_Toc309"/>
      <w:bookmarkEnd w:id="777"/>
      <w:bookmarkEnd w:id="778"/>
      <w:r>
        <w:rPr>
          <w:rtl w:val="true"/>
        </w:rPr>
        <w:t>أولیاء العقد</w:t>
      </w:r>
      <w:bookmarkEnd w:id="779"/>
    </w:p>
    <w:p>
      <w:pPr>
        <w:pStyle w:val="BookText"/>
        <w:rPr/>
      </w:pPr>
      <w:r>
        <w:rPr>
          <w:rFonts w:ascii="IRNazanin" w:hAnsi="IRNazanin" w:eastAsia="IRNazanin"/>
          <w:color w:val="111111"/>
          <w:sz w:val="28"/>
          <w:sz w:val="28"/>
          <w:szCs w:val="28"/>
          <w:rtl w:val="true"/>
          <w:lang w:bidi="fa-IR"/>
        </w:rPr>
        <w:t xml:space="preserve">لا إشکال فی ولایة الأب علی ولده الصغیر، للروایات، منها صحیح محمد بن مسلم عن أبی جعفر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الصبی یتزوج الصبیة یتوارثان؟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أبواهما اللذان زوجاهما فنعم</w:t>
      </w:r>
      <w:r>
        <w:rPr>
          <w:rFonts w:eastAsia="IRNazanin" w:cs="IRNazanin"/>
          <w:color w:val="111111"/>
          <w:sz w:val="28"/>
          <w:szCs w:val="28"/>
          <w:rtl w:val="true"/>
          <w:lang w:bidi="fa-IR"/>
        </w:rPr>
        <w:t xml:space="preserve">....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وکذا لا اشکال فی ولایة الجّد للأب، أمّا لصدق عنوان الأب علیه حقیقة أو لمثل صحیحة اخری لمحمد بن مسلم عن أحدهما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زوّج الرجل ابنة ابنه فهو جائز علی ابنه، ولإبنه أیضاً أن یزوّجها</w:t>
      </w:r>
      <w:r>
        <w:rPr>
          <w:rFonts w:eastAsia="IRNazanin" w:cs="IRNazanin"/>
          <w:color w:val="111111"/>
          <w:sz w:val="28"/>
          <w:szCs w:val="28"/>
          <w:rtl w:val="true"/>
          <w:lang w:bidi="fa-IR"/>
        </w:rPr>
        <w:t xml:space="preserve">.... </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ولهما الولایة علی المجنون البالغ المتصل جنونه ببلوغه للإجماع المحکی واستصحاب الولایة، وهل لهما ذلک فی حالة الانفصال أیضاً؟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لفحوی صحیحة ابن خالد القمّاط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الأحمق الذاهب العقل یجوز طلاق ولیّه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لا یطلّق هو؟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یؤمن إن طلّق هو أن یقول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أطلق أو لا یحسن أن یطلّق،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 ولیّه إلاّ بمنزلة السلطان</w:t>
      </w:r>
      <w:r>
        <w:rPr>
          <w:rFonts w:eastAsia="IRNazanin" w:cs="IRNazanin"/>
          <w:color w:val="111111"/>
          <w:sz w:val="28"/>
          <w:szCs w:val="28"/>
          <w:rtl w:val="true"/>
          <w:lang w:bidi="fa-IR"/>
        </w:rPr>
        <w:t xml:space="preserve">. </w:t>
      </w:r>
      <w:r>
        <w:rPr>
          <w:rStyle w:val="FootnoteAnchor"/>
          <w:rtl w:val="true"/>
        </w:rPr>
        <w:footnoteReference w:id="608"/>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والمتیقن من الولیّ هو الأب، فإذا جاز طلاقه جاز نکاحه بطریق أولی، وقد یتمسّک هنا بالاستصحاب إلاّ أنّ فیه احتمال عدم بقاء الموضوع عرفاً، ویؤید الحکم أیضاً السیرة القائمه علی قیام الأب بإدارة شؤون المجنون، وکیفما کان فالأحوط الاستجازة من الحاکم الشرعی أیضاً</w:t>
      </w:r>
      <w:r>
        <w:rPr>
          <w:rFonts w:eastAsia="IRNazanin" w:cs="IRNazanin"/>
          <w:color w:val="111111"/>
          <w:sz w:val="28"/>
          <w:szCs w:val="28"/>
          <w:rtl w:val="true"/>
          <w:lang w:bidi="fa-IR"/>
        </w:rPr>
        <w:t>.</w:t>
      </w:r>
      <w:bookmarkStart w:id="780" w:name="pg5021_49412"/>
    </w:p>
    <w:p>
      <w:pPr>
        <w:pStyle w:val="Heading3"/>
        <w:numPr>
          <w:ilvl w:val="2"/>
          <w:numId w:val="1"/>
        </w:numPr>
        <w:rPr/>
      </w:pPr>
      <w:bookmarkStart w:id="781" w:name="__RefHeading___Toc580884_774463916"/>
      <w:bookmarkStart w:id="782" w:name="_Toc310"/>
      <w:bookmarkEnd w:id="780"/>
      <w:bookmarkEnd w:id="781"/>
      <w:r>
        <w:rPr>
          <w:rtl w:val="true"/>
        </w:rPr>
        <w:t>الدرس</w:t>
      </w:r>
      <w:r>
        <w:rPr/>
        <w:t>31</w:t>
      </w:r>
      <w:r>
        <w:rPr>
          <w:rtl w:val="true"/>
        </w:rPr>
        <w:t xml:space="preserve"> - </w:t>
      </w:r>
      <w:r>
        <w:rPr>
          <w:rtl w:val="true"/>
        </w:rPr>
        <w:t xml:space="preserve">کتاب النکاح </w:t>
      </w:r>
      <w:r>
        <w:rPr>
          <w:rtl w:val="true"/>
        </w:rPr>
        <w:t>(</w:t>
      </w:r>
      <w:r>
        <w:rPr/>
        <w:t>2</w:t>
      </w:r>
      <w:r>
        <w:rPr>
          <w:rtl w:val="true"/>
        </w:rPr>
        <w:t>)</w:t>
      </w:r>
      <w:bookmarkEnd w:id="782"/>
    </w:p>
    <w:p>
      <w:pPr>
        <w:pStyle w:val="Heading4"/>
        <w:numPr>
          <w:ilvl w:val="3"/>
          <w:numId w:val="1"/>
        </w:numPr>
        <w:rPr/>
      </w:pPr>
      <w:bookmarkStart w:id="783" w:name="__RefHeading___Toc580886_774463916"/>
      <w:bookmarkStart w:id="784" w:name="_Toc311"/>
      <w:bookmarkEnd w:id="783"/>
      <w:r>
        <w:rPr>
          <w:rtl w:val="true"/>
        </w:rPr>
        <w:t>ولایة الأبوین</w:t>
      </w:r>
      <w:bookmarkEnd w:id="784"/>
    </w:p>
    <w:p>
      <w:pPr>
        <w:pStyle w:val="Heading4"/>
        <w:numPr>
          <w:ilvl w:val="3"/>
          <w:numId w:val="1"/>
        </w:numPr>
        <w:rPr/>
      </w:pPr>
      <w:bookmarkStart w:id="785" w:name="__RefHeading___Toc580888_774463916"/>
      <w:bookmarkStart w:id="786" w:name="_Toc312"/>
      <w:bookmarkEnd w:id="785"/>
      <w:r>
        <w:rPr>
          <w:rtl w:val="true"/>
        </w:rPr>
        <w:t>أحکام الولایة علی البنت البالغة والصغیرة</w:t>
      </w:r>
      <w:bookmarkEnd w:id="786"/>
    </w:p>
    <w:p>
      <w:pPr>
        <w:pStyle w:val="BookText"/>
        <w:rPr/>
      </w:pPr>
      <w:r>
        <w:rPr>
          <w:rFonts w:ascii="IRNazanin" w:hAnsi="IRNazanin" w:eastAsia="IRNazanin"/>
          <w:color w:val="111111"/>
          <w:sz w:val="28"/>
          <w:sz w:val="28"/>
          <w:szCs w:val="28"/>
          <w:rtl w:val="true"/>
          <w:lang w:bidi="fa-IR"/>
        </w:rPr>
        <w:t xml:space="preserve">ویشترط فی صحه عقد الولی عدم المفسدة للصغیر والمجنون، إجماعاً؛ ولما دّل أنّ تصّرف الولی مشروط بعدم الفساد، کما فی روایة أبی حمزة الثمالی عن أبی جعفر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رسول‌الله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ومالک لأبیک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أبوجعفر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لانحبّ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یأخذ من مال ابنه إلاّ ما احتاج إلیه مما لابدّ منه؛ إنّ الله لا یحب الفساد</w:t>
      </w:r>
      <w:r>
        <w:rPr>
          <w:rFonts w:eastAsia="IRNazanin" w:cs="IRNazanin"/>
          <w:color w:val="111111"/>
          <w:sz w:val="28"/>
          <w:szCs w:val="28"/>
          <w:rtl w:val="true"/>
          <w:lang w:bidi="fa-IR"/>
        </w:rPr>
        <w:t xml:space="preserve">.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ومعلوم أن العرض وأمر النکاح أهم من المال وعلیه فإن أنکحهما مع المفسدة فلایصح إلاّ بالإجازة بعد البلوغ والعقل، بل فی لزوم العقد مطلقاً علی الصغیرین بعد بلوغهما إشکال، لروایة تدل علی ذلک</w:t>
      </w:r>
      <w:r>
        <w:rPr>
          <w:rFonts w:eastAsia="IRNazanin" w:cs="IRNazanin"/>
          <w:color w:val="111111"/>
          <w:sz w:val="28"/>
          <w:szCs w:val="28"/>
          <w:rtl w:val="true"/>
          <w:lang w:bidi="fa-IR"/>
        </w:rPr>
        <w:t xml:space="preserve">. </w:t>
      </w:r>
      <w:r>
        <w:rPr>
          <w:rStyle w:val="FootnoteAnchor"/>
          <w:rtl w:val="true"/>
        </w:rPr>
        <w:footnoteReference w:id="610"/>
      </w:r>
      <w:r>
        <w:rPr>
          <w:rFonts w:ascii="Amiri" w:hAnsi="Amiri" w:eastAsia="Amiri" w:cs="Amiri"/>
          <w:color w:val="111111"/>
          <w:sz w:val="28"/>
          <w:sz w:val="28"/>
          <w:szCs w:val="28"/>
          <w:rtl w:val="true"/>
          <w:lang w:bidi="ar-SA"/>
        </w:rPr>
        <w:t>والاحتیاط مطلوب جدّاً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ولایة للأم، علی المشهور؛ لاطلاق مفهوم صحیح ابن مسلم المتقدّم حیث یدل علی نفی الولایة عن غیر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یکفی فی ذلک الأصل بعد عدم عمومٍ، أو اطلاقٍ یقتضی ولایتها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لا ولایة للاخ، بلاخلاف عندنا؛ لماذکر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فی المقام روایة تدلّ علی أنّ الأخ ممن بیده عقدة النکاح، </w:t>
      </w:r>
      <w:r>
        <w:rPr>
          <w:rStyle w:val="FootnoteAnchor"/>
          <w:rtl w:val="true"/>
        </w:rPr>
        <w:footnoteReference w:id="611"/>
      </w:r>
      <w:r>
        <w:rPr>
          <w:rFonts w:ascii="IRNazanin" w:hAnsi="IRNazanin" w:eastAsia="IRNazanin"/>
          <w:color w:val="111111"/>
          <w:sz w:val="28"/>
          <w:sz w:val="28"/>
          <w:szCs w:val="28"/>
          <w:rtl w:val="true"/>
          <w:lang w:bidi="fa-IR"/>
        </w:rPr>
        <w:t xml:space="preserve">ألاّ أنّ التأمل یقتضی أنّ ذلک فی العفو عن المهر دون النکاح بل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نقطع بعدم إرادة ظاهرها، إذ کیف یمکن ذلک مع عدم ذهاب أحد منّا إلی ذلک علی الإطلاق</w:t>
      </w:r>
      <w:r>
        <w:rPr>
          <w:rFonts w:eastAsia="IRNazanin" w:cs="IRNazanin"/>
          <w:color w:val="111111"/>
          <w:sz w:val="28"/>
          <w:szCs w:val="28"/>
          <w:rtl w:val="true"/>
          <w:lang w:bidi="fa-IR"/>
        </w:rPr>
        <w:t xml:space="preserve">. </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وکذا لا ولایة لأحد علی البالغة إذا کانت ثیباً؛ للروایات، ومنها صحیح الحلبی عن أبی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المرأة الثیّب تخطب إلی نفسها؟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أملک بنفسها تولّی أمرها من شاءت</w:t>
      </w:r>
      <w:r>
        <w:rPr>
          <w:rFonts w:eastAsia="IRNazanin" w:cs="IRNazanin"/>
          <w:color w:val="111111"/>
          <w:sz w:val="28"/>
          <w:szCs w:val="28"/>
          <w:rtl w:val="true"/>
          <w:lang w:bidi="fa-IR"/>
        </w:rPr>
        <w:t xml:space="preserve">....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وأما ولایة الأب علی زواج البکر، فقد وقعت محلّاً للخلاف، وفیها ثلاثه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استقلال الولّی، وتدل علیه روایات کثیرة، ففی صحیح محمدبن مسلم عن أحدهما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تستأمر الجاریه إذا کانت بین أبویها، لیس لها مع الأب أمر،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یستأمرها کلّ أحد ما عدا الأب</w:t>
      </w:r>
      <w:r>
        <w:rPr>
          <w:rFonts w:eastAsia="IRNazanin" w:cs="IRNazanin"/>
          <w:color w:val="111111"/>
          <w:sz w:val="28"/>
          <w:szCs w:val="28"/>
          <w:rtl w:val="true"/>
          <w:lang w:bidi="fa-IR"/>
        </w:rPr>
        <w:t xml:space="preserve">.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ومنها استقلالها وهو المشهور بین القدماء والمتأخرین، وتدل علیه روایة سعدان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 بتزویج البکر إذا رضیت، بغیر إذن أبیها</w:t>
      </w:r>
      <w:r>
        <w:rPr>
          <w:rFonts w:eastAsia="IRNazanin" w:cs="IRNazanin"/>
          <w:color w:val="111111"/>
          <w:sz w:val="28"/>
          <w:szCs w:val="28"/>
          <w:rtl w:val="true"/>
          <w:lang w:bidi="fa-IR"/>
        </w:rPr>
        <w:t xml:space="preserve">. </w:t>
      </w:r>
      <w:r>
        <w:rPr>
          <w:rStyle w:val="FootnoteAnchor"/>
          <w:rtl w:val="true"/>
        </w:rPr>
        <w:footnoteReference w:id="615"/>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وسعدان وإن لم یوثق صریحاً إلاّ أنّ روایة عدة من الأجلاء من أصحاب الإجماع، ومشایخ الثقات وغیرهم عنه تؤیّد اعتباره جداً، ومنها مادلّ علی اشتراکهما، ففی صحیحة ابن أبی یعفور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تنکح ذوات الآباء من الأبکار إلاّ بإذن آبائهّن</w:t>
      </w:r>
      <w:r>
        <w:rPr>
          <w:rFonts w:eastAsia="IRNazanin" w:cs="IRNazanin"/>
          <w:color w:val="111111"/>
          <w:sz w:val="28"/>
          <w:szCs w:val="28"/>
          <w:rtl w:val="true"/>
          <w:lang w:bidi="fa-IR"/>
        </w:rPr>
        <w:t xml:space="preserve">. </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 xml:space="preserve">وفی صحیح منصور بن حازم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تستأمر البکر وغیرها ولا تنکح إلا بأمرها</w:t>
      </w:r>
      <w:r>
        <w:rPr>
          <w:rFonts w:eastAsia="IRNazanin" w:cs="IRNazanin"/>
          <w:color w:val="111111"/>
          <w:sz w:val="28"/>
          <w:szCs w:val="28"/>
          <w:rtl w:val="true"/>
          <w:lang w:bidi="fa-IR"/>
        </w:rPr>
        <w:t xml:space="preserve">. </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وفی صحیح صفوان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استشار عبدالرحمن، موسی بن جعفر علیه السلام فی تزویج ابنته لابن أخیه،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افعل ویکون ذلک برضاها، فإنّ لها فی نفسها نصیباً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واستشار خالد بن داود موسی بن جعفر علیه السلام فی تزویج ابنته علی بن 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ویکون ذلک برضاها، فإنّ لها فی نفسها حظّاً</w:t>
      </w:r>
      <w:r>
        <w:rPr>
          <w:rFonts w:eastAsia="IRNazanin" w:cs="IRNazanin"/>
          <w:color w:val="111111"/>
          <w:sz w:val="28"/>
          <w:szCs w:val="28"/>
          <w:rtl w:val="true"/>
          <w:lang w:bidi="fa-IR"/>
        </w:rPr>
        <w:t xml:space="preserve">.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ولایخفی أنّها متعارضة من جهة استقلال الولی واستقلالها، واعتبار إذن الولی وعدم اعتباره، والأصل عدم اعتبار رضا أحد فی نکاحها إلا أنّ کثرة الروایات الداله علی اعتبار إذن الأب توجب الاحتیاط، هذا کلّه فی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الجدّ فیمکن التعدّی إلیه باعتبار صدق الأب علیه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النکاح الواقع فضولاً موقوف علی الإجازة، فمعها یصحّ علی المشهور شهرة عظیمة بین القدماء والمتأخرین بل عن بعضهم دعوی الإجماع علیه، والمحکی عن ابن إدریس دعوی تواتر الأخبار علیه</w:t>
      </w:r>
      <w:r>
        <w:rPr>
          <w:rFonts w:eastAsia="IRNazanin" w:cs="IRNazanin"/>
          <w:color w:val="111111"/>
          <w:sz w:val="28"/>
          <w:szCs w:val="28"/>
          <w:rtl w:val="true"/>
          <w:lang w:bidi="fa-IR"/>
        </w:rPr>
        <w:t xml:space="preserve">. </w:t>
      </w:r>
      <w:r>
        <w:rPr>
          <w:rStyle w:val="FootnoteAnchor"/>
          <w:rtl w:val="true"/>
        </w:rPr>
        <w:footnoteReference w:id="619"/>
      </w:r>
      <w:r>
        <w:rPr>
          <w:rFonts w:ascii="IRNazanin" w:hAnsi="IRNazanin" w:eastAsia="IRNazanin"/>
          <w:color w:val="111111"/>
          <w:sz w:val="28"/>
          <w:sz w:val="28"/>
          <w:szCs w:val="28"/>
          <w:rtl w:val="true"/>
          <w:lang w:bidi="fa-IR"/>
        </w:rPr>
        <w:t>بل قد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أنکر الفضولی فی غیر النکاح أثبته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للإجماع والنصوص، </w:t>
      </w:r>
      <w:r>
        <w:rPr>
          <w:rStyle w:val="FootnoteAnchor"/>
          <w:rtl w:val="true"/>
        </w:rPr>
        <w:footnoteReference w:id="620"/>
      </w:r>
      <w:r>
        <w:rPr>
          <w:rFonts w:ascii="IRNazanin" w:hAnsi="IRNazanin" w:eastAsia="IRNazanin"/>
          <w:color w:val="111111"/>
          <w:sz w:val="28"/>
          <w:sz w:val="28"/>
          <w:szCs w:val="28"/>
          <w:rtl w:val="true"/>
          <w:lang w:bidi="fa-IR"/>
        </w:rPr>
        <w:t>منها صحیحة زرارة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مملوک تزوّج بغیر إذن سیده،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ذاک إلی سیده، إن شاء أجازه وإن شاء 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إنّ الحَکَمَ بن عیینة، وإبراهیم النخعی، وأصحابهما،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أصل النکاح فاسد، ولاتحلّ إجازه السید له، فقال أبوجعفر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یعص الله، إنّما عصی سیده، فإذا أجازه فهو له جائز</w:t>
      </w:r>
      <w:r>
        <w:rPr>
          <w:rFonts w:eastAsia="IRNazanin" w:cs="IRNazanin"/>
          <w:color w:val="111111"/>
          <w:sz w:val="28"/>
          <w:szCs w:val="28"/>
          <w:rtl w:val="true"/>
          <w:lang w:bidi="fa-IR"/>
        </w:rPr>
        <w:t xml:space="preserve">. </w:t>
      </w:r>
      <w:r>
        <w:rPr>
          <w:rStyle w:val="FootnoteAnchor"/>
          <w:rtl w:val="true"/>
        </w:rPr>
        <w:footnoteReference w:id="621"/>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الروایة تدلّ علی أنّ کلّ عقد یکون تصرّفاً فی حقِّ الغیر، إذا أجازه، صحّ ونفذ</w:t>
      </w:r>
      <w:r>
        <w:rPr>
          <w:rFonts w:eastAsia="Amiri" w:cs="Amiri" w:ascii="Amiri" w:hAnsi="Amiri"/>
          <w:color w:val="111111"/>
          <w:sz w:val="28"/>
          <w:szCs w:val="28"/>
          <w:rtl w:val="true"/>
          <w:lang w:bidi="ar-SA"/>
        </w:rPr>
        <w:t>.</w:t>
      </w:r>
      <w:bookmarkStart w:id="787" w:name="pg5021_49416"/>
    </w:p>
    <w:p>
      <w:pPr>
        <w:pStyle w:val="Heading3"/>
        <w:numPr>
          <w:ilvl w:val="2"/>
          <w:numId w:val="1"/>
        </w:numPr>
        <w:rPr/>
      </w:pPr>
      <w:bookmarkStart w:id="788" w:name="__RefHeading___Toc580890_774463916"/>
      <w:bookmarkStart w:id="789" w:name="_Toc313"/>
      <w:bookmarkEnd w:id="787"/>
      <w:bookmarkEnd w:id="788"/>
      <w:r>
        <w:rPr>
          <w:rtl w:val="true"/>
        </w:rPr>
        <w:t>الدرس</w:t>
      </w:r>
      <w:r>
        <w:rPr/>
        <w:t>32</w:t>
      </w:r>
      <w:r>
        <w:rPr>
          <w:rtl w:val="true"/>
        </w:rPr>
        <w:t xml:space="preserve"> -</w:t>
      </w:r>
      <w:r>
        <w:rPr>
          <w:rtl w:val="true"/>
        </w:rPr>
        <w:t xml:space="preserve">کتاب النکاح </w:t>
      </w:r>
      <w:r>
        <w:rPr>
          <w:rtl w:val="true"/>
        </w:rPr>
        <w:t>(</w:t>
      </w:r>
      <w:r>
        <w:rPr/>
        <w:t>3</w:t>
      </w:r>
      <w:r>
        <w:rPr>
          <w:rtl w:val="true"/>
        </w:rPr>
        <w:t>)</w:t>
      </w:r>
      <w:bookmarkEnd w:id="789"/>
    </w:p>
    <w:p>
      <w:pPr>
        <w:pStyle w:val="Heading4"/>
        <w:numPr>
          <w:ilvl w:val="3"/>
          <w:numId w:val="1"/>
        </w:numPr>
        <w:rPr/>
      </w:pPr>
      <w:bookmarkStart w:id="790" w:name="__RefHeading___Toc580892_774463916"/>
      <w:bookmarkStart w:id="791" w:name="_Toc314"/>
      <w:bookmarkEnd w:id="790"/>
      <w:r>
        <w:rPr>
          <w:rtl w:val="true"/>
        </w:rPr>
        <w:t>النظر والستر</w:t>
      </w:r>
      <w:bookmarkEnd w:id="791"/>
    </w:p>
    <w:p>
      <w:pPr>
        <w:pStyle w:val="Heading4"/>
        <w:numPr>
          <w:ilvl w:val="3"/>
          <w:numId w:val="1"/>
        </w:numPr>
        <w:rPr/>
      </w:pPr>
      <w:bookmarkStart w:id="792" w:name="__RefHeading___Toc580894_774463916"/>
      <w:bookmarkStart w:id="793" w:name="_Toc315"/>
      <w:bookmarkEnd w:id="792"/>
      <w:r>
        <w:rPr>
          <w:rtl w:val="true"/>
        </w:rPr>
        <w:t>أحکام النظر والستر</w:t>
      </w:r>
      <w:bookmarkEnd w:id="793"/>
    </w:p>
    <w:p>
      <w:pPr>
        <w:pStyle w:val="BookText"/>
        <w:rPr/>
      </w:pPr>
      <w:r>
        <w:rPr>
          <w:rFonts w:ascii="IRNazanin" w:hAnsi="IRNazanin" w:eastAsia="IRNazanin"/>
          <w:color w:val="111111"/>
          <w:sz w:val="28"/>
          <w:sz w:val="28"/>
          <w:szCs w:val="28"/>
          <w:rtl w:val="true"/>
          <w:lang w:bidi="fa-IR"/>
        </w:rPr>
        <w:t>لایجوز للرجل النظر إلی بدن الأجنبیة فی الجملة، بلاخلاف، بل المحکی عن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ضرورة المذهب علیه</w:t>
      </w:r>
      <w:r>
        <w:rPr>
          <w:rFonts w:eastAsia="IRNazanin" w:cs="IRNazanin"/>
          <w:color w:val="111111"/>
          <w:sz w:val="28"/>
          <w:szCs w:val="28"/>
          <w:rtl w:val="true"/>
          <w:lang w:bidi="fa-IR"/>
        </w:rPr>
        <w:t xml:space="preserve">. </w:t>
      </w:r>
      <w:r>
        <w:rPr>
          <w:rStyle w:val="FootnoteAnchor"/>
          <w:rtl w:val="true"/>
        </w:rPr>
        <w:footnoteReference w:id="622"/>
      </w:r>
      <w:r>
        <w:rPr>
          <w:rFonts w:ascii="Amiri" w:hAnsi="Amiri" w:eastAsia="Amiri" w:cs="Amiri"/>
          <w:color w:val="111111"/>
          <w:sz w:val="28"/>
          <w:sz w:val="28"/>
          <w:szCs w:val="28"/>
          <w:rtl w:val="true"/>
          <w:lang w:bidi="ar-SA"/>
        </w:rPr>
        <w:t>ویمکن استفادته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لْیَضْرِبْنَ بِخُمُرِهِنَّ عَلی جُیُوبِهِنَّ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یُبْدِینَ زِینَتَهُنَّ إِلاّ لِبُعُولَتِهِنَّ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علی أنّ وجوب الستر وحرمة الإبداء للغیر تستلزم حرمة نظره عرفاً، نعم، المراد بالزینة ان کان مواضعها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یظهر من صحیح فضیل الآتی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واضح وإن کان نفسها فحرمة إبدائها تستلزم حرمة إبداء موضعها بالأولویة العرفیة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لِلْمُؤْمِناتِ یَغْضُضْنَ مِنْ أَبْصارِهِنَّ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فالاستدلال به علی حرمة النظر یتوقف أوّلاً علی أنّ المراد من الغضّ هو ترک النظر، لانقصه ولا النظر إلی عورة الغیر بالخصوص، مع أنّ الأوّل موافق للغة، والثانی للسیاق والروایات</w:t>
      </w:r>
      <w:r>
        <w:rPr>
          <w:rFonts w:eastAsia="Amiri" w:cs="Amiri" w:ascii="Amiri" w:hAnsi="Amiri"/>
          <w:color w:val="111111"/>
          <w:sz w:val="28"/>
          <w:szCs w:val="28"/>
          <w:rtl w:val="true"/>
          <w:lang w:bidi="ar-SA"/>
        </w:rPr>
        <w:t xml:space="preserve">. </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و یستنثی من ذلک الوجه والکفان کما عن جماعة من الفقهاء، ویستدل له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یُبْدِینَ زِینَتَهُنَّ إِلاّ ما ظَهَرَ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علی أنّ جواز إبداء الزنیة الظاهرة یستلزم عرفاً جواز النظر إلیها والمتیقّن منها هو الوجه والکفان أو مع ما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لْیَضْرِبْنَ بِخُمُرِهِنَّ عَلی جُیُوبِهِنَّ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الخمار لایستر الوجه ولو کان ستره واجباً لکان أولی بالذکر، إذ الخمار ربّما یستر الجیب بخلاف الوجه، فإذا لم یجب الستر، فلایحرم النظر بالملازمة العرفیة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صحیح فضیل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ابا عبدالله علیه السلام عن الذراعین من المرأة، هما من الزینة التی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یُبْدِینَ زِینَتَهُنَّ إِلاّ لِبُعُولَتِهِنَّ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وما دون الخمار من الزینة، وما دون السوارین</w:t>
      </w:r>
      <w:r>
        <w:rPr>
          <w:rFonts w:eastAsia="Amiri" w:cs="Amiri" w:ascii="Amiri" w:hAnsi="Amiri"/>
          <w:color w:val="111111"/>
          <w:sz w:val="28"/>
          <w:szCs w:val="28"/>
          <w:rtl w:val="true"/>
          <w:lang w:bidi="ar-SA"/>
        </w:rPr>
        <w:t xml:space="preserve">. </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فإنّ الخمار لایستر الوجهّ، والکف فوق السوار؛ فتدل علی جواز إبدائها، وبالملازمة المذکورة یتمّ المطلوب</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نظر المرأة إلی الرجل ففیه خلاف، وسیرة المسلمین تدلّ علی جواز نظرها إلی ما تعارف للرجال کشفه فی المعابر، إذ لاریب فی خروجهن عن البیت للجمعة والجماعات، والاسفار، وللشراء من الأسواق، وغیر ذلک مما هو مستلزم للنظر إلی الرجال عادة، ولم یرد من الشرع ما یدل علی المنع من نظرهنّ إلی الرجال، مع أنّ الشارع جوّز لهن الخروج، للجمعة، والجماعات، والأسفار والمراثی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کیفیة خروجهن من حیث اللباس والتزین، بل ومکان العبور من الجادة ونحوها من غیر إشارة إلی أمر النظر وحرمته علیهن مع ملازمه ذلک له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الأفضل لهن ترک النظر، وإن کان الرجل أعمی لما ورد فی النبوی المرسل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استأذن ابن أم مکتوم علی النبیّ صلی الله علیه و آله ، وعنده عائشة، وحفصة،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قوما فادخلا البیت، فقالتا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أعمی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یرکما فإنّکما تریانه</w:t>
      </w:r>
      <w:r>
        <w:rPr>
          <w:rFonts w:eastAsia="IRNazanin" w:cs="IRNazanin"/>
          <w:color w:val="111111"/>
          <w:sz w:val="28"/>
          <w:szCs w:val="28"/>
          <w:rtl w:val="true"/>
          <w:lang w:bidi="fa-IR"/>
        </w:rPr>
        <w:t xml:space="preserve">. </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وفی مرسل آخر إنّ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للنبی صلی الله علیه و آله فی حدیث</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للنساء أن لایرین الرجال ولایراهن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منّی</w:t>
      </w:r>
      <w:r>
        <w:rPr>
          <w:rFonts w:eastAsia="IRNazanin" w:cs="IRNazanin"/>
          <w:color w:val="111111"/>
          <w:sz w:val="28"/>
          <w:szCs w:val="28"/>
          <w:rtl w:val="true"/>
          <w:lang w:bidi="fa-IR"/>
        </w:rPr>
        <w:t xml:space="preserve">. </w:t>
      </w:r>
      <w:r>
        <w:rPr>
          <w:rStyle w:val="FootnoteAnchor"/>
          <w:rtl w:val="true"/>
        </w:rPr>
        <w:footnoteReference w:id="626"/>
      </w:r>
      <w:bookmarkStart w:id="794" w:name="pg5021_49419"/>
    </w:p>
    <w:p>
      <w:pPr>
        <w:pStyle w:val="Heading3"/>
        <w:numPr>
          <w:ilvl w:val="2"/>
          <w:numId w:val="1"/>
        </w:numPr>
        <w:rPr/>
      </w:pPr>
      <w:bookmarkStart w:id="795" w:name="__RefHeading___Toc580896_774463916"/>
      <w:bookmarkStart w:id="796" w:name="_Toc316"/>
      <w:bookmarkEnd w:id="794"/>
      <w:bookmarkEnd w:id="795"/>
      <w:r>
        <w:rPr>
          <w:rtl w:val="true"/>
        </w:rPr>
        <w:t>الدرس</w:t>
      </w:r>
      <w:r>
        <w:rPr/>
        <w:t>33</w:t>
      </w:r>
      <w:r>
        <w:rPr>
          <w:rtl w:val="true"/>
        </w:rPr>
        <w:t xml:space="preserve"> - </w:t>
      </w:r>
      <w:r>
        <w:rPr>
          <w:rtl w:val="true"/>
        </w:rPr>
        <w:t xml:space="preserve">کتاب النکاح </w:t>
      </w:r>
      <w:r>
        <w:rPr>
          <w:rtl w:val="true"/>
        </w:rPr>
        <w:t>(</w:t>
      </w:r>
      <w:r>
        <w:rPr/>
        <w:t>4</w:t>
      </w:r>
      <w:r>
        <w:rPr>
          <w:rtl w:val="true"/>
        </w:rPr>
        <w:t>)</w:t>
      </w:r>
      <w:bookmarkEnd w:id="796"/>
    </w:p>
    <w:p>
      <w:pPr>
        <w:pStyle w:val="Heading4"/>
        <w:numPr>
          <w:ilvl w:val="3"/>
          <w:numId w:val="1"/>
        </w:numPr>
        <w:rPr/>
      </w:pPr>
      <w:bookmarkStart w:id="797" w:name="__RefHeading___Toc580898_774463916"/>
      <w:bookmarkStart w:id="798" w:name="_Toc317"/>
      <w:bookmarkEnd w:id="797"/>
      <w:r>
        <w:rPr>
          <w:rtl w:val="true"/>
        </w:rPr>
        <w:t xml:space="preserve">النظر والستر </w:t>
      </w:r>
      <w:r>
        <w:rPr>
          <w:rtl w:val="true"/>
        </w:rPr>
        <w:t>(</w:t>
      </w:r>
      <w:r>
        <w:rPr/>
        <w:t>2</w:t>
      </w:r>
      <w:r>
        <w:rPr>
          <w:rtl w:val="true"/>
        </w:rPr>
        <w:t>)</w:t>
      </w:r>
      <w:bookmarkEnd w:id="798"/>
    </w:p>
    <w:p>
      <w:pPr>
        <w:pStyle w:val="BookText"/>
        <w:rPr/>
      </w:pPr>
      <w:r>
        <w:rPr>
          <w:rFonts w:ascii="IRNazanin" w:hAnsi="IRNazanin" w:eastAsia="IRNazanin"/>
          <w:color w:val="111111"/>
          <w:sz w:val="28"/>
          <w:sz w:val="28"/>
          <w:szCs w:val="28"/>
          <w:rtl w:val="true"/>
          <w:lang w:bidi="fa-IR"/>
        </w:rPr>
        <w:t>یستثنی من حرمة النظر إلی الأجنبیة موارد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الضرورة، کالإنقاد من الغرق والحرق ونحوهما؛ فإنّه یجوز النظر واللمس أیضاً بمقتضی تقدیم الأهم شرعاً علی المهم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المعالجة؛ لصحیح أبی حمزة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المرأة المسلمة یصیبها البلاء فی جسدها، إمّا کسر وإمّا جرح فی مکان لایصلح النظر إلیه یکون الرجل أرفق بعلاجه من النساء، أیصلح له النظر إلیها؟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اضطرّت إلیه فلیعالجها ان شاءت</w:t>
      </w:r>
      <w:r>
        <w:rPr>
          <w:rFonts w:eastAsia="IRNazanin" w:cs="IRNazanin"/>
          <w:color w:val="111111"/>
          <w:sz w:val="28"/>
          <w:szCs w:val="28"/>
          <w:rtl w:val="true"/>
          <w:lang w:bidi="fa-IR"/>
        </w:rPr>
        <w:t xml:space="preserve">. </w:t>
      </w:r>
      <w:r>
        <w:rPr>
          <w:rStyle w:val="FootnoteAnchor"/>
          <w:rtl w:val="true"/>
        </w:rPr>
        <w:footnoteReference w:id="62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القواعد وهی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التی آیست من النکاح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الْقَواعِدُ مِنَ النِّساءِ اللاّتِی لا یَرْجُونَ نِکاحاً فَلَیْسَ عَلَیْهِنَّ جُناحٌ أَنْ یَضَعْنَ ثِیابَهُنَّ غَیْرَ مُتَبَرِّجاتٍ بِزِینَةٍ وَ أَنْ یَسْتَعْفِفْنَ خَیْرٌ لَهُنَّ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علی الملازمة بین جواز الکشف وجواز النظر؛ ویؤید التلازم صحیح البزنطی عن الرضا علیه السلام قال</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سألته عن الرجل یحّل له أن ینظر إلی شعر اخت امرأته؟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إلا أن تکون</w:t>
      </w:r>
    </w:p>
    <w:p>
      <w:pPr>
        <w:pStyle w:val="BookText"/>
        <w:rPr/>
      </w:pPr>
      <w:r>
        <w:rPr>
          <w:rFonts w:ascii="IRNazanin" w:hAnsi="IRNazanin" w:eastAsia="IRNazanin"/>
          <w:color w:val="111111"/>
          <w:sz w:val="28"/>
          <w:sz w:val="28"/>
          <w:szCs w:val="28"/>
          <w:rtl w:val="true"/>
          <w:lang w:bidi="fa-IR"/>
        </w:rPr>
        <w:t>من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لی من النظر إلیه منها؟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شعرها وذراعها</w:t>
      </w:r>
      <w:r>
        <w:rPr>
          <w:rFonts w:eastAsia="IRNazanin" w:cs="IRNazanin"/>
          <w:color w:val="111111"/>
          <w:sz w:val="28"/>
          <w:szCs w:val="28"/>
          <w:rtl w:val="true"/>
          <w:lang w:bidi="fa-IR"/>
        </w:rPr>
        <w:t xml:space="preserve">. </w:t>
      </w:r>
      <w:r>
        <w:rPr>
          <w:rStyle w:val="FootnoteAnchor"/>
          <w:rtl w:val="true"/>
        </w:rPr>
        <w:footnoteReference w:id="62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یرید تزویجها، ولا خلاف فی جواز النظر إلیها وتدلّ علیه الروایات المتظافرة وإنّما الخلاف فی حدّ ذلک، وعن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النظر إلی جمیع بدنها ما عدا العورة، لإطلاق بعض الروایات، کصحیح محمد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سألت أبا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یرید أن یتزوج أینظر إلیها؟ قال نعم، إنّما یشتریها بأغلی الثمن</w:t>
      </w:r>
      <w:r>
        <w:rPr>
          <w:rFonts w:eastAsia="IRNazanin" w:cs="IRNazanin"/>
          <w:color w:val="111111"/>
          <w:sz w:val="28"/>
          <w:szCs w:val="28"/>
          <w:rtl w:val="true"/>
          <w:lang w:bidi="fa-IR"/>
        </w:rPr>
        <w:t xml:space="preserve">. </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 xml:space="preserve">وهل یجوز للمرأة ذلک؟ قال الشیخ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لأنّه إذا جاز نظر الرجل لأنّه یبذل أغلی الثمن، فیجوز ذلک للمرأة بالأولی؛ لأنّها تبذل أغلی الثمن، خصوصاً وإن بأمکان الرجل التخلّص بالطلاق بخلاف المرأة</w:t>
      </w:r>
      <w:r>
        <w:rPr>
          <w:rFonts w:eastAsia="IRNazanin" w:cs="IRNazanin"/>
          <w:color w:val="111111"/>
          <w:sz w:val="28"/>
          <w:szCs w:val="28"/>
          <w:rtl w:val="true"/>
          <w:lang w:bidi="fa-IR"/>
        </w:rPr>
        <w:t xml:space="preserve">».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ولایخفی أنّ هذا البحث یکون قلیل الأهمیة بعد ما تقدّم من جواز نظر المرأة إلی ما تعارف للرجال کشفه مطلقاً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المسلمة؛ لموثقة السکونی عن ابی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لاحرمة لنساء أهل الذمة أن ینظر إلی شعورهنّ وأیدیهنّ</w:t>
      </w:r>
      <w:r>
        <w:rPr>
          <w:rFonts w:eastAsia="IRNazanin" w:cs="IRNazanin"/>
          <w:color w:val="111111"/>
          <w:sz w:val="28"/>
          <w:szCs w:val="28"/>
          <w:rtl w:val="true"/>
          <w:lang w:bidi="fa-IR"/>
        </w:rPr>
        <w:t xml:space="preserve">. </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وإذا کان لاحرمة لهن مع وجود عقد الذمام، ففی سائر الکفار بطریق 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المسفرة المصّرة؛ ففی موثق عباد من صهیب</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سمعت أبا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بالنظر إلی رؤوس أهل تهامة، والأعراب، وأهل السواد، والعلوج؛ لأنّهم إذا نهوا لاینتهون</w:t>
      </w:r>
      <w:r>
        <w:rPr>
          <w:rFonts w:eastAsia="IRNazanin" w:cs="IRNazanin"/>
          <w:color w:val="111111"/>
          <w:sz w:val="28"/>
          <w:szCs w:val="28"/>
          <w:rtl w:val="true"/>
          <w:lang w:bidi="fa-IR"/>
        </w:rPr>
        <w:t xml:space="preserve">. </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 xml:space="preserve">والتعلیل عام وفی کل مورد جاز النظر إلی الأجنبیة وبالعکس؛ إنّما یجوز مع عدم التلذذ والریبة، للإجماع، </w:t>
      </w:r>
      <w:r>
        <w:rPr>
          <w:rStyle w:val="FootnoteAnchor"/>
          <w:rtl w:val="true"/>
        </w:rPr>
        <w:footnoteReference w:id="633"/>
      </w:r>
      <w:r>
        <w:rPr>
          <w:rFonts w:ascii="IRNazanin" w:hAnsi="IRNazanin" w:eastAsia="IRNazanin"/>
          <w:color w:val="111111"/>
          <w:sz w:val="28"/>
          <w:sz w:val="28"/>
          <w:szCs w:val="28"/>
          <w:rtl w:val="true"/>
          <w:lang w:bidi="fa-IR"/>
        </w:rPr>
        <w:t>وارتکاز المتشرعة والروایات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المحارم مطلقاً نسبیة أو سببیة أو رضاعیه، وینبغی أن یکون الحکم من الواضحات ویدلّ علیه من الروایات فحوی موثقة سماعة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أباعبدالله علیه السلام عن مصافحة الرجل المرأة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لایحّل للرجل أن یصافح المرأة إلّا امرأة یحرم علیه أن یتزوجها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أخت، أو بنت، أو عمة، أو خالة، أو بنت أخت، أو نحوها</w:t>
      </w:r>
      <w:r>
        <w:rPr>
          <w:rFonts w:eastAsia="IRNazanin" w:cs="IRNazanin"/>
          <w:color w:val="111111"/>
          <w:sz w:val="28"/>
          <w:szCs w:val="28"/>
          <w:rtl w:val="true"/>
          <w:lang w:bidi="fa-IR"/>
        </w:rPr>
        <w:t xml:space="preserve">.... </w:t>
      </w:r>
      <w:r>
        <w:rPr>
          <w:rStyle w:val="FootnoteAnchor"/>
          <w:rtl w:val="true"/>
        </w:rPr>
        <w:footnoteReference w:id="634"/>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والأحوط الاکتفاء بالمواضع الّتی یکشفها المحارم بعضهم للبعض فی منازلهم عادة، فلاتکشف المرأة عریانة لاسیما الشابة بین یدی أخیها وإن کانت مستورة العروة، للشکّ فی شمول الإطلاقات لمثل هذه الصورة غیر المتعارفة</w:t>
      </w:r>
      <w:r>
        <w:rPr>
          <w:rFonts w:eastAsia="IRNazanin" w:cs="IRNazanin"/>
          <w:color w:val="111111"/>
          <w:sz w:val="28"/>
          <w:szCs w:val="28"/>
          <w:rtl w:val="true"/>
          <w:lang w:bidi="fa-IR"/>
        </w:rPr>
        <w:t>.</w:t>
      </w:r>
      <w:bookmarkStart w:id="799" w:name="pg5021_49422"/>
    </w:p>
    <w:p>
      <w:pPr>
        <w:pStyle w:val="Heading3"/>
        <w:numPr>
          <w:ilvl w:val="2"/>
          <w:numId w:val="1"/>
        </w:numPr>
        <w:rPr/>
      </w:pPr>
      <w:bookmarkStart w:id="800" w:name="__RefHeading___Toc580900_774463916"/>
      <w:bookmarkStart w:id="801" w:name="_Toc318"/>
      <w:bookmarkEnd w:id="799"/>
      <w:bookmarkEnd w:id="800"/>
      <w:r>
        <w:rPr>
          <w:rtl w:val="true"/>
        </w:rPr>
        <w:t>الدرس</w:t>
      </w:r>
      <w:r>
        <w:rPr/>
        <w:t>34</w:t>
      </w:r>
      <w:r>
        <w:rPr>
          <w:rtl w:val="true"/>
        </w:rPr>
        <w:t xml:space="preserve"> -</w:t>
      </w:r>
      <w:r>
        <w:rPr>
          <w:rtl w:val="true"/>
        </w:rPr>
        <w:t xml:space="preserve">کتاب النکاح </w:t>
      </w:r>
      <w:r>
        <w:rPr>
          <w:rtl w:val="true"/>
        </w:rPr>
        <w:t>(</w:t>
      </w:r>
      <w:r>
        <w:rPr/>
        <w:t>5</w:t>
      </w:r>
      <w:r>
        <w:rPr>
          <w:rtl w:val="true"/>
        </w:rPr>
        <w:t>)</w:t>
      </w:r>
      <w:bookmarkEnd w:id="801"/>
    </w:p>
    <w:p>
      <w:pPr>
        <w:pStyle w:val="Heading4"/>
        <w:numPr>
          <w:ilvl w:val="3"/>
          <w:numId w:val="1"/>
        </w:numPr>
        <w:rPr/>
      </w:pPr>
      <w:bookmarkStart w:id="802" w:name="__RefHeading___Toc580902_774463916"/>
      <w:bookmarkStart w:id="803" w:name="_Toc319"/>
      <w:bookmarkEnd w:id="802"/>
      <w:r>
        <w:rPr>
          <w:rtl w:val="true"/>
        </w:rPr>
        <w:t xml:space="preserve">النظر والستر </w:t>
      </w:r>
      <w:r>
        <w:rPr>
          <w:rtl w:val="true"/>
        </w:rPr>
        <w:t>(</w:t>
      </w:r>
      <w:r>
        <w:rPr/>
        <w:t>3</w:t>
      </w:r>
      <w:r>
        <w:rPr>
          <w:rtl w:val="true"/>
        </w:rPr>
        <w:t>)</w:t>
      </w:r>
      <w:bookmarkEnd w:id="803"/>
    </w:p>
    <w:p>
      <w:pPr>
        <w:pStyle w:val="Heading4"/>
        <w:numPr>
          <w:ilvl w:val="3"/>
          <w:numId w:val="1"/>
        </w:numPr>
        <w:rPr/>
      </w:pPr>
      <w:bookmarkStart w:id="804" w:name="__RefHeading___Toc580904_774463916"/>
      <w:bookmarkStart w:id="805" w:name="_Toc320"/>
      <w:bookmarkEnd w:id="804"/>
      <w:r>
        <w:rPr>
          <w:rtl w:val="true"/>
        </w:rPr>
        <w:t>النظر إلی المماثل</w:t>
      </w:r>
      <w:bookmarkEnd w:id="805"/>
    </w:p>
    <w:p>
      <w:pPr>
        <w:pStyle w:val="BookText"/>
        <w:rPr/>
      </w:pPr>
      <w:r>
        <w:rPr>
          <w:rFonts w:ascii="IRNazanin" w:hAnsi="IRNazanin" w:eastAsia="IRNazanin"/>
          <w:color w:val="111111"/>
          <w:sz w:val="28"/>
          <w:sz w:val="28"/>
          <w:szCs w:val="28"/>
          <w:rtl w:val="true"/>
          <w:lang w:bidi="fa-IR"/>
        </w:rPr>
        <w:t>لا إشکال ولاخلاف فی جواز نظر المماثل إلی المماثل عدا العورة، شیخاً کان أو شاباً، حسن الصورة أو قبیحها، بل لعلّه من ضروریات الدین المعلومة، باستمرار عمل المسلمین علیه فی جمیع الأعصار والأمصار، کما حکی عن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لاخلاف ولا إشکال فی حرمة النظر إلی عورة المسلم مماثلاً کان أو غیر مماثل، محرماً کان أو أجنبیا، عدا الزوجین، والمالک، والمملوکة؛ ففی صحیح حریز عن أبی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لاینظر الرجل إلی عورة أخیه</w:t>
      </w:r>
      <w:r>
        <w:rPr>
          <w:rFonts w:eastAsia="IRNazanin" w:cs="IRNazanin"/>
          <w:color w:val="111111"/>
          <w:sz w:val="28"/>
          <w:szCs w:val="28"/>
          <w:rtl w:val="true"/>
          <w:lang w:bidi="fa-IR"/>
        </w:rPr>
        <w:t xml:space="preserve">.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هذا کله بالنسبة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المسلم، أمّا الکافر فمقتضی صحیح أبن أبی عمیر عن غیر واحد عن أبی عبدالله علیه السلام قال</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النظر إلی عورة من لیس بمسلم مثل النظر إلی عورة الحمار</w:t>
      </w:r>
      <w:r>
        <w:rPr>
          <w:rFonts w:eastAsia="IRNazanin" w:cs="IRNazanin"/>
          <w:color w:val="111111"/>
          <w:sz w:val="28"/>
          <w:szCs w:val="28"/>
          <w:rtl w:val="true"/>
          <w:lang w:bidi="fa-IR"/>
        </w:rPr>
        <w:t xml:space="preserve">. </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هو الجواز وإن کان الأحوط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بالعورة 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الدبر، والقبل، وفی الرجل بزیادة البیضتین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ما بین السرّة والرّکبة؛ لصدق العورة والفرج علی هذا المقدار، ومازاد علیه‌فإمّا غیر ظاهر أو خارج عن القدر المتیقّن؛ ویؤیده مرسلة الواسطی عن أبی الحسن الماضی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العورة، عورتان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القبل والدبر، والدبر مستور بالألیتین، فإذا سترت القضیب والبیضتین فقد سترت العروة</w:t>
      </w:r>
      <w:r>
        <w:rPr>
          <w:rFonts w:eastAsia="IRNazanin" w:cs="IRNazanin"/>
          <w:color w:val="111111"/>
          <w:sz w:val="28"/>
          <w:szCs w:val="28"/>
          <w:rtl w:val="true"/>
          <w:lang w:bidi="fa-IR"/>
        </w:rPr>
        <w:t xml:space="preserve">. </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وقد یستدل للقول الآخر بروایات إلا إنّ دلالتها علی المدعی قابلة للتأمل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لایخفی أنّ فی کل مورد جاز النظر إنّما یجوز مع عدم التلذذ والریبة، وإلاّ فلایجوز إجماعاً</w:t>
      </w:r>
      <w:r>
        <w:rPr>
          <w:rFonts w:eastAsia="IRNazanin" w:cs="IRNazanin"/>
          <w:color w:val="111111"/>
          <w:sz w:val="28"/>
          <w:szCs w:val="28"/>
          <w:rtl w:val="true"/>
          <w:lang w:bidi="fa-IR"/>
        </w:rPr>
        <w:t xml:space="preserve">. </w:t>
      </w:r>
      <w:r>
        <w:rPr>
          <w:rStyle w:val="FootnoteAnchor"/>
          <w:rtl w:val="true"/>
        </w:rPr>
        <w:footnoteReference w:id="638"/>
      </w:r>
      <w:r>
        <w:rPr>
          <w:rFonts w:ascii="IRNazanin" w:hAnsi="IRNazanin" w:eastAsia="IRNazanin"/>
          <w:color w:val="111111"/>
          <w:sz w:val="28"/>
          <w:sz w:val="28"/>
          <w:szCs w:val="28"/>
          <w:rtl w:val="true"/>
          <w:lang w:bidi="fa-IR"/>
        </w:rPr>
        <w:t>ثم القدر المتیقن هو النظر إلی البدن 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النظر بواسطة المرآة أو الصورة أو الافلام فشمول الأدلة لها محلّ تأمل، ولذا لایشمل استحباب النظر إلی بیت الله، إذا نظر إلیها فی الأفلام أو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مناسبة الحکم والموضوع قد تقتضی الشمول إذا کان الحاکی تامّ الحکایة عرفاً بحیث کأنّه یراه نفسه، وعلیه فالأحوط لو لم یکن أقوی فی هذه الصورة هو الاجتناب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کما یحرم النظر إلی الأجنبیة یحرم مسّها بالمصافحة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وتقتضیه فحوی حرمة النظر وخصوص صحیح أبی بصیر عن أبی عبدالله علیه السلام قال</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یصافح الرجل المرأة لیست بذات محرم؟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من وراء الثوب</w:t>
      </w:r>
      <w:r>
        <w:rPr>
          <w:rFonts w:eastAsia="IRNazanin" w:cs="IRNazanin"/>
          <w:color w:val="111111"/>
          <w:sz w:val="28"/>
          <w:szCs w:val="28"/>
          <w:rtl w:val="true"/>
          <w:lang w:bidi="fa-IR"/>
        </w:rPr>
        <w:t xml:space="preserve">. </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 xml:space="preserve">ونحوها موثقة سماعة </w:t>
      </w:r>
      <w:r>
        <w:rPr>
          <w:rStyle w:val="FootnoteAnchor"/>
          <w:rtl w:val="true"/>
        </w:rPr>
        <w:footnoteReference w:id="640"/>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 xml:space="preserve">. </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ثمّ إنّه یحرم علیها إسماع الصوت الذی فیه تهیبح السامع وتطمیعه بتحسینه وترقیقه؛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تَخْضَعْنَ بِالْقَوْلِ فَیَطْمَعَ الَّذِی فِی قَلْبِهِ مَرَضٌ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والخطاب وإن کان لنساء النبی صلی الله علیه و آله إلا أنّ تفریع ذلک علی التقوی، وعدّه من مصادیق القول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وکذا ذیل الآیه المبارکة تدلّ علی تعمیم الحکم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إذا لم یکن بهذه الکیفیة، فیکره لها فی غیر مقام الضرورة ففی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تتکلّم المرأة عند غیر زوجها، وغیر ذی محرم منها أکثر من خمس کلمات مما لابدّ لها منه</w:t>
      </w:r>
      <w:r>
        <w:rPr>
          <w:rFonts w:eastAsia="IRNazanin" w:cs="IRNazanin"/>
          <w:color w:val="111111"/>
          <w:sz w:val="28"/>
          <w:szCs w:val="28"/>
          <w:rtl w:val="true"/>
          <w:lang w:bidi="fa-IR"/>
        </w:rPr>
        <w:t xml:space="preserve">. </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 xml:space="preserve">ویکره اختلاط النساء بالرجال الا للعجائز؛ لما یستفاد من الروایات منها مصحح ربعی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رسول‌الله صلی الله علیه و آله یسلّم علی النساء، ویرددن علیه، وکان أمیرالمؤمنین علیه السلام یسلّم علی النساء، وکان یکره أن یسلّم علی الشابة منهنَّ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أتخوف أن یعجبنی صوتها فیدخل علیّ أکثرمما طلبت من الأاجر</w:t>
      </w:r>
      <w:r>
        <w:rPr>
          <w:rFonts w:eastAsia="IRNazanin" w:cs="IRNazanin"/>
          <w:color w:val="111111"/>
          <w:sz w:val="28"/>
          <w:szCs w:val="28"/>
          <w:rtl w:val="true"/>
          <w:lang w:bidi="fa-IR"/>
        </w:rPr>
        <w:t xml:space="preserve">. </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 xml:space="preserve">ومنها مصحّح عبدالله بن مبمون عن الصادق علیه السلام عن رسول‌الله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الصبی والصبی، والصبی والصببیة، والصبیة والصبیة، یفرّق بینهم فی المضاجع لعشر سنین</w:t>
      </w:r>
      <w:r>
        <w:rPr>
          <w:rFonts w:eastAsia="IRNazanin" w:cs="IRNazanin"/>
          <w:color w:val="111111"/>
          <w:sz w:val="28"/>
          <w:szCs w:val="28"/>
          <w:rtl w:val="true"/>
          <w:lang w:bidi="fa-IR"/>
        </w:rPr>
        <w:t xml:space="preserve">. </w:t>
      </w:r>
      <w:r>
        <w:rPr>
          <w:rStyle w:val="FootnoteAnchor"/>
          <w:rtl w:val="true"/>
        </w:rPr>
        <w:footnoteReference w:id="644"/>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موثق یونس بن 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عبدالله علیه السلام عن خروج النساء فی العیدین والجمعة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امرأة مسنّة</w:t>
      </w:r>
      <w:r>
        <w:rPr>
          <w:rFonts w:eastAsia="IRNazanin" w:cs="IRNazanin"/>
          <w:color w:val="111111"/>
          <w:sz w:val="28"/>
          <w:szCs w:val="28"/>
          <w:rtl w:val="true"/>
          <w:lang w:bidi="fa-IR"/>
        </w:rPr>
        <w:t xml:space="preserve">. </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وفی خبر غیاث بن إبراهیم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امیرالمؤمنین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أهل العراق، نبئت أنّ نساءکم یدافعن الرجال فی الطریق، أما تستحون؟</w:t>
      </w:r>
      <w:r>
        <w:rPr>
          <w:rFonts w:eastAsia="IRNazanin" w:cs="IRNazanin"/>
          <w:color w:val="111111"/>
          <w:sz w:val="28"/>
          <w:szCs w:val="28"/>
          <w:rtl w:val="true"/>
          <w:lang w:bidi="fa-IR"/>
        </w:rPr>
        <w:t xml:space="preserve">. </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 xml:space="preserve">وقال رسول‌الله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للنساء من سروات الطریق شیء، ولکنها تمشی فی جانب الحائط والطریق</w:t>
      </w:r>
      <w:r>
        <w:rPr>
          <w:rFonts w:eastAsia="IRNazanin" w:cs="IRNazanin"/>
          <w:color w:val="111111"/>
          <w:sz w:val="28"/>
          <w:szCs w:val="28"/>
          <w:rtl w:val="true"/>
          <w:lang w:bidi="fa-IR"/>
        </w:rPr>
        <w:t xml:space="preserve">. </w:t>
      </w:r>
      <w:r>
        <w:rPr>
          <w:rStyle w:val="FootnoteAnchor"/>
          <w:rtl w:val="true"/>
        </w:rPr>
        <w:footnoteReference w:id="647"/>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ورد من النهی عن الخلوة مع الرجال، </w:t>
      </w:r>
      <w:r>
        <w:rPr>
          <w:rStyle w:val="FootnoteAnchor"/>
          <w:rtl w:val="true"/>
        </w:rPr>
        <w:footnoteReference w:id="648"/>
      </w:r>
      <w:r>
        <w:rPr>
          <w:rFonts w:ascii="IRNazanin" w:hAnsi="IRNazanin" w:eastAsia="IRNazanin"/>
          <w:color w:val="111111"/>
          <w:sz w:val="28"/>
          <w:sz w:val="28"/>
          <w:szCs w:val="28"/>
          <w:rtl w:val="true"/>
          <w:lang w:bidi="fa-IR"/>
        </w:rPr>
        <w:t>وغیر ذلک مما یستفاد منه کراهة الاختلاط وحساسیة أمر الارتباط بین الرجال والنساء، وتأکید الشارع علی صیانة الأفراد والجوامع عن الابتلاء بمفاسده</w:t>
      </w:r>
      <w:r>
        <w:rPr>
          <w:rFonts w:eastAsia="IRNazanin" w:cs="IRNazanin"/>
          <w:color w:val="111111"/>
          <w:sz w:val="28"/>
          <w:szCs w:val="28"/>
          <w:rtl w:val="true"/>
          <w:lang w:bidi="fa-IR"/>
        </w:rPr>
        <w:t>.</w:t>
      </w:r>
      <w:bookmarkStart w:id="806" w:name="pg5021_49426"/>
    </w:p>
    <w:p>
      <w:pPr>
        <w:pStyle w:val="Heading3"/>
        <w:numPr>
          <w:ilvl w:val="2"/>
          <w:numId w:val="1"/>
        </w:numPr>
        <w:rPr/>
      </w:pPr>
      <w:bookmarkStart w:id="807" w:name="__RefHeading___Toc580906_774463916"/>
      <w:bookmarkStart w:id="808" w:name="_Toc321"/>
      <w:bookmarkEnd w:id="806"/>
      <w:bookmarkEnd w:id="807"/>
      <w:r>
        <w:rPr>
          <w:rtl w:val="true"/>
        </w:rPr>
        <w:t>الدرس</w:t>
      </w:r>
      <w:r>
        <w:rPr/>
        <w:t>35</w:t>
      </w:r>
      <w:r>
        <w:rPr>
          <w:rtl w:val="true"/>
        </w:rPr>
        <w:t xml:space="preserve"> - </w:t>
      </w:r>
      <w:r>
        <w:rPr>
          <w:rtl w:val="true"/>
        </w:rPr>
        <w:t xml:space="preserve">کتاب النکاح </w:t>
      </w:r>
      <w:r>
        <w:rPr>
          <w:rtl w:val="true"/>
        </w:rPr>
        <w:t>(</w:t>
      </w:r>
      <w:r>
        <w:rPr/>
        <w:t>6</w:t>
      </w:r>
      <w:r>
        <w:rPr>
          <w:rtl w:val="true"/>
        </w:rPr>
        <w:t>)</w:t>
      </w:r>
      <w:bookmarkEnd w:id="808"/>
    </w:p>
    <w:p>
      <w:pPr>
        <w:pStyle w:val="Heading4"/>
        <w:numPr>
          <w:ilvl w:val="3"/>
          <w:numId w:val="1"/>
        </w:numPr>
        <w:rPr/>
      </w:pPr>
      <w:bookmarkStart w:id="809" w:name="__RefHeading___Toc580908_774463916"/>
      <w:bookmarkStart w:id="810" w:name="_Toc322"/>
      <w:bookmarkEnd w:id="809"/>
      <w:r>
        <w:rPr>
          <w:rtl w:val="true"/>
        </w:rPr>
        <w:t>من یَحرمُ العقد علیهنّ</w:t>
      </w:r>
      <w:bookmarkEnd w:id="810"/>
    </w:p>
    <w:p>
      <w:pPr>
        <w:pStyle w:val="BookText"/>
        <w:rPr/>
      </w:pPr>
      <w:r>
        <w:rPr>
          <w:rFonts w:ascii="IRNazanin" w:hAnsi="IRNazanin" w:eastAsia="IRNazanin"/>
          <w:color w:val="111111"/>
          <w:sz w:val="28"/>
          <w:sz w:val="28"/>
          <w:szCs w:val="28"/>
          <w:rtl w:val="true"/>
          <w:lang w:bidi="fa-IR"/>
        </w:rPr>
        <w:t>و سبب التحریم أمور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ویحرم بالنسب سبعة أصناف، کما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عَلَیْکُمْ أُمَّهاتُکُمْ وَ بَناتُکُمْ وَ أَخَواتُکُمْ وَ عَمّاتُکُمْ وَ خالاتُکُمْ وَ بَناتُ الْأَخِ وَ بَناتُ الْأُخْتِ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الأم یشمل الجدّات، وکذلک إطلاق البنت یشمل الحفیدة مهما نزلت، وهکذا بالنسبة إلی العّمة والخالة وبنت الأخ، وبنت الأخت؛ کلّ ذلک لصدق العناوین عرفاً ولذا یحرم الولد من الزنا علی الزانیة وأمها وأختها وهکذا؛ لصدق البنت أو الابن علیه عرفاً، والشریعة لاتدخّل لها فی هذا المجال سوی أنّها نفت التوارث فی فرض الزنا وأما بقیة الأحکام فتترتّب للإطلاق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علاقة بین أحدا الزوجین مع أقرباء الآخر موجبة لحرمة النکاح عیناً أو جمعاً، فتحرم بالمصاهرة وما هو بحکمها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تحرم زوجة کلّ من الأب وإن علا والابن وإن نزل علی الآخر بمجرد العقد، وهو أمر ضروری، وقد دلّ علیها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تَنْکِحُوا ما نَکَحَ آباؤُکُمْ مِنَ</w:t>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حَلائِلُ أَبْنائِکُمُ الَّذِینَ مِنْ أَصْلابِکُمْ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الصحیح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لم تحرم علی الناس أزواج النبی صلی الله علیه و آله لقول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لَکُمْ أَنْ تُؤْذُوا رَسُولَ اللّهِ وَ لا أَنْ تَنْکِحُوا أَزْواجَهُ مِنْ بَعْدِهِ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حرمن علی الحسن والحسین بقول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تَنْکِحُوا ما نَکَحَ آباؤُکُمْ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ولایصلح للرجل ان ینکح امرأة جدّه</w:t>
      </w:r>
      <w:r>
        <w:rPr>
          <w:rFonts w:eastAsia="Amiri" w:cs="Amiri" w:ascii="Amiri" w:hAnsi="Amiri"/>
          <w:color w:val="111111"/>
          <w:sz w:val="28"/>
          <w:szCs w:val="28"/>
          <w:rtl w:val="true"/>
          <w:lang w:bidi="ar-SA"/>
        </w:rPr>
        <w:t xml:space="preserve">.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 xml:space="preserve">ویکفی فی ذلک العقد ولو کان منقطعاً ومن دون دخول؛ للاطلاق، ویعمّ الحکم للابوة، والبنوّة بالرضاع، لقوله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 xml:space="preserve">. </w:t>
      </w:r>
      <w:r>
        <w:rPr>
          <w:rStyle w:val="FootnoteAnchor"/>
          <w:rtl w:val="true"/>
        </w:rPr>
        <w:footnoteReference w:id="65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تحرم علی الزوج أمُّ زوجته وإن علت بمجرد العقد، وابنتها وإن نزلت بشرط الدخول بالاّم سواءً کانت فی حجره إم لا، إمّا مع عدم الدخول فتحرم مادامت الأم فی عقده،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أُمَّهاتُ نِسائِکُمْ وَ رَبائِبُکُمُ اللاّتِی فِی حُجُورِکُمْ مِنْ نِسائِکُمُ اللاّتِی دَخَلْتُمْ بِهِنَّ فَإِنْ لَمْ تَکُونُوا دَخَلْتُمْ بِهِنَّ فَلا جُناحَ عَلَیْکُمْ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ومقتضی 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أمهات نسائکم عدم تقیید حرمة أم الزوجة بالدخول بها، واحتمال رجوع قید مِنْ نِسائِکُمُ اللاّتِی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أُمَّهاتُ نِسائِکُمْ بعید جداً، لطول الفصل ولزوم استعمال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معنیین، إذ علی تقدیر تعلقها بالربائب تکون نشویة، وعلی تقدیر تعلقها بالنساء تکون بیانیة، نعم، حرمة الربیبة مقیّدة بالدخول بأمّها کما فی الآیه الکریمة، وأمّا حرمة أم الزوجة وإن علت، فلعموم الآیة، وأمّا حرمة الربیبة وإن نزلت فاستفادة الحرمة</w:t>
      </w:r>
    </w:p>
    <w:p>
      <w:pPr>
        <w:pStyle w:val="BookText"/>
        <w:rPr/>
      </w:pPr>
      <w:r>
        <w:rPr>
          <w:rFonts w:ascii="IRNazanin" w:hAnsi="IRNazanin" w:eastAsia="IRNazanin"/>
          <w:color w:val="111111"/>
          <w:sz w:val="28"/>
          <w:sz w:val="28"/>
          <w:szCs w:val="28"/>
          <w:rtl w:val="true"/>
          <w:lang w:bidi="fa-IR"/>
        </w:rPr>
        <w:t>من الآیة الکریمة، باعتبار صدق الربیبة وإن کان مشکلاً إلاّ أنّه یکفی فی ذلک الروایات کما فی موثقة غیاث بن ابراهیم عن جعفر عن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علیّا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تزوّج الرجل المرأة حرمت علیه ابنتها إذا دخل بالأم، فإذا لم یدخل بالأم فلا بأس أن یتزّوج بالإبنة وإذا تزوج بالإبنة فدخل بها أو لم یدخل فقد حرمت علیه 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الربائب علیکم حرام، کنّ فی الحِجْر أو لم یکنّ</w:t>
      </w:r>
      <w:r>
        <w:rPr>
          <w:rFonts w:eastAsia="IRNazanin" w:cs="IRNazanin"/>
          <w:color w:val="111111"/>
          <w:sz w:val="28"/>
          <w:szCs w:val="28"/>
          <w:rtl w:val="true"/>
          <w:lang w:bidi="fa-IR"/>
        </w:rPr>
        <w:t xml:space="preserve">. </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ثمّ إنّ کون الربیبة فی الحِجْر کما فی الآیه الکریمه قید غالبی لاموضوعیة له، ولذا صرحت الموثقة بعدم اعتباره، والمسالة متسالم علیها</w:t>
      </w:r>
      <w:r>
        <w:rPr>
          <w:rFonts w:eastAsia="IRNazanin" w:cs="IRNazanin"/>
          <w:color w:val="111111"/>
          <w:sz w:val="28"/>
          <w:szCs w:val="28"/>
          <w:rtl w:val="true"/>
          <w:lang w:bidi="fa-IR"/>
        </w:rPr>
        <w:t xml:space="preserve">. </w:t>
      </w:r>
      <w:r>
        <w:rPr>
          <w:rStyle w:val="FootnoteAnchor"/>
          <w:rtl w:val="true"/>
        </w:rPr>
        <w:footnoteReference w:id="65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تحرم علی الزوج أخت زوجته جمعاً لاعیناً، بالضرورة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تَجْمَعُوا بَیْنَ الْأُخْتَیْنِ</w:t>
      </w:r>
      <w:r>
        <w:rPr>
          <w:rFonts w:eastAsia="Amiri" w:cs="Amiri" w:ascii="Amiri" w:hAnsi="Amiri"/>
          <w:color w:val="111111"/>
          <w:sz w:val="28"/>
          <w:szCs w:val="28"/>
          <w:rtl w:val="true"/>
          <w:lang w:bidi="ar-SA"/>
        </w:rPr>
        <w:t xml:space="preserve">... . </w:t>
      </w:r>
      <w:r>
        <w:rPr>
          <w:rStyle w:val="FootnoteAnchor"/>
          <w:rtl w:val="true"/>
        </w:rPr>
        <w:footnoteReference w:id="65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یحرم علی الزوج العقد علی بنت أخ أو أخت زوجته إلاّ باذنها، ویجوز العکس مطلقاً لموثقة محمد بن مسلم عن أبی جعفر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لاتزوّج ابنة الأخ ولا ابنة الأخت علی العمة ولاعلی الخالة إلابإذنهما، وتزوج العمة والخالة علی ابنة الأخ وابنة الأخت بغیر أذنها</w:t>
      </w:r>
      <w:r>
        <w:rPr>
          <w:rFonts w:eastAsia="IRNazanin" w:cs="IRNazanin"/>
          <w:color w:val="111111"/>
          <w:sz w:val="28"/>
          <w:szCs w:val="28"/>
          <w:rtl w:val="true"/>
          <w:lang w:bidi="fa-IR"/>
        </w:rPr>
        <w:t xml:space="preserve">. </w:t>
      </w:r>
      <w:r>
        <w:rPr>
          <w:rStyle w:val="FootnoteAnchor"/>
          <w:rtl w:val="true"/>
        </w:rPr>
        <w:footnoteReference w:id="65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یحرم علی الرجل بنت خالته إذا زنی بالخالة علی المشهور؛ لصحیحة محمد بن مسلم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 رجل أباعبدالله علیه السلام وأنا جالس عن رجل نال من خالته فی شبابه، ثمّ ارتدع، یتزوج ابنتها؟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یکن أفضی إلیها إنّما کان شیء دون شئ،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لایصدق، ولاکرامة</w:t>
      </w:r>
      <w:r>
        <w:rPr>
          <w:rFonts w:eastAsia="IRNazanin" w:cs="IRNazanin"/>
          <w:color w:val="111111"/>
          <w:sz w:val="28"/>
          <w:szCs w:val="28"/>
          <w:rtl w:val="true"/>
          <w:lang w:bidi="fa-IR"/>
        </w:rPr>
        <w:t xml:space="preserve">. </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 xml:space="preserve">ثمّ إن المشهور، تعمیم الحکم بحرمة الزواج لبنت مطلق المزنیّ بها لطائفة من الروایات إلاّ أنّها معارضة بمثلها، والمشهور هو الحرمة </w:t>
      </w:r>
      <w:r>
        <w:rPr>
          <w:rStyle w:val="FootnoteAnchor"/>
          <w:rtl w:val="true"/>
        </w:rPr>
        <w:footnoteReference w:id="656"/>
      </w:r>
      <w:r>
        <w:rPr>
          <w:rFonts w:ascii="IRNazanin" w:hAnsi="IRNazanin" w:eastAsia="IRNazanin"/>
          <w:color w:val="111111"/>
          <w:sz w:val="28"/>
          <w:sz w:val="28"/>
          <w:szCs w:val="28"/>
          <w:rtl w:val="true"/>
          <w:lang w:bidi="fa-IR"/>
        </w:rPr>
        <w:t>ولاریب أنه أحوط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لاط البالغ بغلام، وتحقق منه الدخول، حرمت علیه مؤبداً بنت المفعول واخته وأمه بلاخلاف بین الأصحاب وتدلّ علیه الروایات منها موثقة إبراهیم بن عمر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لعب بغلام هل تحل له أمه؟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ثقب فلا</w:t>
      </w:r>
      <w:r>
        <w:rPr>
          <w:rFonts w:eastAsia="IRNazanin" w:cs="IRNazanin"/>
          <w:color w:val="111111"/>
          <w:sz w:val="28"/>
          <w:szCs w:val="28"/>
          <w:rtl w:val="true"/>
          <w:lang w:bidi="fa-IR"/>
        </w:rPr>
        <w:t xml:space="preserve">. </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هذا إذا کان اللواط سابقاً علی العقد دون مالو کان لاحقاً، فمن لاط باخی زوجته لاتحرم علیه لان الحرام لایفسد الحلال کما فی الروایات، ومنها صحیحة محمد بن مسلم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ان کانت عنده امرأة ثمّ فجر بأمها أو اختها لم تحرم علیه امرأته؛ إنّ الحرام لایفسد الحلال</w:t>
      </w:r>
      <w:r>
        <w:rPr>
          <w:rFonts w:eastAsia="IRNazanin" w:cs="IRNazanin"/>
          <w:color w:val="111111"/>
          <w:sz w:val="28"/>
          <w:szCs w:val="28"/>
          <w:rtl w:val="true"/>
          <w:lang w:bidi="fa-IR"/>
        </w:rPr>
        <w:t xml:space="preserve">. </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وموردها وإن کان هو الزنا إلاّ أن عموم التعلیل یقتضی التعمیم کما یقال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تزوج بذات البعل عالماً بذلک، أو بشرط الدخول مع الجهل، حرمت علیه مؤبدّاً علی ما هو مقتضی الجمع بین الروایات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زنی بذات البعل، حرمت علیه مؤبّداً علی المشهور، بل ادّعی علیه الإجماع وبالأولویة القطعیة بالنسبة إلی الزواج بها</w:t>
      </w:r>
      <w:r>
        <w:rPr>
          <w:rFonts w:eastAsia="IRNazanin" w:cs="IRNazanin"/>
          <w:color w:val="111111"/>
          <w:sz w:val="28"/>
          <w:szCs w:val="28"/>
          <w:rtl w:val="true"/>
          <w:lang w:bidi="fa-IR"/>
        </w:rPr>
        <w:t xml:space="preserve">. </w:t>
      </w:r>
      <w:r>
        <w:rPr>
          <w:rStyle w:val="FootnoteAnchor"/>
          <w:rtl w:val="true"/>
        </w:rPr>
        <w:footnoteReference w:id="659"/>
      </w:r>
      <w:bookmarkStart w:id="811" w:name="pg5021_49430"/>
    </w:p>
    <w:p>
      <w:pPr>
        <w:pStyle w:val="Heading3"/>
        <w:numPr>
          <w:ilvl w:val="2"/>
          <w:numId w:val="1"/>
        </w:numPr>
        <w:rPr/>
      </w:pPr>
      <w:bookmarkStart w:id="812" w:name="__RefHeading___Toc580910_774463916"/>
      <w:bookmarkStart w:id="813" w:name="_Toc323"/>
      <w:bookmarkEnd w:id="811"/>
      <w:bookmarkEnd w:id="812"/>
      <w:r>
        <w:rPr>
          <w:rtl w:val="true"/>
        </w:rPr>
        <w:t>الدرس</w:t>
      </w:r>
      <w:r>
        <w:rPr/>
        <w:t>36</w:t>
      </w:r>
      <w:r>
        <w:rPr>
          <w:rtl w:val="true"/>
        </w:rPr>
        <w:t xml:space="preserve"> - </w:t>
      </w:r>
      <w:r>
        <w:rPr>
          <w:rtl w:val="true"/>
        </w:rPr>
        <w:t>کتاب الرضاع</w:t>
      </w:r>
      <w:bookmarkEnd w:id="813"/>
    </w:p>
    <w:p>
      <w:pPr>
        <w:pStyle w:val="Heading4"/>
        <w:numPr>
          <w:ilvl w:val="3"/>
          <w:numId w:val="1"/>
        </w:numPr>
        <w:rPr/>
      </w:pPr>
      <w:bookmarkStart w:id="814" w:name="__RefHeading___Toc580912_774463916"/>
      <w:bookmarkStart w:id="815" w:name="_Toc324"/>
      <w:bookmarkEnd w:id="814"/>
      <w:r>
        <w:rPr>
          <w:rtl w:val="true"/>
        </w:rPr>
        <w:t>أسباب التحریم بالرضاع</w:t>
      </w:r>
      <w:bookmarkEnd w:id="815"/>
    </w:p>
    <w:p>
      <w:pPr>
        <w:pStyle w:val="BookText"/>
        <w:rPr/>
      </w:pPr>
      <w:r>
        <w:rPr>
          <w:rFonts w:ascii="Amiri" w:hAnsi="Amiri" w:eastAsia="Amiri" w:cs="Amiri"/>
          <w:color w:val="111111"/>
          <w:sz w:val="28"/>
          <w:sz w:val="28"/>
          <w:szCs w:val="28"/>
          <w:rtl w:val="true"/>
          <w:lang w:bidi="ar-SA"/>
        </w:rPr>
        <w:t>و هو من الضروریات، ویدل علیه فی الجملة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أَخَواتُکُمْ مِنَ الرَّضاعَةِ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الرسول صلی الله علیه و 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 xml:space="preserve">. </w:t>
      </w:r>
      <w:r>
        <w:rPr>
          <w:rStyle w:val="FootnoteAnchor"/>
          <w:rtl w:val="true"/>
        </w:rPr>
        <w:footnoteReference w:id="660"/>
      </w:r>
    </w:p>
    <w:p>
      <w:pPr>
        <w:pStyle w:val="Heading4"/>
        <w:numPr>
          <w:ilvl w:val="3"/>
          <w:numId w:val="1"/>
        </w:numPr>
        <w:rPr/>
      </w:pPr>
      <w:bookmarkStart w:id="816" w:name="__RefHeading___Toc580914_774463916"/>
      <w:bookmarkStart w:id="817" w:name="_Toc325"/>
      <w:bookmarkEnd w:id="816"/>
      <w:r>
        <w:rPr>
          <w:rtl w:val="true"/>
        </w:rPr>
        <w:t>المحرمات بالرضاع</w:t>
      </w:r>
      <w:bookmarkEnd w:id="8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 عنوان نسبی من العناوین السبعة المتقدّمة إذا حصل مثله فی الرضاع یکون موجباً للتحریم، کالحاصل بالولادة، وعلیه فتصیر المرضعة أُمَّا للرضیع، وصاحب اللبن أی زوج المرضعة، أباً له، وأخوتها أخوالاً وأعماماً له، وأخواتهما عمّات وخالات له، وأولادهما أخوة له وهکذا تصیر المرضعة جدّة لأبناء الرضیع، وصاحب اللبن جدّاً لهم، کلّ ذلک لقوله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والعناوین الثابت تحریمها بالنسب فی الشریعة هی هذه السبعة، وعلیه لو أرضعت</w:t>
      </w:r>
    </w:p>
    <w:p>
      <w:pPr>
        <w:pStyle w:val="BookText"/>
        <w:rPr/>
      </w:pPr>
      <w:r>
        <w:rPr>
          <w:rFonts w:ascii="IRNazanin" w:hAnsi="IRNazanin" w:eastAsia="IRNazanin"/>
          <w:color w:val="111111"/>
          <w:sz w:val="28"/>
          <w:sz w:val="28"/>
          <w:szCs w:val="28"/>
          <w:rtl w:val="true"/>
          <w:lang w:bidi="fa-IR"/>
        </w:rPr>
        <w:t>امرأة أحد أخوین صارت أمّاً له دون الآخر فلاتحرم علیه، أما عنوان أم أخیه فلیس من العناوین السبعة فی باب النسب، وإنّما تحرم أم الأخ فی باب النسب، لکونها أُمّاً نسبیة أو زوجة الأب لابعنوان أمّ الاخ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تحرم علی أبی المرتضع بنات المرضعة النسبیات، مثلاً تحرم علی والد رسول‌الله صلی الله علیه و آله بنات حلیمة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بالرغم من فقدان العناوین المحّرمة فی النسب حیث لایصرن بالإضافة إلیه إلاّ أخوات لولده أو یکون هو أباً لأخیهّن وهما لیسا من المحرّمات فی باب النسب، وإنّما یدلّ علی الحرمة الروایات، ففی صحیح عبدالله بن جعفر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کتبتُ إلی أبی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رضعت ولد الرجل، هل یحلّ لذلک الرجل أن یتزوّج ابنة هذه المرضعة أم لا؟ فوقّع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لاتحلّ له</w:t>
      </w:r>
      <w:r>
        <w:rPr>
          <w:rFonts w:eastAsia="IRNazanin" w:cs="IRNazanin"/>
          <w:color w:val="111111"/>
          <w:sz w:val="28"/>
          <w:szCs w:val="28"/>
          <w:rtl w:val="true"/>
          <w:lang w:bidi="fa-IR"/>
        </w:rPr>
        <w:t xml:space="preserve">. </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وعلل الحکم فی صحیحة أیوب بن نوح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 ولدها صار بمنزلة ولده</w:t>
      </w:r>
      <w:r>
        <w:rPr>
          <w:rFonts w:eastAsia="IRNazanin" w:cs="IRNazanin"/>
          <w:color w:val="111111"/>
          <w:sz w:val="28"/>
          <w:szCs w:val="28"/>
          <w:rtl w:val="true"/>
          <w:lang w:bidi="fa-IR"/>
        </w:rPr>
        <w:t xml:space="preserve">». </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ومن هنا لو أرضعت أم الزوجة ولد بنتها، حرمت بنتها علی زوجها دائماً، وهل یجری ذلک فی أولادها رضاعاً أیضاً، فیه تأمل؛ اذ الحکم تعبّدی وظهور لعنوان ولد الرجل للولد رضاعاً، وعلیه فلامانع للتمسّک فیه بأصالة الحلّ، المستفاد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أُحِلَّ لَکُمْ ما وَراءَ ذلِکُمْ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الاحتیاط لاینبغی ترکه لاسیما بملاحظة التعلیل المذکور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تحرم علی أبی المرتضع أیضاً بنات صاحب اللبن، فلایجوز لأبیه صلی الله علیه و آله نکاح بنات زوج؛ للنّص وإن کانت القاعدة لاتقتضی ذلک کما تقدم، والنّص هو صحیح علی بن مهزیار قال</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سأل عیسی بن جعفر بن عیسی، أبا جعفر الثانی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امرأة أرضعت لی صبیاً، فهل یحلّ لی أن أتزّوج ابنة زوجها؟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أجود ما سألت، من هیهنا یؤتی أن یقول الناس حرمت علیه امرأته من قبل لبن الفحل، هذا هو لبن الفحل، لا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الجاریة لیست ابنة المرأة التی أرضعت له، هی ابنة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لوکن عشراً متفرقات ما حلّ لک شی منهنّ، وکنّ فی موضع بناتک</w:t>
      </w:r>
      <w:r>
        <w:rPr>
          <w:rFonts w:eastAsia="IRNazanin" w:cs="IRNazanin"/>
          <w:color w:val="111111"/>
          <w:sz w:val="28"/>
          <w:szCs w:val="28"/>
          <w:rtl w:val="true"/>
          <w:lang w:bidi="fa-IR"/>
        </w:rPr>
        <w:t xml:space="preserve">. </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وهل یجری ذلک فی اولاده رضاعاً؟ فیه تأمل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یحرم الرضیع علی أولاد صاحب اللبن ولادة أو رضاعاً، فیحرم علیه صلی الله علیه و آله بنات زوج، لانّهنّ أخواته، والأخوات أحد العناوین المحرّمة بالنسب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یحرم الرضیع علی أولاد المرضعة لکونهم أخوة 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ینتسب إلیها بالرضاع کلام یأتی، فی اشتراط اتّحاد الفحل فی انتشار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لایخفی عدم الفرق فی انتشار الحرمة بالرضاع بین کونه سابقاً علی العقد أو لاحقاً بلا إشکال ولاخلاف، لإطلاق 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وخصوص صحیح الحلبی ومحمد بن مسلم عن أبی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أن رجلاً تزوج جاریة رضیعة فأرضعتها امرأته فسد النکاح</w:t>
      </w:r>
      <w:r>
        <w:rPr>
          <w:rFonts w:eastAsia="IRNazanin" w:cs="IRNazanin"/>
          <w:color w:val="111111"/>
          <w:sz w:val="28"/>
          <w:szCs w:val="28"/>
          <w:rtl w:val="true"/>
          <w:lang w:bidi="fa-IR"/>
        </w:rPr>
        <w:t xml:space="preserve">. </w:t>
      </w:r>
      <w:r>
        <w:rPr>
          <w:rStyle w:val="FootnoteAnchor"/>
          <w:rtl w:val="true"/>
        </w:rPr>
        <w:footnoteReference w:id="664"/>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فإذا کانت له زوجة صغیرة فأرضعتها بنته، أو امّه، أو اخته، أو بنت اخته، حرمت علیه الصغیرة أبداً</w:t>
      </w:r>
      <w:r>
        <w:rPr>
          <w:rFonts w:eastAsia="IRNazanin" w:cs="IRNazanin"/>
          <w:color w:val="111111"/>
          <w:sz w:val="28"/>
          <w:szCs w:val="28"/>
          <w:rtl w:val="true"/>
          <w:lang w:bidi="fa-IR"/>
        </w:rPr>
        <w:t>.</w:t>
      </w:r>
      <w:bookmarkStart w:id="818" w:name="pg5021_49433"/>
    </w:p>
    <w:p>
      <w:pPr>
        <w:pStyle w:val="Heading3"/>
        <w:numPr>
          <w:ilvl w:val="2"/>
          <w:numId w:val="1"/>
        </w:numPr>
        <w:rPr/>
      </w:pPr>
      <w:bookmarkStart w:id="819" w:name="__RefHeading___Toc580916_774463916"/>
      <w:bookmarkStart w:id="820" w:name="_Toc326"/>
      <w:bookmarkEnd w:id="818"/>
      <w:bookmarkEnd w:id="819"/>
      <w:r>
        <w:rPr>
          <w:rtl w:val="true"/>
        </w:rPr>
        <w:t>الدرس</w:t>
      </w:r>
      <w:r>
        <w:rPr/>
        <w:t>37</w:t>
      </w:r>
      <w:r>
        <w:rPr>
          <w:rtl w:val="true"/>
        </w:rPr>
        <w:t xml:space="preserve"> - </w:t>
      </w:r>
      <w:r>
        <w:rPr>
          <w:rtl w:val="true"/>
        </w:rPr>
        <w:t xml:space="preserve">کتاب الرضاع </w:t>
      </w:r>
      <w:r>
        <w:rPr>
          <w:rtl w:val="true"/>
        </w:rPr>
        <w:t>(</w:t>
      </w:r>
      <w:r>
        <w:rPr/>
        <w:t>2</w:t>
      </w:r>
      <w:r>
        <w:rPr>
          <w:rtl w:val="true"/>
        </w:rPr>
        <w:t>)</w:t>
      </w:r>
      <w:bookmarkEnd w:id="820"/>
    </w:p>
    <w:p>
      <w:pPr>
        <w:pStyle w:val="Heading4"/>
        <w:numPr>
          <w:ilvl w:val="3"/>
          <w:numId w:val="1"/>
        </w:numPr>
        <w:rPr/>
      </w:pPr>
      <w:bookmarkStart w:id="821" w:name="__RefHeading___Toc580918_774463916"/>
      <w:bookmarkStart w:id="822" w:name="_Toc327"/>
      <w:bookmarkEnd w:id="821"/>
      <w:r>
        <w:rPr>
          <w:rtl w:val="true"/>
        </w:rPr>
        <w:t>شرائط الرضاع المحرّم</w:t>
      </w:r>
      <w:bookmarkEnd w:id="822"/>
    </w:p>
    <w:p>
      <w:pPr>
        <w:pStyle w:val="BookText"/>
        <w:rPr/>
      </w:pPr>
      <w:r>
        <w:rPr>
          <w:rFonts w:ascii="IRNazanin" w:hAnsi="IRNazanin" w:eastAsia="IRNazanin"/>
          <w:color w:val="111111"/>
          <w:sz w:val="28"/>
          <w:sz w:val="28"/>
          <w:szCs w:val="28"/>
          <w:rtl w:val="true"/>
          <w:lang w:bidi="fa-IR"/>
        </w:rPr>
        <w:t>یتوقف انتشار الحرمة بالرضاع علی شروط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حصول اللبن من ولادة شرعیه من نکاح أو ملک؛ للاجماع،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فلو درّ اللبن من دون ذلک لم ینشر الحرمة، کما لو درّ من الزنا ولو مع الولادة، ففی صحیح یونس بن یعقوب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امرأة درّ لبنها من غیر ولادة، فأرضعت جاریة وغلاماً من ذلک اللبن، هل یحرم بذلک اللّبن ما یحرم ما الرضاع؟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وفی صحیح عبدالله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لبن الفحل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ما أرضعت امرأتک من لبنک ولبن ولدک ولد امرأة اخری، فهو حرام</w:t>
      </w:r>
      <w:r>
        <w:rPr>
          <w:rFonts w:eastAsia="IRNazanin" w:cs="IRNazanin"/>
          <w:color w:val="111111"/>
          <w:sz w:val="28"/>
          <w:szCs w:val="28"/>
          <w:rtl w:val="true"/>
          <w:lang w:bidi="fa-IR"/>
        </w:rPr>
        <w:t xml:space="preserve">. </w:t>
      </w:r>
      <w:r>
        <w:rPr>
          <w:rStyle w:val="FootnoteAnchor"/>
          <w:rtl w:val="true"/>
        </w:rPr>
        <w:footnoteReference w:id="666"/>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باعتبار أنّ إسناد اللبن إلی الزوج یدل علی اعتبار الوطوء والحمل والولادة، إذ لا یحصل اللبن للمزوّجة عادة، إلاّ بعدها، وعلیه فلا یحرم ما إذا درّ اللبن بالآلات الحدیثة، وهل یحرم ما إذا حصل بالحمل فقط؟ وجهان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الارتضاع من الثدی بالامتصاص، فلو وُجر فی حلقه اللبن، أو شرب المحلوب من اللبّن، لم ینشر الحرمة؛ لأنّ الإرضاع والرضاعة هو مصّ الثدی، فلا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شرب الحلیب المحلوب من البقرة أنّه ارتضع منها، کما أصرّ علی ذلک فی الحدائق،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ویؤیده خبر زرارة عن الصادق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الرضاع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لایحرم من الرضاع إلاّ ما ارتضعا من ثدی واحد</w:t>
      </w:r>
      <w:r>
        <w:rPr>
          <w:rFonts w:eastAsia="IRNazanin" w:cs="IRNazanin"/>
          <w:color w:val="111111"/>
          <w:sz w:val="28"/>
          <w:szCs w:val="28"/>
          <w:rtl w:val="true"/>
          <w:lang w:bidi="fa-IR"/>
        </w:rPr>
        <w:t xml:space="preserve">.... </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هذا هو المشهور وقیل لایشترط کما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الإسکانی، </w:t>
      </w:r>
      <w:r>
        <w:rPr>
          <w:rStyle w:val="FootnoteAnchor"/>
          <w:rtl w:val="true"/>
        </w:rPr>
        <w:footnoteReference w:id="668"/>
      </w:r>
      <w:r>
        <w:rPr>
          <w:rFonts w:ascii="IRNazanin" w:hAnsi="IRNazanin" w:eastAsia="IRNazanin"/>
          <w:color w:val="111111"/>
          <w:sz w:val="28"/>
          <w:sz w:val="28"/>
          <w:szCs w:val="28"/>
          <w:rtl w:val="true"/>
          <w:lang w:bidi="fa-IR"/>
        </w:rPr>
        <w:t xml:space="preserve">والشیخ فی موضع من المسبوط؛ </w:t>
      </w:r>
      <w:r>
        <w:rPr>
          <w:rStyle w:val="FootnoteAnchor"/>
          <w:rtl w:val="true"/>
        </w:rPr>
        <w:footnoteReference w:id="669"/>
      </w:r>
      <w:r>
        <w:rPr>
          <w:rFonts w:ascii="IRNazanin" w:hAnsi="IRNazanin" w:eastAsia="IRNazanin"/>
          <w:color w:val="111111"/>
          <w:sz w:val="28"/>
          <w:sz w:val="28"/>
          <w:szCs w:val="28"/>
          <w:rtl w:val="true"/>
          <w:lang w:bidi="fa-IR"/>
        </w:rPr>
        <w:t>لمرسلة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وجور الصبی بمنزلة الرضاع</w:t>
      </w:r>
      <w:r>
        <w:rPr>
          <w:rFonts w:eastAsia="IRNazanin" w:cs="IRNazanin"/>
          <w:color w:val="111111"/>
          <w:sz w:val="28"/>
          <w:szCs w:val="28"/>
          <w:rtl w:val="true"/>
          <w:lang w:bidi="fa-IR"/>
        </w:rPr>
        <w:t xml:space="preserve">.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ولعل العرف کالاعتبار لایری خصوصیة للامتصاص من الثدی، بل یری أنّ المعتبر تغذی الصبی من لبنها لاسیما بملاحظة مایأتی من أنّ الاعتبار فی الرضاع بانبات اللحم والدّم، ولاریب أنّ الأخیر أحوط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 الرضیع فی الحولین، فلاعبرة برضاعه بعدهما إجماعاً، کما عن الجواهر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لقوله صلی الله علیه و آله فی صحیحة منصور بن حازم عن أبی عبدالله علیه السلام عنه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لارضاع بعد فطام</w:t>
      </w:r>
      <w:r>
        <w:rPr>
          <w:rFonts w:eastAsia="IRNazanin" w:cs="IRNazanin"/>
          <w:color w:val="111111"/>
          <w:sz w:val="28"/>
          <w:szCs w:val="28"/>
          <w:rtl w:val="true"/>
          <w:lang w:bidi="fa-IR"/>
        </w:rPr>
        <w:t xml:space="preserve">. </w:t>
      </w:r>
      <w:r>
        <w:rPr>
          <w:rStyle w:val="FootnoteAnchor"/>
          <w:rtl w:val="true"/>
        </w:rPr>
        <w:footnoteReference w:id="671"/>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قالت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رضاع الکبیر یحرم کما یحرم رضاع الصغیر</w:t>
      </w:r>
      <w:r>
        <w:rPr>
          <w:rFonts w:eastAsia="IRNazanin" w:cs="IRNazanin"/>
          <w:color w:val="111111"/>
          <w:sz w:val="28"/>
          <w:szCs w:val="28"/>
          <w:rtl w:val="true"/>
          <w:lang w:bidi="fa-IR"/>
        </w:rPr>
        <w:t xml:space="preserve">». </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وإنما الکلام فی حدّ الفطام هل هو الحولان أو المراد هو حصول الفطام ولو قبلهما؟ ظاهر العنوان هو الثانی، لکنّ النص یدلّ علی الأوّل، فعن حمّاد بن عثمان، قال سمعت أبا عبدالله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لارضاع بعد فطام، قلت وما الفطام؟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الحولین الذی قال الله عزوجل</w:t>
      </w:r>
      <w:r>
        <w:rPr>
          <w:rFonts w:eastAsia="IRNazanin" w:cs="IRNazanin"/>
          <w:color w:val="111111"/>
          <w:sz w:val="28"/>
          <w:szCs w:val="28"/>
          <w:rtl w:val="true"/>
          <w:lang w:bidi="fa-IR"/>
        </w:rPr>
        <w:t xml:space="preserve">. </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إلاّ أن فی سندها سهل بن زیاد، وفیه خلاف مشهور، ولم یستبعد اعتباره، وربما یستدل للثانی بقول أبی عبدالله علیه السلام فی صحیح فضل بن عبدالملک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الرضاع قبل الحولین، قبل أن یفطم</w:t>
      </w:r>
      <w:r>
        <w:rPr>
          <w:rFonts w:eastAsia="IRNazanin" w:cs="IRNazanin"/>
          <w:color w:val="111111"/>
          <w:sz w:val="28"/>
          <w:szCs w:val="28"/>
          <w:rtl w:val="true"/>
          <w:lang w:bidi="fa-IR"/>
        </w:rPr>
        <w:t xml:space="preserve">. </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والأحوط هو الثانی بل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الطفل بعد الفطام لایرجع إلی الارتضاع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اتحاد الفحل بان یکون تمام العدد فی فحل واحد، بلاخلاف بل عن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الإجماع بقسمیه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وعلیه فلو أرضعته امرأة من لبن فحلین بأن أرضعته بعض الرضعات بلبن فحل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فارقته وأرضعته تمام النصاب بلبن فحل آخر، فإنّ ذلک لاینشر الحرمة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ویدل علیه موثّقة زیاد بن سوقه</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للرضاع حدّ یؤخذ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لایحرّم الرضاع أقل من یوم ولیلة أو خمس عشرة رضعة متوالیات من امرأة واحدة من لبن فحل واحد لم یفصل</w:t>
      </w:r>
    </w:p>
    <w:p>
      <w:pPr>
        <w:pStyle w:val="BookText"/>
        <w:rPr/>
      </w:pPr>
      <w:r>
        <w:rPr>
          <w:rFonts w:ascii="IRNazanin" w:hAnsi="IRNazanin" w:eastAsia="IRNazanin"/>
          <w:color w:val="111111"/>
          <w:sz w:val="28"/>
          <w:sz w:val="28"/>
          <w:szCs w:val="28"/>
          <w:rtl w:val="true"/>
          <w:lang w:bidi="fa-IR"/>
        </w:rPr>
        <w:t>بینها رضعة امرأة غیرها، فلوان امرأة أرضعت غلاماً أو جاریة عشر رضعات من لبن فحل واحد وأرضعتهما امرأة اخری من فحل آخر عشر رضعات، لم یحرم نکاحهما</w:t>
      </w:r>
      <w:r>
        <w:rPr>
          <w:rFonts w:eastAsia="IRNazanin" w:cs="IRNazanin"/>
          <w:color w:val="111111"/>
          <w:sz w:val="28"/>
          <w:szCs w:val="28"/>
          <w:rtl w:val="true"/>
          <w:lang w:bidi="fa-IR"/>
        </w:rPr>
        <w:t xml:space="preserve">. </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هذا کلّه إذا کان الرضاع الثانی مکمّلاً للأول، أمّا إذا کانا کاملین بأن أرضعت صبیاً بلبن فحل تمام العدد، ثمّ فارقته وتزوجت بآخر وأرضعت صبیة بلبن الآخر تمام العدد، فلاریب فی حصول التحریم بین المرتضع وصاحب کلّ لبن والمرضعة، وإنما الکلام فی انتشار الحرمة بین الرضیعین باعتبارهما أخاوأختا من أم واحدة، المشهور هو عدم التحریم لعدم اتحاد الفحل، وخالفهم الطبرسی، والکاشانی ولکلٍّ من القولین وجه ودلیل، المشهور أرجح وإن کان الاحتیاط مع الثانی، ولاینبغی ترکه، وقد أو کلنا استیفاء البحث إلی مجال أوسع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وحدة المرضعة، للموثّقة المتقدّمة، فلوکانت لرجل زوجتان اشترکتا فی إرضاع طفل تمام النصاب لم ینشر الحرمة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الرضاع المحرِمّ، الکمّیة وهی، بلوغه حدّاً معیناً فلا یکفی مسّمی الرضاع؛ بضرورة الفقه ولارضعة کاملة، علی المشهور شهرة عظیمة کادت أن تکون إجماعاً وعلیه الروایات المستفیضة أو المتواترة، فما عن کثیر من العامة خلافاً لأکثرهم</w:t>
      </w:r>
      <w:r>
        <w:rPr>
          <w:rFonts w:eastAsia="IRNazanin" w:cs="IRNazanin"/>
          <w:color w:val="111111"/>
          <w:sz w:val="28"/>
          <w:szCs w:val="28"/>
          <w:rtl w:val="true"/>
          <w:lang w:bidi="fa-IR"/>
        </w:rPr>
        <w:t xml:space="preserve">. </w:t>
      </w:r>
      <w:r>
        <w:rPr>
          <w:rStyle w:val="FootnoteAnchor"/>
          <w:rtl w:val="true"/>
        </w:rPr>
        <w:footnoteReference w:id="676"/>
      </w:r>
      <w:r>
        <w:rPr>
          <w:rFonts w:ascii="IRNazanin" w:hAnsi="IRNazanin" w:eastAsia="IRNazanin"/>
          <w:color w:val="111111"/>
          <w:sz w:val="28"/>
          <w:sz w:val="28"/>
          <w:szCs w:val="28"/>
          <w:rtl w:val="true"/>
          <w:lang w:bidi="fa-IR"/>
        </w:rPr>
        <w:t>من التحریم بمطلق الرضاع وإن قلّ معلوم البطلان، ولاعبرة ببعض الروایات المهجورات فی قبال الروایات الکثیرة الدالة علی لزوم العدد او الیوم واللیلة أو إنبات اللحم کما تأتی</w:t>
      </w:r>
      <w:r>
        <w:rPr>
          <w:rFonts w:eastAsia="IRNazanin" w:cs="IRNazanin"/>
          <w:color w:val="111111"/>
          <w:sz w:val="28"/>
          <w:szCs w:val="28"/>
          <w:rtl w:val="true"/>
          <w:lang w:bidi="fa-IR"/>
        </w:rPr>
        <w:t>.</w:t>
      </w:r>
      <w:bookmarkStart w:id="823" w:name="pg5021_49437"/>
    </w:p>
    <w:p>
      <w:pPr>
        <w:pStyle w:val="Heading3"/>
        <w:numPr>
          <w:ilvl w:val="2"/>
          <w:numId w:val="1"/>
        </w:numPr>
        <w:rPr/>
      </w:pPr>
      <w:bookmarkStart w:id="824" w:name="__RefHeading___Toc580920_774463916"/>
      <w:bookmarkStart w:id="825" w:name="_Toc328"/>
      <w:bookmarkEnd w:id="823"/>
      <w:bookmarkEnd w:id="824"/>
      <w:r>
        <w:rPr>
          <w:rtl w:val="true"/>
        </w:rPr>
        <w:t>الدرس</w:t>
      </w:r>
      <w:r>
        <w:rPr/>
        <w:t>38</w:t>
      </w:r>
      <w:r>
        <w:rPr>
          <w:rtl w:val="true"/>
        </w:rPr>
        <w:t xml:space="preserve"> -</w:t>
      </w:r>
      <w:r>
        <w:rPr>
          <w:rtl w:val="true"/>
        </w:rPr>
        <w:t xml:space="preserve">کتاب الرضاع </w:t>
      </w:r>
      <w:r>
        <w:rPr>
          <w:rtl w:val="true"/>
        </w:rPr>
        <w:t>(</w:t>
      </w:r>
      <w:r>
        <w:rPr/>
        <w:t>3</w:t>
      </w:r>
      <w:r>
        <w:rPr>
          <w:rtl w:val="true"/>
        </w:rPr>
        <w:t>)</w:t>
      </w:r>
      <w:bookmarkEnd w:id="825"/>
    </w:p>
    <w:p>
      <w:pPr>
        <w:pStyle w:val="Heading4"/>
        <w:numPr>
          <w:ilvl w:val="3"/>
          <w:numId w:val="1"/>
        </w:numPr>
        <w:rPr/>
      </w:pPr>
      <w:bookmarkStart w:id="826" w:name="__RefHeading___Toc580922_774463916"/>
      <w:bookmarkStart w:id="827" w:name="_Toc329"/>
      <w:bookmarkEnd w:id="826"/>
      <w:r>
        <w:rPr>
          <w:rtl w:val="true"/>
        </w:rPr>
        <w:t>تحدید کمیّة الرضاع</w:t>
      </w:r>
      <w:bookmarkEnd w:id="827"/>
    </w:p>
    <w:p>
      <w:pPr>
        <w:pStyle w:val="BookText"/>
        <w:rPr/>
      </w:pPr>
      <w:r>
        <w:rPr>
          <w:rFonts w:ascii="IRNazanin" w:hAnsi="IRNazanin" w:eastAsia="IRNazanin"/>
          <w:color w:val="111111"/>
          <w:sz w:val="28"/>
          <w:sz w:val="28"/>
          <w:szCs w:val="28"/>
          <w:rtl w:val="true"/>
          <w:lang w:bidi="fa-IR"/>
        </w:rPr>
        <w:t>و المذکور فی الروایات تقدیرات ثلاثة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یتحقق الرضاع بمقدار ینبت اللّحم ویشدّ العظم، ففی صحیح علی بن رئاب عن أبی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یحرم من الرضاع؟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أنبت اللحم وشدّ العظم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مرضعات؟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لأنه لاتنبت اللحم ولاتشدّ العظم عشر رضعات</w:t>
      </w:r>
      <w:r>
        <w:rPr>
          <w:rFonts w:eastAsia="IRNazanin" w:cs="IRNazanin"/>
          <w:color w:val="111111"/>
          <w:sz w:val="28"/>
          <w:szCs w:val="28"/>
          <w:rtl w:val="true"/>
          <w:lang w:bidi="fa-IR"/>
        </w:rPr>
        <w:t xml:space="preserve">. </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وفی صحیح حماد بن عثمان عن أبی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لایحرم من الرضاع ألاّ ما أنبت اللحم والدم</w:t>
      </w:r>
      <w:r>
        <w:rPr>
          <w:rFonts w:eastAsia="IRNazanin" w:cs="IRNazanin"/>
          <w:color w:val="111111"/>
          <w:sz w:val="28"/>
          <w:szCs w:val="28"/>
          <w:rtl w:val="true"/>
          <w:lang w:bidi="fa-IR"/>
        </w:rPr>
        <w:t xml:space="preserve">. </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بل یظهر منهما ومن غیرهما، أن الأثر هو الأصل فی التحدید وأن التحدید الزمانی والکمّی یکون کطریق الإحراز لذالک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الیوم واللیلة کما تقدّم فی موثقة زیاد بن سَوَقة، ونحوها مرسلة الصدوق،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قبالهما روایات أخری بعضها یدل علی اعتبار سنة وبعضها سنتین، وهی مهجورة</w:t>
      </w:r>
    </w:p>
    <w:p>
      <w:pPr>
        <w:pStyle w:val="BookText"/>
        <w:rPr/>
      </w:pPr>
      <w:r>
        <w:rPr>
          <w:rFonts w:ascii="IRNazanin" w:hAnsi="IRNazanin" w:eastAsia="IRNazanin"/>
          <w:color w:val="111111"/>
          <w:sz w:val="28"/>
          <w:sz w:val="28"/>
          <w:szCs w:val="28"/>
          <w:rtl w:val="true"/>
          <w:lang w:bidi="fa-IR"/>
        </w:rPr>
        <w:t>فتوی وعملاً، ومعارضة بما هو أکثر منها وأدلّ، کیف ومسألة الرّضاع من الأمور المتبلی بها لاسیما فی تلک الأزمنة، ولو کان التحریم یحتاج إلی سنة أو سنتین لانتشر هذا الحکم بین عوام الشیعة فضلاً عن علمائهم مع أن الأمر علی العکس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اختلفوا فی أقله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وهو المنسوب إلی مشهور المتقدّمین وجماعة من المتأخرین،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عشرة، وهو المشهور بین المتأخرین، واستدلّ کلٌّ بروایات إلا أنّ ما علیه المشهور بین المتأخرین أقوی لصراحة ما یدل علیه، منها ما تقدم من موثقة زیاد بن سوقه، ومنها صحیح بن زیاد عن أبی عبدالله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رضعات لایحرّمن شیئاً</w:t>
      </w:r>
      <w:r>
        <w:rPr>
          <w:rFonts w:eastAsia="IRNazanin" w:cs="IRNazanin"/>
          <w:color w:val="111111"/>
          <w:sz w:val="28"/>
          <w:szCs w:val="28"/>
          <w:rtl w:val="true"/>
          <w:lang w:bidi="fa-IR"/>
        </w:rPr>
        <w:t xml:space="preserve">. </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وکذا صحیح علی بن رئاب کما تقدّم، بل روایات العشر موافقه للعامة، وفیها قرائن ترشد الی ذلک، نعم، الأحوط هو القول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یعتبر فی الزمان عدم الفصل برضاع آخر لانصراف الیوم واللیلة إلی ذلک وکذلک فی التحدید بالعدد لدلالة موثقة زیاد علی ذلک حیث قال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خمس عشرة رضعة متوالیات من امرأة واحدة</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لایعتبر ذلک فی التحدید الکیفی الاثری لاطلاق دلیله، وأما الفصل بالأکل والشرب فلایضّر فی الأخیر؛ لإطلاق دلیله ویضّر فی الزمانی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صدق الارتضاع فی الیوم واللیلة مع الفصل بهما إلا قلیلاً مما هو متعارف من شرب الماء والدواء مما لایضر بالصدق عرفاً، أما التحدید بالعدد فلا دلیل علی عدمه بهما فیکون اطلاق العدد محکماً، نعم، بناء علی طریقیة العدد للأثر یَشْکل الحکم فیما إذا کان الفصل بالأکل والشرب کثیراً لایصدق معه إنبات اللحم وشدّ العظم</w:t>
      </w:r>
      <w:r>
        <w:rPr>
          <w:rFonts w:eastAsia="IRNazanin" w:cs="IRNazanin"/>
          <w:color w:val="111111"/>
          <w:sz w:val="28"/>
          <w:szCs w:val="28"/>
          <w:rtl w:val="true"/>
          <w:lang w:bidi="fa-IR"/>
        </w:rPr>
        <w:t>.</w:t>
      </w:r>
      <w:bookmarkStart w:id="828" w:name="pg5021_49439"/>
    </w:p>
    <w:p>
      <w:pPr>
        <w:pStyle w:val="Heading3"/>
        <w:numPr>
          <w:ilvl w:val="2"/>
          <w:numId w:val="1"/>
        </w:numPr>
        <w:rPr/>
      </w:pPr>
      <w:bookmarkStart w:id="829" w:name="__RefHeading___Toc580924_774463916"/>
      <w:bookmarkStart w:id="830" w:name="_Toc330"/>
      <w:bookmarkEnd w:id="828"/>
      <w:bookmarkEnd w:id="829"/>
      <w:r>
        <w:rPr>
          <w:rtl w:val="true"/>
        </w:rPr>
        <w:t>الدرس</w:t>
      </w:r>
      <w:r>
        <w:rPr/>
        <w:t>39</w:t>
      </w:r>
      <w:r>
        <w:rPr>
          <w:rtl w:val="true"/>
        </w:rPr>
        <w:t xml:space="preserve"> - </w:t>
      </w:r>
      <w:r>
        <w:rPr>
          <w:rtl w:val="true"/>
        </w:rPr>
        <w:t>من أسباب تحریم النکاح</w:t>
      </w:r>
      <w:bookmarkEnd w:id="830"/>
    </w:p>
    <w:p>
      <w:pPr>
        <w:pStyle w:val="Heading4"/>
        <w:numPr>
          <w:ilvl w:val="3"/>
          <w:numId w:val="1"/>
        </w:numPr>
        <w:rPr/>
      </w:pPr>
      <w:bookmarkStart w:id="831" w:name="__RefHeading___Toc580926_774463916"/>
      <w:bookmarkStart w:id="832" w:name="_Toc331"/>
      <w:bookmarkEnd w:id="831"/>
      <w:r>
        <w:rPr>
          <w:rtl w:val="true"/>
        </w:rPr>
        <w:t>الزواج فی العدة</w:t>
      </w:r>
      <w:bookmarkEnd w:id="832"/>
    </w:p>
    <w:p>
      <w:pPr>
        <w:pStyle w:val="BookText"/>
        <w:rPr/>
      </w:pPr>
      <w:r>
        <w:rPr>
          <w:rFonts w:ascii="Amiri" w:hAnsi="Amiri" w:eastAsia="Amiri" w:cs="Amiri"/>
          <w:color w:val="111111"/>
          <w:sz w:val="28"/>
          <w:sz w:val="28"/>
          <w:szCs w:val="28"/>
          <w:rtl w:val="true"/>
          <w:lang w:bidi="ar-SA"/>
        </w:rPr>
        <w:t>لایجوز الزواج بالمرأة فی عدتها من الغیر؛ لضرورة الفقه،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النَّبِیُّ إِذا طَلَّقْتُمُ النِّساءَ فَطَلِّقُوهُنَّ لِعِدَّتِهِنَّ وَ أَحْصُوا الْعِدَّةَ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لاوجه للزوم إحصاء إلعدّة إلّا الاجتناب فیها من التزوج، وغیر ذلک من الآیات والروایات فی ذلک متظافرة یأتی بعضها إنشاء الله تعالی، نعم، یجوز للزوج تزویج من فی عدّة نفسه بلاخلاف بین الأصحاب لأنّ العدة إنما شرعّت للمنع عن التزویج من غیره احتراماً لذی العدة مضافاً إلی أنّ مورد الروایات الناهیة إنما هو غیر ذی العدة</w:t>
      </w:r>
      <w:r>
        <w:rPr>
          <w:rFonts w:eastAsia="Amiri" w:cs="Amiri" w:ascii="Amiri" w:hAnsi="Amiri"/>
          <w:color w:val="111111"/>
          <w:sz w:val="28"/>
          <w:szCs w:val="28"/>
          <w:rtl w:val="true"/>
          <w:lang w:bidi="ar-SA"/>
        </w:rPr>
        <w:t xml:space="preserve">. </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 xml:space="preserve">و تحرم مؤبداً مع العلم أو الدخول ففی صحیحة الحلبی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تزوج الرجل المرأة فی عدّتها ودخل بها لم تحلّ له أبداً عالماً کان أو جاهلاً، وإن لم یدخل حلّت للماجل ولم تحّل للآخر</w:t>
      </w:r>
      <w:r>
        <w:rPr>
          <w:rFonts w:eastAsia="IRNazanin" w:cs="IRNazanin"/>
          <w:color w:val="111111"/>
          <w:sz w:val="28"/>
          <w:szCs w:val="28"/>
          <w:rtl w:val="true"/>
          <w:lang w:bidi="fa-IR"/>
        </w:rPr>
        <w:t xml:space="preserve">. </w:t>
      </w:r>
      <w:r>
        <w:rPr>
          <w:rStyle w:val="FootnoteAnchor"/>
          <w:rtl w:val="true"/>
        </w:rPr>
        <w:footnoteReference w:id="681"/>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 تقیّد سائر الروایات المطلقة ولافرق فی الجهل بین الحکم والموضوع لصحیح</w:t>
      </w:r>
      <w:bookmarkStart w:id="833" w:name="pg5021_49440"/>
    </w:p>
    <w:p>
      <w:pPr>
        <w:pStyle w:val="BookText"/>
        <w:rPr/>
      </w:pPr>
      <w:bookmarkEnd w:id="833"/>
      <w:r>
        <w:rPr>
          <w:rFonts w:ascii="IRNazanin" w:hAnsi="IRNazanin" w:eastAsia="IRNazanin"/>
          <w:color w:val="111111"/>
          <w:sz w:val="28"/>
          <w:sz w:val="28"/>
          <w:szCs w:val="28"/>
          <w:rtl w:val="true"/>
          <w:lang w:bidi="fa-IR"/>
        </w:rPr>
        <w:t xml:space="preserve">عبدالرحمن بن الحجاج عن أبی إبراهیم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الرجل یتزوج المرأة فی عدّتها بجهالته، أهی ممّن لاتحلّ له أبداً؟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أمّا إذا کان بجهالة فلیتزوجها بعدما تنقضی عدتها وقدیعذر الناس فی الجهالة بما هو أعظم من ذلک،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الجهالتین یعذر؟ بجهالته أنّ ذلک محرّم علیه أم بجهالته أنها فی عدّة؟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إحدی الجهالتین أهون من الأخری، الجهالة بأنّ الله حرم ذلک علیه، وذلک بانّه لایقدر علی الاحتیاط معها،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الأخری معذور؟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انقضت عدتها فهو معذور فی أن یتزوجها؟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أحدهما متعمّداً والآخر بجهل؟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تعّمد لایحلّ له ان یرجع إلی صاحبه أبداً</w:t>
      </w:r>
      <w:r>
        <w:rPr>
          <w:rFonts w:eastAsia="IRNazanin" w:cs="IRNazanin"/>
          <w:color w:val="111111"/>
          <w:sz w:val="28"/>
          <w:szCs w:val="28"/>
          <w:rtl w:val="true"/>
          <w:lang w:bidi="fa-IR"/>
        </w:rPr>
        <w:t xml:space="preserve">.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وإذا تزوّج من غیر علم ودخول، فالعقد فاسد کما فی الروایات ومنها صحیح عبدالرحمن بن الحجاج المتقدّم، ولافرق فی العدّة بین کونها رجعّیة أو بائنة أو عدّة وفاة أو شبهة، کما لافرق فی التزویج بین الدوام والمتعة، کلّ ذلک لإطلاق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فرض التزویج بذات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بذات البعل ففیه أیضا طوائف من الروایات ومقتضی الجمع بینها هو الحرمة الأبدیة فی فرض العلم أو الدخول کما فی المسأله المتقدّمة، ومناسبة الحکم والموضوع وارتکاز العقلاء تدلّ علی أولویة الحرمة فی ذات البعل بالنسبة إلی ذات العدّة</w:t>
      </w:r>
      <w:r>
        <w:rPr>
          <w:rFonts w:eastAsia="IRNazanin" w:cs="IRNazanin"/>
          <w:color w:val="111111"/>
          <w:sz w:val="28"/>
          <w:szCs w:val="28"/>
          <w:rtl w:val="true"/>
          <w:lang w:bidi="fa-IR"/>
        </w:rPr>
        <w:t>.</w:t>
      </w:r>
    </w:p>
    <w:p>
      <w:pPr>
        <w:pStyle w:val="Heading4"/>
        <w:numPr>
          <w:ilvl w:val="3"/>
          <w:numId w:val="1"/>
        </w:numPr>
        <w:rPr/>
      </w:pPr>
      <w:bookmarkStart w:id="834" w:name="__RefHeading___Toc580928_774463916"/>
      <w:bookmarkStart w:id="835" w:name="_Toc332"/>
      <w:bookmarkEnd w:id="834"/>
      <w:r>
        <w:rPr>
          <w:rtl w:val="true"/>
        </w:rPr>
        <w:t>استیفاء العدد</w:t>
      </w:r>
      <w:bookmarkEnd w:id="835"/>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لاتجوز الزیادة فی العقد الدائم علی أربع زوجات لإجماع المسلمین علیه، وقد یستدل علیه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فَانْکِحُوا ما طابَ لَکُمْ مِنَ النِّساءِ مَثْنی وَ ثُلاثَ وَ رُباعَ فَإِنْ خِفْتُمْ أَلاّ تَعْدِلُوا فَواحِدَةً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علی أنّ الآیة فی مقام التحدید، وأمّا الروایات فدلالتها</w:t>
      </w:r>
    </w:p>
    <w:p>
      <w:pPr>
        <w:pStyle w:val="BookText"/>
        <w:rPr/>
      </w:pPr>
      <w:r>
        <w:rPr>
          <w:rFonts w:ascii="IRNazanin" w:hAnsi="IRNazanin" w:eastAsia="IRNazanin"/>
          <w:color w:val="111111"/>
          <w:sz w:val="28"/>
          <w:sz w:val="28"/>
          <w:szCs w:val="28"/>
          <w:rtl w:val="true"/>
          <w:lang w:bidi="fa-IR"/>
        </w:rPr>
        <w:t>أوضح من أنْ یذکر، نعم، لا تنحصر المتعة فی عدد للروایات الکثیرة کصحیح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یحل من المتعة؟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شئت؟ </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نعم، یعارضها موثّق عمار عن أبی عبدالله علیه السلام</w:t>
      </w:r>
    </w:p>
    <w:p>
      <w:pPr>
        <w:pStyle w:val="BookText"/>
        <w:rPr/>
      </w:pPr>
      <w:r>
        <w:rPr>
          <w:rFonts w:ascii="IRNazanin" w:hAnsi="IRNazanin" w:eastAsia="IRNazanin"/>
          <w:color w:val="111111"/>
          <w:sz w:val="28"/>
          <w:sz w:val="28"/>
          <w:szCs w:val="28"/>
          <w:rtl w:val="true"/>
          <w:lang w:bidi="fa-IR"/>
        </w:rPr>
        <w:t>عن المتعة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أحد الأربعة</w:t>
      </w:r>
      <w:r>
        <w:rPr>
          <w:rFonts w:eastAsia="IRNazanin" w:cs="IRNazanin"/>
          <w:color w:val="111111"/>
          <w:sz w:val="28"/>
          <w:szCs w:val="28"/>
          <w:rtl w:val="true"/>
          <w:lang w:bidi="fa-IR"/>
        </w:rPr>
        <w:t xml:space="preserve">. </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ولکن لابّد من حمله علی إرادة الاحتیاط والإخفاء عن المخالفین المشددّین فی هذه المسألة إذ لاطریق لذلک إلاّ بذلک کما یدل علیه بوضوح صحیح البزنطی عن أبی الحسن الرضا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أبوجعفر علیه السلام اجعلوهنَّ من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صفوان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الاحتیاط؟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685"/>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کانت عنده أربع وطلّق واحدة رجعیاً، فلایجوز له الزواج بالخامسة إلاّ بعد انتهاء العدة؛ لأنّ المطلّقة الرجعیة بمنزلة الزوجة، ویدل علیه صریحاً صحیح زرارة عن أبی عبدالله علیه السلام ، </w:t>
      </w:r>
      <w:r>
        <w:rPr>
          <w:rStyle w:val="FootnoteAnchor"/>
          <w:rtl w:val="true"/>
        </w:rPr>
        <w:footnoteReference w:id="686"/>
      </w:r>
      <w:r>
        <w:rPr>
          <w:rFonts w:ascii="IRNazanin" w:hAnsi="IRNazanin" w:eastAsia="IRNazanin"/>
          <w:color w:val="111111"/>
          <w:sz w:val="28"/>
          <w:sz w:val="28"/>
          <w:szCs w:val="28"/>
          <w:rtl w:val="true"/>
          <w:lang w:bidi="fa-IR"/>
        </w:rPr>
        <w:t>وقد یحصل التحریم بعد الطلاق الثالث أو السادس أو التاسع کما یأتی تفصیله فی کتاب الطلاق إنشاء الله تعالی</w:t>
      </w:r>
      <w:r>
        <w:rPr>
          <w:rFonts w:eastAsia="IRNazanin" w:cs="IRNazanin"/>
          <w:color w:val="111111"/>
          <w:sz w:val="28"/>
          <w:szCs w:val="28"/>
          <w:rtl w:val="true"/>
          <w:lang w:bidi="fa-IR"/>
        </w:rPr>
        <w:t>.</w:t>
      </w:r>
      <w:bookmarkStart w:id="836" w:name="pg5021_49442"/>
    </w:p>
    <w:p>
      <w:pPr>
        <w:pStyle w:val="Heading3"/>
        <w:numPr>
          <w:ilvl w:val="2"/>
          <w:numId w:val="1"/>
        </w:numPr>
        <w:rPr/>
      </w:pPr>
      <w:bookmarkStart w:id="837" w:name="__RefHeading___Toc580930_774463916"/>
      <w:bookmarkStart w:id="838" w:name="_Toc333"/>
      <w:bookmarkEnd w:id="836"/>
      <w:bookmarkEnd w:id="837"/>
      <w:r>
        <w:rPr>
          <w:rtl w:val="true"/>
        </w:rPr>
        <w:t>الدرس</w:t>
      </w:r>
      <w:r>
        <w:rPr/>
        <w:t>40</w:t>
      </w:r>
      <w:r>
        <w:rPr>
          <w:rtl w:val="true"/>
        </w:rPr>
        <w:t xml:space="preserve"> - </w:t>
      </w:r>
      <w:r>
        <w:rPr>
          <w:rtl w:val="true"/>
        </w:rPr>
        <w:t xml:space="preserve">من أسباب تحریم النکاح </w:t>
      </w:r>
      <w:r>
        <w:rPr>
          <w:rtl w:val="true"/>
        </w:rPr>
        <w:t>(</w:t>
      </w:r>
      <w:r>
        <w:rPr/>
        <w:t>2</w:t>
      </w:r>
      <w:r>
        <w:rPr>
          <w:rtl w:val="true"/>
        </w:rPr>
        <w:t>)</w:t>
      </w:r>
      <w:bookmarkEnd w:id="838"/>
    </w:p>
    <w:p>
      <w:pPr>
        <w:pStyle w:val="Heading4"/>
        <w:numPr>
          <w:ilvl w:val="3"/>
          <w:numId w:val="1"/>
        </w:numPr>
        <w:rPr/>
      </w:pPr>
      <w:bookmarkStart w:id="839" w:name="__RefHeading___Toc580932_774463916"/>
      <w:bookmarkStart w:id="840" w:name="_Toc334"/>
      <w:bookmarkEnd w:id="839"/>
      <w:r>
        <w:rPr>
          <w:rtl w:val="true"/>
        </w:rPr>
        <w:t>الکفر</w:t>
      </w:r>
      <w:bookmarkEnd w:id="840"/>
    </w:p>
    <w:p>
      <w:pPr>
        <w:pStyle w:val="BookText"/>
        <w:rPr/>
      </w:pPr>
      <w:r>
        <w:rPr>
          <w:rFonts w:ascii="IRNazanin" w:hAnsi="IRNazanin" w:eastAsia="IRNazanin"/>
          <w:color w:val="111111"/>
          <w:sz w:val="28"/>
          <w:sz w:val="28"/>
          <w:szCs w:val="28"/>
          <w:rtl w:val="true"/>
          <w:lang w:bidi="fa-IR"/>
        </w:rPr>
        <w:t xml:space="preserve">لایجوز للمسلم الزواج بالکافرة غیر الکتابیة، وادّعی علیه الإجماع من المسلمین؛ </w:t>
      </w:r>
      <w:r>
        <w:rPr>
          <w:rStyle w:val="FootnoteAnchor"/>
          <w:rtl w:val="true"/>
        </w:rPr>
        <w:footnoteReference w:id="687"/>
      </w:r>
      <w:r>
        <w:rPr>
          <w:rFonts w:ascii="Amiri" w:hAnsi="Amiri" w:eastAsia="Amiri" w:cs="Amiri"/>
          <w:color w:val="111111"/>
          <w:sz w:val="28"/>
          <w:sz w:val="28"/>
          <w:szCs w:val="28"/>
          <w:rtl w:val="true"/>
          <w:lang w:bidi="ar-SA"/>
        </w:rPr>
        <w:t>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تُمْسِکُوا بِعِصَمِ الْکَوافِرِ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العصم، جمع عصمة وهی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مایعتصم به </w:t>
      </w:r>
      <w:r>
        <w:rPr>
          <w:rStyle w:val="FootnoteAnchor"/>
          <w:rtl w:val="true"/>
        </w:rPr>
        <w:footnoteReference w:id="688"/>
      </w:r>
      <w:r>
        <w:rPr>
          <w:rFonts w:ascii="IRNazanin" w:hAnsi="IRNazanin" w:eastAsia="IRNazanin"/>
          <w:color w:val="111111"/>
          <w:sz w:val="28"/>
          <w:sz w:val="28"/>
          <w:szCs w:val="28"/>
          <w:rtl w:val="true"/>
          <w:lang w:bidi="fa-IR"/>
        </w:rPr>
        <w:t>والکوافر، جمع کافرة والمراد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المؤمنین عن الاستمرار فی نکاح الکوافر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ثبت هذا بقاءً ثبت التحریم ابتداءً بالأولویّة، ویدل علی حرمة نکاح المشرکات بالخصوص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تَنْکِحُوا الْمُشْرِکاتِ حَتّی یُؤْمِنَّ وَ لَأَمَةٌ مُؤْمِنَةٌ خَیْرٌ مِنْ مُشْرِکَةٍ وَ لَوْ أَعْجَبَتْکُمْ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الکتابیة ففی جواز نکاحها للمسلم خلاف وأقوال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مطلقا، والمنع مطلقا، والجواز متعة لا دواماً، ومقتضی الآیه الکریمة هو المنع مطلقاً ومنشأ الخلاف، اختلاف الروایات، والأحوط هو الاجتناب لاسیّما فی الدائم</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المسلمة، فلایجوز لها الزواج بغیر المسلم مطلقاً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إِذا جاءَکُمُ الْمُؤْمِناتُ مُهاجِراتٍ فَامْتَحِنُوهُنَّ اللّهُ أَعْلَمُ بِإِیمانِهِنَّ فَإِنْ عَلِمْتُمُوهُنَّ مُؤْمِناتٍ فَلا</w:t>
      </w:r>
      <w:bookmarkStart w:id="841" w:name="pg5021_49443"/>
    </w:p>
    <w:p>
      <w:pPr>
        <w:pStyle w:val="BookText"/>
        <w:rPr/>
      </w:pPr>
      <w:bookmarkEnd w:id="841"/>
      <w:r>
        <w:rPr>
          <w:rFonts w:ascii="Amiri" w:hAnsi="Amiri" w:eastAsia="Amiri" w:cs="Amiri"/>
          <w:color w:val="111111"/>
          <w:sz w:val="28"/>
          <w:sz w:val="28"/>
          <w:szCs w:val="28"/>
          <w:rtl w:val="true"/>
          <w:lang w:bidi="ar-SA"/>
        </w:rPr>
        <w:t>تَرْجِعُوهُنَّ إِلَی الْکُفّارِ لا هُنَّ حِلٌّ لَهُمْ وَ لا هُمْ یَحِلُّونَ لَهُنَّ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والتحریم بقاءً یلازم التحریم ابتداءً بالاولویة وفی روایة فضیل بن یسار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سألت أبا جعفر علیه السلام عن المرأة العارفة هل أزوّجها الناصب؟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لان الناصب کافر</w:t>
      </w:r>
      <w:r>
        <w:rPr>
          <w:rFonts w:eastAsia="IRNazanin" w:cs="IRNazanin"/>
          <w:color w:val="111111"/>
          <w:sz w:val="28"/>
          <w:szCs w:val="28"/>
          <w:rtl w:val="true"/>
          <w:lang w:bidi="fa-IR"/>
        </w:rPr>
        <w:t xml:space="preserve">....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 xml:space="preserve">وفی صحیح عبدالله بن سنان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أسلمت امرأة وزوجها علی غیر الإسلام، فرّق بینهما</w:t>
      </w:r>
      <w:r>
        <w:rPr>
          <w:rFonts w:eastAsia="IRNazanin" w:cs="IRNazanin"/>
          <w:color w:val="111111"/>
          <w:sz w:val="28"/>
          <w:szCs w:val="28"/>
          <w:rtl w:val="true"/>
          <w:lang w:bidi="fa-IR"/>
        </w:rPr>
        <w:t xml:space="preserve">. </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هذا کله فی النکاح بین المسلم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النکاح الواقع بین الکفار یترتب علیه آثار الصحیح عندنا إذا کان صحیحاً عندهم سواءً کان الزوجان کتابیین أو وثنییین أو مختلفین؛ للسیرة القطعیة علی ذلک ولجملة من الروایات منها صحیح عبدالله بن سنان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قذف رجل مجوسیاً عند أبی عبدالله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ینکح امّه واخته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عندهم نکاح فی دینهم</w:t>
      </w:r>
      <w:r>
        <w:rPr>
          <w:rFonts w:eastAsia="IRNazanin" w:cs="IRNazanin"/>
          <w:color w:val="111111"/>
          <w:sz w:val="28"/>
          <w:szCs w:val="28"/>
          <w:rtl w:val="true"/>
          <w:lang w:bidi="fa-IR"/>
        </w:rPr>
        <w:t xml:space="preserve">. </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ونحوها غیرها</w:t>
      </w:r>
      <w:r>
        <w:rPr>
          <w:rFonts w:eastAsia="IRNazanin" w:cs="IRNazanin"/>
          <w:color w:val="111111"/>
          <w:sz w:val="28"/>
          <w:szCs w:val="28"/>
          <w:rtl w:val="true"/>
          <w:lang w:bidi="fa-IR"/>
        </w:rPr>
        <w:t>.</w:t>
      </w:r>
    </w:p>
    <w:p>
      <w:pPr>
        <w:pStyle w:val="Heading4"/>
        <w:numPr>
          <w:ilvl w:val="3"/>
          <w:numId w:val="1"/>
        </w:numPr>
        <w:rPr/>
      </w:pPr>
      <w:bookmarkStart w:id="842" w:name="__RefHeading___Toc580934_774463916"/>
      <w:bookmarkStart w:id="843" w:name="_Toc335"/>
      <w:bookmarkEnd w:id="842"/>
      <w:r>
        <w:rPr>
          <w:rtl w:val="true"/>
        </w:rPr>
        <w:t>التزویج فی الإحرام</w:t>
      </w:r>
      <w:bookmarkEnd w:id="843"/>
    </w:p>
    <w:p>
      <w:pPr>
        <w:pStyle w:val="BookText"/>
        <w:rPr/>
      </w:pPr>
      <w:r>
        <w:rPr>
          <w:rFonts w:ascii="IRNazanin" w:hAnsi="IRNazanin" w:eastAsia="IRNazanin"/>
          <w:color w:val="111111"/>
          <w:sz w:val="28"/>
          <w:sz w:val="28"/>
          <w:szCs w:val="28"/>
          <w:rtl w:val="true"/>
          <w:lang w:bidi="fa-IR"/>
        </w:rPr>
        <w:t>لایجوز للمحرم ان یتزوج بلاخلاف ولاإشکال، ویشهد علیه غیر واحد من النصوص منها صحیح یونس بن یعقوب</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سألت ابا عبدالله علیه السلام عن المحرم یتزوج؟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ولایزوّج المحرمُ المحلّ</w:t>
      </w:r>
      <w:r>
        <w:rPr>
          <w:rFonts w:eastAsia="IRNazanin" w:cs="IRNazanin"/>
          <w:color w:val="111111"/>
          <w:sz w:val="28"/>
          <w:szCs w:val="28"/>
          <w:rtl w:val="true"/>
          <w:lang w:bidi="fa-IR"/>
        </w:rPr>
        <w:t xml:space="preserve">. </w:t>
      </w:r>
      <w:r>
        <w:rPr>
          <w:rStyle w:val="FootnoteAnchor"/>
          <w:rtl w:val="true"/>
        </w:rPr>
        <w:footnoteReference w:id="692"/>
      </w:r>
      <w:bookmarkStart w:id="844" w:name="pg5021_49444"/>
    </w:p>
    <w:p>
      <w:pPr>
        <w:pStyle w:val="BookText"/>
        <w:rPr/>
      </w:pPr>
      <w:bookmarkEnd w:id="844"/>
      <w:r>
        <w:rPr>
          <w:rFonts w:ascii="IRNazanin" w:hAnsi="IRNazanin" w:eastAsia="IRNazanin"/>
          <w:color w:val="111111"/>
          <w:sz w:val="28"/>
          <w:sz w:val="28"/>
          <w:szCs w:val="28"/>
          <w:rtl w:val="true"/>
          <w:lang w:bidi="fa-IR"/>
        </w:rPr>
        <w:t xml:space="preserve">ولافرق بین أن تکون المرأة محلّة أو محرمة؛ للإطلاق کما لافرق بین المباشرة، أو التوکیل وکذا لافرق بین أن یکون التزویج لنفسه أو لغیره محلّاً کان أو محرماً، لصحیح یونس المتقدّم، فان فعل ذلک فنکاحه باطل ففی صحیح عبدالله بن سنان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للمحرم أن یتزوّج، وإن تزوّج محلّاً فتزویجه باطل</w:t>
      </w:r>
      <w:r>
        <w:rPr>
          <w:rFonts w:eastAsia="IRNazanin" w:cs="IRNazanin"/>
          <w:color w:val="111111"/>
          <w:sz w:val="28"/>
          <w:szCs w:val="28"/>
          <w:rtl w:val="true"/>
          <w:lang w:bidi="fa-IR"/>
        </w:rPr>
        <w:t xml:space="preserve">. </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بلافرق بین أن یکون الإحرام لحجّ واجب أو مندوب أو لعمرة واجبة أو مندوبة ولافی النکاح بین الدوام والمتعة، کلّ ذلک لإطلاق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تزوّج مع علمه بالحرمة حرمت علیه مؤبداً لما فی صحیح زرارة، وداود بن سرحان عن أبی عبدالله علیه السلام قال فی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والمحرم إذا تزوّج وهو یعلم أنّه حرام علیه لم تحلّ له ابداً</w:t>
      </w:r>
      <w:r>
        <w:rPr>
          <w:rFonts w:eastAsia="IRNazanin" w:cs="IRNazanin"/>
          <w:color w:val="111111"/>
          <w:sz w:val="28"/>
          <w:szCs w:val="28"/>
          <w:rtl w:val="true"/>
          <w:lang w:bidi="fa-IR"/>
        </w:rPr>
        <w:t xml:space="preserve">. </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وبه یقیّد ما یدلّ علی الحرمة مطلقاً أو یدل علی عدمها مطلقاً، ولافرق فیما ذکر بین الرجل والمرأة، فلو کانت الزوجة محرمة وکان الزوج محلاً یحرم الزواج ویفسد، ویوجب الحرمة الأبدیه فی صورة العلم؛ إذ الحکم ثابت للعنوان الوصفی الشامل للرجل والمرأة معاً</w:t>
      </w:r>
      <w:r>
        <w:rPr>
          <w:rFonts w:eastAsia="IRNazanin" w:cs="IRNazanin"/>
          <w:color w:val="111111"/>
          <w:sz w:val="28"/>
          <w:szCs w:val="28"/>
          <w:rtl w:val="true"/>
          <w:lang w:bidi="fa-IR"/>
        </w:rPr>
        <w:t>.</w:t>
      </w:r>
    </w:p>
    <w:p>
      <w:pPr>
        <w:pStyle w:val="Heading4"/>
        <w:numPr>
          <w:ilvl w:val="3"/>
          <w:numId w:val="1"/>
        </w:numPr>
        <w:rPr/>
      </w:pPr>
      <w:bookmarkStart w:id="845" w:name="__RefHeading___Toc580936_774463916"/>
      <w:bookmarkStart w:id="846" w:name="_Toc336"/>
      <w:bookmarkEnd w:id="845"/>
      <w:r>
        <w:rPr>
          <w:rtl w:val="true"/>
        </w:rPr>
        <w:t>اللعان</w:t>
      </w:r>
      <w:bookmarkEnd w:id="846"/>
    </w:p>
    <w:p>
      <w:pPr>
        <w:pStyle w:val="BookText"/>
        <w:rPr/>
      </w:pPr>
      <w:r>
        <w:rPr>
          <w:rFonts w:ascii="IRNazanin" w:hAnsi="IRNazanin" w:eastAsia="IRNazanin"/>
          <w:color w:val="111111"/>
          <w:sz w:val="28"/>
          <w:sz w:val="28"/>
          <w:szCs w:val="28"/>
          <w:rtl w:val="true"/>
          <w:lang w:bidi="fa-IR"/>
        </w:rPr>
        <w:t>إذا قذف الزوج زوجته بالزنا، أو نفی ولدها ورفعا أمرهما إلی الحاکم، یأمرهما بالملاعنه کما یأتی فی باب اللّعان، فان تلاعنا، حرمت علیه مؤبّداً ودرأَ عنهما الحدّ لصحیح زرارة، وداود بن سرحان عن أبی عبدالله علیه السلام فی الملاعنة</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لاعنها زوجها لم تحلّ له ابداً</w:t>
      </w:r>
      <w:r>
        <w:rPr>
          <w:rFonts w:eastAsia="IRNazanin" w:cs="IRNazanin"/>
          <w:color w:val="111111"/>
          <w:sz w:val="28"/>
          <w:szCs w:val="28"/>
          <w:rtl w:val="true"/>
          <w:lang w:bidi="fa-IR"/>
        </w:rPr>
        <w:t xml:space="preserve">.... </w:t>
      </w:r>
      <w:r>
        <w:rPr>
          <w:rStyle w:val="FootnoteAnchor"/>
          <w:rtl w:val="true"/>
        </w:rPr>
        <w:footnoteReference w:id="695"/>
      </w:r>
      <w:bookmarkStart w:id="847" w:name="pg5021_49445"/>
    </w:p>
    <w:p>
      <w:pPr>
        <w:pStyle w:val="Heading3"/>
        <w:numPr>
          <w:ilvl w:val="2"/>
          <w:numId w:val="1"/>
        </w:numPr>
        <w:rPr/>
      </w:pPr>
      <w:bookmarkStart w:id="848" w:name="__RefHeading___Toc580938_774463916"/>
      <w:bookmarkStart w:id="849" w:name="_Toc337"/>
      <w:bookmarkEnd w:id="847"/>
      <w:bookmarkEnd w:id="848"/>
      <w:r>
        <w:rPr>
          <w:rtl w:val="true"/>
        </w:rPr>
        <w:t>الدرس</w:t>
      </w:r>
      <w:r>
        <w:rPr/>
        <w:t>41</w:t>
      </w:r>
      <w:r>
        <w:rPr>
          <w:rtl w:val="true"/>
        </w:rPr>
        <w:t xml:space="preserve"> - </w:t>
      </w:r>
      <w:r>
        <w:rPr>
          <w:rtl w:val="true"/>
        </w:rPr>
        <w:t>کتاب المتعة</w:t>
      </w:r>
      <w:bookmarkEnd w:id="849"/>
    </w:p>
    <w:p>
      <w:pPr>
        <w:pStyle w:val="Heading4"/>
        <w:numPr>
          <w:ilvl w:val="3"/>
          <w:numId w:val="1"/>
        </w:numPr>
        <w:rPr/>
      </w:pPr>
      <w:bookmarkStart w:id="850" w:name="__RefHeading___Toc580940_774463916"/>
      <w:bookmarkStart w:id="851" w:name="_Toc338"/>
      <w:bookmarkEnd w:id="850"/>
      <w:r>
        <w:rPr>
          <w:rtl w:val="true"/>
        </w:rPr>
        <w:t>حقیقة الزواج الموقت</w:t>
      </w:r>
      <w:bookmarkEnd w:id="851"/>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مشروع بلا اشکال عندنا، بل ذلک مورد اتفاق جمیع المسلمین وإن اختلفوا فی نسخه بعد ذلک، ویدل علیه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 فَآتُوهُنَّ أُجُورَهُنَّ فَرِیضَةً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قرأها ابن عباس هکذا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إلی أجل مسمی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نقرأها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لانزل الله کذلک</w:t>
      </w:r>
      <w:r>
        <w:rPr>
          <w:rFonts w:eastAsia="Amiri" w:cs="Amiri" w:ascii="Amiri" w:hAnsi="Amiri"/>
          <w:color w:val="111111"/>
          <w:sz w:val="28"/>
          <w:szCs w:val="28"/>
          <w:rtl w:val="true"/>
          <w:lang w:bidi="ar-SA"/>
        </w:rPr>
        <w:t xml:space="preserve">». </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وقال القرطبی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نکاح المتعة الذی کان فی صدر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وقرأ ابن عباس واُبَی بن کعب، وسعید بن جبیر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استمتعتم به منهن إلی أجل مسمی فآتوهن اجورهن فریضة</w:t>
      </w:r>
      <w:r>
        <w:rPr>
          <w:rFonts w:eastAsia="IRNazanin" w:cs="IRNazanin"/>
          <w:color w:val="111111"/>
          <w:sz w:val="28"/>
          <w:szCs w:val="28"/>
          <w:rtl w:val="true"/>
          <w:lang w:bidi="fa-IR"/>
        </w:rPr>
        <w:t xml:space="preserve">». </w:t>
      </w:r>
      <w:r>
        <w:rPr>
          <w:rStyle w:val="FootnoteAnchor"/>
          <w:rtl w:val="true"/>
        </w:rPr>
        <w:footnoteReference w:id="697"/>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مشروعاً فی عصر النبی صلی الله علیه و آله وأبی بکر إلی أن نَهی عنه الثانی فی النصف من خلافته، ولذا جعل هذا من أوّلیّات عمر، قال السیوطی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أول من سمی</w:t>
      </w:r>
    </w:p>
    <w:p>
      <w:pPr>
        <w:pStyle w:val="BookText"/>
        <w:rPr/>
      </w:pPr>
      <w:r>
        <w:rPr>
          <w:rFonts w:ascii="IRNazanin" w:hAnsi="IRNazanin" w:eastAsia="IRNazanin"/>
          <w:color w:val="111111"/>
          <w:sz w:val="28"/>
          <w:sz w:val="28"/>
          <w:szCs w:val="28"/>
          <w:rtl w:val="true"/>
          <w:lang w:bidi="fa-IR"/>
        </w:rPr>
        <w:t>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 من حرم المتعة</w:t>
      </w:r>
      <w:r>
        <w:rPr>
          <w:rFonts w:eastAsia="IRNazanin" w:cs="IRNazanin"/>
          <w:color w:val="111111"/>
          <w:sz w:val="28"/>
          <w:szCs w:val="28"/>
          <w:rtl w:val="true"/>
          <w:lang w:bidi="fa-IR"/>
        </w:rPr>
        <w:t xml:space="preserve">». </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وعنه اشتهر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متعتان کانتا علی عهد رسول‌الله صلی الله علیه و آله وأنا أنهی عنهما، وأعاقب علیهما متعة الحج، ومتعة النساء</w:t>
      </w:r>
      <w:r>
        <w:rPr>
          <w:rFonts w:eastAsia="IRNazanin" w:cs="IRNazanin"/>
          <w:color w:val="111111"/>
          <w:sz w:val="28"/>
          <w:szCs w:val="28"/>
          <w:rtl w:val="true"/>
          <w:lang w:bidi="fa-IR"/>
        </w:rPr>
        <w:t xml:space="preserve">». </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وعن عمران بن حصین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أمرنا رسول‌الله صلی الله علیه و آله بالمتعة، ومات بعد ما أمرنا بها ولم ینهنا عنه، قال رجل بعده برأیه ماشاء</w:t>
      </w:r>
      <w:r>
        <w:rPr>
          <w:rFonts w:eastAsia="IRNazanin" w:cs="IRNazanin"/>
          <w:color w:val="111111"/>
          <w:sz w:val="28"/>
          <w:szCs w:val="28"/>
          <w:rtl w:val="true"/>
          <w:lang w:bidi="fa-IR"/>
        </w:rPr>
        <w:t xml:space="preserve">...». </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قال ابن حزم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ثبت علی تحلیلها بعد رسول‌الله صلی الله علیه و آله جماعة من السلف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أسماء بنت أبی بکر، وجابر بن عبدالله، وابن مسعود، ومعاویة بن أبی سفیان، وعمرو بن حریث، وأبو سعید الخدری، وسلمة، ومعبد ابناء أمیة بن خلف، ورواه جابر بن عبدالله عن جمیع الصحابه مدة رسول‌الله صلی الله علیه و آله ، ومدة أبی بکر، وعمر إلی قرب آخر خلافة عمر، ومن التابعین طاووس، وعطاء، وسعید بن جبیر، وسائر فقهاء مکه أعزّها الله</w:t>
      </w:r>
      <w:r>
        <w:rPr>
          <w:rFonts w:eastAsia="IRNazanin" w:cs="IRNazanin"/>
          <w:color w:val="111111"/>
          <w:sz w:val="28"/>
          <w:szCs w:val="28"/>
          <w:rtl w:val="true"/>
          <w:lang w:bidi="fa-IR"/>
        </w:rPr>
        <w:t xml:space="preserve">». </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وقال عروة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تتقی الله ترخّص فی المتعة؟ 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أمک یا عریة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أبوبکر وعمر فلم یفعلا،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أراکم منتهین حتی یعذبکم، نحدّثکم عن النبی صلی الله علیه و آله وتحدثونا عن أبی بکر وعمر</w:t>
      </w:r>
      <w:r>
        <w:rPr>
          <w:rFonts w:eastAsia="IRNazanin" w:cs="IRNazanin"/>
          <w:color w:val="111111"/>
          <w:sz w:val="28"/>
          <w:szCs w:val="28"/>
          <w:rtl w:val="true"/>
          <w:lang w:bidi="fa-IR"/>
        </w:rPr>
        <w:t xml:space="preserve">». </w:t>
      </w:r>
      <w:r>
        <w:rPr>
          <w:rStyle w:val="FootnoteAnchor"/>
          <w:rtl w:val="true"/>
        </w:rPr>
        <w:footnoteReference w:id="702"/>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استمتع معاویة بن أبی سفیان بامرأة بالطائف</w:t>
      </w:r>
      <w:r>
        <w:rPr>
          <w:rFonts w:eastAsia="IRNazanin" w:cs="IRNazanin"/>
          <w:color w:val="111111"/>
          <w:sz w:val="28"/>
          <w:szCs w:val="28"/>
          <w:rtl w:val="true"/>
          <w:lang w:bidi="fa-IR"/>
        </w:rPr>
        <w:t xml:space="preserve">. </w:t>
      </w:r>
      <w:r>
        <w:rPr>
          <w:rStyle w:val="FootnoteAnchor"/>
          <w:rtl w:val="true"/>
        </w:rPr>
        <w:footnoteReference w:id="703"/>
      </w:r>
      <w:r>
        <w:rPr>
          <w:rFonts w:ascii="IRNazanin" w:hAnsi="IRNazanin" w:eastAsia="IRNazanin"/>
          <w:color w:val="111111"/>
          <w:sz w:val="28"/>
          <w:sz w:val="28"/>
          <w:szCs w:val="28"/>
          <w:rtl w:val="true"/>
          <w:lang w:bidi="fa-IR"/>
        </w:rPr>
        <w:t>وفی روایة استمتع من ابنة زیتون</w:t>
      </w:r>
    </w:p>
    <w:p>
      <w:pPr>
        <w:pStyle w:val="BookText"/>
        <w:rPr/>
      </w:pPr>
      <w:r>
        <w:rPr>
          <w:rFonts w:ascii="IRNazanin" w:hAnsi="IRNazanin" w:eastAsia="IRNazanin"/>
          <w:color w:val="111111"/>
          <w:sz w:val="28"/>
          <w:sz w:val="28"/>
          <w:szCs w:val="28"/>
          <w:rtl w:val="true"/>
          <w:lang w:bidi="fa-IR"/>
        </w:rPr>
        <w:t>بنت عبد ثقیف فولدت عبدالرحمن</w:t>
      </w:r>
      <w:r>
        <w:rPr>
          <w:rFonts w:eastAsia="IRNazanin" w:cs="IRNazanin"/>
          <w:color w:val="111111"/>
          <w:sz w:val="28"/>
          <w:szCs w:val="28"/>
          <w:rtl w:val="true"/>
          <w:lang w:bidi="fa-IR"/>
        </w:rPr>
        <w:t xml:space="preserve">. </w:t>
      </w:r>
      <w:r>
        <w:rPr>
          <w:rStyle w:val="FootnoteAnchor"/>
          <w:rtl w:val="true"/>
        </w:rPr>
        <w:footnoteReference w:id="704"/>
      </w:r>
      <w:r>
        <w:rPr>
          <w:rFonts w:ascii="IRNazanin" w:hAnsi="IRNazanin" w:eastAsia="IRNazanin"/>
          <w:color w:val="111111"/>
          <w:sz w:val="28"/>
          <w:sz w:val="28"/>
          <w:szCs w:val="28"/>
          <w:rtl w:val="true"/>
          <w:lang w:bidi="fa-IR"/>
        </w:rPr>
        <w:t>وفی روایة استمتع معاویة بن أبی سفیان مقدمه من الطائف علی ثقیف بمولاة ابن الحضرمی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معانة،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أدرکت معانة خلافة معاویة حیّة فکال معاویة یرسل إلیها بجائزة فی کل عام حتی ماتت</w:t>
      </w:r>
      <w:r>
        <w:rPr>
          <w:rFonts w:eastAsia="IRNazanin" w:cs="IRNazanin"/>
          <w:color w:val="111111"/>
          <w:sz w:val="28"/>
          <w:szCs w:val="28"/>
          <w:rtl w:val="true"/>
          <w:lang w:bidi="fa-IR"/>
        </w:rPr>
        <w:t xml:space="preserve">. </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والروایات من جانب أهل البیت علیه السلام فی مشروعیتها کثیره جداً منها صحیح زرارة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عبدالله بن عمیر اللیثی إلی أبی جعفر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متعة النساء؟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أحلَّها اللهُ فی کتابه وعلی سنّة نبیه، فهی حلال إلی یوم القیامة،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جعفر مثلُک یقول هذا وقد حرمها عمر ونهی عنها،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فعل،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أعیذک بالله من ذلک ان تحل شیئاً حرمه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 علی قول صاحبک وأنا علی قول رسول‌الله صلی الله علیه و آله ، فهلم ألاعِنُک أنّ الحق ما قال رسول‌الله صلی الله علیه و آله ، وأنّ الباطل ما قال صاحبُک</w:t>
      </w:r>
      <w:r>
        <w:rPr>
          <w:rFonts w:eastAsia="IRNazanin" w:cs="IRNazanin"/>
          <w:color w:val="111111"/>
          <w:sz w:val="28"/>
          <w:szCs w:val="28"/>
          <w:rtl w:val="true"/>
          <w:lang w:bidi="fa-IR"/>
        </w:rPr>
        <w:t xml:space="preserve">.... </w:t>
      </w:r>
      <w:r>
        <w:rPr>
          <w:rStyle w:val="FootnoteAnchor"/>
          <w:rtl w:val="true"/>
        </w:rPr>
        <w:footnoteReference w:id="706"/>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العجیب أنّ أصحاب الثانی قد تمسّکوا بتحریمه دون تحریم رسول‌الله صلی الله علیه و آله وروی أحمد فی مسنده</w:t>
      </w:r>
      <w:r>
        <w:rPr>
          <w:rFonts w:eastAsia="IRNazanin" w:cs="IRNazanin"/>
          <w:color w:val="111111"/>
          <w:sz w:val="28"/>
          <w:szCs w:val="28"/>
          <w:rtl w:val="true"/>
          <w:lang w:bidi="fa-IR"/>
        </w:rPr>
        <w:t xml:space="preserve">: </w:t>
      </w:r>
      <w:r>
        <w:rPr>
          <w:rFonts w:eastAsia="IRNazanin" w:cs="IRNazanin"/>
          <w:color w:val="111111"/>
          <w:sz w:val="28"/>
          <w:szCs w:val="28"/>
          <w:lang w:bidi="fa-IR"/>
        </w:rPr>
        <w:t>95/2</w:t>
      </w:r>
      <w:r>
        <w:rPr>
          <w:rFonts w:ascii="IRNazanin" w:hAnsi="IRNazanin" w:eastAsia="IRNazanin"/>
          <w:color w:val="111111"/>
          <w:sz w:val="28"/>
          <w:sz w:val="28"/>
          <w:szCs w:val="28"/>
          <w:rtl w:val="true"/>
          <w:lang w:bidi="fa-IR"/>
        </w:rPr>
        <w:t>، أنّه قیل لعبدالله بن عمر الذی کان یفتی بجواز التمتع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تخالف أباک وقد نهی عن ذلک؟ فقال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ویلکم ألا تتقون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أفَرسول‌الله أحق أن تتبعوا سنته أم سنة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بلغ الأمر إلی أن اضطر بعضهم إلی الجرأة علی الله سبحانه فی مقام الدفاع عن الخلیفة الثانی حتی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مخالفة المجتهد لغیره فی المسائل الاجتهادیة لیس ببدع</w:t>
      </w:r>
      <w:r>
        <w:rPr>
          <w:rFonts w:eastAsia="IRNazanin" w:cs="IRNazanin"/>
          <w:color w:val="111111"/>
          <w:sz w:val="28"/>
          <w:szCs w:val="28"/>
          <w:rtl w:val="true"/>
          <w:lang w:bidi="fa-IR"/>
        </w:rPr>
        <w:t xml:space="preserve">» </w:t>
      </w:r>
      <w:r>
        <w:rPr>
          <w:rStyle w:val="FootnoteAnchor"/>
          <w:rtl w:val="true"/>
        </w:rPr>
        <w:footnoteReference w:id="707"/>
      </w:r>
      <w:r>
        <w:rPr>
          <w:rFonts w:ascii="Amiri" w:hAnsi="Amiri" w:eastAsia="Amiri" w:cs="Amiri"/>
          <w:color w:val="111111"/>
          <w:sz w:val="28"/>
          <w:sz w:val="28"/>
          <w:szCs w:val="28"/>
          <w:rtl w:val="true"/>
          <w:lang w:bidi="ar-SA"/>
        </w:rPr>
        <w:t xml:space="preserve">فإنا لله وإنا إلیه راجعون،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کَبُرَتْ کَلِمَةً تَخْرُجُ مِنْ أَفْواهِهِمْ إِنْ یَقُولُونَ إِلاّ کَذِباً </w:t>
      </w:r>
      <w:r>
        <w:rPr>
          <w:rFonts w:eastAsia="Amiri" w:cs="Amiri" w:ascii="Amiri" w:hAnsi="Amiri"/>
          <w:color w:val="111111"/>
          <w:sz w:val="28"/>
          <w:szCs w:val="28"/>
          <w:rtl w:val="true"/>
          <w:lang w:bidi="ar-SA"/>
        </w:rPr>
        <w:t xml:space="preserve">. </w:t>
      </w:r>
      <w:r>
        <w:rPr>
          <w:rStyle w:val="FootnoteAnchor"/>
          <w:rtl w:val="true"/>
        </w:rPr>
        <w:footnoteReference w:id="708"/>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المناقشة فی جوازها بأنّها فی معنی الزنا وإیجار المرأة نفسها، ونحو ذلک، طعن علی الشریعة التی أحلتها، حیث ثبتت مشروعیتها فی بدایة الشریعة بالاتفاق ودفاع عن مَن حرّمها فی مقابل حکم الله تعالی ورسوله، هذا مضافاً إلی أنّ فهم أحکامه وحکمته کما تأتی یغنیناً عن الجواب عنها</w:t>
      </w:r>
      <w:r>
        <w:rPr>
          <w:rFonts w:eastAsia="IRNazanin" w:cs="IRNazanin"/>
          <w:color w:val="111111"/>
          <w:sz w:val="28"/>
          <w:szCs w:val="28"/>
          <w:rtl w:val="true"/>
          <w:lang w:bidi="fa-IR"/>
        </w:rPr>
        <w:t>.</w:t>
      </w:r>
      <w:bookmarkStart w:id="852" w:name="pg5021_49449"/>
    </w:p>
    <w:p>
      <w:pPr>
        <w:pStyle w:val="Heading3"/>
        <w:numPr>
          <w:ilvl w:val="2"/>
          <w:numId w:val="1"/>
        </w:numPr>
        <w:rPr/>
      </w:pPr>
      <w:bookmarkStart w:id="853" w:name="__RefHeading___Toc580942_774463916"/>
      <w:bookmarkStart w:id="854" w:name="_Toc339"/>
      <w:bookmarkEnd w:id="852"/>
      <w:bookmarkEnd w:id="853"/>
      <w:r>
        <w:rPr>
          <w:rtl w:val="true"/>
        </w:rPr>
        <w:t>الدرس</w:t>
      </w:r>
      <w:r>
        <w:rPr/>
        <w:t>42</w:t>
      </w:r>
      <w:r>
        <w:rPr>
          <w:rtl w:val="true"/>
        </w:rPr>
        <w:t xml:space="preserve"> - </w:t>
      </w:r>
      <w:r>
        <w:rPr>
          <w:rtl w:val="true"/>
        </w:rPr>
        <w:t xml:space="preserve">کتاب المتعة </w:t>
      </w:r>
      <w:r>
        <w:rPr>
          <w:rtl w:val="true"/>
        </w:rPr>
        <w:t>(</w:t>
      </w:r>
      <w:r>
        <w:rPr/>
        <w:t>2</w:t>
      </w:r>
      <w:r>
        <w:rPr>
          <w:rtl w:val="true"/>
        </w:rPr>
        <w:t>)</w:t>
      </w:r>
      <w:bookmarkEnd w:id="854"/>
    </w:p>
    <w:p>
      <w:pPr>
        <w:pStyle w:val="Heading4"/>
        <w:numPr>
          <w:ilvl w:val="3"/>
          <w:numId w:val="1"/>
        </w:numPr>
        <w:rPr/>
      </w:pPr>
      <w:bookmarkStart w:id="855" w:name="__RefHeading___Toc580944_774463916"/>
      <w:bookmarkStart w:id="856" w:name="_Toc340"/>
      <w:bookmarkEnd w:id="855"/>
      <w:r>
        <w:rPr>
          <w:rtl w:val="true"/>
        </w:rPr>
        <w:t>من أحکام الزواج الموقّت</w:t>
      </w:r>
      <w:bookmarkEnd w:id="856"/>
    </w:p>
    <w:p>
      <w:pPr>
        <w:pStyle w:val="BookText"/>
        <w:rPr/>
      </w:pPr>
      <w:r>
        <w:rPr>
          <w:rFonts w:ascii="IRNazanin" w:hAnsi="IRNazanin" w:eastAsia="IRNazanin"/>
          <w:color w:val="111111"/>
          <w:sz w:val="28"/>
          <w:sz w:val="28"/>
          <w:szCs w:val="28"/>
          <w:rtl w:val="true"/>
          <w:lang w:bidi="fa-IR"/>
        </w:rPr>
        <w:t>و یعتبر فیه الإیجاب والقبول اللفظیان کما تقدّم فی النکاح الدائم، وصیغته مثلها فی الدائم باضافة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متّعتکَ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ما تقدم من أبحاث فی الزواج الدائم کالعربیة والماضویة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 هنا؛ لکونه فرداً للزواج کالدائم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یعتبر فیه تعیین المَهر والأجل وإلاّ بطل، للروایات، منها صحیحة زرارة عن أبی‌عبدالله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تکون متعة إلاّ بأمرین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مسمی وأجر مسمی</w:t>
      </w:r>
      <w:r>
        <w:rPr>
          <w:rFonts w:eastAsia="IRNazanin" w:cs="IRNazanin"/>
          <w:color w:val="111111"/>
          <w:sz w:val="28"/>
          <w:szCs w:val="28"/>
          <w:rtl w:val="true"/>
          <w:lang w:bidi="fa-IR"/>
        </w:rPr>
        <w:t xml:space="preserve">. </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ولا خلاف ولا إشکال فی أنّ المتمتَّع بها لایقع علیها طلاق وأنّها تبین بانقضاء المدة أو هبتها؛ للروایات منها صحیح عمربن اذینة عن أبی عبدالله علیه السلام فی حدیث 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انقضی الأجل بانت منه بغیر طلاق</w:t>
      </w:r>
      <w:r>
        <w:rPr>
          <w:rFonts w:eastAsia="IRNazanin" w:cs="IRNazanin"/>
          <w:color w:val="111111"/>
          <w:sz w:val="28"/>
          <w:szCs w:val="28"/>
          <w:rtl w:val="true"/>
          <w:lang w:bidi="fa-IR"/>
        </w:rPr>
        <w:t xml:space="preserve">. </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ومنها صحیح علی بن رئاب قال</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کتبت إلیه أساله عن رجل تمتع بامرأة، ثمّ وهب لها أیامها قبل أن یفضی</w:t>
      </w:r>
    </w:p>
    <w:p>
      <w:pPr>
        <w:pStyle w:val="BookText"/>
        <w:rPr/>
      </w:pPr>
      <w:r>
        <w:rPr>
          <w:rFonts w:ascii="IRNazanin" w:hAnsi="IRNazanin" w:eastAsia="IRNazanin"/>
          <w:color w:val="111111"/>
          <w:sz w:val="28"/>
          <w:sz w:val="28"/>
          <w:szCs w:val="28"/>
          <w:rtl w:val="true"/>
          <w:lang w:bidi="fa-IR"/>
        </w:rPr>
        <w:t xml:space="preserve">إلیها أو وهب لها أیامها بعد ما أفضی إلیها، هل له ان یرجع فیما وهب من ذلک؟ فوقع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یرجع</w:t>
      </w:r>
      <w:r>
        <w:rPr>
          <w:rFonts w:eastAsia="IRNazanin" w:cs="IRNazanin"/>
          <w:color w:val="111111"/>
          <w:sz w:val="28"/>
          <w:szCs w:val="28"/>
          <w:rtl w:val="true"/>
          <w:lang w:bidi="fa-IR"/>
        </w:rPr>
        <w:t xml:space="preserve">. </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ثمّ لو انقضی أجلها أو وهب مدتها قبل الدخول، فلا عدة علیها، لأنّها لیست بأقوی من الدائمة المطلقة قبل الدخول، وأما إن کان بعده، فعلیها العدّة، وإنّما الخلاف فی تحدیدها، حیث دلّت بعض الروایات علی أنّه حیضتان فیمن تحیض، وخمسة وأربعون یوماً فیمن لا تحیض وهی فی سن من تحیض، وبعضها الآخر علی کونه حیضة فیمن تحیض وخمسة وأربعون یوماً فیمن لا تحیض، والأحوط هو القول الأول، ولعله المشهور</w:t>
      </w:r>
    </w:p>
    <w:p>
      <w:pPr>
        <w:pStyle w:val="BookText"/>
        <w:rPr/>
      </w:pPr>
      <w:r>
        <w:rPr>
          <w:rFonts w:ascii="IRNazanin" w:hAnsi="IRNazanin" w:eastAsia="IRNazanin"/>
          <w:color w:val="111111"/>
          <w:sz w:val="28"/>
          <w:sz w:val="28"/>
          <w:szCs w:val="28"/>
          <w:rtl w:val="true"/>
          <w:lang w:bidi="fa-IR"/>
        </w:rPr>
        <w:t xml:space="preserve">هذا فی غیر الصغیرة والیائسة وإلاّ فلا عدة علیهما، قال أبو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 تزوّجن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لم تحض، ومثلها لا تحیض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وما حدّها؟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لها أقل من تسع سنین، والتی لم یدخل بها، والتی قد یئست من المحیض ومثلها لا تحیض</w:t>
      </w:r>
      <w:r>
        <w:rPr>
          <w:rFonts w:eastAsia="IRNazanin" w:cs="IRNazanin"/>
          <w:color w:val="111111"/>
          <w:sz w:val="28"/>
          <w:szCs w:val="28"/>
          <w:rtl w:val="true"/>
          <w:lang w:bidi="fa-IR"/>
        </w:rPr>
        <w:t xml:space="preserve">.... </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و إذا مات الزوج أثناء الأجل فعدّتها أربعة أشهر وعشرة أیام علی المشهور؛ لصحیح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جعفر علیه السلام ما عدة المتعة إذا مات عنها الذی تمتع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اشهر وعشراً</w:t>
      </w:r>
      <w:r>
        <w:rPr>
          <w:rFonts w:eastAsia="IRNazanin" w:cs="IRNazanin"/>
          <w:color w:val="111111"/>
          <w:sz w:val="28"/>
          <w:szCs w:val="28"/>
          <w:rtl w:val="true"/>
          <w:lang w:bidi="fa-IR"/>
        </w:rPr>
        <w:t xml:space="preserve">.... </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 xml:space="preserve">والولد ملحق بالزوج ولا یجوز له إنکاره وإن عزل؛ لاحتمال سبق المنی فیشمله قوله صلی الله علیه و آله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الولد للفراش وللعاهر الحجر المروی عند الفریقین</w:t>
      </w:r>
      <w:r>
        <w:rPr>
          <w:rFonts w:eastAsia="IRNazanin" w:cs="IRNazanin"/>
          <w:color w:val="111111"/>
          <w:sz w:val="28"/>
          <w:szCs w:val="28"/>
          <w:rtl w:val="true"/>
          <w:lang w:bidi="fa-IR"/>
        </w:rPr>
        <w:t xml:space="preserve">. </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ویدلّ علیه خصوص صحیح محمد بن مسلم عن أبی عبدالله علیه السلام فی حدیث 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حبلت؟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ولده</w:t>
      </w:r>
      <w:r>
        <w:rPr>
          <w:rFonts w:eastAsia="IRNazanin" w:cs="IRNazanin"/>
          <w:color w:val="111111"/>
          <w:sz w:val="28"/>
          <w:szCs w:val="28"/>
          <w:rtl w:val="true"/>
          <w:lang w:bidi="fa-IR"/>
        </w:rPr>
        <w:t xml:space="preserve">. </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فیشمله جمیع أحکام الولد من النفقه والإرث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تستحق الزوجة فیه النفقة إجماعاً، ولبعض الروایات عن أبی عبدالله علیه السلام فی حدیث 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مضت أیامها کان طلاقها فی شرطها ولا نفقة ولا عدة لها علیک</w:t>
      </w:r>
      <w:r>
        <w:rPr>
          <w:rFonts w:eastAsia="IRNazanin" w:cs="IRNazanin"/>
          <w:color w:val="111111"/>
          <w:sz w:val="28"/>
          <w:szCs w:val="28"/>
          <w:rtl w:val="true"/>
          <w:lang w:bidi="fa-IR"/>
        </w:rPr>
        <w:t xml:space="preserve">. </w:t>
      </w:r>
      <w:r>
        <w:rPr>
          <w:rStyle w:val="FootnoteAnchor"/>
          <w:rtl w:val="true"/>
        </w:rPr>
        <w:footnoteReference w:id="716"/>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والمشهور أنه لا توارث بین الزوجین فی المتعة إلاّمع الاشتراط وقیل هو کالدوام ولا یصح اشتراط السقوط والقول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الثبوت ما لم یشترط السقوط </w:t>
      </w:r>
      <w:r>
        <w:rPr>
          <w:rStyle w:val="FootnoteAnchor"/>
          <w:rtl w:val="true"/>
        </w:rPr>
        <w:footnoteReference w:id="717"/>
      </w:r>
      <w:r>
        <w:rPr>
          <w:rFonts w:ascii="IRNazanin" w:hAnsi="IRNazanin" w:eastAsia="IRNazanin"/>
          <w:color w:val="111111"/>
          <w:sz w:val="28"/>
          <w:sz w:val="28"/>
          <w:szCs w:val="28"/>
          <w:rtl w:val="true"/>
          <w:lang w:bidi="fa-IR"/>
        </w:rPr>
        <w:t>ومنشأ الخلاف، اختلاف الأخبار مضافاً إلی عموم آیة إرث الأزواج والتفصیل موکول إلی مجال اوسع</w:t>
      </w:r>
      <w:r>
        <w:rPr>
          <w:rFonts w:eastAsia="IRNazanin" w:cs="IRNazanin"/>
          <w:color w:val="111111"/>
          <w:sz w:val="28"/>
          <w:szCs w:val="28"/>
          <w:rtl w:val="true"/>
          <w:lang w:bidi="fa-IR"/>
        </w:rPr>
        <w:t>.</w:t>
      </w:r>
      <w:bookmarkStart w:id="857" w:name="pg5021_49453"/>
    </w:p>
    <w:p>
      <w:pPr>
        <w:pStyle w:val="Heading2"/>
        <w:numPr>
          <w:ilvl w:val="1"/>
          <w:numId w:val="1"/>
        </w:numPr>
        <w:rPr/>
      </w:pPr>
      <w:bookmarkStart w:id="858" w:name="__RefHeading___Toc580946_774463916"/>
      <w:bookmarkStart w:id="859" w:name="_Toc341"/>
      <w:bookmarkEnd w:id="857"/>
      <w:bookmarkEnd w:id="858"/>
      <w:r>
        <w:rPr>
          <w:rtl w:val="true"/>
        </w:rPr>
        <w:t>القسم الثالث</w:t>
      </w:r>
      <w:r>
        <w:rPr>
          <w:rtl w:val="true"/>
        </w:rPr>
        <w:t xml:space="preserve">: </w:t>
      </w:r>
      <w:r>
        <w:rPr>
          <w:rtl w:val="true"/>
        </w:rPr>
        <w:t>الإیقاعات</w:t>
      </w:r>
      <w:bookmarkEnd w:id="859"/>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60" w:name="__RefHeading___Toc580948_774463916"/>
      <w:bookmarkStart w:id="861" w:name="_Toc342"/>
      <w:bookmarkEnd w:id="860"/>
      <w:r>
        <w:rPr>
          <w:rtl w:val="true"/>
        </w:rPr>
        <w:t>اشارة</w:t>
      </w:r>
      <w:bookmarkStart w:id="862" w:name="pg5021_49454"/>
      <w:bookmarkEnd w:id="861"/>
    </w:p>
    <w:p>
      <w:pPr>
        <w:pStyle w:val="Heading3"/>
        <w:numPr>
          <w:ilvl w:val="2"/>
          <w:numId w:val="1"/>
        </w:numPr>
        <w:rPr/>
      </w:pPr>
      <w:bookmarkStart w:id="863" w:name="__RefHeading___Toc580950_774463916"/>
      <w:bookmarkStart w:id="864" w:name="_Toc343"/>
      <w:bookmarkEnd w:id="862"/>
      <w:bookmarkEnd w:id="863"/>
      <w:r>
        <w:rPr>
          <w:rtl w:val="true"/>
        </w:rPr>
        <w:t>الدرس</w:t>
      </w:r>
      <w:r>
        <w:rPr/>
        <w:t>1</w:t>
      </w:r>
      <w:r>
        <w:rPr>
          <w:rtl w:val="true"/>
        </w:rPr>
        <w:t xml:space="preserve"> - </w:t>
      </w:r>
      <w:r>
        <w:rPr>
          <w:rtl w:val="true"/>
        </w:rPr>
        <w:t>کتاب الطلاق</w:t>
      </w:r>
      <w:bookmarkEnd w:id="864"/>
    </w:p>
    <w:p>
      <w:pPr>
        <w:pStyle w:val="Heading4"/>
        <w:numPr>
          <w:ilvl w:val="3"/>
          <w:numId w:val="1"/>
        </w:numPr>
        <w:rPr/>
      </w:pPr>
      <w:bookmarkStart w:id="865" w:name="__RefHeading___Toc580952_774463916"/>
      <w:bookmarkStart w:id="866" w:name="_Toc344"/>
      <w:bookmarkEnd w:id="865"/>
      <w:r>
        <w:rPr>
          <w:rtl w:val="true"/>
        </w:rPr>
        <w:t>حقیقة الطلاق</w:t>
      </w:r>
      <w:bookmarkEnd w:id="866"/>
    </w:p>
    <w:p>
      <w:pPr>
        <w:pStyle w:val="BookText"/>
        <w:rPr/>
      </w:pP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إیقاع من الزوج بلا مدخلیة للقبول؛ بضرورة الفقه، یتضمّن إنشاء الفرقة فی العقد الدائم وقد أشار إلیه الکتاب الکریم فی مواضع،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مَرَّتانِ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الْمُطَلَّقاتُ یَتَرَبَّصْنَ بِأَنْفُسِهِنَّ ثَلاثَةَ قُرُوءٍ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وغیر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أمر مبغوض لما فی الحدیث عنه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شیء أحب إلی الله عزّوجلّ من بیت یعمر بالنکاح وما من شیء أبغض إلی الله عزّوجلّ من بیت یخرب فی الإسلام بالفرقة،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Style w:val="FootnoteAnchor"/>
          <w:rtl w:val="true"/>
        </w:rPr>
        <w:footnoteReference w:id="718"/>
      </w:r>
    </w:p>
    <w:p>
      <w:pPr>
        <w:pStyle w:val="Heading4"/>
        <w:numPr>
          <w:ilvl w:val="3"/>
          <w:numId w:val="1"/>
        </w:numPr>
        <w:rPr/>
      </w:pPr>
      <w:bookmarkStart w:id="867" w:name="__RefHeading___Toc580954_774463916"/>
      <w:bookmarkStart w:id="868" w:name="_Toc345"/>
      <w:bookmarkEnd w:id="867"/>
      <w:r>
        <w:rPr>
          <w:rtl w:val="true"/>
        </w:rPr>
        <w:t>شرائط صحّة الطلاق</w:t>
      </w:r>
      <w:bookmarkEnd w:id="8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بلوغ الزوج علی المشهور بین المتأخرین؛ لما تقدّم من رفع القلم عن الصبیّ، وأنّه لا یجوز أمره، وخصوص موثقة حسین‌بن علوان عن جعفربن محمد عن أبیه عن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یجوز طلاق الغلام حتی یحتلم</w:t>
      </w:r>
      <w:r>
        <w:rPr>
          <w:rFonts w:eastAsia="IRNazanin" w:cs="IRNazanin"/>
          <w:color w:val="111111"/>
          <w:sz w:val="28"/>
          <w:szCs w:val="28"/>
          <w:rtl w:val="true"/>
          <w:lang w:bidi="fa-IR"/>
        </w:rPr>
        <w:t xml:space="preserve">. </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 xml:space="preserve">نعم، خصّه بعضُهم بما دون العشر لما ورد فی موثّقة ابن بکیر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یجوز طلاق الغلام إذا بلغ عشر سنین</w:t>
      </w:r>
      <w:r>
        <w:rPr>
          <w:rFonts w:eastAsia="IRNazanin" w:cs="IRNazanin"/>
          <w:color w:val="111111"/>
          <w:sz w:val="28"/>
          <w:szCs w:val="28"/>
          <w:rtl w:val="true"/>
          <w:lang w:bidi="fa-IR"/>
        </w:rPr>
        <w:t xml:space="preserve">. </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 xml:space="preserve">لکنّ الاحتیاط لا ینبغی ترکه، ولا ولایة للولی فی الطلاق عن الصبی بلا خلاف فیه؛ لما تقدّم فی الصحیح عن محمد بن مسلم عن أبی جعفر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الصبی یتزوج الصبیة یتوارثان؟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أبواهما اللذان زوّجاهما فنعم،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طلاق الأب؟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72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یصح طلاق المجنون، لعدم القصد، ولبعض الروایات نعم؛ یجوز لولیه ذلک؛ لصحیحة أبی خالد القمّاط، قلت لأبی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الرجل الأحمق الذاهب العقل یجوز طلاق ولیه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لا یطلق هو؟ </w:t>
      </w:r>
      <w:r>
        <w:rPr>
          <w:rStyle w:val="FootnoteAnchor"/>
          <w:rtl w:val="true"/>
        </w:rPr>
        <w:footnoteReference w:id="722"/>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یؤمن إن طلّق هو أن یقول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اطلق، أو لا یحسن أنْ یطلق،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 ولیه إلا بمنزلة السلطان</w:t>
      </w:r>
      <w:r>
        <w:rPr>
          <w:rFonts w:eastAsia="IRNazanin" w:cs="IRNazanin"/>
          <w:color w:val="111111"/>
          <w:sz w:val="28"/>
          <w:szCs w:val="28"/>
          <w:rtl w:val="true"/>
          <w:lang w:bidi="fa-IR"/>
        </w:rPr>
        <w:t xml:space="preserve">. </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هذا إذا کان بالغاً کما یشیر إلیه التعبیر بالرجل وأما إذا کان صبیاً فلا یجوز طلاق ولیه عنه؛ لماتقدم</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یطلّق الولی بشرط عدم المفسدة أو المصلحة إذ لا ولایة للولی فی صورة المفسدة کما 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الاختیار، فلا یصح طلاق المکرَه؛ لحدیث الرفع وخصوص صحیحة زرارة عن أبی جعفر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طلاق المکرّه وعتقه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بطلاقه طلاق ولا عتقه بعتق</w:t>
      </w:r>
      <w:r>
        <w:rPr>
          <w:rFonts w:eastAsia="IRNazanin" w:cs="IRNazanin"/>
          <w:color w:val="111111"/>
          <w:sz w:val="28"/>
          <w:szCs w:val="28"/>
          <w:rtl w:val="true"/>
          <w:lang w:bidi="fa-IR"/>
        </w:rPr>
        <w:t xml:space="preserve">.... </w:t>
      </w:r>
      <w:r>
        <w:rPr>
          <w:rStyle w:val="FootnoteAnchor"/>
          <w:rtl w:val="true"/>
        </w:rPr>
        <w:footnoteReference w:id="72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القصد؛ لأنّ العقد والإیقاع تابع للقصد، فلو لم ینو الطلاق لم یقع، وفی الحدیث عن أبی عبدالله وأبی جعفر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طلاق إلاّ لمن أراد الطلاق</w:t>
      </w:r>
      <w:r>
        <w:rPr>
          <w:rFonts w:eastAsia="IRNazanin" w:cs="IRNazanin"/>
          <w:color w:val="111111"/>
          <w:sz w:val="28"/>
          <w:szCs w:val="28"/>
          <w:rtl w:val="true"/>
          <w:lang w:bidi="fa-IR"/>
        </w:rPr>
        <w:t xml:space="preserve">. </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فلا یقع من السکران والهازل وغیرهما ممن لا قصد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التنجیز، فلا یقع الطلاق لو قال لزوجته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طالق إن فعلتِ کذا؛ ودلیله الإجماع</w:t>
      </w:r>
      <w:r>
        <w:rPr>
          <w:rFonts w:eastAsia="IRNazanin" w:cs="IRNazanin"/>
          <w:color w:val="111111"/>
          <w:sz w:val="28"/>
          <w:szCs w:val="28"/>
          <w:rtl w:val="true"/>
          <w:lang w:bidi="fa-IR"/>
        </w:rPr>
        <w:t>.</w:t>
      </w:r>
      <w:bookmarkStart w:id="869" w:name="pg5021_49457"/>
    </w:p>
    <w:p>
      <w:pPr>
        <w:pStyle w:val="Heading3"/>
        <w:numPr>
          <w:ilvl w:val="2"/>
          <w:numId w:val="1"/>
        </w:numPr>
        <w:rPr/>
      </w:pPr>
      <w:bookmarkStart w:id="870" w:name="__RefHeading___Toc580956_774463916"/>
      <w:bookmarkStart w:id="871" w:name="_Toc346"/>
      <w:bookmarkEnd w:id="869"/>
      <w:bookmarkEnd w:id="870"/>
      <w:r>
        <w:rPr>
          <w:rtl w:val="true"/>
        </w:rPr>
        <w:t>الدرس</w:t>
      </w:r>
      <w:r>
        <w:rPr/>
        <w:t>2</w:t>
      </w:r>
      <w:r>
        <w:rPr>
          <w:rtl w:val="true"/>
        </w:rPr>
        <w:t xml:space="preserve"> - </w:t>
      </w:r>
      <w:r>
        <w:rPr>
          <w:rtl w:val="true"/>
        </w:rPr>
        <w:t xml:space="preserve">کتاب الطلاق </w:t>
      </w:r>
      <w:r>
        <w:rPr>
          <w:rtl w:val="true"/>
        </w:rPr>
        <w:t>(</w:t>
      </w:r>
      <w:r>
        <w:rPr/>
        <w:t>2</w:t>
      </w:r>
      <w:r>
        <w:rPr>
          <w:rtl w:val="true"/>
        </w:rPr>
        <w:t>)</w:t>
      </w:r>
      <w:bookmarkEnd w:id="871"/>
    </w:p>
    <w:p>
      <w:pPr>
        <w:pStyle w:val="Heading4"/>
        <w:numPr>
          <w:ilvl w:val="3"/>
          <w:numId w:val="1"/>
        </w:numPr>
        <w:rPr/>
      </w:pPr>
      <w:bookmarkStart w:id="872" w:name="__RefHeading___Toc580958_774463916"/>
      <w:bookmarkStart w:id="873" w:name="_Toc347"/>
      <w:bookmarkEnd w:id="872"/>
      <w:r>
        <w:rPr>
          <w:rtl w:val="true"/>
        </w:rPr>
        <w:t>تابع شرائط صحّة الطلاق</w:t>
      </w:r>
      <w:bookmarkEnd w:id="873"/>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تکون الزوجة فی حالة طهر من الحیض والنفاس لم یواقعها فیه؛ للروایات، منها صحیحة زرارة عن أبی جعفر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طلاق السنّة فإذا أراد الرجل أن یطلق امرأته فلینتظر بها حتی تطمث وتطهر، فإذا خرجت من طمثها طلقها تطلیقة من غیر جماع ویشهد شاهدین</w:t>
      </w:r>
      <w:r>
        <w:rPr>
          <w:rFonts w:eastAsia="IRNazanin" w:cs="IRNazanin"/>
          <w:color w:val="111111"/>
          <w:sz w:val="28"/>
          <w:szCs w:val="28"/>
          <w:rtl w:val="true"/>
          <w:lang w:bidi="fa-IR"/>
        </w:rPr>
        <w:t xml:space="preserve">.... </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ویستثنی من ذلک ستّة، خمسة منها واردة فی صحیح محمد بن مسلم، وزرارة وغیرهما عن أبی جعفر، وأبی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 یطلقهن أزواجهن متی شاؤا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الحامل المستبین حملها، والجاریة التی لم تحض، والمرأة التی قعدت من المحیض والغائب عنها زوجها، والتی لم یدخل بها</w:t>
      </w:r>
      <w:r>
        <w:rPr>
          <w:rFonts w:eastAsia="IRNazanin" w:cs="IRNazanin"/>
          <w:color w:val="111111"/>
          <w:sz w:val="28"/>
          <w:szCs w:val="28"/>
          <w:rtl w:val="true"/>
          <w:lang w:bidi="fa-IR"/>
        </w:rPr>
        <w:t xml:space="preserve">. </w:t>
      </w:r>
      <w:r>
        <w:rPr>
          <w:rStyle w:val="FootnoteAnchor"/>
          <w:rtl w:val="true"/>
        </w:rPr>
        <w:footnoteReference w:id="727"/>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بالغائب من لا یتیسّر له إمکان تعرّفه علی حالها، إذ هو الظاهر من الغائب فی المسألة بمناسبة الحکم والموضوع، لا کُلّ من غاب مع علمه بکونها فی حالة حیض والاحتیاط یقتضی أن یطلق بعد مضی شهر لما رواه إسحاق بن عمار عن أبی عبدالله أو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طلاق الغائب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مضی له شهر</w:t>
      </w:r>
      <w:r>
        <w:rPr>
          <w:rFonts w:eastAsia="IRNazanin" w:cs="IRNazanin"/>
          <w:color w:val="111111"/>
          <w:sz w:val="28"/>
          <w:szCs w:val="28"/>
          <w:rtl w:val="true"/>
          <w:lang w:bidi="fa-IR"/>
        </w:rPr>
        <w:t xml:space="preserve">. </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 xml:space="preserve">وأحوط منه مضی ثلاثة أشهر کما فی روایة اخری منه عن أبی إبراهیم علیه السلام </w:t>
      </w:r>
      <w:r>
        <w:rPr>
          <w:rFonts w:eastAsia="IRNazanin" w:cs="IRNazanin"/>
          <w:color w:val="111111"/>
          <w:sz w:val="28"/>
          <w:szCs w:val="28"/>
          <w:rtl w:val="true"/>
          <w:lang w:bidi="fa-IR"/>
        </w:rPr>
        <w:t xml:space="preserve">. </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وفی حکم الغائب، الحاضر الذی لا یمکنه التعرّف علی حال زوجته، کالمسجون ویدلّ علیه صحیح عبدالرحمن بن الحجاج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الحسن علیه السلام عن رجل تزوّج امرأة سرّاً من أهلها وهی فی منزل أهله، وقد أراد أن یطلقّها ولیس یصل إلیها، فیعلم طمثها إذا طمثت ولا یعلم بطهرها إذا طهرت،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مثل الغائب عن أهله یطلّق بالأهلة والشهور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ویستثنی من الشرط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المسترابة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کانت فی سن من تحیض ولا تحیض، لخلقة أو عارض من رضاع أو مرض وما شاکل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فیجوز طلاقها ولو کان فی طهر المجامعة بشرط مضی ثلاثة أشهر بلا خلاف، ویدل علیه صحیح إسماعیل بن سعد الأشعری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الرضا علیه السلام عن المسترابة من المحیض کیف تطلّق؟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تطلق بالشهور</w:t>
      </w:r>
      <w:r>
        <w:rPr>
          <w:rFonts w:eastAsia="IRNazanin" w:cs="IRNazanin"/>
          <w:color w:val="111111"/>
          <w:sz w:val="28"/>
          <w:szCs w:val="28"/>
          <w:rtl w:val="true"/>
          <w:lang w:bidi="fa-IR"/>
        </w:rPr>
        <w:t xml:space="preserve">. </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والمراد بالشهور أقلها ثلاثة، ویدل علیه أیضاً الروایات الاُخری فی عدة المسترابة</w:t>
      </w:r>
      <w:r>
        <w:rPr>
          <w:rFonts w:eastAsia="IRNazanin" w:cs="IRNazanin"/>
          <w:color w:val="111111"/>
          <w:sz w:val="28"/>
          <w:szCs w:val="28"/>
          <w:rtl w:val="true"/>
          <w:lang w:bidi="fa-IR"/>
        </w:rPr>
        <w:t xml:space="preserve">. </w:t>
      </w:r>
      <w:r>
        <w:rPr>
          <w:rStyle w:val="FootnoteAnchor"/>
          <w:rtl w:val="true"/>
        </w:rPr>
        <w:footnoteReference w:id="73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إشهاد رجلین عدلین، بلا خلاف بل هو من شعار الإمامیة ویدل علی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بَلَغْنَ أَجَلَهُنَّ فَأَمْسِکُوهُنَّ بِمَعْرُوفٍ أَوْ فارِقُوهُنَّ بِمَعْرُوفٍ وَ أَشْهِدُوا ذَوَیْ عَدْلٍ مِنْکُمْ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رجوع الأمر بالإشهاد إلی الإمساک فقط الذی هو بمعنی الرجوع بعید لتخلّل الفاصل المانع 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غایة الأمر رجوعه إلیهما وهو لا ینافی المطلوب والروایات فی ذلک کثیرة جداً یأتی بعضها</w:t>
      </w:r>
      <w:r>
        <w:rPr>
          <w:rFonts w:eastAsia="Amiri" w:cs="Amiri" w:ascii="Amiri" w:hAnsi="Amiri"/>
          <w:color w:val="111111"/>
          <w:sz w:val="28"/>
          <w:szCs w:val="28"/>
          <w:rtl w:val="true"/>
          <w:lang w:bidi="ar-SA"/>
        </w:rPr>
        <w:t>.</w:t>
      </w:r>
      <w:bookmarkStart w:id="874" w:name="pg5021_49459"/>
    </w:p>
    <w:p>
      <w:pPr>
        <w:pStyle w:val="Heading4"/>
        <w:numPr>
          <w:ilvl w:val="3"/>
          <w:numId w:val="1"/>
        </w:numPr>
        <w:rPr/>
      </w:pPr>
      <w:bookmarkStart w:id="875" w:name="__RefHeading___Toc580960_774463916"/>
      <w:bookmarkStart w:id="876" w:name="_Toc348"/>
      <w:bookmarkEnd w:id="874"/>
      <w:bookmarkEnd w:id="875"/>
      <w:r>
        <w:rPr>
          <w:rtl w:val="true"/>
        </w:rPr>
        <w:t>صیغة الطلاق</w:t>
      </w:r>
      <w:bookmarkEnd w:id="876"/>
    </w:p>
    <w:p>
      <w:pPr>
        <w:pStyle w:val="BookText"/>
        <w:rPr/>
      </w:pPr>
      <w:r>
        <w:rPr>
          <w:rFonts w:ascii="IRNazanin" w:hAnsi="IRNazanin" w:eastAsia="IRNazanin"/>
          <w:color w:val="111111"/>
          <w:sz w:val="28"/>
          <w:sz w:val="28"/>
          <w:szCs w:val="28"/>
          <w:rtl w:val="true"/>
          <w:lang w:bidi="fa-IR"/>
        </w:rPr>
        <w:t>والمشهور إیقاعه بالصیغة الخاصه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لما فی الروایات کما تأتی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أنت علیّ حرام او بائنة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ذلک ففی الصحیح عن محمد بن مسلم</w:t>
      </w:r>
    </w:p>
    <w:p>
      <w:pPr>
        <w:pStyle w:val="BookText"/>
        <w:rPr/>
      </w:pPr>
      <w:r>
        <w:rPr>
          <w:rFonts w:ascii="IRNazanin" w:hAnsi="IRNazanin" w:eastAsia="IRNazanin"/>
          <w:color w:val="111111"/>
          <w:sz w:val="28"/>
          <w:sz w:val="28"/>
          <w:szCs w:val="28"/>
          <w:rtl w:val="true"/>
          <w:lang w:bidi="fa-IR"/>
        </w:rPr>
        <w:t>أنّه سأل أبا جعفر علیه السلام عن رجل قال لامرأته أنت علّی حرامٌ أو بائنةٌ أو بتةٌ أو بریة أوخلیة،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لیس بشییءٍ إنّما الطلاق أن یقول لها فی قبل العدة بعد ما تطهر من محیضها قبل أن یجامعها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طالق، أو اعتّدی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بذلک الطلاق ویشهد علی ذلک رجلین عدلین</w:t>
      </w:r>
      <w:r>
        <w:rPr>
          <w:rFonts w:eastAsia="IRNazanin" w:cs="IRNazanin"/>
          <w:color w:val="111111"/>
          <w:sz w:val="28"/>
          <w:szCs w:val="28"/>
          <w:rtl w:val="true"/>
          <w:lang w:bidi="fa-IR"/>
        </w:rPr>
        <w:t xml:space="preserve">. </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وبما أنه لا یلزم فی الطلاق أن یخاطب الزوج زوجته، فیجوز بلفظ الغیبة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طالق، أو فلانة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یصحّ بأن یقول الزوج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فلانة مطلقة، أو طلقتُ 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تأمل للحصر المستفاد من الروایة بلفظ طالق، نعم، ورد فی الروایة وقوعه 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اعتّدی إلاّ أنّ المشهور أعرضوا عنه، فالاحتیاط یقتضی عدم الاکتفاء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یجزی الترجمة؛ لما دلّ علی لزوم التلفّظ بلفظ خاص، وإذا تعذّر یلزم توکیل العربی رعایة لما دلّ علی اعتبار اللفظ الخاص فیه، وإمّا إن تعذّر فهل یجزی الترجمة أو تعیّن الکتابة؟ فیه تأمل</w:t>
      </w:r>
      <w:r>
        <w:rPr>
          <w:rFonts w:eastAsia="IRNazanin" w:cs="IRNazanin"/>
          <w:color w:val="111111"/>
          <w:sz w:val="28"/>
          <w:szCs w:val="28"/>
          <w:rtl w:val="true"/>
          <w:lang w:bidi="fa-IR"/>
        </w:rPr>
        <w:t>.</w:t>
      </w:r>
    </w:p>
    <w:p>
      <w:pPr>
        <w:pStyle w:val="Heading4"/>
        <w:numPr>
          <w:ilvl w:val="3"/>
          <w:numId w:val="1"/>
        </w:numPr>
        <w:rPr/>
      </w:pPr>
      <w:bookmarkStart w:id="877" w:name="__RefHeading___Toc580962_774463916"/>
      <w:bookmarkStart w:id="878" w:name="_Toc349"/>
      <w:bookmarkEnd w:id="877"/>
      <w:r>
        <w:rPr>
          <w:rtl w:val="true"/>
        </w:rPr>
        <w:t>أقسام الطلاق</w:t>
      </w:r>
      <w:bookmarkEnd w:id="878"/>
    </w:p>
    <w:p>
      <w:pPr>
        <w:pStyle w:val="BookText"/>
        <w:rPr/>
      </w:pPr>
      <w:r>
        <w:rPr>
          <w:rFonts w:ascii="IRNazanin" w:hAnsi="IRNazanin" w:eastAsia="IRNazanin"/>
          <w:color w:val="111111"/>
          <w:sz w:val="28"/>
          <w:sz w:val="28"/>
          <w:szCs w:val="28"/>
          <w:rtl w:val="true"/>
          <w:lang w:bidi="fa-IR"/>
        </w:rPr>
        <w:t>وهو قسمان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بدعی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فاقداً للشرائط المتقدّمة وحکمه البطلان، نعم، المعروف اصطلاح البدعی علی ثلاثة أقسام من الطلاق الفاقد للشرائط،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 الحائض والنفساء فی غیر موارد الاستثناء</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والطلاق فی طهر المقاربة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والطلاق ثلاثاً من غیر تخلل 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والطلاق البدعی عندنا باطل، خلافاً للجمهور حیث اتفقت کلمتهم علی الصحة مع الإثم کما قیل</w:t>
      </w:r>
      <w:r>
        <w:rPr>
          <w:rFonts w:eastAsia="IRNazanin" w:cs="IRNazanin"/>
          <w:color w:val="111111"/>
          <w:sz w:val="28"/>
          <w:szCs w:val="28"/>
          <w:rtl w:val="true"/>
          <w:lang w:bidi="fa-IR"/>
        </w:rPr>
        <w:t xml:space="preserve">. </w:t>
      </w:r>
      <w:r>
        <w:rPr>
          <w:rStyle w:val="FootnoteAnchor"/>
          <w:rtl w:val="true"/>
        </w:rPr>
        <w:footnoteReference w:id="733"/>
      </w:r>
      <w:r>
        <w:rPr>
          <w:rFonts w:ascii="IRNazanin" w:hAnsi="IRNazanin" w:eastAsia="IRNazanin"/>
          <w:color w:val="111111"/>
          <w:sz w:val="28"/>
          <w:sz w:val="28"/>
          <w:szCs w:val="28"/>
          <w:rtl w:val="true"/>
          <w:lang w:bidi="fa-IR"/>
        </w:rPr>
        <w:t>نعم، الطلاق ثلاثاً بلا تخلل رجعة بان یکرر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یعدّ واحداً للروایات منها صحیحة زرارة عن أحدهما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رجل طلّق امرأته ثلاثاً فی مجلس واحد وهی طاهر،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واحدة</w:t>
      </w:r>
      <w:r>
        <w:rPr>
          <w:rFonts w:eastAsia="IRNazanin" w:cs="IRNazanin"/>
          <w:color w:val="111111"/>
          <w:sz w:val="28"/>
          <w:szCs w:val="28"/>
          <w:rtl w:val="true"/>
          <w:lang w:bidi="fa-IR"/>
        </w:rPr>
        <w:t xml:space="preserve">. </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وأما إذا أرسل، ولم یکرر بان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طالقٌ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کونه کالسابق أو أنّه باطل من رأس؛ کلام موکول الی مجال أوسع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وجمهور العامة من المذاهب الأربعة اتفقوا علی وقوع الطلاق ثلاثاً ولو فی صورة الإرسال، وهو مخالف لکتاب الله الناطق 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مَرَّتانِ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المرتان لا یصدق إلا مع التکرار، وهو من أولیات عمر، روی مسلم 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الطلاق علی عهد رسول‌الله صلی الله علیه و آله وأبی بکر وسنتین من خلافة عمر طلاق الثلاث واحدة،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قد استعجلوا فی أمر کان لهم فیه أناة، فلو أمضیناه علیهم فأمضاه علیهم</w:t>
      </w:r>
      <w:r>
        <w:rPr>
          <w:rFonts w:eastAsia="IRNazanin" w:cs="IRNazanin"/>
          <w:color w:val="111111"/>
          <w:sz w:val="28"/>
          <w:szCs w:val="28"/>
          <w:rtl w:val="true"/>
          <w:lang w:bidi="fa-IR"/>
        </w:rPr>
        <w:t xml:space="preserve">». </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سنّی؛ و هو الجامع للشرائط وهو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یحق للزوج الرجوع فیه، وله أفراد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طلاق الصغیرة التی لم تبلغ سن المحیض؛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الیائسة؛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قبل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الثلاثة لیس لها عدة کما سیأتی إن شاءالله تعالی فهو بائن؛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الخلع والمباراة؛ لصحیحة محمد بن مسلم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الخلع، والمباراة، تطلیقة بائن وهو خاطب من الخطاب</w:t>
      </w:r>
      <w:r>
        <w:rPr>
          <w:rFonts w:eastAsia="IRNazanin" w:cs="IRNazanin"/>
          <w:color w:val="111111"/>
          <w:sz w:val="28"/>
          <w:szCs w:val="28"/>
          <w:rtl w:val="true"/>
          <w:lang w:bidi="fa-IR"/>
        </w:rPr>
        <w:t xml:space="preserve">. </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 xml:space="preserve">نعم، هذا أذا لم ترجع هی فی البذل وإلاّ ینقلب الطلاق البائن إلی الرجعی، لصحیحة البقباق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المختلعة إن رجعت فی شیءٍ من الصلح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لأرجعنّ فی بضعک</w:t>
      </w:r>
      <w:r>
        <w:rPr>
          <w:rFonts w:eastAsia="IRNazanin" w:cs="IRNazanin"/>
          <w:color w:val="111111"/>
          <w:sz w:val="28"/>
          <w:szCs w:val="28"/>
          <w:rtl w:val="true"/>
          <w:lang w:bidi="fa-IR"/>
        </w:rPr>
        <w:t xml:space="preserve">. </w:t>
      </w:r>
      <w:r>
        <w:rPr>
          <w:rStyle w:val="FootnoteAnchor"/>
          <w:rtl w:val="true"/>
        </w:rPr>
        <w:footnoteReference w:id="73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المطلقة ثلاثاً بینها رجعتان أو عقد جدید، فانها تحرم علی زوجها حتی ینکحها رجل آخر؛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مَرَّتانِ فَإِمْساکٌ بِمَعْرُوفٍ أَوْ تَسْرِیحٌ بِإِحْسانٍ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طَلَّقَها فَلا تَحِلُّ لَهُ مِنْ بَعْدُ حَتّی تَنْکِحَ زَوْجاً غَیْرَهُ فَإِنْ طَلَّقَها فَلا جُناحَ عَلَیْهِما أَنْ یَتَراجَعا إِنْ ظَنّا أَنْ یُقِیما حُدُودَ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والروایات فی المسأله کثیرة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ولابدّ فی التحلیل لزوجها الأوّل من أن یجامعها الزوج الاخیر ثمّ یفارقها بطلاق کما فی الآیة الکریمه، أو بموت لِما یستفاد من الروایات من کفایة المفارقة بعد الجماع، روی زرارة فی الموثّق عن أبی جعفر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فأذا طلّقها ثلاثاً، لم تحل له حتی تنکح زوجاً غیره، فإذا تزوجها غیره ولم یدخل بها وطلقها، أو مات عنها لم تحل لزوجها الاوّل حتی یذوق عسیلتها</w:t>
      </w:r>
      <w:r>
        <w:rPr>
          <w:rFonts w:eastAsia="IRNazanin" w:cs="IRNazanin"/>
          <w:color w:val="111111"/>
          <w:sz w:val="28"/>
          <w:szCs w:val="28"/>
          <w:rtl w:val="true"/>
          <w:lang w:bidi="fa-IR"/>
        </w:rPr>
        <w:t xml:space="preserve">. </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فإذا فارقها زوجها الثانی بعد الدخول بطلاق أو موت، یجوز للأوّل العقد علیها بعد انتهاء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الرجعی</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ما جاز للزوج الرجوع فیه سواءً رجع أم لا، وهو غیر البائن المذکور وله قسمان عِدّی وغیره، والمراد من العِدّی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یطلق علی الشرائط ثمّ یراجع قبل الخروج</w:t>
      </w:r>
    </w:p>
    <w:p>
      <w:pPr>
        <w:pStyle w:val="BookText"/>
        <w:rPr/>
      </w:pPr>
      <w:r>
        <w:rPr>
          <w:rFonts w:ascii="IRNazanin" w:hAnsi="IRNazanin" w:eastAsia="IRNazanin"/>
          <w:color w:val="111111"/>
          <w:sz w:val="28"/>
          <w:sz w:val="28"/>
          <w:szCs w:val="28"/>
          <w:rtl w:val="true"/>
          <w:lang w:bidi="fa-IR"/>
        </w:rPr>
        <w:t>من العدة ویواقع، ثمّ یطلّقها فی غیر طهر المواقعة ثمّ یراجعها ویواقعها ثمّ یطلّقها فی طهر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تحرم علیه حتی تنکح زوجاً غیره، وهذا أمر متسالَم علیه، وتدل علیه صحیحة زرارة</w:t>
      </w:r>
      <w:r>
        <w:rPr>
          <w:rFonts w:eastAsia="IRNazanin" w:cs="IRNazanin"/>
          <w:color w:val="111111"/>
          <w:sz w:val="28"/>
          <w:szCs w:val="28"/>
          <w:rtl w:val="true"/>
          <w:lang w:bidi="fa-IR"/>
        </w:rPr>
        <w:t xml:space="preserve">. </w:t>
      </w:r>
      <w:r>
        <w:rPr>
          <w:rStyle w:val="FootnoteAnchor"/>
          <w:rtl w:val="true"/>
        </w:rPr>
        <w:footnoteReference w:id="739"/>
      </w:r>
      <w:r>
        <w:rPr>
          <w:rFonts w:ascii="IRNazanin" w:hAnsi="IRNazanin" w:eastAsia="IRNazanin"/>
          <w:color w:val="111111"/>
          <w:sz w:val="28"/>
          <w:sz w:val="28"/>
          <w:szCs w:val="28"/>
          <w:rtl w:val="true"/>
          <w:lang w:bidi="fa-IR"/>
        </w:rPr>
        <w:t>والطلاق العِدّی علی هذا متقوّم بأمرین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تخلل رجعتین ولا یکفی وقوع عقدین جدیدین أو عقد ورجعة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تحقق المواقعة بعد کلّ 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فطلاق العدة مرکّب من ثلاث طلقات رجعیتان وبائن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تکرر حرمت فی السادس أیضاً حتی تنکح آخر بالشکل المتقدّم وفی التاسع تحرم مؤبداً؛ للتسالم علیه وتدل علیه جملة من النصوص، والمشهور اشتراط الحرمة المؤبّدة فی الطلاق التاسع بما إذا کان الطلاق عِدّیاً، </w:t>
      </w:r>
      <w:r>
        <w:rPr>
          <w:rStyle w:val="FootnoteAnchor"/>
          <w:rtl w:val="true"/>
        </w:rPr>
        <w:footnoteReference w:id="740"/>
      </w:r>
      <w:r>
        <w:rPr>
          <w:rFonts w:ascii="IRNazanin" w:hAnsi="IRNazanin" w:eastAsia="IRNazanin"/>
          <w:color w:val="111111"/>
          <w:sz w:val="28"/>
          <w:sz w:val="28"/>
          <w:szCs w:val="28"/>
          <w:rtl w:val="true"/>
          <w:lang w:bidi="fa-IR"/>
        </w:rPr>
        <w:t>وعلیه فإذا لم یکن الطلاق عِدیّاً لاتحرم علیه بالحرمة المؤبدة إلاّ أنّ الروایات الدالة علی ذلک مطلقة 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فالعَمدة حینئذٍ 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مقابل العّدی طلاقان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تتحقق فیه الرجعة فی العدة من دون مواقعة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له السنّی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تتحقق فیه الرجعة فی العدة بل تنقضی ثمّ یتزوجها الزوج بعقد جدید 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 بالمعنی الأخص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للسنّی إطلاق ثالث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طلاق جامع للشرائط مقابل البَدَعی وهو السنّی بالمعنی الأعم الذی تقدّم ذکره، فالطلاق السنّی له ثلاثة إطلاقات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بَدَعی، وسنّی بالمعنی الأعم، والسنّی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بائن، له أفراد خمسة، ورجعی والرجعیّ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العدّی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 وسنّی بالمعنی الاخص</w:t>
      </w:r>
      <w:r>
        <w:rPr>
          <w:rFonts w:eastAsia="IRNazanin" w:cs="IRNazanin"/>
          <w:color w:val="111111"/>
          <w:sz w:val="28"/>
          <w:szCs w:val="28"/>
          <w:rtl w:val="true"/>
          <w:lang w:bidi="fa-IR"/>
        </w:rPr>
        <w:t>.</w:t>
      </w:r>
      <w:bookmarkStart w:id="879" w:name="pg5021_49463"/>
    </w:p>
    <w:p>
      <w:pPr>
        <w:pStyle w:val="Heading3"/>
        <w:numPr>
          <w:ilvl w:val="2"/>
          <w:numId w:val="1"/>
        </w:numPr>
        <w:rPr/>
      </w:pPr>
      <w:bookmarkStart w:id="880" w:name="__RefHeading___Toc580964_774463916"/>
      <w:bookmarkStart w:id="881" w:name="_Toc350"/>
      <w:bookmarkEnd w:id="879"/>
      <w:bookmarkEnd w:id="880"/>
      <w:r>
        <w:rPr>
          <w:rtl w:val="true"/>
        </w:rPr>
        <w:t>الدرس</w:t>
      </w:r>
      <w:r>
        <w:rPr/>
        <w:t>3</w:t>
      </w:r>
      <w:r>
        <w:rPr>
          <w:rtl w:val="true"/>
        </w:rPr>
        <w:t xml:space="preserve"> - </w:t>
      </w:r>
      <w:r>
        <w:rPr>
          <w:rtl w:val="true"/>
        </w:rPr>
        <w:t>کتاب العدّة</w:t>
      </w:r>
      <w:bookmarkEnd w:id="881"/>
    </w:p>
    <w:p>
      <w:pPr>
        <w:pStyle w:val="Heading4"/>
        <w:numPr>
          <w:ilvl w:val="3"/>
          <w:numId w:val="1"/>
        </w:numPr>
        <w:rPr/>
      </w:pPr>
      <w:bookmarkStart w:id="882" w:name="__RefHeading___Toc580966_774463916"/>
      <w:bookmarkStart w:id="883" w:name="_Toc351"/>
      <w:bookmarkEnd w:id="882"/>
      <w:r>
        <w:rPr>
          <w:rtl w:val="true"/>
        </w:rPr>
        <w:t>حقیقة العدّة و أحکامها</w:t>
      </w:r>
      <w:bookmarkEnd w:id="883"/>
    </w:p>
    <w:p>
      <w:pPr>
        <w:pStyle w:val="BookText"/>
        <w:rPr/>
      </w:pP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الفترة التی یجب علی المرأة ترک الزواج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یکون لها حکم غیره کما یأتی، ووجوبها من ضروریات الدین؛ ویدل علیه مواضع من الکتاب الکریم کما یأتی وتجب العدة علی عدة من النساء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المطلّقة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الْمُطَلَّقاتُ یَتَرَبَّصْنَ بِأَنْفُسِهِنَّ ثَلاثَةَ قُرُوءٍ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ویشترط کونها مدخولاً بها،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طَلَّقْتُمُوهُنَّ مِنْ قَبْلِ أَنْ تَمَسُّوهُنَّ فَما لَکُمْ عَلَیْهِنَّ مِنْ عِدَّةٍ تَعْتَدُّونَها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والروایات، وکونها بالغة وغیر یائسة إذ لا عدة علی الصغیرة والیائسة علی المشهور بین الأصحاب؛ وتدل علیه صحیحة حماد بن عثمان عن أبی عبدالله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سألته عن التی قد یئست من المحیض والتی لا یحیض مثلها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علیها عدة</w:t>
      </w:r>
      <w:r>
        <w:rPr>
          <w:rFonts w:eastAsia="IRNazanin" w:cs="IRNazanin"/>
          <w:color w:val="111111"/>
          <w:sz w:val="28"/>
          <w:szCs w:val="28"/>
          <w:rtl w:val="true"/>
          <w:lang w:bidi="fa-IR"/>
        </w:rPr>
        <w:t xml:space="preserve">. </w:t>
      </w:r>
      <w:r>
        <w:rPr>
          <w:rStyle w:val="FootnoteAnchor"/>
          <w:rtl w:val="true"/>
        </w:rPr>
        <w:footnoteReference w:id="741"/>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ونحوها معتبرة عبدالرحمن بن الحجاج </w:t>
      </w:r>
      <w:r>
        <w:rPr>
          <w:rStyle w:val="FootnoteAnchor"/>
          <w:rtl w:val="true"/>
        </w:rPr>
        <w:footnoteReference w:id="742"/>
      </w:r>
      <w:r>
        <w:rPr>
          <w:rFonts w:ascii="IRNazanin" w:hAnsi="IRNazanin" w:eastAsia="IRNazanin"/>
          <w:color w:val="111111"/>
          <w:sz w:val="28"/>
          <w:sz w:val="28"/>
          <w:szCs w:val="28"/>
          <w:rtl w:val="true"/>
          <w:lang w:bidi="fa-IR"/>
        </w:rPr>
        <w:t>وفی المقام روایات تدلّ علی أنّ عدتهما</w:t>
      </w:r>
    </w:p>
    <w:p>
      <w:pPr>
        <w:pStyle w:val="BookText"/>
        <w:rPr/>
      </w:pPr>
      <w:r>
        <w:rPr>
          <w:rFonts w:ascii="IRNazanin" w:hAnsi="IRNazanin" w:eastAsia="IRNazanin"/>
          <w:color w:val="111111"/>
          <w:sz w:val="28"/>
          <w:sz w:val="28"/>
          <w:szCs w:val="28"/>
          <w:rtl w:val="true"/>
          <w:lang w:bidi="fa-IR"/>
        </w:rPr>
        <w:t>ثلاثة أشهر تحمل علی الاستحباب أو التقیّة ومقدار العدة للمطلقات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قروء؛ للآیه الکریمة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بالقرء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والضم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المتناقضات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الطهر؛ للأجماع المحکی، وللروایات، منها صحیحة زرارة عن أبی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الأقراء هی الأطهار</w:t>
      </w:r>
      <w:r>
        <w:rPr>
          <w:rFonts w:eastAsia="IRNazanin" w:cs="IRNazanin"/>
          <w:color w:val="111111"/>
          <w:sz w:val="28"/>
          <w:szCs w:val="28"/>
          <w:rtl w:val="true"/>
          <w:lang w:bidi="fa-IR"/>
        </w:rPr>
        <w:t xml:space="preserve">». </w:t>
      </w:r>
      <w:r>
        <w:rPr>
          <w:rStyle w:val="FootnoteAnchor"/>
          <w:rtl w:val="true"/>
        </w:rPr>
        <w:footnoteReference w:id="743"/>
      </w:r>
      <w:r>
        <w:rPr>
          <w:rFonts w:ascii="IRNazanin" w:hAnsi="IRNazanin" w:eastAsia="IRNazanin"/>
          <w:color w:val="111111"/>
          <w:sz w:val="28"/>
          <w:sz w:val="28"/>
          <w:szCs w:val="28"/>
          <w:rtl w:val="true"/>
          <w:lang w:bidi="fa-IR"/>
        </w:rPr>
        <w:t xml:space="preserve">وفی المقام روایات أخری معارضة للمشهور حملها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ویکفی فی الطهر الأوّل مسماه بالرغم من دلالة ظاهر الکتاب علی لزوم تربص جمیع الطهر الأوّل؛ للروایات الکثیرة منها صحیحة زرارة عن أبی جعفر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رجل طلّق امرأته علی طهر من غیر جماع بشهادة عدلین؟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فی الحیضة الثالثة فقد انقضت عدتها، وحلّت للأزواج،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العراق یروون عن علی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احقّ برجعتها ما لم تغتسل من الحیضة الثالثة؟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کذبوا</w:t>
      </w:r>
      <w:r>
        <w:rPr>
          <w:rFonts w:eastAsia="IRNazanin" w:cs="IRNazanin"/>
          <w:color w:val="111111"/>
          <w:sz w:val="28"/>
          <w:szCs w:val="28"/>
          <w:rtl w:val="true"/>
          <w:lang w:bidi="fa-IR"/>
        </w:rPr>
        <w:t xml:space="preserve">. </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فإن إطلاق قوله علی طهر کما یشمل بدایة الطهر، یشمل قبیل نهایته أیضاً، فإذا افترضنا أنّ المرأة تری أقل الحیض وهو ثلاثة أیام وتطهر أقله وهی عشرة أیام یکون أقل زمان العدة ستة وعشرون یوماً، بان یفترض طهرها الأوّل لحظة ثمّ تحیض ثلاثة أیام ثمَّ تری أقل الطهر عشرة أیام ثمّ تحیض ثلاثة أیام ثمّ تری أقل الطهر عشرة أیام ثمّ تحیض، وبمجرّد رؤیة الدم الأخیر تنقضی العدة لکشفه عن تحقق ثلاثة أطهار، وإطلاق ثلاثة أطهار علی طهرین ولحظة، شائع من باب التغلیب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غیر المسترابة والحامل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المسترابة وهی التی لا تحیض وهی فی سن من تحیض فعدّتها ثلاثة أشهر؛ للروایات الکثیرة منها صحیحة الحلبی عن أبی عبدالله علیه السلام قال</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عدة المرأة التی لا تحیض والمستحاضة التی لا تطهر، ثلاثة أشهر</w:t>
      </w:r>
      <w:r>
        <w:rPr>
          <w:rFonts w:eastAsia="IRNazanin" w:cs="IRNazanin"/>
          <w:color w:val="111111"/>
          <w:sz w:val="28"/>
          <w:szCs w:val="28"/>
          <w:rtl w:val="true"/>
          <w:lang w:bidi="fa-IR"/>
        </w:rPr>
        <w:t xml:space="preserve">.... </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وأمّا الحامل فعدتها أن تضع حملها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أُولاتُ الْأَحْمالِ أَجَلُهُنَّ أَنْ یَضَعْنَ حَمْلَهُنَّ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وللروایات، هذا هو المشهور وذهب بعضهم إلی أنّ عدّتها أقرب الأجلین من الوضع والأقراء أو ثلاثة أشهر؛ لقول الصادق علیه السلام فی صحیحة أبی الصباح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طلاق الحامل واحدة، وعدّتها أقرب الأجلین</w:t>
      </w:r>
      <w:r>
        <w:rPr>
          <w:rFonts w:eastAsia="IRNazanin" w:cs="IRNazanin"/>
          <w:color w:val="111111"/>
          <w:sz w:val="28"/>
          <w:szCs w:val="28"/>
          <w:rtl w:val="true"/>
          <w:lang w:bidi="fa-IR"/>
        </w:rPr>
        <w:t xml:space="preserve">. </w:t>
      </w:r>
      <w:r>
        <w:rPr>
          <w:rStyle w:val="FootnoteAnchor"/>
          <w:rtl w:val="true"/>
        </w:rPr>
        <w:footnoteReference w:id="746"/>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فیقلّد بها الآیة الکریمة وما دل علی أنّ أجلها وضعها بصورة کون الوضع أقرب الأجلین</w:t>
      </w:r>
      <w:r>
        <w:rPr>
          <w:rFonts w:eastAsia="IRNazanin" w:cs="IRNazanin"/>
          <w:color w:val="111111"/>
          <w:sz w:val="28"/>
          <w:szCs w:val="28"/>
          <w:rtl w:val="true"/>
          <w:lang w:bidi="fa-IR"/>
        </w:rPr>
        <w:t>.</w:t>
      </w:r>
      <w:bookmarkStart w:id="884" w:name="pg5021_49466"/>
    </w:p>
    <w:p>
      <w:pPr>
        <w:pStyle w:val="Heading3"/>
        <w:numPr>
          <w:ilvl w:val="2"/>
          <w:numId w:val="1"/>
        </w:numPr>
        <w:rPr/>
      </w:pPr>
      <w:bookmarkStart w:id="885" w:name="__RefHeading___Toc580968_774463916"/>
      <w:bookmarkStart w:id="886" w:name="_Toc352"/>
      <w:bookmarkEnd w:id="884"/>
      <w:bookmarkEnd w:id="885"/>
      <w:r>
        <w:rPr>
          <w:rtl w:val="true"/>
        </w:rPr>
        <w:t>الدرس</w:t>
      </w:r>
      <w:r>
        <w:rPr/>
        <w:t>4</w:t>
      </w:r>
      <w:r>
        <w:rPr>
          <w:rtl w:val="true"/>
        </w:rPr>
        <w:t xml:space="preserve"> - </w:t>
      </w:r>
      <w:r>
        <w:rPr>
          <w:rtl w:val="true"/>
        </w:rPr>
        <w:t xml:space="preserve">کتاب العدة </w:t>
      </w:r>
      <w:r>
        <w:rPr>
          <w:rtl w:val="true"/>
        </w:rPr>
        <w:t>(</w:t>
      </w:r>
      <w:r>
        <w:rPr/>
        <w:t>2</w:t>
      </w:r>
      <w:r>
        <w:rPr>
          <w:rtl w:val="true"/>
        </w:rPr>
        <w:t>)</w:t>
      </w:r>
      <w:bookmarkEnd w:id="886"/>
    </w:p>
    <w:p>
      <w:pPr>
        <w:pStyle w:val="Heading4"/>
        <w:numPr>
          <w:ilvl w:val="3"/>
          <w:numId w:val="1"/>
        </w:numPr>
        <w:rPr/>
      </w:pPr>
      <w:bookmarkStart w:id="887" w:name="__RefHeading___Toc580970_774463916"/>
      <w:bookmarkStart w:id="888" w:name="_Toc353"/>
      <w:bookmarkEnd w:id="887"/>
      <w:r>
        <w:rPr>
          <w:rtl w:val="true"/>
        </w:rPr>
        <w:t>تابع أحکام العدّة</w:t>
      </w:r>
      <w:bookmarkEnd w:id="88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المتوفی عنها زوجها وعدتها أربعة اشهر وعشرة أیام؛ بضرورة الفقه ویدلّ علیه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یُتَوَفَّوْنَ مِنْکُمْ وَ یَذَرُونَ أَزْواجاً یَتَرَبَّصْنَ بِأَنْفُسِهِنَّ أَرْبَعَةَ أَشْهُرٍ وَ عَشْراً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وأطلاقها یقتضی عدم الفرق بین حالات الزوج والزوجة من حیث الکبر والصغر، ووقوع الدخول وعدمه وکون العقد دائماً أو متعة وغیرها، نعم، یُلحق بها المرتد زوجها عن فطرة لموثّقة الساباطی عن الصادق علیه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 مسلم بین مسلمین ارتد عن الأسلام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وتعتدّ امرأته عدة المتوفی عنها زوجها</w:t>
      </w:r>
      <w:r>
        <w:rPr>
          <w:rFonts w:eastAsia="IRNazanin" w:cs="IRNazanin"/>
          <w:color w:val="111111"/>
          <w:sz w:val="28"/>
          <w:szCs w:val="28"/>
          <w:rtl w:val="true"/>
          <w:lang w:bidi="fa-IR"/>
        </w:rPr>
        <w:t xml:space="preserve">.... </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 xml:space="preserve">نعم، فی الحامل عدّتها أبعد الأجلین من الوضع والمدة المذکورة؛ للروایات، منها صحیحة الحلبی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الحامل المتوفی عنها زوجها تنقضی عدتها آخر الاجلین</w:t>
      </w:r>
      <w:r>
        <w:rPr>
          <w:rFonts w:eastAsia="IRNazanin" w:cs="IRNazanin"/>
          <w:color w:val="111111"/>
          <w:sz w:val="28"/>
          <w:szCs w:val="28"/>
          <w:rtl w:val="true"/>
          <w:lang w:bidi="fa-IR"/>
        </w:rPr>
        <w:t xml:space="preserve">. </w:t>
      </w:r>
      <w:r>
        <w:rPr>
          <w:rStyle w:val="FootnoteAnchor"/>
          <w:rtl w:val="true"/>
        </w:rPr>
        <w:footnoteReference w:id="748"/>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ویحرم علیها کلّ ما یعدّ زینة فترة العدة بلا خلاف بین المسلمین، ویصطلح علیها</w:t>
      </w:r>
    </w:p>
    <w:p>
      <w:pPr>
        <w:pStyle w:val="BookText"/>
        <w:rPr/>
      </w:pPr>
      <w:r>
        <w:rPr>
          <w:rFonts w:ascii="IRNazanin" w:hAnsi="IRNazanin" w:eastAsia="IRNazanin"/>
          <w:color w:val="111111"/>
          <w:sz w:val="28"/>
          <w:sz w:val="28"/>
          <w:szCs w:val="28"/>
          <w:rtl w:val="true"/>
          <w:lang w:bidi="fa-IR"/>
        </w:rPr>
        <w:t xml:space="preserve">بوجوب الحداد علیها </w:t>
      </w:r>
      <w:r>
        <w:rPr>
          <w:rStyle w:val="FootnoteAnchor"/>
          <w:rtl w:val="true"/>
        </w:rPr>
        <w:footnoteReference w:id="749"/>
      </w:r>
      <w:r>
        <w:rPr>
          <w:rFonts w:ascii="IRNazanin" w:hAnsi="IRNazanin" w:eastAsia="IRNazanin"/>
          <w:color w:val="111111"/>
          <w:sz w:val="28"/>
          <w:sz w:val="28"/>
          <w:szCs w:val="28"/>
          <w:rtl w:val="true"/>
          <w:lang w:bidi="fa-IR"/>
        </w:rPr>
        <w:t xml:space="preserve">ففی الصحیح عن ابن أبی یعفور عن ابی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المتوفی عنها زوجها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تکتحل للزینة، ولا تُطیّب، ولا تلبس ثوباً مصبوغاً</w:t>
      </w:r>
      <w:r>
        <w:rPr>
          <w:rFonts w:eastAsia="IRNazanin" w:cs="IRNazanin"/>
          <w:color w:val="111111"/>
          <w:sz w:val="28"/>
          <w:szCs w:val="28"/>
          <w:rtl w:val="true"/>
          <w:lang w:bidi="fa-IR"/>
        </w:rPr>
        <w:t xml:space="preserve">.... </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واّمّا ما لا یُعدّ زینة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کتنظیف البدن، وتمشیط الشعر، ونحو ذلک مما لا یعد زینة فلا مانع منه، لعدم الدلیل علی المنع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الموطوئة شبهة وعدّتها عدّة المطلقة ثلاثة قروء، أمّا أصل العدّة فلا خلاف فیه، وتدل علیه صحیحة حفص بن البختری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التقی الختانان وجب المهر والعدة والغسل</w:t>
      </w:r>
      <w:r>
        <w:rPr>
          <w:rFonts w:eastAsia="IRNazanin" w:cs="IRNazanin"/>
          <w:color w:val="111111"/>
          <w:sz w:val="28"/>
          <w:szCs w:val="28"/>
          <w:rtl w:val="true"/>
          <w:lang w:bidi="fa-IR"/>
        </w:rPr>
        <w:t xml:space="preserve">. </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 xml:space="preserve">وأمّا أنّ مقدارها ثلاثة قروء؛ فلانصراف العدّة إلی عدّة المطلّقة لأنها العدة المعروفة للمرأة التی لم یمت زوجها، أو لِما دلّ علی أنّ عدّة التی تحیض ویستقیم حیضها ثلاثة قروء، کما فی صحیحة الحلبی </w:t>
      </w:r>
      <w:r>
        <w:rPr>
          <w:rStyle w:val="FootnoteAnchor"/>
          <w:rtl w:val="true"/>
        </w:rPr>
        <w:footnoteReference w:id="752"/>
      </w:r>
      <w:r>
        <w:rPr>
          <w:rFonts w:ascii="IRNazanin" w:hAnsi="IRNazanin" w:eastAsia="IRNazanin"/>
          <w:color w:val="111111"/>
          <w:sz w:val="28"/>
          <w:sz w:val="28"/>
          <w:szCs w:val="28"/>
          <w:rtl w:val="true"/>
          <w:lang w:bidi="fa-IR"/>
        </w:rPr>
        <w:t>أو لصحیحة الحلبی الاُخری عن أبی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المرأة الحبلی یموت زوجها، فتضع، وتزوج قبل أن تمضی لها أربعة اشهر وعشراً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دخل بها فرّق بینهما ولم تحل له أبداً واعتدَّت ما بقی علیها من الأول، واستقبلت عدّة اخری مِن الآخر ثلاثة قروء</w:t>
      </w:r>
      <w:r>
        <w:rPr>
          <w:rFonts w:eastAsia="IRNazanin" w:cs="IRNazanin"/>
          <w:color w:val="111111"/>
          <w:sz w:val="28"/>
          <w:szCs w:val="28"/>
          <w:rtl w:val="true"/>
          <w:lang w:bidi="fa-IR"/>
        </w:rPr>
        <w:t xml:space="preserve">.... </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لأنّ وطئ الشبهة هو المتیقن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المتمتّع بها وعدّتها حیضتان کما تقدم فی بحث النکاح المؤقت، هذا إذا کان الفراق بعد انتهاء الأجل أو هبة الباقی منه، أمّا إذا کان بالوفاة فأربعة أشهر وعشراً کما</w:t>
      </w:r>
    </w:p>
    <w:p>
      <w:pPr>
        <w:pStyle w:val="BookText"/>
        <w:rPr/>
      </w:pPr>
      <w:r>
        <w:rPr>
          <w:rFonts w:ascii="Amiri" w:hAnsi="Amiri" w:eastAsia="Amiri" w:cs="Amiri"/>
          <w:color w:val="111111"/>
          <w:sz w:val="28"/>
          <w:sz w:val="28"/>
          <w:szCs w:val="28"/>
          <w:rtl w:val="true"/>
          <w:lang w:bidi="ar-SA"/>
        </w:rPr>
        <w:t>تقدّم، هذا اذا لم تکن حاملاً أمّا الحامل فعدّتها إن لم تکن من الوفاة تنتهی بوضع الحمل؛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أُولاتُ الْأَحْمالِ أَجَلُهُنَّ أَنْ یَضَعْنَ حَمْلَهُنَّ</w:t>
      </w:r>
      <w:r>
        <w:rPr>
          <w:rFonts w:eastAsia="Amiri" w:cs="Amiri" w:ascii="Amiri" w:hAnsi="Amiri"/>
          <w:color w:val="111111"/>
          <w:sz w:val="28"/>
          <w:szCs w:val="28"/>
          <w:rtl w:val="true"/>
          <w:lang w:bidi="ar-SA"/>
        </w:rPr>
        <w:t xml:space="preserve">... . </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 xml:space="preserve">وأمّا الحامل المتوفی عنها زوجها فعدّتها أبعد الأجلین بلا خلاف فیه؛ لصحیح الحلبی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الحامل المتوفی عنها زوجها تنقضی عدّتها آخر الأجلین</w:t>
      </w:r>
      <w:r>
        <w:rPr>
          <w:rFonts w:eastAsia="IRNazanin" w:cs="IRNazanin"/>
          <w:color w:val="111111"/>
          <w:sz w:val="28"/>
          <w:szCs w:val="28"/>
          <w:rtl w:val="true"/>
          <w:lang w:bidi="fa-IR"/>
        </w:rPr>
        <w:t xml:space="preserve">. </w:t>
      </w:r>
      <w:r>
        <w:rPr>
          <w:rStyle w:val="FootnoteAnchor"/>
          <w:rtl w:val="true"/>
        </w:rPr>
        <w:footnoteReference w:id="755"/>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وإطلاقه یشمل العقد المؤقت کالدائم</w:t>
      </w:r>
      <w:r>
        <w:rPr>
          <w:rFonts w:eastAsia="IRNazanin" w:cs="IRNazanin"/>
          <w:color w:val="111111"/>
          <w:sz w:val="28"/>
          <w:szCs w:val="28"/>
          <w:rtl w:val="true"/>
          <w:lang w:bidi="fa-IR"/>
        </w:rPr>
        <w:t>.</w:t>
      </w:r>
      <w:bookmarkStart w:id="889" w:name="pg5021_49469"/>
    </w:p>
    <w:p>
      <w:pPr>
        <w:pStyle w:val="Heading3"/>
        <w:numPr>
          <w:ilvl w:val="2"/>
          <w:numId w:val="1"/>
        </w:numPr>
        <w:rPr/>
      </w:pPr>
      <w:bookmarkStart w:id="890" w:name="__RefHeading___Toc580972_774463916"/>
      <w:bookmarkStart w:id="891" w:name="_Toc354"/>
      <w:bookmarkEnd w:id="889"/>
      <w:bookmarkEnd w:id="890"/>
      <w:r>
        <w:rPr>
          <w:rtl w:val="true"/>
        </w:rPr>
        <w:t>الدرس</w:t>
      </w:r>
      <w:r>
        <w:rPr/>
        <w:t>5</w:t>
      </w:r>
      <w:r>
        <w:rPr>
          <w:rtl w:val="true"/>
        </w:rPr>
        <w:t xml:space="preserve"> - </w:t>
      </w:r>
      <w:r>
        <w:rPr>
          <w:rtl w:val="true"/>
        </w:rPr>
        <w:t>کتاب الخلع والمباراة</w:t>
      </w:r>
      <w:bookmarkEnd w:id="891"/>
    </w:p>
    <w:p>
      <w:pPr>
        <w:pStyle w:val="Heading4"/>
        <w:numPr>
          <w:ilvl w:val="3"/>
          <w:numId w:val="1"/>
        </w:numPr>
        <w:rPr/>
      </w:pPr>
      <w:bookmarkStart w:id="892" w:name="__RefHeading___Toc580974_774463916"/>
      <w:bookmarkStart w:id="893" w:name="_Toc355"/>
      <w:bookmarkEnd w:id="892"/>
      <w:r>
        <w:rPr>
          <w:rtl w:val="true"/>
        </w:rPr>
        <w:t>حقیقة الخلع والمباراة</w:t>
      </w:r>
      <w:bookmarkEnd w:id="893"/>
    </w:p>
    <w:p>
      <w:pPr>
        <w:pStyle w:val="BookText"/>
        <w:rPr/>
      </w:pPr>
      <w:r>
        <w:rPr>
          <w:rFonts w:ascii="IRNazanin" w:hAnsi="IRNazanin" w:eastAsia="IRNazanin"/>
          <w:color w:val="111111"/>
          <w:sz w:val="28"/>
          <w:sz w:val="28"/>
          <w:szCs w:val="28"/>
          <w:rtl w:val="true"/>
          <w:lang w:bidi="fa-IR"/>
        </w:rPr>
        <w:t>وهما نوعان من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والخلع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بفدیة من الزوجة الکارهة لزوجها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والمباراة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مع الکراهة من الطرفین؛ ویدل علی مشروعیة الخلع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یَحِلُّ لَکُمْ أَنْ تَأْخُذُوا مِمّا آتَیْتُمُوهُنَّ شَیْئاً إِلاّ أَنْ یَخافا أَلاّ یُقِیما حُدُودَ اللّهِ فَإِنْ خِفْتُمْ أَلاّ یُقِیما حُدُودَ اللّهِ فَلا جُناحَ عَلَیْهِما فِیمَا افْتَدَتْ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وللروایات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والخلع طلاق علی المشهور ولیس فسخاً، کما عن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لما فی صحیح الحلبی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یحل خلعها حتی تقول لزوجها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قالت المرأة ذلک لزوجها حلّ له ما أخذ منها، فکانت عنده علی تطلیقتین باقیتین، وکان الخلع تطلیقة</w:t>
      </w:r>
      <w:r>
        <w:rPr>
          <w:rFonts w:eastAsia="IRNazanin" w:cs="IRNazanin"/>
          <w:color w:val="111111"/>
          <w:sz w:val="28"/>
          <w:szCs w:val="28"/>
          <w:rtl w:val="true"/>
          <w:lang w:bidi="fa-IR"/>
        </w:rPr>
        <w:t xml:space="preserve">.... </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 xml:space="preserve">وفی صحیح محمد بن مسلم عن أبی عبدالله علیه السلام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الخلع والمباراة تطلیقة بائن وهو خاطب من الخطاب</w:t>
      </w:r>
      <w:r>
        <w:rPr>
          <w:rFonts w:eastAsia="IRNazanin" w:cs="IRNazanin"/>
          <w:color w:val="111111"/>
          <w:sz w:val="28"/>
          <w:szCs w:val="28"/>
          <w:rtl w:val="true"/>
          <w:lang w:bidi="fa-IR"/>
        </w:rPr>
        <w:t xml:space="preserve">. </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 xml:space="preserve">ویشترط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الشروط المتقدّمة فی الطلاق من حضور الشاهدین وکون الزوجة طاهرة بطهر لم تواقَع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فرد من الطلاق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کراهة الزوجة لزوجها دون العکس؛ لأنّ المورد یکون حینئذٍ من المباراة، وهل یکفی مجرد الکراهة أم یلزم تکلمها بما وردت فی الروایات من 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أطیع لک امراً، أو والله، لا أبّر لک قسماً ولا أطیع لک أمراً ولا أغتسل لک من جنابة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وردت فی النصوص </w:t>
      </w:r>
      <w:r>
        <w:rPr>
          <w:rStyle w:val="FootnoteAnchor"/>
          <w:rtl w:val="true"/>
        </w:rPr>
        <w:footnoteReference w:id="758"/>
      </w:r>
      <w:r>
        <w:rPr>
          <w:rFonts w:ascii="IRNazanin" w:hAnsi="IRNazanin" w:eastAsia="IRNazanin"/>
          <w:color w:val="111111"/>
          <w:sz w:val="28"/>
          <w:sz w:val="28"/>
          <w:szCs w:val="28"/>
          <w:rtl w:val="true"/>
          <w:lang w:bidi="fa-IR"/>
        </w:rPr>
        <w:t>مقتضی الصناعة هو الاشتراط إلاّ إنّه قال فی 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یشترط أحد فیما أعلم ممن تقدّم أو تأخّر البلوغ إلی هذا الحّد المستفاد من هذه الأخبار</w:t>
      </w:r>
      <w:r>
        <w:rPr>
          <w:rFonts w:eastAsia="IRNazanin" w:cs="IRNazanin"/>
          <w:color w:val="111111"/>
          <w:sz w:val="28"/>
          <w:szCs w:val="28"/>
          <w:rtl w:val="true"/>
          <w:lang w:bidi="fa-IR"/>
        </w:rPr>
        <w:t xml:space="preserve">». </w:t>
      </w:r>
      <w:r>
        <w:rPr>
          <w:rStyle w:val="FootnoteAnchor"/>
          <w:rtl w:val="true"/>
        </w:rPr>
        <w:footnoteReference w:id="759"/>
      </w:r>
      <w:r>
        <w:rPr>
          <w:rFonts w:ascii="IRNazanin" w:hAnsi="IRNazanin" w:eastAsia="IRNazanin"/>
          <w:color w:val="111111"/>
          <w:sz w:val="28"/>
          <w:sz w:val="28"/>
          <w:szCs w:val="28"/>
          <w:rtl w:val="true"/>
          <w:lang w:bidi="fa-IR"/>
        </w:rPr>
        <w:t>والأحوط أن تکون الکراهة بحدّ یخاف منها الوقوع فی الحرام للآیه الکریمه، والروایات المذکورة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بذل الزوجة للفدیه، لأنّ به قوام الخلع، ویشترط کونه عن طیب نفس الزوجة بلا خلاف، إذ الإکراه لا أثر له بحدیث الرفع، ویشمله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تَعْضُلُوهُنَّ لِتَذْهَبُوا بِبَعْضِ ما آتَیْتُمُوهُنَّ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ویجوز أن تکون الفدیة بمقدار المهر أو اقلّ أو أکثر بخلاف المباراة؛ للروایات، منها صحیحة زرارة عن أبی جعفر علیه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المباراة یؤخذ منها دون الصداق، والمختلعه یؤخذ منها ما شئت أو ماتراضیا علیه من صداق أو أکثر</w:t>
      </w:r>
      <w:r>
        <w:rPr>
          <w:rFonts w:eastAsia="IRNazanin" w:cs="IRNazanin"/>
          <w:color w:val="111111"/>
          <w:sz w:val="28"/>
          <w:szCs w:val="28"/>
          <w:rtl w:val="true"/>
          <w:lang w:bidi="fa-IR"/>
        </w:rPr>
        <w:t xml:space="preserve">.... </w:t>
      </w:r>
      <w:r>
        <w:rPr>
          <w:rStyle w:val="FootnoteAnchor"/>
          <w:rtl w:val="true"/>
        </w:rPr>
        <w:footnoteReference w:id="760"/>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وصیغة الخلع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خلعتک علی کذا، أو أنت أو هی مختلَعه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انتِ أو هی طالق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لعدم ورود ما دلّ علی إنشائه بلفظ خاصّ فیعلم منه جوازه بهذه الألفاظ، بل قد یقال جوازه بکلّ لفظٍ یفید معنی الخلع عرفاً</w:t>
      </w:r>
    </w:p>
    <w:p>
      <w:pPr>
        <w:pStyle w:val="BookText"/>
        <w:rPr/>
      </w:pPr>
      <w:r>
        <w:rPr>
          <w:rFonts w:ascii="IRNazanin" w:hAnsi="IRNazanin" w:eastAsia="IRNazanin"/>
          <w:color w:val="111111"/>
          <w:sz w:val="28"/>
          <w:sz w:val="28"/>
          <w:szCs w:val="28"/>
          <w:rtl w:val="true"/>
          <w:lang w:bidi="fa-IR"/>
        </w:rPr>
        <w:t xml:space="preserve">لما رواه الحلبی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عدّة المختلعة عدّة المطلّقة، وخلعها طلاقها من غیر أن یسمی طلاقاً</w:t>
      </w:r>
      <w:r>
        <w:rPr>
          <w:rFonts w:eastAsia="IRNazanin" w:cs="IRNazanin"/>
          <w:color w:val="111111"/>
          <w:sz w:val="28"/>
          <w:szCs w:val="28"/>
          <w:rtl w:val="true"/>
          <w:lang w:bidi="fa-IR"/>
        </w:rPr>
        <w:t xml:space="preserve">.... </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وأمّا وقوعه بلفظ الطلاق مع ذکر العوض فلأنّه من مصادیقه وهل یکفی لفظ الخلع عن الطلاق أو لابدّ من اتباع لفظ الطلاق بعده، فیه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وطلاق الخلع بائن، بلا خلاف، وقد تقدّم التصریح بذلک فی صحیح محمد بن مسلم، فلا یجوز له الرجوع إلاّ أن ترجع عن البذل فی العدّة فینقلب رجعیاً وفی الصحیح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رجعة للزوج علی المختلعة ولا علی المباراة إلاّ أن یبدو للمرأة فیردّ علیها ما أخذ منها</w:t>
      </w:r>
      <w:r>
        <w:rPr>
          <w:rFonts w:eastAsia="IRNazanin" w:cs="IRNazanin"/>
          <w:color w:val="111111"/>
          <w:sz w:val="28"/>
          <w:szCs w:val="28"/>
          <w:rtl w:val="true"/>
          <w:lang w:bidi="fa-IR"/>
        </w:rPr>
        <w:t xml:space="preserve">. </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 xml:space="preserve">والمباراة التی بمعنی المفارقة کالخلع فی الأحکام المتقدّمة علی المعروف بین الأصحاب، </w:t>
      </w:r>
      <w:r>
        <w:rPr>
          <w:rStyle w:val="FootnoteAnchor"/>
          <w:rtl w:val="true"/>
        </w:rPr>
        <w:footnoteReference w:id="763"/>
      </w:r>
      <w:r>
        <w:rPr>
          <w:rFonts w:ascii="IRNazanin" w:hAnsi="IRNazanin" w:eastAsia="IRNazanin"/>
          <w:color w:val="111111"/>
          <w:sz w:val="28"/>
          <w:sz w:val="28"/>
          <w:szCs w:val="28"/>
          <w:rtl w:val="true"/>
          <w:lang w:bidi="fa-IR"/>
        </w:rPr>
        <w:t>وتفترق عن الخلع فی أمور منها اعتبار الکراهة من الطرفین بلا خلاف وادّعی فی الجواهر الإجماع بقسمیه علیه، ویستفاد من موثقة سماعة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المباراة کیف هی؟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فیکره کل واحد منها صاحبه</w:t>
      </w:r>
      <w:r>
        <w:rPr>
          <w:rFonts w:eastAsia="IRNazanin" w:cs="IRNazanin"/>
          <w:color w:val="111111"/>
          <w:sz w:val="28"/>
          <w:szCs w:val="28"/>
          <w:rtl w:val="true"/>
          <w:lang w:bidi="fa-IR"/>
        </w:rPr>
        <w:t xml:space="preserve">... </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تکون الفدیة أکثر من المهر بلا خلاف، ففی صحیح أبی بصیر عن أبی عبدالله علیه السلام قال</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المباراة تقول المرأة لزوجها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ما علیک واترکنی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یحل لزوجها أن یأخذ منها إلاّ المهر فما دونه</w:t>
      </w:r>
      <w:r>
        <w:rPr>
          <w:rFonts w:eastAsia="IRNazanin" w:cs="IRNazanin"/>
          <w:color w:val="111111"/>
          <w:sz w:val="28"/>
          <w:szCs w:val="28"/>
          <w:rtl w:val="true"/>
          <w:lang w:bidi="fa-IR"/>
        </w:rPr>
        <w:t xml:space="preserve">. </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اتباع المباراة بالطلاق، فلا یجتزأ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بارأتک او بارأت زوجتی علی کذا، حتی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فأنت أو هی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 ولکن ینافیه صحیح حمران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جعفر علیه السلام یتحدّث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المباراة تبین من ساعتها من غیر طلاق ولا میراث بینهما</w:t>
      </w:r>
      <w:r>
        <w:rPr>
          <w:rFonts w:eastAsia="IRNazanin" w:cs="IRNazanin"/>
          <w:color w:val="111111"/>
          <w:sz w:val="28"/>
          <w:szCs w:val="28"/>
          <w:rtl w:val="true"/>
          <w:lang w:bidi="fa-IR"/>
        </w:rPr>
        <w:t xml:space="preserve">... </w:t>
      </w:r>
      <w:r>
        <w:rPr>
          <w:rStyle w:val="FootnoteAnchor"/>
          <w:rtl w:val="true"/>
        </w:rPr>
        <w:footnoteReference w:id="766"/>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الاحتیاط مع المشهور، وهی طلاق بائنٌ کما فی الروایات، منها صحیحة حمران المتقدّمة</w:t>
      </w:r>
      <w:r>
        <w:rPr>
          <w:rFonts w:eastAsia="IRNazanin" w:cs="IRNazanin"/>
          <w:color w:val="111111"/>
          <w:sz w:val="28"/>
          <w:szCs w:val="28"/>
          <w:rtl w:val="true"/>
          <w:lang w:bidi="fa-IR"/>
        </w:rPr>
        <w:t>.</w:t>
      </w:r>
      <w:bookmarkStart w:id="894" w:name="pg5021_49473"/>
    </w:p>
    <w:p>
      <w:pPr>
        <w:pStyle w:val="Heading3"/>
        <w:numPr>
          <w:ilvl w:val="2"/>
          <w:numId w:val="1"/>
        </w:numPr>
        <w:rPr/>
      </w:pPr>
      <w:bookmarkStart w:id="895" w:name="__RefHeading___Toc580976_774463916"/>
      <w:bookmarkStart w:id="896" w:name="_Toc356"/>
      <w:bookmarkEnd w:id="894"/>
      <w:bookmarkEnd w:id="895"/>
      <w:r>
        <w:rPr>
          <w:rtl w:val="true"/>
        </w:rPr>
        <w:t>الدرس</w:t>
      </w:r>
      <w:r>
        <w:rPr/>
        <w:t>6</w:t>
      </w:r>
      <w:r>
        <w:rPr>
          <w:rtl w:val="true"/>
        </w:rPr>
        <w:t xml:space="preserve"> - </w:t>
      </w:r>
      <w:r>
        <w:rPr>
          <w:rtl w:val="true"/>
        </w:rPr>
        <w:t>کتاب الظهار والإیلاء</w:t>
      </w:r>
      <w:bookmarkEnd w:id="896"/>
    </w:p>
    <w:p>
      <w:pPr>
        <w:pStyle w:val="Heading4"/>
        <w:numPr>
          <w:ilvl w:val="3"/>
          <w:numId w:val="1"/>
        </w:numPr>
        <w:rPr/>
      </w:pPr>
      <w:bookmarkStart w:id="897" w:name="__RefHeading___Toc580978_774463916"/>
      <w:bookmarkStart w:id="898" w:name="_Toc357"/>
      <w:bookmarkEnd w:id="897"/>
      <w:r>
        <w:rPr>
          <w:rtl w:val="true"/>
        </w:rPr>
        <w:t>حقیقة الظهار</w:t>
      </w:r>
      <w:bookmarkEnd w:id="898"/>
    </w:p>
    <w:p>
      <w:pPr>
        <w:pStyle w:val="BookText"/>
        <w:rPr/>
      </w:pPr>
      <w:r>
        <w:rPr>
          <w:rFonts w:ascii="Amiri" w:hAnsi="Amiri" w:eastAsia="Amiri" w:cs="Amiri"/>
          <w:color w:val="111111"/>
          <w:sz w:val="28"/>
          <w:sz w:val="28"/>
          <w:szCs w:val="28"/>
          <w:rtl w:val="true"/>
          <w:lang w:bidi="ar-SA"/>
        </w:rPr>
        <w:t xml:space="preserve">الظهار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 الزوج زوجَته بمنزلة أمّهِ فی حرمة نکاحها، بأن یقول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علیّ کظهر أمی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حرام؛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یُظاهِرُونَ مِنْکُمْ مِنْ نِسائِهِمْ ما هُنَّ أُمَّهاتِهِمْ إِنْ أُمَّهاتُهُمْ إِلاَّ اللاّئِی وَلَدْنَهُمْ وَ إِنَّهُمْ لَیَقُولُونَ مُنْکَراً مِنَ الْقَوْلِ وَ زُوراً وَ إِنَّ اللّهَ لَعَفُوٌّ غَفُورٌ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وتوصیفه بالمنکر والزور ولا سیّما بالعفو والغفران اللذیَنِ لا یکونان إلاّ عن ذنبٍ، یدلّ علی الحرمة، ویحرم معه وطوء الزوجة قبل التکفیر؛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یُظاهِرُونَ مِنْ نِسائِهِمْ ثُمَّ یَعُودُونَ لِما قالُوا فَتَحْرِیرُ رَقَبَةٍ مِنْ قَبْلِ أَنْ یَتَمَاسّا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ولزوم الکفارة یدلّ علی الحرمة عرفاً، فإذا کفّر جاز له الوط‌ء؛ للآیه الکریمة، وله أحکام أخری موکولة إلی محلّها</w:t>
      </w:r>
      <w:r>
        <w:rPr>
          <w:rFonts w:eastAsia="Amiri" w:cs="Amiri" w:ascii="Amiri" w:hAnsi="Amiri"/>
          <w:color w:val="111111"/>
          <w:sz w:val="28"/>
          <w:szCs w:val="28"/>
          <w:rtl w:val="true"/>
          <w:lang w:bidi="ar-SA"/>
        </w:rPr>
        <w:t>.</w:t>
      </w:r>
    </w:p>
    <w:p>
      <w:pPr>
        <w:pStyle w:val="Heading4"/>
        <w:numPr>
          <w:ilvl w:val="3"/>
          <w:numId w:val="1"/>
        </w:numPr>
        <w:rPr/>
      </w:pPr>
      <w:bookmarkStart w:id="899" w:name="__RefHeading___Toc580980_774463916"/>
      <w:bookmarkStart w:id="900" w:name="_Toc358"/>
      <w:bookmarkEnd w:id="899"/>
      <w:r>
        <w:rPr>
          <w:rtl w:val="true"/>
        </w:rPr>
        <w:t>حقیقة الإیلاء</w:t>
      </w:r>
      <w:bookmarkEnd w:id="900"/>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الحلف علی ترک مواقعة الزوجة مدة تزید علی أربعة اشهر بقصد إیذائها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فی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لِلَّذِینَ یُؤْلُونَ مِنْ نِسائِهِمْ تَرَبُّصُ أَرْبَعَةِ أَشْهُرٍ فَإِنْ فاؤُ فَإِنَّ</w:t>
      </w:r>
    </w:p>
    <w:p>
      <w:pPr>
        <w:pStyle w:val="BookText"/>
        <w:rPr/>
      </w:pPr>
      <w:r>
        <w:rPr>
          <w:rFonts w:ascii="Amiri" w:hAnsi="Amiri" w:eastAsia="Amiri" w:cs="Amiri"/>
          <w:color w:val="111111"/>
          <w:sz w:val="28"/>
          <w:sz w:val="28"/>
          <w:szCs w:val="28"/>
          <w:rtl w:val="true"/>
          <w:lang w:bidi="ar-SA"/>
        </w:rPr>
        <w:t>اَللّهَ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عَزَمُوا الطَّلاقَ فَإِنَّ اللّهَ سَمِیعٌ عَلِیمٌ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ویعتبر فیه دوام العقد؛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عَزَمُوا الطَّلاقَ إذ لإطلاق فی غیر الدائمة، ولبعض الروایات، وکذا یعتبر کونها مدخولاً بها للروایات منها صحیحة محمد بن مسلم عن أبی جعفر وأبی عبدالله علیه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المرأة التی لم یدخل بها 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یقع علیها إیلاء ولا ظهار</w:t>
      </w:r>
      <w:r>
        <w:rPr>
          <w:rFonts w:eastAsia="IRNazanin" w:cs="IRNazanin"/>
          <w:color w:val="111111"/>
          <w:sz w:val="28"/>
          <w:szCs w:val="28"/>
          <w:rtl w:val="true"/>
          <w:lang w:bidi="fa-IR"/>
        </w:rPr>
        <w:t xml:space="preserve">. </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 xml:space="preserve">وأمّا اشتراط کون المدة تزید علی أربعة أشهر فلم یعرف فیه خلاف، وتشیر إلیه الآیة وبعض الروایات، </w:t>
      </w:r>
      <w:r>
        <w:rPr>
          <w:rStyle w:val="FootnoteAnchor"/>
          <w:rtl w:val="true"/>
        </w:rPr>
        <w:footnoteReference w:id="768"/>
      </w:r>
      <w:r>
        <w:rPr>
          <w:rFonts w:ascii="IRNazanin" w:hAnsi="IRNazanin" w:eastAsia="IRNazanin"/>
          <w:color w:val="111111"/>
          <w:sz w:val="28"/>
          <w:sz w:val="28"/>
          <w:szCs w:val="28"/>
          <w:rtl w:val="true"/>
          <w:lang w:bidi="fa-IR"/>
        </w:rPr>
        <w:t xml:space="preserve">وأمّا اعتبار کون الحلف بقصد الإضرار فلا خلاف فیه وتدلّ علیه موثّقة السکونی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 رجلٌ أمیرالمؤمنین،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إنّ امرأتی أرضعت غلاماً، وإنّی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أقربک حتی تفطمیه،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الإصلاح إیلاء</w:t>
      </w:r>
      <w:r>
        <w:rPr>
          <w:rFonts w:eastAsia="IRNazanin" w:cs="IRNazanin"/>
          <w:color w:val="111111"/>
          <w:sz w:val="28"/>
          <w:szCs w:val="28"/>
          <w:rtl w:val="true"/>
          <w:lang w:bidi="fa-IR"/>
        </w:rPr>
        <w:t xml:space="preserve">. </w:t>
      </w:r>
      <w:r>
        <w:rPr>
          <w:rStyle w:val="FootnoteAnchor"/>
          <w:rtl w:val="true"/>
        </w:rPr>
        <w:footnoteReference w:id="769"/>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تمّ الإیلاء، فإن صبرت الزوجة فلا شیء علیه؛ لأنّها صاحبة الحقِّ وقد تنازلت عن حقّها، وأمّا إن لم تصبر فلها الحقّ فی رفع أمرها إلی الحاکم، فإن تراجع خلال أربعة أشهر وواقعها خلال ذلک فهو وإلاّ ألزمه بأحد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الرجوع، أو الطلاق، وعلی الزوج إذا رجع وواقع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حنث الیمین من جهة تحقق حنث الیمین</w:t>
      </w:r>
      <w:r>
        <w:rPr>
          <w:rFonts w:eastAsia="IRNazanin" w:cs="IRNazanin"/>
          <w:color w:val="111111"/>
          <w:sz w:val="28"/>
          <w:szCs w:val="28"/>
          <w:rtl w:val="true"/>
          <w:lang w:bidi="fa-IR"/>
        </w:rPr>
        <w:t>.</w:t>
      </w:r>
      <w:bookmarkStart w:id="901" w:name="pg5021_49475"/>
    </w:p>
    <w:p>
      <w:pPr>
        <w:pStyle w:val="Heading3"/>
        <w:numPr>
          <w:ilvl w:val="2"/>
          <w:numId w:val="1"/>
        </w:numPr>
        <w:rPr/>
      </w:pPr>
      <w:bookmarkStart w:id="902" w:name="__RefHeading___Toc580982_774463916"/>
      <w:bookmarkStart w:id="903" w:name="_Toc359"/>
      <w:bookmarkEnd w:id="901"/>
      <w:bookmarkEnd w:id="902"/>
      <w:r>
        <w:rPr>
          <w:rtl w:val="true"/>
        </w:rPr>
        <w:t>الدرس</w:t>
      </w:r>
      <w:r>
        <w:rPr/>
        <w:t>7</w:t>
      </w:r>
      <w:r>
        <w:rPr>
          <w:rtl w:val="true"/>
        </w:rPr>
        <w:t xml:space="preserve"> - </w:t>
      </w:r>
      <w:r>
        <w:rPr>
          <w:rtl w:val="true"/>
        </w:rPr>
        <w:t>کتاب اللِّعان</w:t>
      </w:r>
      <w:bookmarkEnd w:id="903"/>
    </w:p>
    <w:p>
      <w:pPr>
        <w:pStyle w:val="Heading4"/>
        <w:numPr>
          <w:ilvl w:val="3"/>
          <w:numId w:val="1"/>
        </w:numPr>
        <w:rPr/>
      </w:pPr>
      <w:bookmarkStart w:id="904" w:name="__RefHeading___Toc580984_774463916"/>
      <w:bookmarkStart w:id="905" w:name="_Toc360"/>
      <w:bookmarkEnd w:id="904"/>
      <w:r>
        <w:rPr>
          <w:rtl w:val="true"/>
        </w:rPr>
        <w:t>حقیقة اللّعان</w:t>
      </w:r>
      <w:bookmarkEnd w:id="905"/>
    </w:p>
    <w:p>
      <w:pPr>
        <w:pStyle w:val="BookText"/>
        <w:rPr/>
      </w:pPr>
      <w:r>
        <w:rPr>
          <w:rFonts w:ascii="IRNazanin" w:hAnsi="IRNazanin" w:eastAsia="IRNazanin"/>
          <w:color w:val="111111"/>
          <w:sz w:val="28"/>
          <w:sz w:val="28"/>
          <w:szCs w:val="28"/>
          <w:rtl w:val="true"/>
          <w:lang w:bidi="fa-IR"/>
        </w:rPr>
        <w:t>اللعان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مباهلة بین الزوجین فی موردین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 القذف بالزنا؛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یَرْمُونَ أَزْواجَهُمْ وَ لَمْ یَکُنْ لَهُمْ شُهَداءُ إِلاّ أَنْفُسُهُمْ فَشَهادَةُ أَحَدِهِمْ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الآیة الکریمة </w:t>
      </w:r>
      <w:r>
        <w:rPr>
          <w:rStyle w:val="FootnoteAnchor"/>
          <w:rtl w:val="true"/>
        </w:rPr>
        <w:footnoteReference w:id="770"/>
      </w:r>
      <w:r>
        <w:rPr>
          <w:rFonts w:ascii="Amiri" w:hAnsi="Amiri" w:eastAsia="Amiri" w:cs="Amiri"/>
          <w:color w:val="111111"/>
          <w:sz w:val="28"/>
          <w:sz w:val="28"/>
          <w:szCs w:val="28"/>
          <w:rtl w:val="true"/>
          <w:lang w:bidi="ar-SA"/>
        </w:rPr>
        <w:t>وللروایات، ویلزم علی القاذف زوجاً کان أو غیره، حدّ القذف ثمانون جلدة،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یَرْمُونَ الْمُحْصَناتِ ثُمَّ لَمْ یَأْتُوا بِأَرْبَعَةِ شُهَداءَ فَاجْلِدُوهُمْ ثَمانِینَ جَلْدَةً وَ لا تَقْبَلُوا لَهُمْ شَهادَةً أَبَداً وَ أُولئِکَ هُمُ الْفاسِقُونَ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ویدرء القاذف الحد عن نفسه بامرین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اقامة شهود اربعة،کما فی الآیة الکریمه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اللعان اذا کان القاذف هو الزوج للآیات الکریمة کما تأتی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المورد الثانی للعان، إذا نفی الزوج ولد زوجته؛ لصحیحة الکنانی عن أبی عبدالله علیه السلام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سألته عن رجل لاعَنَ امرأته وانتفی من ولدها، ثمّ أکذب نفسه بعد الملاعنة، وزعم أنّ الولد ولده، هل یردّ علیه ولدُه؟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کرامة، لا یُردّ علیه ولا تحل له إلی یوم القیامة</w:t>
      </w:r>
      <w:r>
        <w:rPr>
          <w:rFonts w:eastAsia="IRNazanin" w:cs="IRNazanin"/>
          <w:color w:val="111111"/>
          <w:sz w:val="28"/>
          <w:szCs w:val="28"/>
          <w:rtl w:val="true"/>
          <w:lang w:bidi="fa-IR"/>
        </w:rPr>
        <w:t xml:space="preserve">. </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 xml:space="preserve">ولا یجوز للزوج نفی الولد الذی جاءت به زوجته، لقوله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 xml:space="preserve">. </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 xml:space="preserve">نعم، مع القطع بعدم کونه منه یجوز له نفیه، فإذا نفی ولدها لا ینتفی منه شرعاً فی مرحلة الظاهر، لقاعدة الفراش المذکورة إلاّ إذا لاعن کمایأتی أو قامت البینة علی عدم إمکان تولّده منه، کما إذا ولدت لأقل من ستة أشهر من حین الزواج، وأمّا کیفیته فتستفاد من الآیة الکریمة؛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یبدأ الرجل ویقول أربع مرات بعد القذف أو نفی الولد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بالله أنّی لِمَن الصادقین فیما قلتُ من قذْفِها أو نفی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لعنة الله علیَّ إنْ کنتُ مِنَ الکاذبین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تمّ اللعان بالنحو المذکور تستحق المرأة حدّ الزنا إن کان قد قذفها بالزنا أو نفی ولدها بنحو یوجب قذفها بالزنا، وإذا أرادت أن تدفع عن نفسها الحدّ فعلیها أن تقول أربع مرات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بالله إنّه لمن الکاذبین فی مقالته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تقول مرة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غضبَ اللهُ علیّ إن کان من الصادقین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تمّ اللعان منهما ینفسخ عقدهما، وتقع الحرمة المؤبّدة بینهما؛ لما فی ذیل صحیحة عبدالرحمن بن الحجاج الحاکیة لکیفیة اللعان عن النبی صلی الله علیه و آله حیث قال صلی الله علیه و آله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تجتمعان بنکاح أبداً بعدما تلاعنتما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ویحدّ من لا یلاعن منهما، أمّا المرأة؛ فللآیة الکریمة، وأمّا الرجل لتحقق القذف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تلاعنا لنفی الولد ینتفی عنه، لانه ثمرة اللعان، ولا ینتفی عنها لعدم الموجب له وتدلّ علی الحُکْمین صحیحة أبی بصیر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المرأة یلاعنها زوجها ویفرّق بینهما، إلی من ینسب ولدها؟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أمه</w:t>
      </w:r>
      <w:r>
        <w:rPr>
          <w:rFonts w:eastAsia="IRNazanin" w:cs="IRNazanin"/>
          <w:color w:val="111111"/>
          <w:sz w:val="28"/>
          <w:szCs w:val="28"/>
          <w:rtl w:val="true"/>
          <w:lang w:bidi="fa-IR"/>
        </w:rPr>
        <w:t xml:space="preserve">. </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ومن ثّم ینتفی التوارث بین الولد والرجل ومن ینتسب بواسطته، کالاخ، والأخت للاب، والعم والعمة</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إذا لاعن الرجل فقط دون المرأة لانّ ذلک فائدة اللعان، ولا یثبت علی المرأة شیئ إلاّ إذا کان نفی الولد بنحو یوجب القذف، فیثبت علیها الحّد إلّا أن تلاعن للآیة الکریمة</w:t>
      </w:r>
      <w:r>
        <w:rPr>
          <w:rFonts w:eastAsia="IRNazanin" w:cs="IRNazanin"/>
          <w:color w:val="111111"/>
          <w:sz w:val="28"/>
          <w:szCs w:val="28"/>
          <w:rtl w:val="true"/>
          <w:lang w:bidi="fa-IR"/>
        </w:rPr>
        <w:t>.</w:t>
      </w:r>
      <w:bookmarkStart w:id="906" w:name="pg5021_49478"/>
    </w:p>
    <w:p>
      <w:pPr>
        <w:pStyle w:val="Heading3"/>
        <w:numPr>
          <w:ilvl w:val="2"/>
          <w:numId w:val="1"/>
        </w:numPr>
        <w:rPr/>
      </w:pPr>
      <w:bookmarkStart w:id="907" w:name="__RefHeading___Toc580986_774463916"/>
      <w:bookmarkStart w:id="908" w:name="_Toc361"/>
      <w:bookmarkEnd w:id="906"/>
      <w:bookmarkEnd w:id="907"/>
      <w:r>
        <w:rPr>
          <w:rtl w:val="true"/>
        </w:rPr>
        <w:t>الدرس</w:t>
      </w:r>
      <w:r>
        <w:rPr/>
        <w:t>8</w:t>
      </w:r>
      <w:r>
        <w:rPr>
          <w:rtl w:val="true"/>
        </w:rPr>
        <w:t xml:space="preserve"> - </w:t>
      </w:r>
      <w:r>
        <w:rPr>
          <w:rtl w:val="true"/>
        </w:rPr>
        <w:t>کتاب الیمین</w:t>
      </w:r>
      <w:bookmarkEnd w:id="908"/>
    </w:p>
    <w:p>
      <w:pPr>
        <w:pStyle w:val="Heading4"/>
        <w:numPr>
          <w:ilvl w:val="3"/>
          <w:numId w:val="1"/>
        </w:numPr>
        <w:rPr/>
      </w:pPr>
      <w:bookmarkStart w:id="909" w:name="__RefHeading___Toc580988_774463916"/>
      <w:bookmarkStart w:id="910" w:name="_Toc362"/>
      <w:bookmarkEnd w:id="909"/>
      <w:r>
        <w:rPr>
          <w:rtl w:val="true"/>
        </w:rPr>
        <w:t>حقیقة الیمین وأحکامه</w:t>
      </w:r>
      <w:bookmarkEnd w:id="910"/>
    </w:p>
    <w:p>
      <w:pPr>
        <w:pStyle w:val="BookText"/>
        <w:rPr/>
      </w:pPr>
      <w:r>
        <w:rPr>
          <w:rFonts w:ascii="IRNazanin" w:hAnsi="IRNazanin" w:eastAsia="IRNazanin"/>
          <w:color w:val="111111"/>
          <w:sz w:val="28"/>
          <w:sz w:val="28"/>
          <w:szCs w:val="28"/>
          <w:rtl w:val="true"/>
          <w:lang w:bidi="fa-IR"/>
        </w:rPr>
        <w:t>ویطلق علی الیمین الحلف والقسم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الحلف بالله و أسمائه الخاصّة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یجب العمل بالیمین بالضرورة؛ ولذا تجب الکفارة فی حنثه؛ قال الله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تَنْقُضُوا الْأَیْمانَ بَعْدَ تَوْکِیدِها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احْفَظُوا أَیْمانَکُمْ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تنعقد إلاّ إذا کانت متعلّقة بالله تعالی، ففی صحیحة محمد بن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لأبی جعفر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اللَّیْلِ إِذا یَغْشی، وَ النَّجْمِ إِذا هَوی وما أشبه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أنْ یقسم من خلقه بما شاء، ولیس لخلقه أن یقسموا إلاّ به</w:t>
      </w:r>
      <w:r>
        <w:rPr>
          <w:rFonts w:eastAsia="Amiri" w:cs="Amiri" w:ascii="Amiri" w:hAnsi="Amiri"/>
          <w:color w:val="111111"/>
          <w:sz w:val="28"/>
          <w:szCs w:val="28"/>
          <w:rtl w:val="true"/>
          <w:lang w:bidi="ar-SA"/>
        </w:rPr>
        <w:t xml:space="preserve">. </w:t>
      </w:r>
      <w:r>
        <w:rPr>
          <w:rStyle w:val="FootnoteAnchor"/>
          <w:rtl w:val="true"/>
        </w:rPr>
        <w:footnoteReference w:id="774"/>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وإطلاق الحدیث یقتضی عدم الفرق بین لفظ الجلالة وسائر أسمائه،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الکعبة، وخالق السماوات والأرض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یقتضی إِجزاء الترجمة، لصدق الحَلف به تعالی، ولا تنعقد إذا تعلّق بغیر الله سبحانه کالأنبیاء والأولیاء، وغیر ذلک؛ للنهی عنه کما تقدّم فی صحیح محمد ابن مسلم، نعم، لابدّ من حمله علی الکراهة؛ لورود</w:t>
      </w:r>
    </w:p>
    <w:p>
      <w:pPr>
        <w:pStyle w:val="BookText"/>
        <w:rPr/>
      </w:pPr>
      <w:r>
        <w:rPr>
          <w:rFonts w:ascii="IRNazanin" w:hAnsi="IRNazanin" w:eastAsia="IRNazanin"/>
          <w:color w:val="111111"/>
          <w:sz w:val="28"/>
          <w:sz w:val="28"/>
          <w:szCs w:val="28"/>
          <w:rtl w:val="true"/>
          <w:lang w:bidi="fa-IR"/>
        </w:rPr>
        <w:t xml:space="preserve">الحلف بغیره تعالی فی الروایات، </w:t>
      </w:r>
      <w:r>
        <w:rPr>
          <w:rStyle w:val="FootnoteAnchor"/>
          <w:rtl w:val="true"/>
        </w:rPr>
        <w:footnoteReference w:id="775"/>
      </w:r>
      <w:r>
        <w:rPr>
          <w:rFonts w:ascii="IRNazanin" w:hAnsi="IRNazanin" w:eastAsia="IRNazanin"/>
          <w:color w:val="111111"/>
          <w:sz w:val="28"/>
          <w:sz w:val="28"/>
          <w:szCs w:val="28"/>
          <w:rtl w:val="true"/>
          <w:lang w:bidi="fa-IR"/>
        </w:rPr>
        <w:t>أو حمله علی الحکم الوضعی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وصیغتها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أو بالله، أو تالله أن أفعل کذا، ونحو ذلک مما یصدق علیه الحَلف بالله، سواءً کان مع التعلیق أو بدونه، لإطلاق الدلیل ومع التعلیق إنما یجب الوفاء مع حصول المعلّق علیه لأن هذا هو العمل به کَأنَ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أتصدق کذا إن جاء ابنی من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تنعقد بمجرد النیّة؛ لعدم صدق الیمین علیها، ولا إذا کان متعلّقها أمراً مرجوحاً لقوله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رأیت خیراً من یمینک فدعها</w:t>
      </w:r>
    </w:p>
    <w:p>
      <w:pPr>
        <w:pStyle w:val="BookText"/>
        <w:rPr/>
      </w:pPr>
      <w:r>
        <w:rPr>
          <w:rFonts w:ascii="IRNazanin" w:hAnsi="IRNazanin" w:eastAsia="IRNazanin"/>
          <w:color w:val="111111"/>
          <w:sz w:val="28"/>
          <w:sz w:val="28"/>
          <w:szCs w:val="28"/>
          <w:rtl w:val="true"/>
          <w:lang w:bidi="fa-IR"/>
        </w:rPr>
        <w:t>کما فی صحیحة سعید الأعرج</w:t>
      </w:r>
      <w:r>
        <w:rPr>
          <w:rFonts w:eastAsia="IRNazanin" w:cs="IRNazanin"/>
          <w:color w:val="111111"/>
          <w:sz w:val="28"/>
          <w:szCs w:val="28"/>
          <w:rtl w:val="true"/>
          <w:lang w:bidi="fa-IR"/>
        </w:rPr>
        <w:t xml:space="preserve">. </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سواءً کان الرجحان دینیاً أو دنیویاً للإطلاق، ولا یتعلّق بفعل الغیر وتسمی بیمین المناشدة 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لتفعلنّ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وجه لا لزام الغیر ولیس هو یمینه ویدلّ علیه بعض الروایات کما لا یتعلّق بالمستحیل، إذ الحلف التزام بشیٍ‌ء مقروناً بالقسم ولا التزام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تنعقد یمین الولد مع نهی والده، ولا الزّوجة مع نهی الزوج، هذا هو المتیقن من صحیحة منصور بن حازم عن أبی عبدالله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یمین للولد مع والده ولا للملوک مع مولاه ولا للمرأة مع زوجها</w:t>
      </w:r>
      <w:r>
        <w:rPr>
          <w:rFonts w:eastAsia="IRNazanin" w:cs="IRNazanin"/>
          <w:color w:val="111111"/>
          <w:sz w:val="28"/>
          <w:szCs w:val="28"/>
          <w:rtl w:val="true"/>
          <w:lang w:bidi="fa-IR"/>
        </w:rPr>
        <w:t xml:space="preserve">.... </w:t>
      </w:r>
      <w:r>
        <w:rPr>
          <w:rStyle w:val="FootnoteAnchor"/>
          <w:rtl w:val="true"/>
        </w:rPr>
        <w:footnoteReference w:id="777"/>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وهل تنعقد الیمین مع عدم صدور الإذن وعدم النهی أیضاً لعدم اطلاع الوالد مثلاً وجهان؟ وکیفما کان فإذا ردع الوالد أو الزوج بعد الیمین انحلّت؛ لإطلاق الصحیحة المذکورة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خالف عمداً یحنث وتجب علیه الکفارة؛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یُؤاخِذُکُمُ اللّهُ بِاللَّغْوِ فِی أَیْمانِکُمْ وَ لکِنْ یُؤاخِذُکُمْ بِما عَقَّدْتُمُ الْأَیْمانَ فَکَفّارَتُهُ إِطْعامُ عَشَرَةِ مَساکِینَ مِنْ أَوْسَطِ ما تُطْعِمُونَ أَهْلِیکُمْ أَوْ کِسْوَتُهُمْ أَوْ تَحْرِیرُ رَقَبَةٍ فَمَنْ لَمْ یَجِدْ فَصِیامُ ثَلاثَةِ أَیّامٍ ذلِکَ کَفّارَةُ أَیْمانِکُمْ إِذا حَلَفْتُمْ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ولاتحب فی صورة النسیان أو الإکراه أو الاضطرار؛ لأنّ الحالف إنّما التزم بما التزم به فی صورة العمد دون ما سواه، هذا مضافاً إلی حدیث رفع النسیان والإکراه والاضطرار</w:t>
      </w:r>
      <w:r>
        <w:rPr>
          <w:rFonts w:eastAsia="Amiri" w:cs="Amiri" w:ascii="Amiri" w:hAnsi="Amiri"/>
          <w:color w:val="111111"/>
          <w:sz w:val="28"/>
          <w:szCs w:val="28"/>
          <w:rtl w:val="true"/>
          <w:lang w:bidi="ar-SA"/>
        </w:rPr>
        <w:t xml:space="preserve">. </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هذا کلّه بالنسبة إلی الیمین علی فعل شیءٍ أو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الیمین الأخباری المحض، کالیمین علی وقوع أمر فی الماضی أو الحال أو المستقبل من غیره کالیمین فی المعاملات أو الدعاوی فإن کانت صادقة فمکروهة الّا لمصلحة راجحة؛ ففی الحدیث عن أبی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اجتمع الحواریون إلی عیسی علیه السلام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معلم الخیر أرشدنا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موسی نبی الله أمرکم أن لا تحلفوا بالله کاذبین وأنا آمرکم أن لا تحلفوا بالله کاذبین ولا صادقین</w:t>
      </w:r>
      <w:r>
        <w:rPr>
          <w:rFonts w:eastAsia="IRNazanin" w:cs="IRNazanin"/>
          <w:color w:val="111111"/>
          <w:sz w:val="28"/>
          <w:szCs w:val="28"/>
          <w:rtl w:val="true"/>
          <w:lang w:bidi="fa-IR"/>
        </w:rPr>
        <w:t xml:space="preserve">. </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 xml:space="preserve">ویحرم إذا کان کذباً، حرمةً مغلظه للروایات الکثیرة، قال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الیمین الکاذبة تدع الدیار بلاقع من أهلها</w:t>
      </w:r>
      <w:r>
        <w:rPr>
          <w:rFonts w:eastAsia="IRNazanin" w:cs="IRNazanin"/>
          <w:color w:val="111111"/>
          <w:sz w:val="28"/>
          <w:szCs w:val="28"/>
          <w:rtl w:val="true"/>
          <w:lang w:bidi="fa-IR"/>
        </w:rPr>
        <w:t xml:space="preserve">. </w:t>
      </w:r>
      <w:r>
        <w:rPr>
          <w:rStyle w:val="FootnoteAnchor"/>
          <w:rtl w:val="true"/>
        </w:rPr>
        <w:footnoteReference w:id="780"/>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لاسیما الیمین الغموس التی یغصب بها الحالف مال غیره مع علمه بأن ألامر علی خلافه ففی الحدیث أنّها توجب النار </w:t>
      </w:r>
      <w:r>
        <w:rPr>
          <w:rStyle w:val="FootnoteAnchor"/>
          <w:rtl w:val="true"/>
        </w:rPr>
        <w:footnoteReference w:id="781"/>
      </w:r>
      <w:r>
        <w:rPr>
          <w:rFonts w:ascii="IRNazanin" w:hAnsi="IRNazanin" w:eastAsia="IRNazanin"/>
          <w:color w:val="111111"/>
          <w:sz w:val="28"/>
          <w:sz w:val="28"/>
          <w:szCs w:val="28"/>
          <w:rtl w:val="true"/>
          <w:lang w:bidi="fa-IR"/>
        </w:rPr>
        <w:t>ألاّ أنّه لا کفاره فیه، لعدم الإقدام علی خلاف ما التزم ویدل علیه بعض الروایات، ففی موثقة السکونی عن أبی عبدالله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أمیرالمؤمنین علیه السلام فی رجل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 کذا وکذا،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w:t>
      </w:r>
    </w:p>
    <w:p>
      <w:pPr>
        <w:pStyle w:val="BookText"/>
        <w:rPr/>
      </w:pPr>
      <w:r>
        <w:rPr>
          <w:rFonts w:ascii="IRNazanin" w:hAnsi="IRNazanin" w:eastAsia="IRNazanin"/>
          <w:color w:val="111111"/>
          <w:sz w:val="28"/>
          <w:sz w:val="28"/>
          <w:szCs w:val="28"/>
          <w:rtl w:val="true"/>
          <w:lang w:bidi="fa-IR"/>
        </w:rPr>
        <w:t>ما فعلته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فعله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کذبة کذبها، یستغفر الله منها</w:t>
      </w:r>
      <w:r>
        <w:rPr>
          <w:rFonts w:eastAsia="IRNazanin" w:cs="IRNazanin"/>
          <w:color w:val="111111"/>
          <w:sz w:val="28"/>
          <w:szCs w:val="28"/>
          <w:rtl w:val="true"/>
          <w:lang w:bidi="fa-IR"/>
        </w:rPr>
        <w:t xml:space="preserve">. </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 xml:space="preserve">و یجوز الحلف علی خلاف الواقع لدفع الظالم عن ماله أو مال المؤمن أو نفسه، 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ولجملة، من النصوص ففی موثقة السکونی عنه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احلف بالله کاذباً ونجِّ أخاک من القتل</w:t>
      </w:r>
      <w:r>
        <w:rPr>
          <w:rFonts w:eastAsia="IRNazanin" w:cs="IRNazanin"/>
          <w:color w:val="111111"/>
          <w:sz w:val="28"/>
          <w:szCs w:val="28"/>
          <w:rtl w:val="true"/>
          <w:lang w:bidi="fa-IR"/>
        </w:rPr>
        <w:t xml:space="preserve">. </w:t>
      </w:r>
      <w:r>
        <w:rPr>
          <w:rStyle w:val="FootnoteAnchor"/>
          <w:rtl w:val="true"/>
        </w:rPr>
        <w:footnoteReference w:id="783"/>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وغیرها وهو کثیر</w:t>
      </w:r>
      <w:r>
        <w:rPr>
          <w:rFonts w:eastAsia="IRNazanin" w:cs="IRNazanin"/>
          <w:color w:val="111111"/>
          <w:sz w:val="28"/>
          <w:szCs w:val="28"/>
          <w:rtl w:val="true"/>
          <w:lang w:bidi="fa-IR"/>
        </w:rPr>
        <w:t>.</w:t>
      </w:r>
      <w:bookmarkStart w:id="911" w:name="pg5021_49482"/>
    </w:p>
    <w:p>
      <w:pPr>
        <w:pStyle w:val="Heading3"/>
        <w:numPr>
          <w:ilvl w:val="2"/>
          <w:numId w:val="1"/>
        </w:numPr>
        <w:rPr/>
      </w:pPr>
      <w:bookmarkStart w:id="912" w:name="__RefHeading___Toc580990_774463916"/>
      <w:bookmarkStart w:id="913" w:name="_Toc363"/>
      <w:bookmarkEnd w:id="911"/>
      <w:bookmarkEnd w:id="912"/>
      <w:r>
        <w:rPr>
          <w:rtl w:val="true"/>
        </w:rPr>
        <w:t>الدرس</w:t>
      </w:r>
      <w:r>
        <w:rPr/>
        <w:t>9</w:t>
      </w:r>
      <w:r>
        <w:rPr>
          <w:rtl w:val="true"/>
        </w:rPr>
        <w:t xml:space="preserve"> - </w:t>
      </w:r>
      <w:r>
        <w:rPr>
          <w:rtl w:val="true"/>
        </w:rPr>
        <w:t>کتاب النذر والعهد</w:t>
      </w:r>
      <w:bookmarkEnd w:id="913"/>
    </w:p>
    <w:p>
      <w:pPr>
        <w:pStyle w:val="Heading4"/>
        <w:numPr>
          <w:ilvl w:val="3"/>
          <w:numId w:val="1"/>
        </w:numPr>
        <w:rPr/>
      </w:pPr>
      <w:bookmarkStart w:id="914" w:name="__RefHeading___Toc580992_774463916"/>
      <w:bookmarkStart w:id="915" w:name="_Toc364"/>
      <w:bookmarkEnd w:id="914"/>
      <w:r>
        <w:rPr>
          <w:rtl w:val="true"/>
        </w:rPr>
        <w:t>حقیقة النذر</w:t>
      </w:r>
      <w:bookmarkEnd w:id="915"/>
    </w:p>
    <w:p>
      <w:pPr>
        <w:pStyle w:val="BookText"/>
        <w:rPr/>
      </w:pPr>
      <w:r>
        <w:rPr>
          <w:rFonts w:ascii="IRNazanin" w:hAnsi="IRNazanin" w:eastAsia="IRNazanin"/>
          <w:color w:val="111111"/>
          <w:sz w:val="28"/>
          <w:sz w:val="28"/>
          <w:szCs w:val="28"/>
          <w:rtl w:val="true"/>
          <w:lang w:bidi="fa-IR"/>
        </w:rPr>
        <w:t>النذر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الشخص فی ذمته بفعل شیءٍ أو ترکه 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والوفاء به واجب ضرورة؛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یُوفُونَ بِالنَّذْرِ وَ یَخافُونَ یَوْماً کانَ شَرُّهُ مُسْتَطِیراً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تکفی النیّة بل لابدّ من التلفّظ بصیغة خاصّه وهی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لصحیح منصور بن حازم عن أبی عبدالله علیه السلام</w:t>
      </w:r>
    </w:p>
    <w:p>
      <w:pPr>
        <w:pStyle w:val="BookText"/>
        <w:rPr/>
      </w:pPr>
      <w:r>
        <w:rPr>
          <w:rFonts w:ascii="IRNazanin" w:hAnsi="IRNazanin" w:eastAsia="IRNazanin"/>
          <w:color w:val="111111"/>
          <w:sz w:val="28"/>
          <w:sz w:val="28"/>
          <w:szCs w:val="28"/>
          <w:rtl w:val="true"/>
          <w:lang w:bidi="fa-IR"/>
        </w:rPr>
        <w:t>إذا قال الرجل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المشی إلی بیت الله وهو محرم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هدی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بشیءٍ حتی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 المشی إلی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 أن احرم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 هدی کذا وکذا إن لم أفعل کذا وکذا</w:t>
      </w:r>
      <w:r>
        <w:rPr>
          <w:rFonts w:eastAsia="IRNazanin" w:cs="IRNazanin"/>
          <w:color w:val="111111"/>
          <w:sz w:val="28"/>
          <w:szCs w:val="28"/>
          <w:rtl w:val="true"/>
          <w:lang w:bidi="fa-IR"/>
        </w:rPr>
        <w:t xml:space="preserve">». </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والنذر إمّا معلّق علی شرط، فیصح بلا أشکال سواءً کان شکراً لنعمة أو استدفاعاً لبلیة أو زجراً عن مرجوح أو عن ترک راجح</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لا یکون معلقاً، المعبّر عنه بنذر التبّرع ففی صحته قولان من عمومات النذر، ومن احتمال دخل عدم الشرط فی معنی النذر ومعه یکون التمسّک بالعمومات تمسکاً</w:t>
      </w:r>
    </w:p>
    <w:p>
      <w:pPr>
        <w:pStyle w:val="BookText"/>
        <w:rPr/>
      </w:pPr>
      <w:r>
        <w:rPr>
          <w:rFonts w:ascii="IRNazanin" w:hAnsi="IRNazanin" w:eastAsia="IRNazanin"/>
          <w:color w:val="111111"/>
          <w:sz w:val="28"/>
          <w:sz w:val="28"/>
          <w:szCs w:val="28"/>
          <w:rtl w:val="true"/>
          <w:lang w:bidi="fa-IR"/>
        </w:rPr>
        <w:t>بها فی الشبهة المفهومیة، والمشهور الصحة</w:t>
      </w:r>
      <w:r>
        <w:rPr>
          <w:rFonts w:eastAsia="IRNazanin" w:cs="IRNazanin"/>
          <w:color w:val="111111"/>
          <w:sz w:val="28"/>
          <w:szCs w:val="28"/>
          <w:rtl w:val="true"/>
          <w:lang w:bidi="fa-IR"/>
        </w:rPr>
        <w:t xml:space="preserve">. </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 xml:space="preserve">ویشترط فی انعقاده رجحان متعلّقه بنحو یُعد طاعة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ینعقد لو تعلّق بالمباح الذی لا یُعدّ فعله طاعة لله سبحانه، هذا إذا کانت اللام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الغایة إذ لا معنی لذلک إلاّ إذا کان مطلوباً له، وأمّا إذا کانت للملک بأن یجعل المکلّف نفسه مشغولة له تعالی فلا یستلزم کون العمل راجحاًّ، وعلیه فیمکن أن یستأنس لاشتراط الرجحان بما فی الروایات من ذکر مصادیق الطاعات فی النذر، لا سیما ما رواه أبوالصباح الکنانی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أباعبدالله علیه السلام عن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النذر بشیءٍ حتی یسمی لله صیاماً أو صدقةً أو هدیاً أو حجّاً</w:t>
      </w:r>
      <w:r>
        <w:rPr>
          <w:rFonts w:eastAsia="IRNazanin" w:cs="IRNazanin"/>
          <w:color w:val="111111"/>
          <w:sz w:val="28"/>
          <w:szCs w:val="28"/>
          <w:rtl w:val="true"/>
          <w:lang w:bidi="fa-IR"/>
        </w:rPr>
        <w:t xml:space="preserve">. </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ولا یشترط فی صحة نذر الولد إذن الوالد مسبقاً، لعدم الدلیل علیه، نعم، مع نهیه لا ینعقد لصیرورة العمل مرجوحاً حینئذٍ کما ینحلّ إذا نهی عنه بعد ذلک لذلک، هذا بناءً علی وجوب طاعة الوالد مطلقاً، وهو محل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الزوجة فمقتضی صحیح عبدالله بن سنان عن أبی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للمرأة مع زوجها أمر فی عتق، ولا صدقة، ولا تدبیر، ولا هبة، ولا نذر فی مالها إلاّ بإذن زوجها إلاّ فی حجّ أو زکاة أو برِّ والدیها أو صلة رحمها</w:t>
      </w:r>
      <w:r>
        <w:rPr>
          <w:rFonts w:eastAsia="IRNazanin" w:cs="IRNazanin"/>
          <w:color w:val="111111"/>
          <w:sz w:val="28"/>
          <w:szCs w:val="28"/>
          <w:rtl w:val="true"/>
          <w:lang w:bidi="fa-IR"/>
        </w:rPr>
        <w:t xml:space="preserve">. </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إنّه یشترط انعقاد نذرها فی مالها بأذن الزوج، 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صدقة الزوجة وهبتها لشیءٍ من مالها أمر لا یمکن الالتزام به، وهذا قرینة کون الحکم استحبابیاً فی سائر الفقرات أیضاً</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کیفما کان ینعقد نذرها أذا لم یکن مستلزماً للتصرّف فی مالها، کالصوم</w:t>
      </w:r>
      <w:bookmarkStart w:id="916" w:name="pg5021_49484"/>
    </w:p>
    <w:p>
      <w:pPr>
        <w:pStyle w:val="BookText"/>
        <w:rPr/>
      </w:pPr>
      <w:bookmarkEnd w:id="916"/>
      <w:r>
        <w:rPr>
          <w:rFonts w:ascii="IRNazanin" w:hAnsi="IRNazanin" w:eastAsia="IRNazanin"/>
          <w:color w:val="111111"/>
          <w:sz w:val="28"/>
          <w:sz w:val="28"/>
          <w:szCs w:val="28"/>
          <w:rtl w:val="true"/>
          <w:lang w:bidi="fa-IR"/>
        </w:rPr>
        <w:t>والصلاة، والذکر، ونحوها، ولا منافیاً لحق الزوج، لاختصاص الحدیث بالتصّرف المالی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وکفارة الحنث هی کفارة الیمین، لصحیح الحلبی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الرجل یجعل علیه نذراً ولا یسمیه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سمیته فهو ما سمیت وإن لم تسمَّ شیئاً فلیس بشیء، فان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فکفارة یمین</w:t>
      </w:r>
      <w:r>
        <w:rPr>
          <w:rFonts w:eastAsia="IRNazanin" w:cs="IRNazanin"/>
          <w:color w:val="111111"/>
          <w:sz w:val="28"/>
          <w:szCs w:val="28"/>
          <w:rtl w:val="true"/>
          <w:lang w:bidi="fa-IR"/>
        </w:rPr>
        <w:t xml:space="preserve">. </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من أفطر یوماً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العتق، أو صوم شهرین، أو اطعام ستین مسکیناً؛ لروایة عبدالملک بن عمر </w:t>
      </w:r>
      <w:r>
        <w:rPr>
          <w:rStyle w:val="FootnoteAnchor"/>
          <w:rtl w:val="true"/>
        </w:rPr>
        <w:footnoteReference w:id="789"/>
      </w:r>
      <w:r>
        <w:rPr>
          <w:rFonts w:ascii="IRNazanin" w:hAnsi="IRNazanin" w:eastAsia="IRNazanin"/>
          <w:color w:val="111111"/>
          <w:sz w:val="28"/>
          <w:sz w:val="28"/>
          <w:szCs w:val="28"/>
          <w:rtl w:val="true"/>
          <w:lang w:bidi="fa-IR"/>
        </w:rPr>
        <w:t>لکنها ضعیفة سنداً لعدم إحراز وثاقة عبدالملک</w:t>
      </w:r>
      <w:r>
        <w:rPr>
          <w:rFonts w:eastAsia="IRNazanin" w:cs="IRNazanin"/>
          <w:color w:val="111111"/>
          <w:sz w:val="28"/>
          <w:szCs w:val="28"/>
          <w:rtl w:val="true"/>
          <w:lang w:bidi="fa-IR"/>
        </w:rPr>
        <w:t>.</w:t>
      </w:r>
    </w:p>
    <w:p>
      <w:pPr>
        <w:pStyle w:val="Heading4"/>
        <w:numPr>
          <w:ilvl w:val="3"/>
          <w:numId w:val="1"/>
        </w:numPr>
        <w:rPr/>
      </w:pPr>
      <w:bookmarkStart w:id="917" w:name="__RefHeading___Toc580994_774463916"/>
      <w:bookmarkStart w:id="918" w:name="_Toc365"/>
      <w:bookmarkEnd w:id="917"/>
      <w:r>
        <w:rPr>
          <w:rtl w:val="true"/>
        </w:rPr>
        <w:t>حقیقة العهد</w:t>
      </w:r>
      <w:bookmarkEnd w:id="918"/>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التزام مع الله سبحانه بفعل شیء أو ترکه، بأن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عاهدت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عهد الله فی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ویجب الوفاء به؛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أَوْفُوا بِالْعَهْدِ إِنَّ الْعَهْدَ کانَ مَسْؤُلاً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أَوْفُوا بِعَهْدِ اللّهِ إِذا عاهَدْتُمْ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ویصحّ مطلقاً ومعلقاً؛ لإطلاق الآیة ولا یعتبر کون متعلقه طاعة لعدم الدلیل علیه، فیشمل المباح أیضاً ویمکن أن یستدلّ علیه أیضاً بما رواه علی بن جعفر عن أخیه موسی بن جعفر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سألته عن رجل عاهد الله فی غیر معصیة، ما علیه إن لم یف بهذه؟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یعتق رقبة أو یتصدّق بصدقة، أو یصوم شهرین متتابعین</w:t>
      </w:r>
      <w:r>
        <w:rPr>
          <w:rFonts w:eastAsia="IRNazanin" w:cs="IRNazanin"/>
          <w:color w:val="111111"/>
          <w:sz w:val="28"/>
          <w:szCs w:val="28"/>
          <w:rtl w:val="true"/>
          <w:lang w:bidi="fa-IR"/>
        </w:rPr>
        <w:t xml:space="preserve">. </w:t>
      </w:r>
      <w:r>
        <w:rPr>
          <w:rStyle w:val="FootnoteAnchor"/>
          <w:rtl w:val="true"/>
        </w:rPr>
        <w:footnoteReference w:id="790"/>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وکفارة مخالفة العهد کفارة من أفطر یوماً من شهر رمضان،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العتق، أو صوم شهرین، أو إطعام ستین مسکیناً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 وللروایات منها روایة علی بن جعفر</w:t>
      </w:r>
    </w:p>
    <w:p>
      <w:pPr>
        <w:pStyle w:val="BookText"/>
        <w:rPr/>
      </w:pPr>
      <w:r>
        <w:rPr>
          <w:rFonts w:ascii="IRNazanin" w:hAnsi="IRNazanin" w:eastAsia="IRNazanin"/>
          <w:color w:val="111111"/>
          <w:sz w:val="28"/>
          <w:sz w:val="28"/>
          <w:szCs w:val="28"/>
          <w:rtl w:val="true"/>
          <w:lang w:bidi="fa-IR"/>
        </w:rPr>
        <w:t xml:space="preserve">المتقدمة ومنها ما رواه أحمد بن محمد بن عیسی فی نوادره عن أبی جعفر الثانی علیه السلام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رجل عاهد الله عند الحجر أن لا یقرب محّرماً أبداً، فلما رجع عاد إلی المحرّم فقال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یعتق أو یصوم أو یتصدّق علی ستین مسکیناً، وما ترک من الأمر أعظم ویستغفر الله ویتوب الیه</w:t>
      </w:r>
      <w:r>
        <w:rPr>
          <w:rFonts w:eastAsia="IRNazanin" w:cs="IRNazanin"/>
          <w:color w:val="111111"/>
          <w:sz w:val="28"/>
          <w:szCs w:val="28"/>
          <w:rtl w:val="true"/>
          <w:lang w:bidi="fa-IR"/>
        </w:rPr>
        <w:t xml:space="preserve">. </w:t>
      </w:r>
      <w:r>
        <w:rPr>
          <w:rStyle w:val="FootnoteAnchor"/>
          <w:rtl w:val="true"/>
        </w:rPr>
        <w:footnoteReference w:id="791"/>
      </w:r>
      <w:bookmarkStart w:id="919" w:name="pg5021_49486"/>
    </w:p>
    <w:p>
      <w:pPr>
        <w:pStyle w:val="Heading3"/>
        <w:numPr>
          <w:ilvl w:val="2"/>
          <w:numId w:val="1"/>
        </w:numPr>
        <w:rPr/>
      </w:pPr>
      <w:bookmarkStart w:id="920" w:name="__RefHeading___Toc580996_774463916"/>
      <w:bookmarkStart w:id="921" w:name="_Toc366"/>
      <w:bookmarkEnd w:id="919"/>
      <w:bookmarkEnd w:id="920"/>
      <w:r>
        <w:rPr>
          <w:rtl w:val="true"/>
        </w:rPr>
        <w:t>الدرس</w:t>
      </w:r>
      <w:r>
        <w:rPr/>
        <w:t>10</w:t>
      </w:r>
      <w:r>
        <w:rPr>
          <w:rtl w:val="true"/>
        </w:rPr>
        <w:t xml:space="preserve"> - </w:t>
      </w:r>
      <w:r>
        <w:rPr>
          <w:rtl w:val="true"/>
        </w:rPr>
        <w:t>کتاب الشفعة</w:t>
      </w:r>
      <w:bookmarkEnd w:id="921"/>
    </w:p>
    <w:p>
      <w:pPr>
        <w:pStyle w:val="Heading4"/>
        <w:numPr>
          <w:ilvl w:val="3"/>
          <w:numId w:val="1"/>
        </w:numPr>
        <w:rPr/>
      </w:pPr>
      <w:bookmarkStart w:id="922" w:name="__RefHeading___Toc580998_774463916"/>
      <w:bookmarkStart w:id="923" w:name="_Toc367"/>
      <w:bookmarkEnd w:id="922"/>
      <w:r>
        <w:rPr>
          <w:rtl w:val="true"/>
        </w:rPr>
        <w:t>حقیقة الشفعة</w:t>
      </w:r>
      <w:bookmarkEnd w:id="923"/>
    </w:p>
    <w:p>
      <w:pPr>
        <w:pStyle w:val="BookText"/>
        <w:rPr/>
      </w:pP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ثابتٌ للشریک فی أخذِ حصّةِ شریکه إذا باعها لثالث بالثمن المقرر فی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الحقّ أمر شرعی محض لانعهده عند العقلاء، وتدل علیه الروایات الآتیة، کروایة عُقبة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 رسول‌الله صلی الله علیه و آله بالشفعه بین الشرکاء فی الأرضین والمساکن</w:t>
      </w:r>
      <w:r>
        <w:rPr>
          <w:rFonts w:eastAsia="IRNazanin" w:cs="IRNazanin"/>
          <w:color w:val="111111"/>
          <w:sz w:val="28"/>
          <w:szCs w:val="28"/>
          <w:rtl w:val="true"/>
          <w:lang w:bidi="fa-IR"/>
        </w:rPr>
        <w:t xml:space="preserve">.... </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الحدیث ویتحقّق إعمال هذا الحق بالقول کأن یقول الشفیع، وهو صاحب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أخذتُ الحصةَ المبیعةَ بثمنها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بالفعل،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الثمن وأخذ الحصة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إعمال کلّ حق سکت الشارع عن بیان طریق خاص إلی إعماله لدلالته علی إیکال ذلک إلی العرف</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ولایثبت بالجوار؛ لعدم الدلیل علیه؛ ولبعض الروایات کمایأتی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اعتبار الفوریة فیه خلاف من أنّ الحق المذکور علی خلاف الأصل فیلزم الاقتصار علی القدر المتیقّن وهو أول زمان إمکان إعماله ومن أنّ الاستصحاب یقتضی التراخی، والمشهور اشتراط انتقال الشقص بالبیع دون الهبة والصلح، بل حُکی الإجماع علیه </w:t>
      </w:r>
      <w:r>
        <w:rPr>
          <w:rStyle w:val="FootnoteAnchor"/>
          <w:rtl w:val="true"/>
        </w:rPr>
        <w:footnoteReference w:id="793"/>
      </w:r>
      <w:r>
        <w:rPr>
          <w:rFonts w:ascii="IRNazanin" w:hAnsi="IRNazanin" w:eastAsia="IRNazanin"/>
          <w:color w:val="111111"/>
          <w:sz w:val="28"/>
          <w:sz w:val="28"/>
          <w:szCs w:val="28"/>
          <w:rtl w:val="true"/>
          <w:lang w:bidi="fa-IR"/>
        </w:rPr>
        <w:t>ویشترط فی ثبوته أمور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تقسیم العین المشترکه بفرز الحصص، وهو أمر متسالم علیه عندنا، ویدلّ علیه صحیح عبدالله بن سنان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لاتکون الشفعة إلاّ لشریکین ما لم یقاسما، فإذا صاروا ثلاثة فلیس لواحد منهم شفعة</w:t>
      </w:r>
      <w:r>
        <w:rPr>
          <w:rFonts w:eastAsia="IRNazanin" w:cs="IRNazanin"/>
          <w:color w:val="111111"/>
          <w:sz w:val="28"/>
          <w:szCs w:val="28"/>
          <w:rtl w:val="true"/>
          <w:lang w:bidi="fa-IR"/>
        </w:rPr>
        <w:t xml:space="preserve">. </w:t>
      </w:r>
      <w:r>
        <w:rPr>
          <w:rStyle w:val="FootnoteAnchor"/>
          <w:rtl w:val="true"/>
        </w:rPr>
        <w:footnoteReference w:id="79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تکون العین مشترکة بین اثنین لا أکثر؛ لما فی صحیح ابن سنان المتقدّم، وغیر ذلک، وهو المشهور شهرة عظیمة کادت تکون إجماعاً بل هی کذلک کما فی الجواهر</w:t>
      </w:r>
      <w:r>
        <w:rPr>
          <w:rFonts w:eastAsia="IRNazanin" w:cs="IRNazanin"/>
          <w:color w:val="111111"/>
          <w:sz w:val="28"/>
          <w:szCs w:val="28"/>
          <w:rtl w:val="true"/>
          <w:lang w:bidi="fa-IR"/>
        </w:rPr>
        <w:t xml:space="preserve">. </w:t>
      </w:r>
      <w:r>
        <w:rPr>
          <w:rStyle w:val="FootnoteAnchor"/>
          <w:rtl w:val="true"/>
        </w:rPr>
        <w:footnoteReference w:id="79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یکون ما یدفع بمقدار الثمن بدون زیادة أو نقیصة سواءٌ کان مساویا للقیمة السوقیة أم لا، 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لاخلاف بین الخاصّة والعامّة نصّاً وفتوی فی أنّ الشفیع یأخذ بمثل الثمن الذی وقع علیه العقد</w:t>
      </w:r>
      <w:r>
        <w:rPr>
          <w:rFonts w:eastAsia="IRNazanin" w:cs="IRNazanin"/>
          <w:color w:val="111111"/>
          <w:sz w:val="28"/>
          <w:szCs w:val="28"/>
          <w:rtl w:val="true"/>
          <w:lang w:bidi="fa-IR"/>
        </w:rPr>
        <w:t xml:space="preserve">». </w:t>
      </w:r>
      <w:r>
        <w:rPr>
          <w:rStyle w:val="FootnoteAnchor"/>
          <w:rtl w:val="true"/>
        </w:rPr>
        <w:footnoteReference w:id="796"/>
      </w:r>
      <w:r>
        <w:rPr>
          <w:rFonts w:ascii="IRNazanin" w:hAnsi="IRNazanin" w:eastAsia="IRNazanin"/>
          <w:color w:val="111111"/>
          <w:sz w:val="28"/>
          <w:sz w:val="28"/>
          <w:szCs w:val="28"/>
          <w:rtl w:val="true"/>
          <w:lang w:bidi="fa-IR"/>
        </w:rPr>
        <w:t xml:space="preserve">وربّما یستدلّ له بروایة هارون بن حمزة الغنوی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الشفعة فی الدُور أشیء واجب للشریک ویعرض علی الجار فهو أحق بها من غیره؟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الشفعة فی البیوع إذا کان شریکاً فهو أحق بها بالثمن</w:t>
      </w:r>
      <w:r>
        <w:rPr>
          <w:rFonts w:eastAsia="IRNazanin" w:cs="IRNazanin"/>
          <w:color w:val="111111"/>
          <w:sz w:val="28"/>
          <w:szCs w:val="28"/>
          <w:rtl w:val="true"/>
          <w:lang w:bidi="fa-IR"/>
        </w:rPr>
        <w:t xml:space="preserve">. </w:t>
      </w:r>
      <w:r>
        <w:rPr>
          <w:rStyle w:val="FootnoteAnchor"/>
          <w:rtl w:val="true"/>
        </w:rPr>
        <w:footnoteReference w:id="79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تکون العین من الأشیاء غیر المنقولة، وفی المنقول خلاف؛ للتأمل فی ما دلّ علی العموم سنداً ودلالة، فیکون الأوّل هو المتّیقن بعد کونها علی خلاف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صحیح عبدالله بن سنان یدلّ علی ثبوته فی الحیوان والتعدّی منه إلی مطلق الأشیاء المنقولة یتوقف علی إلغاء الخصوصیة من الحیوان عرفاً، وهو مشکل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تکون العین قابلة للقسمة وأما ما لایقبلها ففی ثبوت الشفعه فیه خلاف أیضاً، کما فی الآبار مثلاً</w:t>
      </w:r>
      <w:r>
        <w:rPr>
          <w:rFonts w:eastAsia="IRNazanin" w:cs="IRNazanin"/>
          <w:color w:val="111111"/>
          <w:sz w:val="28"/>
          <w:szCs w:val="28"/>
          <w:rtl w:val="true"/>
          <w:lang w:bidi="fa-IR"/>
        </w:rPr>
        <w:t>.</w:t>
      </w:r>
      <w:bookmarkStart w:id="924" w:name="pg5021_49488"/>
    </w:p>
    <w:p>
      <w:pPr>
        <w:pStyle w:val="Heading3"/>
        <w:numPr>
          <w:ilvl w:val="2"/>
          <w:numId w:val="1"/>
        </w:numPr>
        <w:rPr/>
      </w:pPr>
      <w:bookmarkStart w:id="925" w:name="__RefHeading___Toc581000_774463916"/>
      <w:bookmarkStart w:id="926" w:name="_Toc368"/>
      <w:bookmarkEnd w:id="924"/>
      <w:bookmarkEnd w:id="925"/>
      <w:r>
        <w:rPr>
          <w:rtl w:val="true"/>
        </w:rPr>
        <w:t>الدرس</w:t>
      </w:r>
      <w:r>
        <w:rPr/>
        <w:t>11</w:t>
      </w:r>
      <w:r>
        <w:rPr>
          <w:rtl w:val="true"/>
        </w:rPr>
        <w:t xml:space="preserve"> - </w:t>
      </w:r>
      <w:r>
        <w:rPr>
          <w:rtl w:val="true"/>
        </w:rPr>
        <w:t>کتاب الوصیة</w:t>
      </w:r>
      <w:bookmarkEnd w:id="926"/>
    </w:p>
    <w:p>
      <w:pPr>
        <w:pStyle w:val="Heading4"/>
        <w:numPr>
          <w:ilvl w:val="3"/>
          <w:numId w:val="1"/>
        </w:numPr>
        <w:rPr/>
      </w:pPr>
      <w:bookmarkStart w:id="927" w:name="__RefHeading___Toc581002_774463916"/>
      <w:bookmarkStart w:id="928" w:name="_Toc369"/>
      <w:bookmarkEnd w:id="927"/>
      <w:r>
        <w:rPr>
          <w:rtl w:val="true"/>
        </w:rPr>
        <w:t>حقیقة الوصیة</w:t>
      </w:r>
      <w:bookmarkEnd w:id="928"/>
    </w:p>
    <w:p>
      <w:pPr>
        <w:pStyle w:val="BookText"/>
        <w:rPr/>
      </w:pP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شیءٍ لشخص أو جهة کالفقراء او طلب فعل بعد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أمر مستحبٌ ففی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ینبغی لامرءٍ مسلمٍ أن یبیت لیلة ألاّ ووصیته تحت رأسه</w:t>
      </w:r>
      <w:r>
        <w:rPr>
          <w:rFonts w:eastAsia="IRNazanin" w:cs="IRNazanin"/>
          <w:color w:val="111111"/>
          <w:sz w:val="28"/>
          <w:szCs w:val="28"/>
          <w:rtl w:val="true"/>
          <w:lang w:bidi="fa-IR"/>
        </w:rPr>
        <w:t xml:space="preserve">. </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وقد تجب، کما یأتی إن شاء الله تعالی، وهی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تملیکیة تتضمن تملیک عین أو اختصاص حقِّ له بعد الوفاة لشخص أو جهة، کالفقراء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وعهدیة بأن یأمر بتصرّفٍ معینٍ بعد وفاته، کأن یأمر بتملیک شخص أو جهة مقداراً من المال أو بالدفن فی مکان معین، ویجب العمل بها؛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بَدَّلَهُ بَعْدَ ما سَمِعَهُ فَإِنَّما إِثْمُهُ عَلَی الَّذِینَ یُبَدِّلُونَهُ إِنَّ اللّهَ سَمِیعٌ عَلِیمٌ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الصحیح عن محمد بن مسلم قال</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سألت أبا جعفر علیه السلام عن الرجل أوصی بماله فی سبیل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 لمن أوصی له به وإن کان یهودیاً أو نصرانیاً إنّ الله عزوجل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بدّله بعد ما سمعه فإنّما إثمه علی الذین یبدلونه</w:t>
      </w:r>
      <w:r>
        <w:rPr>
          <w:rFonts w:eastAsia="IRNazanin" w:cs="IRNazanin"/>
          <w:color w:val="111111"/>
          <w:sz w:val="28"/>
          <w:szCs w:val="28"/>
          <w:rtl w:val="true"/>
          <w:lang w:bidi="fa-IR"/>
        </w:rPr>
        <w:t xml:space="preserve">. </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 xml:space="preserve">والوصیة العهدیة لا تحتاج إلی قبول، لکن للوصیِّ الردَّ فی حیاة الموصی مع بلوغه الردّ وإمکان الإیصاء إلی شخصٍ آخر؛ لصحیحة منصوربن حازم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أوصی الرجل إلی أخیه وهو غائب، فلیس له أن یردّ علیه وصیة لأنّه لو کان شاهداً فأبی أن یقبلها طلب غیره</w:t>
      </w:r>
      <w:r>
        <w:rPr>
          <w:rFonts w:eastAsia="IRNazanin" w:cs="IRNazanin"/>
          <w:color w:val="111111"/>
          <w:sz w:val="28"/>
          <w:szCs w:val="28"/>
          <w:rtl w:val="true"/>
          <w:lang w:bidi="fa-IR"/>
        </w:rPr>
        <w:t xml:space="preserve">. </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فلو کان القبول معتبراً بطلت رأساً ومن دون ردٍّ، والتعلیل دلیل الشروط الثلاثة، نعم، الروایة مختصه بالغائب إلاّ أنّ التعلیل یعم الحاضر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هذا فی غیر وصیة الوالد إلی ولده وأما فیها فلیس له الرد مطلقاً لمعتبرة علی بن الرّیان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الرئاب 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کتبتُ إلی أبی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دعاه ولده إلی قبول وصیة، هل له أن یمتنع من قبول وصیته فوقع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أن یمتنع</w:t>
      </w:r>
      <w:r>
        <w:rPr>
          <w:rFonts w:eastAsia="IRNazanin" w:cs="IRNazanin"/>
          <w:color w:val="111111"/>
          <w:sz w:val="28"/>
          <w:szCs w:val="28"/>
          <w:rtl w:val="true"/>
          <w:lang w:bidi="fa-IR"/>
        </w:rPr>
        <w:t xml:space="preserve">. </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ولا یخفی أنّ کلّ مورد قلنا بوجوب العمل بالوصیة مقیّد بعدم الحرج وإلاّ جاز ردها بدلیل نفی الحرج هذا کله فی الوصیة العهدیة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التملیکیة ففیها خلاف، فإذا أوصی لزید داراً، فلم یقبل ولم یردّ، أو لم یعلم بها أصلاً فهل یملک بعد وفاة الموصی قهراً؟ المشهور اعتبار القبول، إذ التملّک القهری مناف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سلطنة الإنسان علی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إذ لا وجه للقاعدة بعد وجود الدلیل وهو إطلاق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بَدَّلَهُ بَعْدَ ما سَمِعَهُ فَإِنَّما إِثْمُهُ عَلَی الَّذِینَ یُبَدِّلُونَهُ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ویؤید ذلک صحیحة محمدبن قیس عن أبی جعفر علیه السلام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قضی أمیرالمؤمنین علیه السلام فی رجل أوصی لآخر، والموصی له غائب، فتوفی الموصی له الذی أوصی له قبل الموصی،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الوصیة لوارث الذی أوصی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أوصی لأحد شاهداً کان أو غائباً، فتوفی الموصی له قبل الموصی، فالوصیة</w:t>
      </w:r>
    </w:p>
    <w:p>
      <w:pPr>
        <w:pStyle w:val="BookText"/>
        <w:rPr/>
      </w:pPr>
      <w:r>
        <w:rPr>
          <w:rFonts w:ascii="IRNazanin" w:hAnsi="IRNazanin" w:eastAsia="IRNazanin"/>
          <w:color w:val="111111"/>
          <w:sz w:val="28"/>
          <w:sz w:val="28"/>
          <w:szCs w:val="28"/>
          <w:rtl w:val="true"/>
          <w:lang w:bidi="fa-IR"/>
        </w:rPr>
        <w:t>لوارث الذی اوصی له إلاّ أن یرجع فی وصیته قبل موته</w:t>
      </w:r>
      <w:r>
        <w:rPr>
          <w:rFonts w:eastAsia="IRNazanin" w:cs="IRNazanin"/>
          <w:color w:val="111111"/>
          <w:sz w:val="28"/>
          <w:szCs w:val="28"/>
          <w:rtl w:val="true"/>
          <w:lang w:bidi="fa-IR"/>
        </w:rPr>
        <w:t xml:space="preserve">. </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لأنّ إطلاقها یقتضی لزوم الرفع إلی الوارث حتی مع عدم قبول الموصی له ولا وجه له إلا تحقق ملک مورّثه والانتقال منه إلیه، ولا مانع عقلاً من الملک القهری بعد وجود الدلیل وإن کان غیر معروف عند العقلاء فی غیر الإرث والوقف؛ ولذا حمل الدلیل علیه من اعتبر القبول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للإنسان أن یعیّن شخصاً لتنفیذ وصیته؛ لإطلاق ما دلّ علی إمضاء الوصیة مطلقاً، وإذا أوصی ولم یعیّن أحداً لتنفیذه، کَأنَ أوصی بإعطاء مالٍ للفقراء أو بناء مسجد، فللحاکم تنفیذها للجزم بعدم رضا الشارع بإهمالها، والمتیقن ممن یرضی الشارع بتصدیه هو الحاکم الشرعی بنفسه أو بتعیین شخص لذلک، ویمکن أن یتمسّک لذلک بمکاتبة إسحاق بن یعقوب، والتوقیع الوارد فی جوابها بخط مولانا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الحوادث الواقعه فارجعوا فیها إلی رواة حدیثنا؛ فإنّهم حجتی علیکم، وأنا حجّة الله</w:t>
      </w:r>
      <w:r>
        <w:rPr>
          <w:rFonts w:eastAsia="IRNazanin" w:cs="IRNazanin"/>
          <w:color w:val="111111"/>
          <w:sz w:val="28"/>
          <w:szCs w:val="28"/>
          <w:rtl w:val="true"/>
          <w:lang w:bidi="fa-IR"/>
        </w:rPr>
        <w:t xml:space="preserve">.... </w:t>
      </w:r>
      <w:r>
        <w:rPr>
          <w:rStyle w:val="FootnoteAnchor"/>
          <w:rtl w:val="true"/>
        </w:rPr>
        <w:footnoteReference w:id="803"/>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إذا مات الوصی قبل تنفیذ الوصیّة لما ذکر</w:t>
      </w:r>
      <w:r>
        <w:rPr>
          <w:rFonts w:eastAsia="IRNazanin" w:cs="IRNazanin"/>
          <w:color w:val="111111"/>
          <w:sz w:val="28"/>
          <w:szCs w:val="28"/>
          <w:rtl w:val="true"/>
          <w:lang w:bidi="fa-IR"/>
        </w:rPr>
        <w:t>.</w:t>
      </w:r>
      <w:bookmarkStart w:id="929" w:name="pg5021_49491"/>
    </w:p>
    <w:p>
      <w:pPr>
        <w:pStyle w:val="Heading3"/>
        <w:numPr>
          <w:ilvl w:val="2"/>
          <w:numId w:val="1"/>
        </w:numPr>
        <w:rPr/>
      </w:pPr>
      <w:bookmarkStart w:id="930" w:name="__RefHeading___Toc581004_774463916"/>
      <w:bookmarkStart w:id="931" w:name="_Toc370"/>
      <w:bookmarkEnd w:id="929"/>
      <w:bookmarkEnd w:id="930"/>
      <w:r>
        <w:rPr>
          <w:rtl w:val="true"/>
        </w:rPr>
        <w:t>الدرس</w:t>
      </w:r>
      <w:r>
        <w:rPr/>
        <w:t>12</w:t>
      </w:r>
      <w:r>
        <w:rPr>
          <w:rtl w:val="true"/>
        </w:rPr>
        <w:t xml:space="preserve"> - </w:t>
      </w:r>
      <w:r>
        <w:rPr>
          <w:rtl w:val="true"/>
        </w:rPr>
        <w:t xml:space="preserve">کتاب الوصیة </w:t>
      </w:r>
      <w:r>
        <w:rPr>
          <w:rtl w:val="true"/>
        </w:rPr>
        <w:t>(</w:t>
      </w:r>
      <w:r>
        <w:rPr/>
        <w:t>2</w:t>
      </w:r>
      <w:r>
        <w:rPr>
          <w:rtl w:val="true"/>
        </w:rPr>
        <w:t>)</w:t>
      </w:r>
      <w:bookmarkEnd w:id="931"/>
    </w:p>
    <w:p>
      <w:pPr>
        <w:pStyle w:val="Heading4"/>
        <w:numPr>
          <w:ilvl w:val="3"/>
          <w:numId w:val="1"/>
        </w:numPr>
        <w:rPr/>
      </w:pPr>
      <w:bookmarkStart w:id="932" w:name="__RefHeading___Toc581006_774463916"/>
      <w:bookmarkStart w:id="933" w:name="_Toc371"/>
      <w:bookmarkEnd w:id="932"/>
      <w:r>
        <w:rPr>
          <w:rtl w:val="true"/>
        </w:rPr>
        <w:t>من أحکام الوصی</w:t>
      </w:r>
      <w:bookmarkEnd w:id="933"/>
    </w:p>
    <w:p>
      <w:pPr>
        <w:pStyle w:val="BookText"/>
        <w:rPr/>
      </w:pPr>
      <w:r>
        <w:rPr>
          <w:rFonts w:ascii="IRNazanin" w:hAnsi="IRNazanin" w:eastAsia="IRNazanin"/>
          <w:color w:val="111111"/>
          <w:sz w:val="28"/>
          <w:sz w:val="28"/>
          <w:szCs w:val="28"/>
          <w:rtl w:val="true"/>
          <w:lang w:bidi="fa-IR"/>
        </w:rPr>
        <w:t xml:space="preserve">و یجوز لکلِّ من الأب والجدِّ نصبَ القیّم علی أطفالهما بعد الوفاة، بلا خلاف، بل الإجماع بقسمیه علیه کما عن الجواهر، </w:t>
      </w:r>
      <w:r>
        <w:rPr>
          <w:rStyle w:val="FootnoteAnchor"/>
          <w:rtl w:val="true"/>
        </w:rPr>
        <w:footnoteReference w:id="804"/>
      </w:r>
      <w:r>
        <w:rPr>
          <w:rFonts w:ascii="IRNazanin" w:hAnsi="IRNazanin" w:eastAsia="IRNazanin"/>
          <w:color w:val="111111"/>
          <w:sz w:val="28"/>
          <w:sz w:val="28"/>
          <w:szCs w:val="28"/>
          <w:rtl w:val="true"/>
          <w:lang w:bidi="fa-IR"/>
        </w:rPr>
        <w:t xml:space="preserve">وتدل علیه سیرة المتشرعة وبعض النصوص، منها ما رواه محمد بن مسلم عن ابی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 عن رجل أوصی إلی رجل بولده وبمال لهم، وأذن له عند الوصیة أن یعمل بالمال وأن یکون الربح بینه وبینهم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من أجل أنّ أباه قد أذن له فی ذلک وهو حی</w:t>
      </w:r>
      <w:r>
        <w:rPr>
          <w:rFonts w:eastAsia="IRNazanin" w:cs="IRNazanin"/>
          <w:color w:val="111111"/>
          <w:sz w:val="28"/>
          <w:szCs w:val="28"/>
          <w:rtl w:val="true"/>
          <w:lang w:bidi="fa-IR"/>
        </w:rPr>
        <w:t xml:space="preserve">. </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ولا یجوز لغیر الأب والجَّد ذلک؛ لعدم الدلیل علی ذلک، والأصل عدم الولایة وعدم جواز التصرّف فی مال الغیر</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وظیفة القیم هو التصدّی لشئون الطفل بما هو متعارف من حفظ أمواله والانفاق علیه واستیفاء دینه وفاء ما علیه من دین ونحو ذلک، وکذلک تربیته بما هو المتعارف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لانصراف الولایة إلیه نعم، إذا قیدّ الولایة بجهة دون جهة وجب الاقتصارعلی محل الإذن؛ لأنّ هذه الولایة مجعولة لابد من الاقتصار علی مقدار</w:t>
      </w:r>
      <w:bookmarkStart w:id="934" w:name="pg5021_49492"/>
    </w:p>
    <w:p>
      <w:pPr>
        <w:pStyle w:val="BookText"/>
        <w:rPr/>
      </w:pPr>
      <w:bookmarkEnd w:id="934"/>
      <w:r>
        <w:rPr>
          <w:rFonts w:ascii="IRNazanin" w:hAnsi="IRNazanin" w:eastAsia="IRNazanin"/>
          <w:color w:val="111111"/>
          <w:sz w:val="28"/>
          <w:sz w:val="28"/>
          <w:szCs w:val="28"/>
          <w:rtl w:val="true"/>
          <w:lang w:bidi="fa-IR"/>
        </w:rPr>
        <w:t>الجعل وکان المرجع فی الجهات الاُخری الحاکم الشرعی؛ لأنّ له الولایة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للموصی نصب ناظر علی الوصی، بحیث یکون تصرف الوصی بنظره کأنْ یعیّن وقت التجارة أو موردها أو یکون دوره الإشراف علی عمل الوصی حتی یکون موافقاً لما عیّنه الموصی من دون إبداء نظر، وعلی أی حالٍ لا یجوز للناظر التصرّف؛ ویدل علی الجواز عمومات الوصیة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ویجوز للقیّم علی الیتیم أخذ اجرة مثل عمله إذا کان فقیراً؛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ابْتَلُوا الْیَتامی حَتّی إِذا بَلَغُوا النِّکاحَ فَإِنْ آنَسْتُمْ مِنْهُمْ رُشْداً فَادْفَعُوا إِلَیْهِمْ أَمْوالَهُمْ وَ لا تَأْکُلُوها إِسْرافاً وَ بِداراً أَنْ یَکْبَرُوا وَ مَنْ کانَ غَنِیًّا فَلْیَسْتَعْفِفْ وَ مَنْ کانَ فَقِیراً فَلْیَأْکُلْ بِالْمَعْرُوفِ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أجرة المثْل، 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یأخذ مقدار حاجته وهو قد یکون أقل منها وقد یکون أکثر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یأخذ أقل الأمرین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یأخذ أجرة المثل سواءً کان فقیراً أو غنیاً؛ لأنّ مادة الاستعفاف المأمور بها فی الآیه الکریمه تناسب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والروایات فی المسأله مختلفة والأحوط للغنی الترک، وکذلک للفقیر إذا کان المال قلیلاً؛ لبعض الروایات</w:t>
      </w:r>
      <w:r>
        <w:rPr>
          <w:rFonts w:eastAsia="Amiri" w:cs="Amiri" w:ascii="Amiri" w:hAnsi="Amiri"/>
          <w:color w:val="111111"/>
          <w:sz w:val="28"/>
          <w:szCs w:val="28"/>
          <w:rtl w:val="true"/>
          <w:lang w:bidi="ar-SA"/>
        </w:rPr>
        <w:t xml:space="preserve">. </w:t>
      </w:r>
      <w:r>
        <w:rPr>
          <w:rStyle w:val="FootnoteAnchor"/>
          <w:rtl w:val="true"/>
        </w:rPr>
        <w:footnoteReference w:id="806"/>
      </w:r>
    </w:p>
    <w:p>
      <w:pPr>
        <w:pStyle w:val="Heading4"/>
        <w:numPr>
          <w:ilvl w:val="3"/>
          <w:numId w:val="1"/>
        </w:numPr>
        <w:rPr/>
      </w:pPr>
      <w:bookmarkStart w:id="935" w:name="__RefHeading___Toc581008_774463916"/>
      <w:bookmarkStart w:id="936" w:name="_Toc372"/>
      <w:bookmarkEnd w:id="935"/>
      <w:r>
        <w:rPr>
          <w:rtl w:val="true"/>
        </w:rPr>
        <w:t>من أحکام الوصیة</w:t>
      </w:r>
      <w:bookmarkEnd w:id="936"/>
    </w:p>
    <w:p>
      <w:pPr>
        <w:pStyle w:val="BookText"/>
        <w:rPr/>
      </w:pPr>
      <w:r>
        <w:rPr>
          <w:rFonts w:ascii="IRNazanin" w:hAnsi="IRNazanin" w:eastAsia="IRNazanin"/>
          <w:color w:val="111111"/>
          <w:sz w:val="28"/>
          <w:sz w:val="28"/>
          <w:szCs w:val="28"/>
          <w:rtl w:val="true"/>
          <w:lang w:bidi="fa-IR"/>
        </w:rPr>
        <w:t>تتحقق الوصیة بکلّ ما یدل علیها ولو بالکتابة؛ لصدق الوصیة علیها</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عند ظهور إمارات الموت و الظن بعدم التمکّن من امتثال الواجبات الموسعة کقضاء الصلاة والصوم، وأداء الکفارات، ونحوها، تجب المبادرة إلی أدائها بحکم العقل إذ الامتثال واجب عقلاً، ولا یجوز التأخیر إلا مع الاطمئنان بالأداء أو حجّة مثله، إذ لا یکون آمنا من الضرر مع عدمهما نعم، عند عدم الاطمئنان بالموت یکون مقتضی الاستصحاب الاستقبالی بقاءه؛ ولذا یجوز البدار لذوی الاعذار ومع ذلک</w:t>
      </w:r>
    </w:p>
    <w:p>
      <w:pPr>
        <w:pStyle w:val="BookText"/>
        <w:rPr/>
      </w:pPr>
      <w:r>
        <w:rPr>
          <w:rFonts w:ascii="IRNazanin" w:hAnsi="IRNazanin" w:eastAsia="IRNazanin"/>
          <w:color w:val="111111"/>
          <w:sz w:val="28"/>
          <w:sz w:val="28"/>
          <w:szCs w:val="28"/>
          <w:rtl w:val="true"/>
          <w:lang w:bidi="fa-IR"/>
        </w:rPr>
        <w:t>فالأحوط هو وجوب البدار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لم یمکن أداؤها یجب الإیصاء بها؛ لأنّ الإیصاء بها نحو من الامتثال والفراغ هذا إذا علم بقیام الغیر بمورد الوصیة، وأما مع الشّک فقد یقال بالوجوب أیضاً إذ المورد من باب الشکّ فی القدرة، ولا تجری فیه البراءة؛ فیجب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علم قیام الوارث أو غیره به لایجب الإیصاء لحصول المطلوب،</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کانت عنده أموال الناس، من الودیعه، والعاریة، ومال المضاربة، ونحوها، یجب علیه ردها عند ظهور إمارات الموت إن خاف عدم أداء الوارث، لوجوب رد الأمانات إلی اهلها وإذا توقّف الأداء علی الإیصاء والإشهاد علیه یجب عقلاً من باب مقدّمة الواجب، ومثلها الدیون مع عدم مطالبة الدائن، أمّا مع مطالبته وحلولها فتجب المبادرة إلی أدائها وإن لم یخف الموت؛ لحرمة المماطلة فیه</w:t>
      </w:r>
      <w:r>
        <w:rPr>
          <w:rFonts w:eastAsia="IRNazanin" w:cs="IRNazanin"/>
          <w:color w:val="111111"/>
          <w:sz w:val="28"/>
          <w:szCs w:val="28"/>
          <w:rtl w:val="true"/>
          <w:lang w:bidi="fa-IR"/>
        </w:rPr>
        <w:t>.</w:t>
      </w:r>
      <w:bookmarkStart w:id="937" w:name="pg5021_49494"/>
    </w:p>
    <w:p>
      <w:pPr>
        <w:pStyle w:val="Heading3"/>
        <w:numPr>
          <w:ilvl w:val="2"/>
          <w:numId w:val="1"/>
        </w:numPr>
        <w:rPr/>
      </w:pPr>
      <w:bookmarkStart w:id="938" w:name="__RefHeading___Toc581010_774463916"/>
      <w:bookmarkStart w:id="939" w:name="_Toc373"/>
      <w:bookmarkEnd w:id="937"/>
      <w:bookmarkEnd w:id="938"/>
      <w:r>
        <w:rPr>
          <w:rtl w:val="true"/>
        </w:rPr>
        <w:t>الدرس</w:t>
      </w:r>
      <w:r>
        <w:rPr/>
        <w:t>13</w:t>
      </w:r>
      <w:r>
        <w:rPr>
          <w:rtl w:val="true"/>
        </w:rPr>
        <w:t xml:space="preserve"> - </w:t>
      </w:r>
      <w:r>
        <w:rPr>
          <w:rtl w:val="true"/>
        </w:rPr>
        <w:t xml:space="preserve">کتاب الوصیة </w:t>
      </w:r>
      <w:r>
        <w:rPr>
          <w:rtl w:val="true"/>
        </w:rPr>
        <w:t>(</w:t>
      </w:r>
      <w:r>
        <w:rPr/>
        <w:t>3</w:t>
      </w:r>
      <w:r>
        <w:rPr>
          <w:rtl w:val="true"/>
        </w:rPr>
        <w:t>)</w:t>
      </w:r>
      <w:bookmarkEnd w:id="939"/>
    </w:p>
    <w:p>
      <w:pPr>
        <w:pStyle w:val="Heading4"/>
        <w:numPr>
          <w:ilvl w:val="3"/>
          <w:numId w:val="1"/>
        </w:numPr>
        <w:rPr/>
      </w:pPr>
      <w:bookmarkStart w:id="940" w:name="__RefHeading___Toc581012_774463916"/>
      <w:bookmarkStart w:id="941" w:name="_Toc374"/>
      <w:bookmarkEnd w:id="940"/>
      <w:r>
        <w:rPr>
          <w:rtl w:val="true"/>
        </w:rPr>
        <w:t>تابع أحکام الوصیة</w:t>
      </w:r>
      <w:bookmarkEnd w:id="941"/>
    </w:p>
    <w:p>
      <w:pPr>
        <w:pStyle w:val="BookText"/>
        <w:rPr/>
      </w:pPr>
      <w:r>
        <w:rPr>
          <w:rFonts w:ascii="IRNazanin" w:hAnsi="IRNazanin" w:eastAsia="IRNazanin"/>
          <w:color w:val="111111"/>
          <w:sz w:val="28"/>
          <w:sz w:val="28"/>
          <w:szCs w:val="28"/>
          <w:rtl w:val="true"/>
          <w:lang w:bidi="fa-IR"/>
        </w:rPr>
        <w:t>ولا تصحّ الوصیة بما زاد علی الثلث علی ما هو المعروف بین الأصحاب، وتدلّ علیه الروایات منها موثقة عمار الساباطی عن أبی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المیت أحقّ بماله مادام فیه الروح یبین به،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بعدی، فلیس له إلا الثلث</w:t>
      </w:r>
      <w:r>
        <w:rPr>
          <w:rFonts w:eastAsia="IRNazanin" w:cs="IRNazanin"/>
          <w:color w:val="111111"/>
          <w:sz w:val="28"/>
          <w:szCs w:val="28"/>
          <w:rtl w:val="true"/>
          <w:lang w:bidi="fa-IR"/>
        </w:rPr>
        <w:t xml:space="preserve">. </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 xml:space="preserve">إلاّ باجازة الورثه لمازاد؛ إذ المال لهم بالإرث بعد الوفاة أمّا قبلها؛ فللروایات منها صحیحة محمد بن مسلم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أوصی بوصیته وورثته شهود فأجازوا ذلک، فلما مات الرجل نقضوا الوصیة، هل لهم أنّ یردّوا ما أقروا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لهم ذلک، والوصیة جائزة علیهم إذا أقرّوا بها فی حیاته</w:t>
      </w:r>
      <w:r>
        <w:rPr>
          <w:rFonts w:eastAsia="IRNazanin" w:cs="IRNazanin"/>
          <w:color w:val="111111"/>
          <w:sz w:val="28"/>
          <w:szCs w:val="28"/>
          <w:rtl w:val="true"/>
          <w:lang w:bidi="fa-IR"/>
        </w:rPr>
        <w:t xml:space="preserve">. </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ولا یمکنهم التراجع عن الإجازة لا بعد الوفاة، لانتقال المال إلی الموصی له وعدم الدلیل علی الفسخ ولا قبلها للروایة، وإذا أجاز بعض الورثه دون بعض نفذت فی حق المجیر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لانحلال الحق</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والمیزان فی الثلث ملاحظته حین الموت دون الوصیة وإن کان هذا خلاف الظاهر</w:t>
      </w:r>
    </w:p>
    <w:p>
      <w:pPr>
        <w:pStyle w:val="BookText"/>
        <w:rPr/>
      </w:pPr>
      <w:r>
        <w:rPr>
          <w:rFonts w:ascii="IRNazanin" w:hAnsi="IRNazanin" w:eastAsia="IRNazanin"/>
          <w:color w:val="111111"/>
          <w:sz w:val="28"/>
          <w:sz w:val="28"/>
          <w:szCs w:val="28"/>
          <w:rtl w:val="true"/>
          <w:lang w:bidi="fa-IR"/>
        </w:rPr>
        <w:t>من کلامه إلاّ أنّه یستفاد من صحیحة محمد بن 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أوصی لرجل بوصیة من ماله ثلث أو ربع، فیقتل الرجلُ خطأً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الموصی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یجاز لهذا الوصیة من ماله ودیته</w:t>
      </w:r>
      <w:r>
        <w:rPr>
          <w:rFonts w:eastAsia="IRNazanin" w:cs="IRNazanin"/>
          <w:color w:val="111111"/>
          <w:sz w:val="28"/>
          <w:szCs w:val="28"/>
          <w:rtl w:val="true"/>
          <w:lang w:bidi="fa-IR"/>
        </w:rPr>
        <w:t xml:space="preserve">. </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ونحوها موثقة 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الواجبات المالیة التی فی عهدة المکلّف، کالمال المقترض، والخمس، والزکاة، وحجة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من أصل الترکة وإن لم یوص بها؛ للروایات منها صحیح محمد بن قیس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الدین قبل الوصیة ثمّ الوصیة علی أثر الدین</w:t>
      </w:r>
      <w:r>
        <w:rPr>
          <w:rFonts w:eastAsia="IRNazanin" w:cs="IRNazanin"/>
          <w:color w:val="111111"/>
          <w:sz w:val="28"/>
          <w:szCs w:val="28"/>
          <w:rtl w:val="true"/>
          <w:lang w:bidi="fa-IR"/>
        </w:rPr>
        <w:t xml:space="preserve">.... </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وأمّا الواجبات غیر المالیة، فقیل بإخراجها من الأصل قبل الإرث؛ لأنها دین، وقد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وَصِیَّةٍ یُوصِی بِها أَوْ 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الإرث بعد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باخراجها من الثلث وإن لم یوص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واذا مات الموصی له قبل قبوله وردّه، قام وارثه مقامه فی ذلک، فله القبول أو الردّ إذا لم یرجع الموصی من وصیته، للروایات ومنها صحیحة محمد بن قیس المتقدّمة، وفی المسألة بعض الروایات الموهمة للخلاف، والبحث التام موکول إلی مجال أوسع</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تصحّ الوصیة فی المعصیة ولا ما هو خلاف الشرع، کحرمان بعض الورثه من المیراث إذ الوصیة لیست مشرّعة نعم، له الوصیة بإعطاء شیءٍ زائد لبعض الورثه من الثلث کما لا یخفی، وإذا أوصی مالاً لجماعة فیهم الذکور والإناث کأولاده مثلاً یکون المال لهم بالتسویة بمقتضی الظاهر، ولیس هذا من باب الإرث حتی یکون للذکر مثل حظ الأنثیین نعم، فی المقام صحیح زرارة عن أبی جعفر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رجل أوصی بثلث ماله فی أعمامه وأخواله،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لأعمامه الثلثان ولأخواله الثلث</w:t>
      </w:r>
      <w:r>
        <w:rPr>
          <w:rFonts w:eastAsia="IRNazanin" w:cs="IRNazanin"/>
          <w:color w:val="111111"/>
          <w:sz w:val="28"/>
          <w:szCs w:val="28"/>
          <w:rtl w:val="true"/>
          <w:lang w:bidi="fa-IR"/>
        </w:rPr>
        <w:t xml:space="preserve">. </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لکن قد یدّعی إعراض المشهور عنه ولو أغمض عن إشکال الإعراض لابّد من الاقتصار بمورده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والوصیة جائزة من طرف الموصی فله العدول مادام حیاً، بلا خلاف للروایات منها صحیحة محمد بن مسلم عن أبی عبدالله علیه السلام فی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للرجل أن یرجع فی ثلثه إن کان أوصی فی صحة او مرض</w:t>
      </w:r>
      <w:r>
        <w:rPr>
          <w:rFonts w:eastAsia="IRNazanin" w:cs="IRNazanin"/>
          <w:color w:val="111111"/>
          <w:sz w:val="28"/>
          <w:szCs w:val="28"/>
          <w:rtl w:val="true"/>
          <w:lang w:bidi="fa-IR"/>
        </w:rPr>
        <w:t xml:space="preserve">. </w:t>
      </w:r>
      <w:r>
        <w:rPr>
          <w:rStyle w:val="FootnoteAnchor"/>
          <w:rtl w:val="true"/>
        </w:rPr>
        <w:footnoteReference w:id="812"/>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والرجوع یتحقق بالقول وبالفعل، مثل أن یبیع أو یهب مورد الوصیة</w:t>
      </w:r>
      <w:r>
        <w:rPr>
          <w:rFonts w:eastAsia="IRNazanin" w:cs="IRNazanin"/>
          <w:color w:val="111111"/>
          <w:sz w:val="28"/>
          <w:szCs w:val="28"/>
          <w:rtl w:val="true"/>
          <w:lang w:bidi="fa-IR"/>
        </w:rPr>
        <w:t>.</w:t>
      </w:r>
      <w:bookmarkStart w:id="942" w:name="pg5021_49497"/>
    </w:p>
    <w:p>
      <w:pPr>
        <w:pStyle w:val="Heading3"/>
        <w:numPr>
          <w:ilvl w:val="2"/>
          <w:numId w:val="1"/>
        </w:numPr>
        <w:rPr/>
      </w:pPr>
      <w:bookmarkStart w:id="943" w:name="__RefHeading___Toc581014_774463916"/>
      <w:bookmarkStart w:id="944" w:name="_Toc375"/>
      <w:bookmarkEnd w:id="942"/>
      <w:bookmarkEnd w:id="943"/>
      <w:r>
        <w:rPr>
          <w:rtl w:val="true"/>
        </w:rPr>
        <w:t>الدرس</w:t>
      </w:r>
      <w:r>
        <w:rPr/>
        <w:t>14</w:t>
      </w:r>
      <w:r>
        <w:rPr>
          <w:rtl w:val="true"/>
        </w:rPr>
        <w:t xml:space="preserve"> - </w:t>
      </w:r>
      <w:r>
        <w:rPr>
          <w:rtl w:val="true"/>
        </w:rPr>
        <w:t>کتاب الوقف</w:t>
      </w:r>
      <w:bookmarkEnd w:id="944"/>
    </w:p>
    <w:p>
      <w:pPr>
        <w:pStyle w:val="Heading4"/>
        <w:numPr>
          <w:ilvl w:val="3"/>
          <w:numId w:val="1"/>
        </w:numPr>
        <w:rPr/>
      </w:pPr>
      <w:bookmarkStart w:id="945" w:name="__RefHeading___Toc581016_774463916"/>
      <w:bookmarkStart w:id="946" w:name="_Toc376"/>
      <w:bookmarkEnd w:id="945"/>
      <w:r>
        <w:rPr>
          <w:rtl w:val="true"/>
        </w:rPr>
        <w:t>حقیقة الوقف</w:t>
      </w:r>
      <w:bookmarkEnd w:id="946"/>
    </w:p>
    <w:p>
      <w:pPr>
        <w:pStyle w:val="BookText"/>
        <w:rPr/>
      </w:pP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تجیس العین وتسبیل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فیخرج عن ملک الواقف ولا یجوز بیعه وتبدیله کما یأتی، وقد یعبّر عنه بالصدقة أو الصدقة الجاریة، بل یقول صاحب 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الصدر الأوّل إنّما یعبر عن الوقف بالصدقة</w:t>
      </w:r>
      <w:r>
        <w:rPr>
          <w:rFonts w:eastAsia="IRNazanin" w:cs="IRNazanin"/>
          <w:color w:val="111111"/>
          <w:sz w:val="28"/>
          <w:szCs w:val="28"/>
          <w:rtl w:val="true"/>
          <w:lang w:bidi="fa-IR"/>
        </w:rPr>
        <w:t xml:space="preserve">». </w:t>
      </w:r>
      <w:r>
        <w:rPr>
          <w:rStyle w:val="FootnoteAnchor"/>
          <w:rtl w:val="true"/>
        </w:rPr>
        <w:footnoteReference w:id="813"/>
      </w:r>
      <w:r>
        <w:rPr>
          <w:rFonts w:ascii="IRNazanin" w:hAnsi="IRNazanin" w:eastAsia="IRNazanin"/>
          <w:color w:val="111111"/>
          <w:sz w:val="28"/>
          <w:sz w:val="28"/>
          <w:szCs w:val="28"/>
          <w:rtl w:val="true"/>
          <w:lang w:bidi="fa-IR"/>
        </w:rPr>
        <w:t xml:space="preserve">ویؤیده الروایات کما تأتی إن شاء الله تعالی وهو مستحبّ؛ لصحیحة هشام بن سالم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یتبع الرجل بعد موته من ألاجر إلاّ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أجراها فی حیاته فهی تجری بعد موته، وسنة هدی سنّها فهی یعمل بها بعد موته، أو ولد صالح یدعو له</w:t>
      </w:r>
      <w:r>
        <w:rPr>
          <w:rFonts w:eastAsia="IRNazanin" w:cs="IRNazanin"/>
          <w:color w:val="111111"/>
          <w:sz w:val="28"/>
          <w:szCs w:val="28"/>
          <w:rtl w:val="true"/>
          <w:lang w:bidi="fa-IR"/>
        </w:rPr>
        <w:t xml:space="preserve">. </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وهو إیقاع لا یحتاج إلی القبول حتی فی الوقف الخاصّ الذی تدخل العین فی ملک الموقوف علیهم؛ لإطلاق قول أبی محمد الحسن بن علی فی صحیحة محمد بن حسن الصفار حیث سأله فی کتاب عن الوقف وما روی فیه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 علیه السلام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الوقوف تکون علی حسب ما یوقفها أهلها إن شاءالله</w:t>
      </w:r>
      <w:r>
        <w:rPr>
          <w:rFonts w:eastAsia="IRNazanin" w:cs="IRNazanin"/>
          <w:color w:val="111111"/>
          <w:sz w:val="28"/>
          <w:szCs w:val="28"/>
          <w:rtl w:val="true"/>
          <w:lang w:bidi="fa-IR"/>
        </w:rPr>
        <w:t xml:space="preserve">. </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فهی تشمل کلّما صدق علیه عنوان الوقف عرفاً، ومن المعلوم عدم توقّفه عرفاً علی القبول، ویؤیده سیرة المتشرّعة، وما روی من أوقاف الأئمه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لم یشر فیها إلی القبول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والوقف تارة تحریر وفکّ ملکٍ بلا تملیک، کما فی وقف المساجد ونحوها، وفی مثله لا 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واخری یدخلها فی ملک الغیر، کما فی الوقف علی الأولاد ونحوهم من الأشخاص والجماعة المحدودة وهو الوقف الخاص، أو علی العلماء أو الفقراء وهو الوقف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ویتحقق الوقف بکلّ ما یدلّ علیه عرفاً، ولا یشترط فیه العربیة ولا لفظ خاص کوقفتُ، أو تصدّقتُ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ولا اللفظ، ویکفی المعاطاة إذا صدق عنوان الوقف کأن یبنی بناءً بقصد المسجدیة وأذن فی الصلاة فیه للعموم وصلّی فیه بعض الناس، أو أعطی الفرش للمسجد بقصد الوقف له، کلّ ذلک لصدق عنوان الوقف علیه الوارد فی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الوقوف تکون علی حسب ما یوقفها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یعتبر فیه قصد القربة؟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لأنه صدقة وکل صدقة یشترط فیها قصد القربة، والمناسب عدم الاعتبار إذ لا دلیل علی أنّ کلّ وقف صدقة، بل الدلیل دلّ علی أن بعض الوقف یتحقق بصورة الصدقة، کما فی وقوف بعض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ویؤید ذلک أنّ الناس یوقفون لنفع أولادهم ولا قصد قربیّاً لهم فی ذلک غالباً</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یعتبر فیه القبض؟ القاعدة تقتضی عدم اعتباره لا فی الصحة ولا فی اللزوم إلاّ أنّه لا إشکال فی اعتباره کما یأتی، إنّما الخلاف فی أنّه شرط فی الصحة؛ فمادام لم یقبض فهل هو فاسد رأساً، أو هو صحیح خارج عن ملکه إلاّ أنّه جائز یجوز له الرجوع؟ ذهب إلی کلٍّ جماعة، والمشهور أنّه شرط للصحة، والمهم هو ما یستظهر من صحیحة صفوان بن یحیی عن أبی الحسن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الرجل یقف الضیعةَ ثمَّ یبدو له ان یحدث فی ذلک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وقفها لِولده ولغیرهم ثمّ جعل لها قیّما لم یکن له ان یرجع فیها وإن کانوا صغاراً، وقد شرط ولایتها لهم، حتی بلغوا فیحوزها لهم لم یکن له أن یرجع فیها وإن کانوا کباراً ولم یسلّمها إلیهم ولم یخاصموا </w:t>
      </w:r>
      <w:r>
        <w:rPr>
          <w:rStyle w:val="FootnoteAnchor"/>
          <w:rtl w:val="true"/>
        </w:rPr>
        <w:footnoteReference w:id="816"/>
      </w:r>
      <w:r>
        <w:rPr>
          <w:rFonts w:ascii="IRNazanin" w:hAnsi="IRNazanin" w:eastAsia="IRNazanin"/>
          <w:color w:val="111111"/>
          <w:sz w:val="28"/>
          <w:sz w:val="28"/>
          <w:szCs w:val="28"/>
          <w:rtl w:val="true"/>
          <w:lang w:bidi="fa-IR"/>
        </w:rPr>
        <w:t>حتی یحوزوها عنه، فله أن یرجع فیها لأنّهم لایحوزونها عنه وقد بلغوا</w:t>
      </w:r>
      <w:r>
        <w:rPr>
          <w:rFonts w:eastAsia="IRNazanin" w:cs="IRNazanin"/>
          <w:color w:val="111111"/>
          <w:sz w:val="28"/>
          <w:szCs w:val="28"/>
          <w:rtl w:val="true"/>
          <w:lang w:bidi="fa-IR"/>
        </w:rPr>
        <w:t xml:space="preserve">. </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فهل یستفاد منها اشتراط الحیازة والقبض فی الصحة؟ أو لا یستفاد إلاّ اشتراط القبض فی اللزوم وعدم الرجوع؟ لا یبعد الثانی، نعم، الروایة لا یظهر منها أکثر من الوقف الخاص الشامل للأفراد الخاصه، وعلیه فالأوقاف العامة تبقی مشمولة لمقتضی القاعدة وهی عدم الحاجة إلی القبض ومن قال بالاشتراط مطلقاً یری لزوم قبض الحاکم الشرعی نیابة عن الجهة العامة ویکفی فی القبض، قبض الطبقة الأولی إذ النص لا یقتضی أکثر من ذلک ومع عدم الدلیل یکفی إطلاق دلیل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یعتبر فی القبض الفوریة؛ لإطلاق دلیل الشرطیة وهو النص، وفی صحة توقیت الوقف بمدة کأن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داری وقف علی أولادی عشر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من احتمال کون التأبید مقوِّما لمفهومه؛ ولذا کانت وقوف الأئمه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المنقوله عنهم مؤبدة، مضافاً إلی استصحاب عدم الأثر، ومن إطلاق قوله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الوقوف تکون علی حسب ما یوقفها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والعمدة فی المسأله دعوی الاجماع علی بطلان المؤقت، ولذا قال المحقق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فالعمدة الإجماع إن تمّ</w:t>
      </w:r>
      <w:r>
        <w:rPr>
          <w:rFonts w:eastAsia="IRNazanin" w:cs="IRNazanin"/>
          <w:color w:val="111111"/>
          <w:sz w:val="28"/>
          <w:szCs w:val="28"/>
          <w:rtl w:val="true"/>
          <w:lang w:bidi="fa-IR"/>
        </w:rPr>
        <w:t xml:space="preserve">. </w:t>
      </w:r>
      <w:r>
        <w:rPr>
          <w:rStyle w:val="FootnoteAnchor"/>
          <w:rtl w:val="true"/>
        </w:rPr>
        <w:footnoteReference w:id="818"/>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بطل فهل یقع حبساً؟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قصد الحبس، ومن أنّ قصد الوقف</w:t>
      </w:r>
    </w:p>
    <w:p>
      <w:pPr>
        <w:pStyle w:val="BookText"/>
        <w:rPr/>
      </w:pPr>
      <w:r>
        <w:rPr>
          <w:rFonts w:ascii="IRNazanin" w:hAnsi="IRNazanin" w:eastAsia="IRNazanin"/>
          <w:color w:val="111111"/>
          <w:sz w:val="28"/>
          <w:sz w:val="28"/>
          <w:szCs w:val="28"/>
          <w:rtl w:val="true"/>
          <w:lang w:bidi="fa-IR"/>
        </w:rPr>
        <w:t>المؤقت لا معنی له إلاّ قصد الحبس حقیقةً</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هل یشترط وجود الموقوف علیه حین الوقف فی الوقف الخاص؟ حتی لایصحّ علی ولده المعدوم فعلاً أولاً؟ فقد یقال بعدم الصحة لأنّ القبض شرط وهو متعذّر مع انعدام الموقوف علیه، وفیه أن دلیل اشتراط القبض لا یشمل المقام فالعمدة فی المقام الإجماع المدّعی، وإلاّ یکفی فی الصحة إطلاق ما دل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الوقوف علی حسب ما یوقفها أهلها</w:t>
      </w:r>
      <w:r>
        <w:rPr>
          <w:rFonts w:eastAsia="IRNazanin" w:cs="IRNazanin"/>
          <w:color w:val="111111"/>
          <w:sz w:val="28"/>
          <w:szCs w:val="28"/>
          <w:rtl w:val="true"/>
          <w:lang w:bidi="fa-IR"/>
        </w:rPr>
        <w:t>.»</w:t>
      </w:r>
      <w:bookmarkStart w:id="947" w:name="pg5021_49501"/>
    </w:p>
    <w:p>
      <w:pPr>
        <w:pStyle w:val="Heading3"/>
        <w:numPr>
          <w:ilvl w:val="2"/>
          <w:numId w:val="1"/>
        </w:numPr>
        <w:rPr/>
      </w:pPr>
      <w:bookmarkStart w:id="948" w:name="__RefHeading___Toc581018_774463916"/>
      <w:bookmarkStart w:id="949" w:name="_Toc377"/>
      <w:bookmarkEnd w:id="947"/>
      <w:bookmarkEnd w:id="948"/>
      <w:r>
        <w:rPr>
          <w:rtl w:val="true"/>
        </w:rPr>
        <w:t>الدرس</w:t>
      </w:r>
      <w:r>
        <w:rPr/>
        <w:t>15</w:t>
      </w:r>
      <w:r>
        <w:rPr>
          <w:rtl w:val="true"/>
        </w:rPr>
        <w:t xml:space="preserve">- </w:t>
      </w:r>
      <w:r>
        <w:rPr>
          <w:rtl w:val="true"/>
        </w:rPr>
        <w:t xml:space="preserve">کتاب الوقف </w:t>
      </w:r>
      <w:r>
        <w:rPr>
          <w:rtl w:val="true"/>
        </w:rPr>
        <w:t>(</w:t>
      </w:r>
      <w:r>
        <w:rPr/>
        <w:t>2</w:t>
      </w:r>
      <w:r>
        <w:rPr>
          <w:rtl w:val="true"/>
        </w:rPr>
        <w:t>)</w:t>
      </w:r>
      <w:bookmarkEnd w:id="949"/>
    </w:p>
    <w:p>
      <w:pPr>
        <w:pStyle w:val="Heading4"/>
        <w:numPr>
          <w:ilvl w:val="3"/>
          <w:numId w:val="1"/>
        </w:numPr>
        <w:rPr/>
      </w:pPr>
      <w:bookmarkStart w:id="950" w:name="__RefHeading___Toc581020_774463916"/>
      <w:bookmarkStart w:id="951" w:name="_Toc378"/>
      <w:bookmarkEnd w:id="950"/>
      <w:r>
        <w:rPr>
          <w:rtl w:val="true"/>
        </w:rPr>
        <w:t>من أحکام الوقف</w:t>
      </w:r>
      <w:bookmarkEnd w:id="951"/>
    </w:p>
    <w:p>
      <w:pPr>
        <w:pStyle w:val="BookText"/>
        <w:rPr/>
      </w:pPr>
      <w:r>
        <w:rPr>
          <w:rFonts w:ascii="IRNazanin" w:hAnsi="IRNazanin" w:eastAsia="IRNazanin"/>
          <w:color w:val="111111"/>
          <w:sz w:val="28"/>
          <w:sz w:val="28"/>
          <w:szCs w:val="28"/>
          <w:rtl w:val="true"/>
          <w:lang w:bidi="fa-IR"/>
        </w:rPr>
        <w:t>لا یجوز للواقف فسخ الوقف؛ لأصالة اللزوم، ولا تغییر کیفیته؛ لصیرورته أجنبیاً بعد خروج المال عن ملکه، فلا یحقّ له حینئذٍ تبدیل المتولّی مثلاً، نعم، یجوز له حین الوقف جعل التولیة لنفسه أو لغیره أو لهما؛ لإطلاق ما دلّ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الوقوف علی حسب ما یوقفها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لم یجعل الواقف للوقف متولّیاً، تصل النوبة إلی الحاکم الشرعی، إذ لابدّ للوقف من المتولّی، والمتیقن هو الحاکم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الأوقاف العامة، أمّا الوقف الخاص کالوقف علی الأولاد، فإن قلنا بتملکهم للمال الموقوف ملکاً غیر طلق فالمالک أولی بشؤون ماله وإن قلنا بعدم تملّکهم فالأمر کذلک لأنّهم القدر المتیقّن بل لعله المنصرف إلیه فی التولیة من الإطلاق</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الوقف بعد تمامیته یوجب زوال ملک الواقف عن العین الموقوفة، فإذا کان وقفاً علی الجهات العامة، کالمساجد، والقناطر، والمدارس، وکذا أوقاف المساجد والمشاهد لا یملکها أحد، بل هی فکّ ملک، وتسبیل المنافع علی جهات معینه علی ما هو المرتکز عند المتشرعه وإن أمکن ثبوتاً تملک مثل المسجد لما یجعل له، إذ اعتبار الملکیة خفیف المؤنة</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الوقف الخاص کالوقف علی الاولاد، والوقف العام علی العناوین العامة کالفقراء والعلماء ونحو؛ ذلک فهل یکون کالوقف علی الجهات العامة لا یملک الرقبة أحد أو یملک الموقوف علیهم الرقبةَ ملکاً غیر طلق، أو فیه تفصیل بین الوقف الخاص فیملک، والوقف العام فکالوقف علی الجهات؟ وجوه، اختار الإمام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الملکیة مطلقاً،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یبعد أن یکون اعتبار الوقف فی جمیع أقسامه إیقاف العین لدرَّ المنفعة علی الموقوف علیه، فلا تصیر العین ملکاً لهم</w:t>
      </w:r>
      <w:r>
        <w:rPr>
          <w:rFonts w:eastAsia="IRNazanin" w:cs="IRNazanin"/>
          <w:color w:val="111111"/>
          <w:sz w:val="28"/>
          <w:szCs w:val="28"/>
          <w:rtl w:val="true"/>
          <w:lang w:bidi="fa-IR"/>
        </w:rPr>
        <w:t xml:space="preserve">...» </w:t>
      </w:r>
      <w:r>
        <w:rPr>
          <w:rStyle w:val="FootnoteAnchor"/>
          <w:rtl w:val="true"/>
        </w:rPr>
        <w:footnoteReference w:id="819"/>
      </w:r>
      <w:r>
        <w:rPr>
          <w:rFonts w:ascii="IRNazanin" w:hAnsi="IRNazanin" w:eastAsia="IRNazanin"/>
          <w:color w:val="111111"/>
          <w:sz w:val="28"/>
          <w:sz w:val="28"/>
          <w:szCs w:val="28"/>
          <w:rtl w:val="true"/>
          <w:lang w:bidi="fa-IR"/>
        </w:rPr>
        <w:t>ولعل ذلک لعدم الدلیل علی تملکّهم مؤبداً بالارتکاز علی أنّ الوقف لیس ملکاً 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وللوقف فروع کثیرة لا یسع هذا المختصر للتعرّض لها</w:t>
      </w:r>
      <w:r>
        <w:rPr>
          <w:rFonts w:eastAsia="IRNazanin" w:cs="IRNazanin"/>
          <w:color w:val="111111"/>
          <w:sz w:val="28"/>
          <w:szCs w:val="28"/>
          <w:rtl w:val="true"/>
          <w:lang w:bidi="fa-IR"/>
        </w:rPr>
        <w:t>.</w:t>
      </w:r>
      <w:bookmarkStart w:id="952" w:name="pg5021_49503"/>
    </w:p>
    <w:p>
      <w:pPr>
        <w:pStyle w:val="Heading3"/>
        <w:numPr>
          <w:ilvl w:val="2"/>
          <w:numId w:val="1"/>
        </w:numPr>
        <w:rPr/>
      </w:pPr>
      <w:bookmarkStart w:id="953" w:name="__RefHeading___Toc581022_774463916"/>
      <w:bookmarkStart w:id="954" w:name="_Toc379"/>
      <w:bookmarkEnd w:id="952"/>
      <w:bookmarkEnd w:id="953"/>
      <w:r>
        <w:rPr>
          <w:rtl w:val="true"/>
        </w:rPr>
        <w:t>الدرس</w:t>
      </w:r>
      <w:r>
        <w:rPr/>
        <w:t>16</w:t>
      </w:r>
      <w:r>
        <w:rPr>
          <w:rtl w:val="true"/>
        </w:rPr>
        <w:t xml:space="preserve"> - </w:t>
      </w:r>
      <w:r>
        <w:rPr>
          <w:rtl w:val="true"/>
        </w:rPr>
        <w:t>فی أحکام الحبس</w:t>
      </w:r>
      <w:bookmarkEnd w:id="954"/>
    </w:p>
    <w:p>
      <w:pPr>
        <w:pStyle w:val="Heading4"/>
        <w:numPr>
          <w:ilvl w:val="3"/>
          <w:numId w:val="1"/>
        </w:numPr>
        <w:rPr/>
      </w:pPr>
      <w:bookmarkStart w:id="955" w:name="__RefHeading___Toc581024_774463916"/>
      <w:bookmarkStart w:id="956" w:name="_Toc380"/>
      <w:bookmarkEnd w:id="955"/>
      <w:r>
        <w:rPr>
          <w:rtl w:val="true"/>
        </w:rPr>
        <w:t>حقیقة الحبس</w:t>
      </w:r>
      <w:bookmarkEnd w:id="956"/>
    </w:p>
    <w:p>
      <w:pPr>
        <w:pStyle w:val="BookText"/>
        <w:rPr/>
      </w:pPr>
      <w:r>
        <w:rPr>
          <w:rFonts w:ascii="IRNazanin" w:hAnsi="IRNazanin" w:eastAsia="IRNazanin"/>
          <w:color w:val="111111"/>
          <w:sz w:val="28"/>
          <w:sz w:val="28"/>
          <w:szCs w:val="28"/>
          <w:rtl w:val="true"/>
          <w:lang w:bidi="fa-IR"/>
        </w:rPr>
        <w:t>الحبس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تسلیط الغیر علی شیءٍ لاستیفاء منفعته مع بقائه علی ملک مالکه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یفترق عن الوقف، فإنّ عیّن الحابسُ مدةً کما إذا حبس داره علی زید عشر سنین، لزم فی تلک المدة لأصالة اللزوم؛ فأن مات الحابس قبل انقضاء المدة بقی الحبس إلی انتهاء المدة کما هو مقتضی صحة الحبس، وأما إن أطلق الحابس، فینتفی بموت الحابس؛ لِما فی صحیح عمر بن اذنیة قال</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 شاهداً عند ابن أبی لیلی وقضی فی رجل جعل لبعض قرابته غلّة داره، ولم یوقت وقتاً، فمات الرجل فحضر ورثته ابن أبی لیلی، وحضر قرابته الذی جعل له غلة الدار، فقال ابن أبی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أن أدعها علی ما ترکها صاحبها، فقال محمد بن مسلم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علی بن ابی طالب علیه السلام قد قضی فی هذا المسجد بخلاف ما قضیت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محمد بن علی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علی برد الحبیس وإنفاذ المواریث، فقال له ابن أبی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عندک فی کتابک؟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وأتنی به، فقال له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لا تنظر من الکتاب إلاّ فی ذلک الحدیث،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فأحضر الکتاب وأراه الحدیث عن أبی جعفر علیه السلام فی الکتاب فردَّ قضیته</w:t>
      </w:r>
      <w:r>
        <w:rPr>
          <w:rFonts w:eastAsia="IRNazanin" w:cs="IRNazanin"/>
          <w:color w:val="111111"/>
          <w:sz w:val="28"/>
          <w:szCs w:val="28"/>
          <w:rtl w:val="true"/>
          <w:lang w:bidi="fa-IR"/>
        </w:rPr>
        <w:t xml:space="preserve">. </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فإنّها تدلّ علی أنّ الحبس ینقضی بموت الحابس یرجع إلی ورثته ویردّ الحبس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کانت العین قابلة للسکن اصطلح علی الحبس بالسکنی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الحبس سواءٌ کان فی السکنی أو غیرها إن کان مقیّداً بمدّة معینة اصطلح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بالرقبی، ومتی قیّد بعمر الحابس أو المحبّس علیه اصطلح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بالعمری، وهذا الاصطلاح جاء فی الروایات أیضا، کصحیحة حمران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السکنی والعمری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فیه عند شروطهم، إن کان قد شرط حیاته، فهی حیاته وان کان لعقبه، فهو لعقبه کما شرط حتی یفنوا، ثمّ یردّ إلی صاحب الدار</w:t>
      </w:r>
      <w:r>
        <w:rPr>
          <w:rFonts w:eastAsia="IRNazanin" w:cs="IRNazanin"/>
          <w:color w:val="111111"/>
          <w:sz w:val="28"/>
          <w:szCs w:val="28"/>
          <w:rtl w:val="true"/>
          <w:lang w:bidi="fa-IR"/>
        </w:rPr>
        <w:t xml:space="preserve">. </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 xml:space="preserve">والعقود الثلاثة عقود تحتاج إلی القبول؛ للإجماع المدعی، </w:t>
      </w:r>
      <w:r>
        <w:rPr>
          <w:rStyle w:val="FootnoteAnchor"/>
          <w:rtl w:val="true"/>
        </w:rPr>
        <w:footnoteReference w:id="822"/>
      </w:r>
      <w:r>
        <w:rPr>
          <w:rFonts w:ascii="IRNazanin" w:hAnsi="IRNazanin" w:eastAsia="IRNazanin"/>
          <w:color w:val="111111"/>
          <w:sz w:val="28"/>
          <w:sz w:val="28"/>
          <w:szCs w:val="28"/>
          <w:rtl w:val="true"/>
          <w:lang w:bidi="fa-IR"/>
        </w:rPr>
        <w:t>کما ادعی الإجماع أیضاً علی اشتراط القبض فیها بالرغم من خلو الروایات عن ذلک فیما نعلم، وهل هو شرط الصحة أو اللزوم؟ وجهان، نعم، فی السکنی المطلقه دلّت الروایات علی عدم لزومها علی الحابس، منها ما رواه الحلبی فی الصحیح عن أبی عبدالله علیه السلام فی حدیث قال</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أسکَنَ رجلاً داره ولم یوقّت،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ویخرجه إذا شاء</w:t>
      </w:r>
      <w:r>
        <w:rPr>
          <w:rFonts w:eastAsia="IRNazanin" w:cs="IRNazanin"/>
          <w:color w:val="111111"/>
          <w:sz w:val="28"/>
          <w:szCs w:val="28"/>
          <w:rtl w:val="true"/>
          <w:lang w:bidi="fa-IR"/>
        </w:rPr>
        <w:t xml:space="preserve">. </w:t>
      </w:r>
      <w:r>
        <w:rPr>
          <w:rStyle w:val="FootnoteAnchor"/>
          <w:rtl w:val="true"/>
        </w:rPr>
        <w:footnoteReference w:id="823"/>
      </w:r>
      <w:bookmarkStart w:id="957" w:name="pg5021_49505"/>
    </w:p>
    <w:p>
      <w:pPr>
        <w:pStyle w:val="Heading3"/>
        <w:numPr>
          <w:ilvl w:val="2"/>
          <w:numId w:val="1"/>
        </w:numPr>
        <w:rPr/>
      </w:pPr>
      <w:bookmarkStart w:id="958" w:name="__RefHeading___Toc581026_774463916"/>
      <w:bookmarkStart w:id="959" w:name="_Toc381"/>
      <w:bookmarkEnd w:id="957"/>
      <w:bookmarkEnd w:id="958"/>
      <w:r>
        <w:rPr>
          <w:rtl w:val="true"/>
        </w:rPr>
        <w:t>الدرس</w:t>
      </w:r>
      <w:r>
        <w:rPr/>
        <w:t>17</w:t>
      </w:r>
      <w:r>
        <w:rPr>
          <w:rtl w:val="true"/>
        </w:rPr>
        <w:t xml:space="preserve"> - </w:t>
      </w:r>
      <w:r>
        <w:rPr>
          <w:rtl w:val="true"/>
        </w:rPr>
        <w:t>کتاب الصدقة</w:t>
      </w:r>
      <w:bookmarkEnd w:id="959"/>
    </w:p>
    <w:p>
      <w:pPr>
        <w:pStyle w:val="Heading4"/>
        <w:numPr>
          <w:ilvl w:val="3"/>
          <w:numId w:val="1"/>
        </w:numPr>
        <w:rPr/>
      </w:pPr>
      <w:bookmarkStart w:id="960" w:name="__RefHeading___Toc581028_774463916"/>
      <w:bookmarkStart w:id="961" w:name="_Toc382"/>
      <w:bookmarkEnd w:id="960"/>
      <w:r>
        <w:rPr>
          <w:rtl w:val="true"/>
        </w:rPr>
        <w:t>حقیقة الصدقة</w:t>
      </w:r>
      <w:bookmarkEnd w:id="961"/>
    </w:p>
    <w:p>
      <w:pPr>
        <w:pStyle w:val="BookText"/>
        <w:rPr/>
      </w:pPr>
      <w:r>
        <w:rPr>
          <w:rFonts w:ascii="Amiri" w:hAnsi="Amiri" w:eastAsia="Amiri" w:cs="Amiri"/>
          <w:color w:val="111111"/>
          <w:sz w:val="28"/>
          <w:sz w:val="28"/>
          <w:szCs w:val="28"/>
          <w:rtl w:val="true"/>
          <w:lang w:bidi="ar-SA"/>
        </w:rPr>
        <w:t>الصدقة،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اعطیّة المتبرَّع بها بالأصالة من غیر نصاب، للغربة،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تُنْفِقُوا مِنْ خَیْرٍ یُوَفَّ إِلَیْکُمْ</w:t>
      </w:r>
      <w:r>
        <w:rPr>
          <w:rFonts w:eastAsia="Amiri" w:cs="Amiri" w:ascii="Amiri" w:hAnsi="Amiri"/>
          <w:color w:val="111111"/>
          <w:sz w:val="28"/>
          <w:szCs w:val="28"/>
          <w:rtl w:val="true"/>
          <w:lang w:bidi="ar-SA"/>
        </w:rPr>
        <w:t xml:space="preserve">... . </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تواترت الروایات فی الحثّ علیها والترغیب إلیها بالتعابیر المختلفه،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الصدقة تقضی الدین، وتخلف بالبرکة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داوو امرضاکم بالصدقة، 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الصدقة تردّ القضاء الذی قد ابرم إبراماً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استنزلوا الرزق بالصدقة، ومن أیقن بالخُلف جاد بالعطیة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تصدّقوا فإنّ الصدقة تزید فی المال کثرة، فتصدقوا رحمکم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الصدقة تدفع میتة السوء عن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الصدقه تدفع سبعین باباً من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الروایات الکثیرة</w:t>
      </w:r>
      <w:r>
        <w:rPr>
          <w:rFonts w:eastAsia="IRNazanin" w:cs="IRNazanin"/>
          <w:color w:val="111111"/>
          <w:sz w:val="28"/>
          <w:szCs w:val="28"/>
          <w:rtl w:val="true"/>
          <w:lang w:bidi="fa-IR"/>
        </w:rPr>
        <w:t xml:space="preserve">. </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ویعتبر فیها قصد القربة، بلا خلاف؛ للرویات،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حماد بن عثمان عن أبی عبدالله علیه السلام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صدقة ولا عتق إلا ما ارید به وجه الله عزوجل</w:t>
      </w:r>
      <w:r>
        <w:rPr>
          <w:rFonts w:eastAsia="IRNazanin" w:cs="IRNazanin"/>
          <w:color w:val="111111"/>
          <w:sz w:val="28"/>
          <w:szCs w:val="28"/>
          <w:rtl w:val="true"/>
          <w:lang w:bidi="fa-IR"/>
        </w:rPr>
        <w:t xml:space="preserve">. </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وبه تفترق عن مطلق الهبة ونحوها، والمشهور کونها من العقود؛ فتحتاج إلی القبول، ولا دلیل علیه کما اعترف به المحقق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827"/>
      </w:r>
      <w:r>
        <w:rPr>
          <w:rFonts w:ascii="IRNazanin" w:hAnsi="IRNazanin" w:eastAsia="IRNazanin"/>
          <w:color w:val="111111"/>
          <w:sz w:val="28"/>
          <w:sz w:val="28"/>
          <w:szCs w:val="28"/>
          <w:rtl w:val="true"/>
          <w:lang w:bidi="fa-IR"/>
        </w:rPr>
        <w:t>بل هی إحسان بالمال علی وجه القربة فإنّ کان بالتملیک احتاج الی إیجاب وقبول، وان کان بنحو العاریة والأباحة کفی الإذن فی التصرف کما یکفی الإیجاب إذا کان بالإبراء بمثل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أبرأت ذمتک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والمشهور ایضاً اعتبار القبض فیها مطلقا، وهو فی مثل الهبة التی تتوقّف علی القبض واضح، أمّا فی مثل الإبراء والعاریة فغیر واضحة، نعم، من ینحصر عنده الصدقة فی الهبة لابد أن یشترط القبض والإقباض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وتحلّ صدقة غیر الهاشمی للهاشمی فی المندوبة، لعدم الدلیل علی الحرمة نعم؛ تحرم فی الزکاة المفروضة والفطرة لما تقدّم من النهی عنها أمّا العکس فتحلّ مطلقاً کما تقدّم فی کتاب الزکاة، نعم، استشکل بعضهم فی صدقة المندوبة من غیر الهاشمی له، ما کان من قبیل دفع المال القلیل لدفع البلاء ونحو ذلک مما کان من مراسم الذل والهوان</w:t>
      </w:r>
      <w:r>
        <w:rPr>
          <w:rFonts w:eastAsia="IRNazanin" w:cs="IRNazanin"/>
          <w:color w:val="111111"/>
          <w:sz w:val="28"/>
          <w:szCs w:val="28"/>
          <w:rtl w:val="true"/>
          <w:lang w:bidi="fa-IR"/>
        </w:rPr>
        <w:t xml:space="preserve">. </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ولا یجوز الرجوع فی الصدقة إذا کانت بعد القبض إجماعاً، وللروایات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مثل الذی یرجع فی صدقته کالذی یرجع فی قیئه</w:t>
      </w:r>
      <w:r>
        <w:rPr>
          <w:rFonts w:eastAsia="IRNazanin" w:cs="IRNazanin"/>
          <w:color w:val="111111"/>
          <w:sz w:val="28"/>
          <w:szCs w:val="28"/>
          <w:rtl w:val="true"/>
          <w:lang w:bidi="fa-IR"/>
        </w:rPr>
        <w:t xml:space="preserve">. </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 xml:space="preserve">وفی حدیث آخر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أنّما الصدقة لله عزوجل، فما جُعل لله عزوجل فلا رجعة له فیه</w:t>
      </w:r>
      <w:r>
        <w:rPr>
          <w:rFonts w:eastAsia="IRNazanin" w:cs="IRNazanin"/>
          <w:color w:val="111111"/>
          <w:sz w:val="28"/>
          <w:szCs w:val="28"/>
          <w:rtl w:val="true"/>
          <w:lang w:bidi="fa-IR"/>
        </w:rPr>
        <w:t xml:space="preserve">. </w:t>
      </w:r>
      <w:r>
        <w:rPr>
          <w:rStyle w:val="FootnoteAnchor"/>
          <w:rtl w:val="true"/>
        </w:rPr>
        <w:footnoteReference w:id="830"/>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یعتبر فی المتصدَّق علیه فی الصدقة المندوبة الفقر؛ فتجوز علی الغنی لإطلاق</w:t>
      </w:r>
    </w:p>
    <w:p>
      <w:pPr>
        <w:pStyle w:val="BookText"/>
        <w:rPr/>
      </w:pPr>
      <w:r>
        <w:rPr>
          <w:rFonts w:ascii="IRNazanin" w:hAnsi="IRNazanin" w:eastAsia="IRNazanin"/>
          <w:color w:val="111111"/>
          <w:sz w:val="28"/>
          <w:sz w:val="28"/>
          <w:szCs w:val="28"/>
          <w:rtl w:val="true"/>
          <w:lang w:bidi="fa-IR"/>
        </w:rPr>
        <w:t xml:space="preserve">أخبار الصدقة إلاّ أنّ لدعوی الإنصراف إلی الفقیر مجالاً ولا الإیمان فتجوز علی المخالف، للإطلاق، بل للروایات، ففی الحدیث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خرج ومعه جراب من خبز فأتینا ظلةَ بنی ساعدة فإذا نحن بقوم نیام فجعل یدّس الرغیف والرغیفین حتی أتی علی آخرهم ثمّ انصرفناّ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یَعرفُ هؤلاء الحق؟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عرفوه لواسیناهم بالدقة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والدقة هی الملح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مر علی شاطئ البحر رمی بقرص من قوته فی الماء، فقال له بعض الحواریین یا روح الله وکلمته، لِم فعلتَ هذا؟ وإنما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 هذا، الدابة تأکله من دواب الماء، وثوابه عندالله عظیم</w:t>
      </w:r>
      <w:r>
        <w:rPr>
          <w:rFonts w:eastAsia="IRNazanin" w:cs="IRNazanin"/>
          <w:color w:val="111111"/>
          <w:sz w:val="28"/>
          <w:szCs w:val="28"/>
          <w:rtl w:val="true"/>
          <w:lang w:bidi="fa-IR"/>
        </w:rPr>
        <w:t xml:space="preserve">. </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وغیرها، بل ولا یعتبر فیه الإسلام فیجوز علی الکافر غیر الحربی،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یَنْهاکُمُ اللّهُ عَنِ الَّذِینَ لَمْ یُقاتِلُوکُمْ فِی الدِّینِ وَ لَمْ یُخْرِجُوکُمْ مِنْ دِیارِکُمْ أَنْ تَبَرُّوهُمْ وَ تُقْسِطُوا إِلَیْهِمْ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وللروایات منها ما رواه سدیر الصیرفی فی الصحیح، قال قلت لأبی عبدالله علیه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اطعمُ سائلاً لا أعرفه مسلماً؟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أعطِ من لا تعرفه بولایة ولا عداوة للحقِّ، إنّ الله عزوجل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وقولوا للناس حسناً ولا تطعم من نَصبُ لشیءٍ من الحق او دعا إلی شیءٍ من الباطل</w:t>
      </w:r>
      <w:r>
        <w:rPr>
          <w:rFonts w:eastAsia="IRNazanin" w:cs="IRNazanin"/>
          <w:color w:val="111111"/>
          <w:sz w:val="28"/>
          <w:szCs w:val="28"/>
          <w:rtl w:val="true"/>
          <w:lang w:bidi="fa-IR"/>
        </w:rPr>
        <w:t xml:space="preserve">. </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نعم لا تجوز الصدقة علی الناصب ولا علی الحربی وان کانا قریبین؛ لفحوی الآیه، وللروایة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تصدّق علی ناصب فصدقته علیه لا له</w:t>
      </w:r>
      <w:r>
        <w:rPr>
          <w:rFonts w:eastAsia="IRNazanin" w:cs="IRNazanin"/>
          <w:color w:val="111111"/>
          <w:sz w:val="28"/>
          <w:szCs w:val="28"/>
          <w:rtl w:val="true"/>
          <w:lang w:bidi="fa-IR"/>
        </w:rPr>
        <w:t xml:space="preserve">.... </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الصدقة المندوبة سراً أفضل للروایات منها المرویّ عن أبی جعفر علیه السلام قال</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السر تطفئ غضبَ الربَّ تبارک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سبعة یظلهم الله فی ظلّه یوم لا ظلّ إلاّ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تصدق بصدقة فأخفاها حتی لم تعلم یمینه ما تنفق شماله</w:t>
      </w:r>
      <w:r>
        <w:rPr>
          <w:rFonts w:eastAsia="IRNazanin" w:cs="IRNazanin"/>
          <w:color w:val="111111"/>
          <w:sz w:val="28"/>
          <w:szCs w:val="28"/>
          <w:rtl w:val="true"/>
          <w:lang w:bidi="fa-IR"/>
        </w:rPr>
        <w:t xml:space="preserve">. </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 xml:space="preserve">وإذا احتاج العیال فالتوسعة علیهم أفضل من الصدقة علی غیرهم، للروایات، ومنها مارواه عبد الأعلی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معروف صدقة وأفضل الصدقة عن ظهر غنی، وأبد بمن تعول، والید العلیا خیر من الید السفلی، ولا یلوم الله علی الکفاف</w:t>
      </w:r>
      <w:r>
        <w:rPr>
          <w:rFonts w:eastAsia="IRNazanin" w:cs="IRNazanin"/>
          <w:color w:val="111111"/>
          <w:sz w:val="28"/>
          <w:szCs w:val="28"/>
          <w:rtl w:val="true"/>
          <w:lang w:bidi="fa-IR"/>
        </w:rPr>
        <w:t xml:space="preserve">. </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 xml:space="preserve">والصدقة علی القریب المحتاج أفضل من الصدقة علی غیره قال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صدقة وذو رحم محتاج</w:t>
      </w:r>
      <w:r>
        <w:rPr>
          <w:rFonts w:eastAsia="Amiri" w:cs="Amiri" w:ascii="Amiri" w:hAnsi="Amiri"/>
          <w:color w:val="111111"/>
          <w:sz w:val="28"/>
          <w:szCs w:val="28"/>
          <w:rtl w:val="true"/>
          <w:lang w:bidi="ar-SA"/>
        </w:rPr>
        <w:t xml:space="preserve">. </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وأفضل منها الصدقة علی ذی الرحم الکاشح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المعادی ففی موثقة السکونی عن أبی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رسول‌الله صلی الله علیه و آله أیّ الصدقة أفضل؟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ذی الرحم الکاشح</w:t>
      </w:r>
      <w:r>
        <w:rPr>
          <w:rFonts w:eastAsia="IRNazanin" w:cs="IRNazanin"/>
          <w:color w:val="111111"/>
          <w:sz w:val="28"/>
          <w:szCs w:val="28"/>
          <w:rtl w:val="true"/>
          <w:lang w:bidi="fa-IR"/>
        </w:rPr>
        <w:t xml:space="preserve">. </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ویستحب التوسط فی إیصالها إلی المسکین للروایات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جری المعروف علی ثمانین کفّاً لأُوجروا کلُّهم من غیر أن ینقص صاحبه من أجره شیئاً</w:t>
      </w:r>
      <w:r>
        <w:rPr>
          <w:rFonts w:eastAsia="IRNazanin" w:cs="IRNazanin"/>
          <w:color w:val="111111"/>
          <w:sz w:val="28"/>
          <w:szCs w:val="28"/>
          <w:rtl w:val="true"/>
          <w:lang w:bidi="fa-IR"/>
        </w:rPr>
        <w:t xml:space="preserve">. </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المعطون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 العالمین، وصاحب المال، والذی یجری علی یدیه</w:t>
      </w:r>
      <w:r>
        <w:rPr>
          <w:rFonts w:eastAsia="IRNazanin" w:cs="IRNazanin"/>
          <w:color w:val="111111"/>
          <w:sz w:val="28"/>
          <w:szCs w:val="28"/>
          <w:rtl w:val="true"/>
          <w:lang w:bidi="fa-IR"/>
        </w:rPr>
        <w:t xml:space="preserve">. </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 xml:space="preserve">ویکره السؤال کراهة شدیدة إذا کان من غیر احتیاج، بل قیل بتحریمه؛ ففی الحدیث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عبد یسأل من غیر حاجة فیموت حتی یحوجه الله إلیها ویثبت الله له بها النار</w:t>
      </w:r>
      <w:r>
        <w:rPr>
          <w:rFonts w:eastAsia="IRNazanin" w:cs="IRNazanin"/>
          <w:color w:val="111111"/>
          <w:sz w:val="28"/>
          <w:szCs w:val="28"/>
          <w:rtl w:val="true"/>
          <w:lang w:bidi="fa-IR"/>
        </w:rPr>
        <w:t xml:space="preserve">. </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بل ویکره المسألة حتی مع الاحتیاج، ففی صحیحة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أبوجعفر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لو یعلم السائل ما فی المسألة ما سأل أحد أحداً، ولو یعلم المعطی ما فی العطیة ما رد أحدٌ أحداً،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إنّه من سأل وهو بظهر غنی لقی الله مخموشاً وجهه یوم القیامة</w:t>
      </w:r>
      <w:r>
        <w:rPr>
          <w:rFonts w:eastAsia="IRNazanin" w:cs="IRNazanin"/>
          <w:color w:val="111111"/>
          <w:sz w:val="28"/>
          <w:szCs w:val="28"/>
          <w:rtl w:val="true"/>
          <w:lang w:bidi="fa-IR"/>
        </w:rPr>
        <w:t xml:space="preserve">. </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ولا ینبغی ترک الاحتیاط فی ترک السؤال مع عدم الحاجة؛ للروایة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وینبغی للمسلم لا سیما طالب العلم الاستغناء عن الناس، بترک المسأله مهما أمکن وأن یجعل هذا الحدیث نصب عینیه ففی الصحیح عن أبی عبدالله علیه السلام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جاءت فخذٌ من الأنصار إلی رسول‌الله صلی الله علیه و آله فسلمّوا علیه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رسول‌الله، إنّ لنا إلیک حاجة، فقال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هاتوا حاجتکم،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حاجة عظیمة،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هاتوها ما هی؟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تضمن لنا علی ربّک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فنکس رسول‌الله صلی الله علیه و آله رأسه ثمّ نکَت فی الأرض ثمَ رفع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ذلک بکم علی أن لاتسألوا أحداً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الرجل منهم یکون فی السفر فیسقط سوطه فیکره أن یقول 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ناولنیه فراراً من المسألة، وینزل فیأخذه ویکون علی المائدة ویکون بعض الجلساء أقرب إلی الماء منه فلا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ناولنی حتی یقوم فیشرب</w:t>
      </w:r>
      <w:r>
        <w:rPr>
          <w:rFonts w:eastAsia="IRNazanin" w:cs="IRNazanin"/>
          <w:color w:val="111111"/>
          <w:sz w:val="28"/>
          <w:szCs w:val="28"/>
          <w:rtl w:val="true"/>
          <w:lang w:bidi="fa-IR"/>
        </w:rPr>
        <w:t xml:space="preserve">. </w:t>
      </w:r>
      <w:r>
        <w:rPr>
          <w:rStyle w:val="FootnoteAnchor"/>
          <w:rtl w:val="true"/>
        </w:rPr>
        <w:footnoteReference w:id="842"/>
      </w:r>
      <w:bookmarkStart w:id="962" w:name="pg5021_49511"/>
    </w:p>
    <w:p>
      <w:pPr>
        <w:pStyle w:val="Heading2"/>
        <w:numPr>
          <w:ilvl w:val="1"/>
          <w:numId w:val="1"/>
        </w:numPr>
        <w:rPr/>
      </w:pPr>
      <w:bookmarkStart w:id="963" w:name="__RefHeading___Toc581030_774463916"/>
      <w:bookmarkStart w:id="964" w:name="_Toc383"/>
      <w:bookmarkEnd w:id="962"/>
      <w:bookmarkEnd w:id="963"/>
      <w:r>
        <w:rPr>
          <w:rtl w:val="true"/>
        </w:rPr>
        <w:t>القسم الرابع</w:t>
      </w:r>
      <w:r>
        <w:rPr>
          <w:rtl w:val="true"/>
        </w:rPr>
        <w:t xml:space="preserve">: </w:t>
      </w:r>
      <w:r>
        <w:rPr>
          <w:rtl w:val="true"/>
        </w:rPr>
        <w:t>الأحکام</w:t>
      </w:r>
      <w:bookmarkEnd w:id="964"/>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65" w:name="__RefHeading___Toc581032_774463916"/>
      <w:bookmarkStart w:id="966" w:name="_Toc384"/>
      <w:bookmarkEnd w:id="965"/>
      <w:r>
        <w:rPr>
          <w:rtl w:val="true"/>
        </w:rPr>
        <w:t>اشارة</w:t>
      </w:r>
      <w:bookmarkStart w:id="967" w:name="pg5021_49512"/>
      <w:bookmarkEnd w:id="966"/>
    </w:p>
    <w:p>
      <w:pPr>
        <w:pStyle w:val="Heading3"/>
        <w:numPr>
          <w:ilvl w:val="2"/>
          <w:numId w:val="1"/>
        </w:numPr>
        <w:rPr/>
      </w:pPr>
      <w:bookmarkStart w:id="968" w:name="__RefHeading___Toc581034_774463916"/>
      <w:bookmarkStart w:id="969" w:name="_Toc385"/>
      <w:bookmarkEnd w:id="967"/>
      <w:bookmarkEnd w:id="968"/>
      <w:r>
        <w:rPr>
          <w:rtl w:val="true"/>
        </w:rPr>
        <w:t>الدرس</w:t>
      </w:r>
      <w:r>
        <w:rPr/>
        <w:t>1</w:t>
      </w:r>
      <w:r>
        <w:rPr>
          <w:rtl w:val="true"/>
        </w:rPr>
        <w:t xml:space="preserve"> - </w:t>
      </w:r>
      <w:r>
        <w:rPr>
          <w:rtl w:val="true"/>
        </w:rPr>
        <w:t>کتاب القضاء</w:t>
      </w:r>
      <w:bookmarkEnd w:id="969"/>
    </w:p>
    <w:p>
      <w:pPr>
        <w:pStyle w:val="Heading4"/>
        <w:numPr>
          <w:ilvl w:val="3"/>
          <w:numId w:val="1"/>
        </w:numPr>
        <w:rPr/>
      </w:pPr>
      <w:bookmarkStart w:id="970" w:name="__RefHeading___Toc581036_774463916"/>
      <w:bookmarkStart w:id="971" w:name="_Toc386"/>
      <w:bookmarkEnd w:id="970"/>
      <w:r>
        <w:rPr>
          <w:rtl w:val="true"/>
        </w:rPr>
        <w:t>القضاء فی الشریعة</w:t>
      </w:r>
      <w:bookmarkEnd w:id="971"/>
    </w:p>
    <w:p>
      <w:pPr>
        <w:pStyle w:val="BookText"/>
        <w:rPr/>
      </w:pPr>
      <w:r>
        <w:rPr>
          <w:rFonts w:ascii="Amiri" w:hAnsi="Amiri" w:eastAsia="Amiri" w:cs="Amiri"/>
          <w:color w:val="111111"/>
          <w:sz w:val="28"/>
          <w:sz w:val="28"/>
          <w:szCs w:val="28"/>
          <w:rtl w:val="true"/>
          <w:lang w:bidi="ar-SA"/>
        </w:rPr>
        <w:t>وهو فصل الخصومة بین المتخاصمین، واجب؛ لتوقف حفظ النظام علیه، وسیرة العقلاء جمیعاً علی ذلک، و وجوبه کفائی لتحقق الغرض بتصدّی من به الکفایة، وهو منصب جلیل؛ لأنّه منصب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داوُدُ إِنّا جَعَلْناکَ خَلِیفَةً فِی الْأَرْضِ فَاحْکُمْ بَیْنَ النّاسِ بِالْحَقِّ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منصب أشرف الأنبیاء محمد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 إِلَیْکَ الْکِتابَ بِالْحَقِّ لِتَحْکُمَ بَیْنَ النّاسِ بِما أَراکَ اللّهُ</w:t>
      </w:r>
      <w:r>
        <w:rPr>
          <w:rFonts w:eastAsia="Amiri" w:cs="Amiri" w:ascii="Amiri" w:hAnsi="Amiri"/>
          <w:color w:val="111111"/>
          <w:sz w:val="28"/>
          <w:szCs w:val="28"/>
          <w:rtl w:val="true"/>
          <w:lang w:bidi="ar-SA"/>
        </w:rPr>
        <w:t xml:space="preserve">... . </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والقاضی علی خطر دائماً إذ بیده زمام الناس نفساً وعرضاً ومالاً، وفی معرض وسوسة النفس والشیطان، وفی الحدیث أنّ أمیرالمؤمنین علیه السلام قال لشریح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شریح، قد جلست مجلساً لا یجلسه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جلسه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نبیّ أو وصیّ أو شقیّ</w:t>
      </w:r>
      <w:r>
        <w:rPr>
          <w:rFonts w:eastAsia="IRNazanin" w:cs="IRNazanin"/>
          <w:color w:val="111111"/>
          <w:sz w:val="28"/>
          <w:szCs w:val="28"/>
          <w:rtl w:val="true"/>
          <w:lang w:bidi="fa-IR"/>
        </w:rPr>
        <w:t xml:space="preserve">. </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 xml:space="preserve">وعن النبی صلی الله علیه و آله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جعل قاضیاً فقد ذبح بغیر سکّین</w:t>
      </w:r>
      <w:r>
        <w:rPr>
          <w:rFonts w:eastAsia="IRNazanin" w:cs="IRNazanin"/>
          <w:color w:val="111111"/>
          <w:sz w:val="28"/>
          <w:szCs w:val="28"/>
          <w:rtl w:val="true"/>
          <w:lang w:bidi="fa-IR"/>
        </w:rPr>
        <w:t xml:space="preserve">. </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وتحرم الرشوة فی القضاء، بإجماع المسلمین؛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تَأْکُلُوا أَمْوالَکُمْ بَیْنَکُمْ بِالْباطِلِ وَ تُدْلُوا بِها إِلَی الْحُکّامِ لِتَأْکُلُوا فَرِیقاً مِنْ أَمْوالِ النّاسِ بِالْإِثْمِ وَ أَنْتُمْ تَعْلَمُونَ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معتبرة سماعة عن أبی عبدالله علیه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الُرشا فی الحکم هو الکفر بالله</w:t>
      </w:r>
      <w:r>
        <w:rPr>
          <w:rFonts w:eastAsia="IRNazanin" w:cs="IRNazanin"/>
          <w:color w:val="111111"/>
          <w:sz w:val="28"/>
          <w:szCs w:val="28"/>
          <w:rtl w:val="true"/>
          <w:lang w:bidi="fa-IR"/>
        </w:rPr>
        <w:t xml:space="preserve">. </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والرشوة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یبذل للقاضی لیحکم الباذل بالباطل او لیحکم له حقا کان او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حرام علی الراشی والمرتشی للآیة والروایات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وحکمه نافذ بالضرورة وإلاّ لم تتحقّق حکمة القضاء ولا یجوز نقضه حتی من قبل قاض آخر لإطلاق ما دلّ علی نفوذ القضاء، کصحیحة سالم بن مکرم عن أبی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إیاکم أن یحاکم بعضکم بعضاً إلی أهل الجور، ولکن انظروا إلی رجل منکم یعلم شیئاً من قضایانا فاجعلوه بینکم، فإنی قد جعلته قاضیاً فتحاکموا إلیه</w:t>
      </w:r>
      <w:r>
        <w:rPr>
          <w:rFonts w:eastAsia="IRNazanin" w:cs="IRNazanin"/>
          <w:color w:val="111111"/>
          <w:sz w:val="28"/>
          <w:szCs w:val="28"/>
          <w:rtl w:val="true"/>
          <w:lang w:bidi="fa-IR"/>
        </w:rPr>
        <w:t xml:space="preserve">. </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وفی مقبولة عمر بن حنظله عن الصادق علیه السلام بعد النهی عن التحاکم إلی الطاغوت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ینظران من کان منکم ممّن قد روی حدیثنا، ونظرفی حلالنا وحرامنا، وعرف أحکامنا فلیرضوا به حکماً؛ فإنی قد جعلته علیکم حاکماً، فإذا حکم بحکمنا فلم یقبل منه فإنّما استخف بحکم الله</w:t>
      </w:r>
      <w:r>
        <w:rPr>
          <w:rFonts w:eastAsia="IRNazanin" w:cs="IRNazanin"/>
          <w:color w:val="111111"/>
          <w:sz w:val="28"/>
          <w:szCs w:val="28"/>
          <w:rtl w:val="true"/>
          <w:lang w:bidi="fa-IR"/>
        </w:rPr>
        <w:t xml:space="preserve">.... </w:t>
      </w:r>
      <w:r>
        <w:rPr>
          <w:rStyle w:val="FootnoteAnchor"/>
          <w:rtl w:val="true"/>
        </w:rPr>
        <w:footnoteReference w:id="848"/>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فُرض اختلال الشروط المعتبرة فی القاضی أو فی موازین القضاء یجوز للقاضی الآخر نقضه؛ لأنّ الفاقد للشرائط کالعدم ولا یکفی احتمال الاختلال فی موازین القضاء؛ إذ القضاء من القاضی الواجد للشرائط حجّة لا تجوز مخالفتها إلاّ بدلیل قاطع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والقاضی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القاضی المنصوب، أی من قبل الشرع قبل أن یتراضی المتخاصمان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وقاضی التحکیم، أی الذی تراضی المتخاصمان علی التحاکم الیه؛ ویدل علی الأول صحیحة أبی خدیجه ومقبولة ابن حنظلة المتقدمتین، وعلی الثانی صحیح الحلبی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کان بین الرجلین من أصحابنا المنازعة فی الشیء فیتراضیان برجل منّا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ذاک، إنّما هو الذی یجبر الناس علی حکمه بالسیف والسوط</w:t>
      </w:r>
      <w:r>
        <w:rPr>
          <w:rFonts w:eastAsia="IRNazanin" w:cs="IRNazanin"/>
          <w:color w:val="111111"/>
          <w:sz w:val="28"/>
          <w:szCs w:val="28"/>
          <w:rtl w:val="true"/>
          <w:lang w:bidi="fa-IR"/>
        </w:rPr>
        <w:t xml:space="preserve">. </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وفی جواز أخذ الاجرة للقاضی خلاف، یدل علی عدم الجواز صحیح عمار بن مروان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عبدالله علیه السلام کلّ شیءٍ غلٌّ من الإمام فهو سحت والسحت أنواع 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اصیب من أعمال الولاة الظلمة، ومنها أجور القضاة وأجور الفواجر، وثمن الخمر والنبیذ والمسکر</w:t>
      </w:r>
      <w:r>
        <w:rPr>
          <w:rFonts w:eastAsia="IRNazanin" w:cs="IRNazanin"/>
          <w:color w:val="111111"/>
          <w:sz w:val="28"/>
          <w:szCs w:val="28"/>
          <w:rtl w:val="true"/>
          <w:lang w:bidi="fa-IR"/>
        </w:rPr>
        <w:t xml:space="preserve">... . </w:t>
      </w:r>
      <w:r>
        <w:rPr>
          <w:rStyle w:val="FootnoteAnchor"/>
          <w:rtl w:val="true"/>
        </w:rPr>
        <w:footnoteReference w:id="850"/>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لأنّ المراد من أجور القضاة فی الروایة، الأجور المأخوذة من الولاة الظلمة، وذلک لإرجاع الضمیر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أجور القضاة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الموصول فی جملة ما أصیب من أعمال الولاة</w:t>
      </w:r>
      <w:r>
        <w:rPr>
          <w:rFonts w:eastAsia="IRNazanin" w:cs="IRNazanin"/>
          <w:color w:val="111111"/>
          <w:sz w:val="28"/>
          <w:szCs w:val="28"/>
          <w:rtl w:val="true"/>
          <w:lang w:bidi="fa-IR"/>
        </w:rPr>
        <w:t xml:space="preserve">.... </w:t>
      </w:r>
      <w:r>
        <w:rPr>
          <w:rStyle w:val="FootnoteAnchor"/>
          <w:rtl w:val="true"/>
        </w:rPr>
        <w:footnoteReference w:id="851"/>
      </w:r>
      <w:bookmarkStart w:id="972" w:name="pg5021_49515"/>
    </w:p>
    <w:p>
      <w:pPr>
        <w:pStyle w:val="Heading3"/>
        <w:numPr>
          <w:ilvl w:val="2"/>
          <w:numId w:val="1"/>
        </w:numPr>
        <w:rPr/>
      </w:pPr>
      <w:bookmarkStart w:id="973" w:name="__RefHeading___Toc581038_774463916"/>
      <w:bookmarkStart w:id="974" w:name="_Toc387"/>
      <w:bookmarkEnd w:id="972"/>
      <w:bookmarkEnd w:id="973"/>
      <w:r>
        <w:rPr>
          <w:rtl w:val="true"/>
        </w:rPr>
        <w:t>الدرس</w:t>
      </w:r>
      <w:r>
        <w:rPr/>
        <w:t>2</w:t>
      </w:r>
      <w:r>
        <w:rPr>
          <w:rtl w:val="true"/>
        </w:rPr>
        <w:t xml:space="preserve"> - </w:t>
      </w:r>
      <w:r>
        <w:rPr>
          <w:rtl w:val="true"/>
        </w:rPr>
        <w:t xml:space="preserve">کتاب القضاء </w:t>
      </w:r>
      <w:r>
        <w:rPr>
          <w:rtl w:val="true"/>
        </w:rPr>
        <w:t>(</w:t>
      </w:r>
      <w:r>
        <w:rPr/>
        <w:t>2</w:t>
      </w:r>
      <w:r>
        <w:rPr>
          <w:rtl w:val="true"/>
        </w:rPr>
        <w:t>)</w:t>
      </w:r>
      <w:bookmarkEnd w:id="974"/>
    </w:p>
    <w:p>
      <w:pPr>
        <w:pStyle w:val="Heading4"/>
        <w:numPr>
          <w:ilvl w:val="3"/>
          <w:numId w:val="1"/>
        </w:numPr>
        <w:rPr/>
      </w:pPr>
      <w:bookmarkStart w:id="975" w:name="__RefHeading___Toc581040_774463916"/>
      <w:bookmarkStart w:id="976" w:name="_Toc388"/>
      <w:bookmarkEnd w:id="975"/>
      <w:r>
        <w:rPr>
          <w:rtl w:val="true"/>
        </w:rPr>
        <w:t>شروط القاضی</w:t>
      </w:r>
      <w:bookmarkEnd w:id="976"/>
    </w:p>
    <w:p>
      <w:pPr>
        <w:pStyle w:val="BookText"/>
        <w:rPr/>
      </w:pPr>
      <w:r>
        <w:rPr>
          <w:rFonts w:ascii="IRNazanin" w:hAnsi="IRNazanin" w:eastAsia="IRNazanin"/>
          <w:color w:val="111111"/>
          <w:sz w:val="28"/>
          <w:sz w:val="28"/>
          <w:szCs w:val="28"/>
          <w:rtl w:val="true"/>
          <w:lang w:bidi="fa-IR"/>
        </w:rPr>
        <w:t>یعتبر فیه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البلوغ، إذ الوارد فی صحیح أبی خدیجه عنوان الرجل حیث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إلی رجل منکم یعلم شیئاً من قضایانا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واللقب وإن لم یکن له مفهوم إلاّ أنّه لا دلیل علی نصب ما عدا الرجل، والأصل عدم النصب والنفوذ، هذا مضافاً إلی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اللقب الوارد مورد التحدید له مفهوم</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بلا خلاف ولا إشکال؛ لانصراف الدلیل عن المجنون</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الذکورة، بلا خلاف؛ واستدل علیه بعنوان الرجل الوارد فی صحیح أبی خدیجة المتقدّم؛ إذ اللقب فی الروایة وارد مورد التحدید، فیکون له مفهوماً، ویؤیده ما رواه الصدوق بسند ضعیف عن الصادق علیه السلام عن آبائه فی وصیة النبی صلی الله علیه و آله لعلی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یاعلی، لیس علی المرأة جمعة ولا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تولّی القضاء</w:t>
      </w:r>
      <w:r>
        <w:rPr>
          <w:rFonts w:eastAsia="IRNazanin" w:cs="IRNazanin"/>
          <w:color w:val="111111"/>
          <w:sz w:val="28"/>
          <w:szCs w:val="28"/>
          <w:rtl w:val="true"/>
          <w:lang w:bidi="fa-IR"/>
        </w:rPr>
        <w:t xml:space="preserve">... </w:t>
      </w:r>
      <w:r>
        <w:rPr>
          <w:rStyle w:val="FootnoteAnchor"/>
          <w:rtl w:val="true"/>
        </w:rPr>
        <w:footnoteReference w:id="852"/>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والمهم هو لا خلاف فی المذکور وإلا فالصحیح لیس فی مقام التحدید من حیث ذلک کما أنّ الروایة مضافاً إلی ضعف السند إنّما تنفی وجوب القضاء لا 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طهارة المولد، وعمدة الدلیل علیه عدم الخلاف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بلا خلاف ولو کان ثقة، وقد یستدل له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تَرْکَنُوا إِلَی الَّذِینَ ظَلَمُوا فَتَمَسَّکُمُ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والفاسق ظالم لنفسه والترافع إلیه نحو رکون إلیه </w:t>
      </w:r>
      <w:r>
        <w:rPr>
          <w:rStyle w:val="FootnoteAnchor"/>
          <w:rtl w:val="true"/>
        </w:rPr>
        <w:footnoteReference w:id="853"/>
      </w:r>
      <w:r>
        <w:rPr>
          <w:rFonts w:ascii="IRNazanin" w:hAnsi="IRNazanin" w:eastAsia="IRNazanin"/>
          <w:color w:val="111111"/>
          <w:sz w:val="28"/>
          <w:sz w:val="28"/>
          <w:szCs w:val="28"/>
          <w:rtl w:val="true"/>
          <w:lang w:bidi="fa-IR"/>
        </w:rPr>
        <w:t>أو لأنّ الفاسق لا تقبل شهادته فلا یقبل قضاؤه بالأولی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بمعنی کونه إمامیاً اثنی عشریاً، بلا خلاف لقوله؛ فی صحیحة أبی خدیجة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إلی رجل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مقبولة ابن حنظله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الاجتهاد، بلا خلاف ویستدل علیه تارة بأنّه القدر المتیقّن من نفوذ حکم القاضی بعد عدم دلیل لفظی یدّل علی نصب القاضی لیتمسک بإطلاقه، واُخری بأنّ قوله فی مقبولة ابن حنظلة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حدیثنا ونظر فی حلالنا وحرامنا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یصدق علی غیر المجتهد، ویؤیده التوقیع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الحوأث الواقعة فارجعوا فیها إلی رواة أحادیثنا فإنّهم حجّتی علیکم وأنا حجة الله</w:t>
      </w:r>
      <w:r>
        <w:rPr>
          <w:rFonts w:eastAsia="IRNazanin" w:cs="IRNazanin"/>
          <w:color w:val="111111"/>
          <w:sz w:val="28"/>
          <w:szCs w:val="28"/>
          <w:rtl w:val="true"/>
          <w:lang w:bidi="fa-IR"/>
        </w:rPr>
        <w:t xml:space="preserve">.... </w:t>
      </w:r>
      <w:r>
        <w:rPr>
          <w:rStyle w:val="FootnoteAnchor"/>
          <w:rtl w:val="true"/>
        </w:rPr>
        <w:footnoteReference w:id="854"/>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توقّف حفظ النظام علی نصب القاضی غیر المجتهد لعدم کفایة الموجودین من المجتهدین، فللحاکم نصبه حفظاً للنظام</w:t>
      </w:r>
      <w:r>
        <w:rPr>
          <w:rFonts w:eastAsia="IRNazanin" w:cs="IRNazanin"/>
          <w:color w:val="111111"/>
          <w:sz w:val="28"/>
          <w:szCs w:val="28"/>
          <w:rtl w:val="true"/>
          <w:lang w:bidi="fa-IR"/>
        </w:rPr>
        <w:t>.</w:t>
      </w:r>
      <w:bookmarkStart w:id="977" w:name="pg5021_49517"/>
    </w:p>
    <w:p>
      <w:pPr>
        <w:pStyle w:val="Heading3"/>
        <w:numPr>
          <w:ilvl w:val="2"/>
          <w:numId w:val="1"/>
        </w:numPr>
        <w:rPr/>
      </w:pPr>
      <w:bookmarkStart w:id="978" w:name="__RefHeading___Toc581042_774463916"/>
      <w:bookmarkStart w:id="979" w:name="_Toc389"/>
      <w:bookmarkEnd w:id="977"/>
      <w:bookmarkEnd w:id="978"/>
      <w:r>
        <w:rPr>
          <w:rtl w:val="true"/>
        </w:rPr>
        <w:t>الدرس</w:t>
      </w:r>
      <w:r>
        <w:rPr/>
        <w:t>3</w:t>
      </w:r>
      <w:r>
        <w:rPr>
          <w:rtl w:val="true"/>
        </w:rPr>
        <w:t xml:space="preserve"> - </w:t>
      </w:r>
      <w:r>
        <w:rPr>
          <w:rtl w:val="true"/>
        </w:rPr>
        <w:t xml:space="preserve">کتاب القضاء </w:t>
      </w:r>
      <w:r>
        <w:rPr>
          <w:rtl w:val="true"/>
        </w:rPr>
        <w:t>(</w:t>
      </w:r>
      <w:r>
        <w:rPr/>
        <w:t>3</w:t>
      </w:r>
      <w:r>
        <w:rPr>
          <w:rtl w:val="true"/>
        </w:rPr>
        <w:t>)</w:t>
      </w:r>
      <w:bookmarkEnd w:id="979"/>
    </w:p>
    <w:p>
      <w:pPr>
        <w:pStyle w:val="Heading4"/>
        <w:numPr>
          <w:ilvl w:val="3"/>
          <w:numId w:val="1"/>
        </w:numPr>
        <w:rPr/>
      </w:pPr>
      <w:bookmarkStart w:id="980" w:name="__RefHeading___Toc581044_774463916"/>
      <w:bookmarkStart w:id="981" w:name="_Toc390"/>
      <w:bookmarkEnd w:id="980"/>
      <w:r>
        <w:rPr>
          <w:rtl w:val="true"/>
        </w:rPr>
        <w:t>کیفیة القضاء</w:t>
      </w:r>
      <w:bookmarkEnd w:id="981"/>
    </w:p>
    <w:p>
      <w:pPr>
        <w:pStyle w:val="BookText"/>
        <w:rPr/>
      </w:pPr>
      <w:r>
        <w:rPr>
          <w:rFonts w:ascii="IRNazanin" w:hAnsi="IRNazanin" w:eastAsia="IRNazanin"/>
          <w:color w:val="111111"/>
          <w:sz w:val="28"/>
          <w:sz w:val="28"/>
          <w:szCs w:val="28"/>
          <w:rtl w:val="true"/>
          <w:lang w:bidi="fa-IR"/>
        </w:rPr>
        <w:t>إذا ادعی شخص مالاً علی آخر، فالآخر إمّا أن یعترف أو ینکر أو یسکت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صور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المدّعی علیه، فیحکم الحاکم بإقراره؛ لحجیّة الأقرار بسیرة العقلاء،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المدعی علیه، فیطالب المدعی بالبینة، لصحیحة جمیل، وهشام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البینة علی من ادّعی والیمین علی من ادعّی علیه</w:t>
      </w:r>
      <w:r>
        <w:rPr>
          <w:rFonts w:eastAsia="IRNazanin" w:cs="IRNazanin"/>
          <w:color w:val="111111"/>
          <w:sz w:val="28"/>
          <w:szCs w:val="28"/>
          <w:rtl w:val="true"/>
          <w:lang w:bidi="fa-IR"/>
        </w:rPr>
        <w:t xml:space="preserve">. </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وغیرها، فان أقامها حکم علی طبقها وتسقط الدعوی وإلاّ حلف المدعی علیه؛ للصحیح المذکور فإذا حلف تسقط الدعوی إان لم یحلف وردّ الیمین علی المدعی فان حلف تثبت الدعوی؛ لصحیح محمد بن مسلم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الرجل یدّعی ولا بینة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یستحلفه، فإن ردّ الیمین علی صاحب الحقّ فلم یحلف فلا حق له</w:t>
      </w:r>
      <w:r>
        <w:rPr>
          <w:rFonts w:eastAsia="IRNazanin" w:cs="IRNazanin"/>
          <w:color w:val="111111"/>
          <w:sz w:val="28"/>
          <w:szCs w:val="28"/>
          <w:rtl w:val="true"/>
          <w:lang w:bidi="fa-IR"/>
        </w:rPr>
        <w:t xml:space="preserve">. </w:t>
      </w:r>
      <w:r>
        <w:rPr>
          <w:rStyle w:val="FootnoteAnchor"/>
          <w:rtl w:val="true"/>
        </w:rPr>
        <w:footnoteReference w:id="856"/>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نکل عن الأمرین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الحلف 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جواز القضاء علیه بمجرد ذلک أو</w:t>
      </w:r>
    </w:p>
    <w:p>
      <w:pPr>
        <w:pStyle w:val="BookText"/>
        <w:rPr/>
      </w:pPr>
      <w:r>
        <w:rPr>
          <w:rFonts w:ascii="IRNazanin" w:hAnsi="IRNazanin" w:eastAsia="IRNazanin"/>
          <w:color w:val="111111"/>
          <w:sz w:val="28"/>
          <w:sz w:val="28"/>
          <w:szCs w:val="28"/>
          <w:rtl w:val="true"/>
          <w:lang w:bidi="fa-IR"/>
        </w:rPr>
        <w:t>بشرط رد الحاکم الیمین علی المدعی خلاف، والمعروف هو الثانی، لأنّ القضاء لا یکون بغیر البینة أو الحلف، لقوله صلی الله علیه و آله</w:t>
      </w:r>
    </w:p>
    <w:p>
      <w:pPr>
        <w:pStyle w:val="BookText"/>
        <w:rPr/>
      </w:pPr>
      <w:r>
        <w:rPr>
          <w:rFonts w:ascii="IRNazanin" w:hAnsi="IRNazanin" w:eastAsia="IRNazanin"/>
          <w:color w:val="111111"/>
          <w:sz w:val="28"/>
          <w:sz w:val="28"/>
          <w:szCs w:val="28"/>
          <w:rtl w:val="true"/>
          <w:lang w:bidi="fa-IR"/>
        </w:rPr>
        <w:t>إنّما أقضی بینکم بالبینات والأیمان، وبعضکم ألحن بحجته من بعض، فأیّما رجل قطعت له من مال أخیه شیئاً فإنّما قطعت له به قطعة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هشام عن أبی عبدالله علیه السلام </w:t>
      </w:r>
      <w:r>
        <w:rPr>
          <w:rFonts w:eastAsia="IRNazanin" w:cs="IRNazanin"/>
          <w:color w:val="111111"/>
          <w:sz w:val="28"/>
          <w:szCs w:val="28"/>
          <w:rtl w:val="true"/>
          <w:lang w:bidi="fa-IR"/>
        </w:rPr>
        <w:t xml:space="preserve">. </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المدعی علیه، أی لا یعترف ولا ینکر، فیحکم الحاکمُ ببینة المدعی إن أقامها وإلا أحلف المدعی علیه؛ کما فی صحیحة جمیل المتقدّمة، فإن لم یحلف فإن ادعی الجهل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لا یجوز الحلف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أحلفه علی عدم العلم لا علی نفی الحق واقعاً لفرض عدم إنکاره، و لا یجوز للمدعی بعد حکم الحاکم التقاص من مال الحالف وإن أقام بینة بعد ذلک، لما فی معتبرة عبدالله بن أبی یعفور عن أبی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رضی صاحب الحق بیمین المنکر لحقّه فاستحلفه فحلف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حقّ له قبله، ذهبت الیمین بحق المدعی فلا دعوی له،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علیه بینة عادله؟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وإن أقامه بعد ما استحلفه بالله خمسین قسامة ما کان له، وکانت الیمین قد أبطلت کلّ ما ادعاه قبله مما قد استحلفه علیه</w:t>
      </w:r>
      <w:r>
        <w:rPr>
          <w:rFonts w:eastAsia="IRNazanin" w:cs="IRNazanin"/>
          <w:color w:val="111111"/>
          <w:sz w:val="28"/>
          <w:szCs w:val="28"/>
          <w:rtl w:val="true"/>
          <w:lang w:bidi="fa-IR"/>
        </w:rPr>
        <w:t xml:space="preserve">. </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 xml:space="preserve">نعم، ما قلناه إنما هو وظیفة المدعی أما الحالف فان یعلم أنّ المال لیس له فهو غاصب وإن حکم الحاکم له ویجب علیه ردّه إلیه کما تقدّم من صحیح هشام حیث قال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قطعت له به قطعة من النار</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تحلیف المنکر حق للمدعی فإذا لم یطالب به تقف الدعوی موقتاً، ولیس للحاکم إحلاف المنکر حینئذٍ بعد وقوف الدعوی</w:t>
      </w:r>
      <w:r>
        <w:rPr>
          <w:rFonts w:eastAsia="IRNazanin" w:cs="IRNazanin"/>
          <w:color w:val="111111"/>
          <w:sz w:val="28"/>
          <w:szCs w:val="28"/>
          <w:rtl w:val="true"/>
          <w:lang w:bidi="fa-IR"/>
        </w:rPr>
        <w:t>.</w:t>
      </w:r>
      <w:bookmarkStart w:id="982" w:name="pg5021_49519"/>
    </w:p>
    <w:p>
      <w:pPr>
        <w:pStyle w:val="Heading4"/>
        <w:numPr>
          <w:ilvl w:val="3"/>
          <w:numId w:val="1"/>
        </w:numPr>
        <w:rPr/>
      </w:pPr>
      <w:bookmarkStart w:id="983" w:name="__RefHeading___Toc581046_774463916"/>
      <w:bookmarkStart w:id="984" w:name="_Toc391"/>
      <w:bookmarkEnd w:id="982"/>
      <w:bookmarkEnd w:id="983"/>
      <w:r>
        <w:rPr>
          <w:rtl w:val="true"/>
        </w:rPr>
        <w:t>شرائط سماع الدعوی</w:t>
      </w:r>
      <w:bookmarkEnd w:id="984"/>
    </w:p>
    <w:p>
      <w:pPr>
        <w:pStyle w:val="BookText"/>
        <w:rPr/>
      </w:pPr>
      <w:r>
        <w:rPr>
          <w:rFonts w:ascii="IRNazanin" w:hAnsi="IRNazanin" w:eastAsia="IRNazanin"/>
          <w:color w:val="111111"/>
          <w:sz w:val="28"/>
          <w:sz w:val="28"/>
          <w:szCs w:val="28"/>
          <w:rtl w:val="true"/>
          <w:lang w:bidi="fa-IR"/>
        </w:rPr>
        <w:t>یعتبر علی المشهور لسماع الدعوی من المدعی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ووجهه ظاهر،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البلوغ بلا خلاف بل هو إجماع کما فی الجواهر </w:t>
      </w:r>
      <w:r>
        <w:rPr>
          <w:rStyle w:val="FootnoteAnchor"/>
          <w:rtl w:val="true"/>
        </w:rPr>
        <w:footnoteReference w:id="859"/>
      </w:r>
      <w:r>
        <w:rPr>
          <w:rFonts w:ascii="IRNazanin" w:hAnsi="IRNazanin" w:eastAsia="IRNazanin"/>
          <w:color w:val="111111"/>
          <w:sz w:val="28"/>
          <w:sz w:val="28"/>
          <w:szCs w:val="28"/>
          <w:rtl w:val="true"/>
          <w:lang w:bidi="fa-IR"/>
        </w:rPr>
        <w:t>لما دلّ علی عدم جواز أمر الصبی مطلقاً حتی یبلغ نعم، إذا ادعی ظلماً علیه وأقام بینة ولا طریق إلی إحقاق حقّه 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 سماع دعواه علی الحاکم حفظاً للنظام</w:t>
      </w:r>
      <w:r>
        <w:rPr>
          <w:rFonts w:eastAsia="IRNazanin" w:cs="IRNazanin"/>
          <w:color w:val="111111"/>
          <w:sz w:val="28"/>
          <w:szCs w:val="28"/>
          <w:rtl w:val="true"/>
          <w:lang w:bidi="fa-IR"/>
        </w:rPr>
        <w:t xml:space="preserve">. </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الجزم فلا یکفی الظن أو الاحتمال فی سماع الدعوی علی المشهور، </w:t>
      </w:r>
      <w:r>
        <w:rPr>
          <w:rStyle w:val="FootnoteAnchor"/>
          <w:rtl w:val="true"/>
        </w:rPr>
        <w:footnoteReference w:id="861"/>
      </w:r>
      <w:r>
        <w:rPr>
          <w:rFonts w:ascii="IRNazanin" w:hAnsi="IRNazanin" w:eastAsia="IRNazanin"/>
          <w:color w:val="111111"/>
          <w:sz w:val="28"/>
          <w:sz w:val="28"/>
          <w:szCs w:val="28"/>
          <w:rtl w:val="true"/>
          <w:lang w:bidi="fa-IR"/>
        </w:rPr>
        <w:t>أمّا لعدم صدق المدعی حینئذٍ، أو لأنّه مع عدم العلم فالأصل حجّة علیه فلا یحقّ له إلزام المدعی علیه بشیء بخلاف صورة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تأمل؛ إذ لا ریب فی صدق المدعی علیه وأن الأصل لا حجیّة له بعد إقامة البینة علی مدعاه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المسأله تفاصیل لا یسعها المجال وفصّل إلامام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موارد التهمة وما یتعارف الخصومة به وبین غیرهما فتسمع فیهما</w:t>
      </w:r>
      <w:r>
        <w:rPr>
          <w:rFonts w:eastAsia="IRNazanin" w:cs="IRNazanin"/>
          <w:color w:val="111111"/>
          <w:sz w:val="28"/>
          <w:szCs w:val="28"/>
          <w:rtl w:val="true"/>
          <w:lang w:bidi="fa-IR"/>
        </w:rPr>
        <w:t xml:space="preserve">. </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تکون الدعوی لنفسه أو لمن له الولایه علیه أو الوکالة عنه، إذ لولا ذلک لکان أجنبیاً ینصرف عنه الروایات</w:t>
      </w:r>
    </w:p>
    <w:p>
      <w:pPr>
        <w:pStyle w:val="Heading4"/>
        <w:numPr>
          <w:ilvl w:val="3"/>
          <w:numId w:val="1"/>
        </w:numPr>
        <w:rPr/>
      </w:pPr>
      <w:bookmarkStart w:id="985" w:name="__RefHeading___Toc581048_774463916"/>
      <w:bookmarkStart w:id="986" w:name="_Toc392"/>
      <w:bookmarkEnd w:id="985"/>
      <w:r>
        <w:rPr>
          <w:rtl w:val="true"/>
        </w:rPr>
        <w:t>طرق الإثبات</w:t>
      </w:r>
      <w:bookmarkEnd w:id="986"/>
    </w:p>
    <w:p>
      <w:pPr>
        <w:pStyle w:val="BookText"/>
        <w:rPr/>
      </w:pPr>
      <w:r>
        <w:rPr>
          <w:rFonts w:ascii="IRNazanin" w:hAnsi="IRNazanin" w:eastAsia="IRNazanin"/>
          <w:color w:val="111111"/>
          <w:sz w:val="28"/>
          <w:sz w:val="28"/>
          <w:szCs w:val="28"/>
          <w:rtl w:val="true"/>
          <w:lang w:bidi="fa-IR"/>
        </w:rPr>
        <w:t>ما یصح ان یعتمد علیه لحلّ الخصومات فی باب القضاء امور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البینة، لإثبات دعوی المدعی، لقوله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البینة علی من ادّعی والیمین علی من ادعی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الیمین، وهی حجّة للمدعی علیه بعد عدم البنیة للمدعی؛ لما ذکر آنفاً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الإقرار؛ لحجیته بسیرة العقلاء والحصر الوارد فی النبوی 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أقضی بالبینات والإیمان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فی فرض الخصومة ولا خصومة مع الإقرار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القاضی، بلا خلاف معتد به بیننا إلاّ من ابن الجنید حیث منع الحکم بالعلم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علی اعتباره بما دلّ علی وجوب الحکم بالعدل، نحو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حَکَمْتُمْ بَیْنَ النّاسِ أَنْ تَحْکُمُوا بِالْعَدْلِ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العلم أقوی من البینة إذ لا موضوعیة للبینة بما هی إلاّ من جهة کاشفیتها وأمّا الحصر الوارد فی قوله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أقضی بینکم بالبینات والأیمان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مورد الغالب الذی لا یکون القاضی عالماً بالحال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سیما بقرینة ذیله حیث قال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فأیّما رجلٌ قطعت له من مال أخیه شیئاً فإنّما قطعت له به قطعة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یدل علی أنّ المعتبر هو الواقع، دون البینة والیمین إذا خالفتاه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فرق فیما ذکر بین حقِّ الله وحق الناس؛ لإطلاق ما دلّ علی حجیّة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حقّ الناس له العمل بعلمه بعد مطالبة صاحب ألّحق کما فی السرقة والقذف ونحوهما؛ لصحیح فضیل بن یسار عن أبی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أقر علی نفسه عند الإمام بحقِّ أحد من حقوق المسلمین، فلیس علی الإمام أن یقیم علیه الحدَّ الذی أقر به عنده حتی یحضر صاحب حقِّ الحدِّ أو ولیّه ویطلبه بحقّه</w:t>
      </w:r>
      <w:r>
        <w:rPr>
          <w:rFonts w:eastAsia="IRNazanin" w:cs="IRNazanin"/>
          <w:color w:val="111111"/>
          <w:sz w:val="28"/>
          <w:szCs w:val="28"/>
          <w:rtl w:val="true"/>
          <w:lang w:bidi="fa-IR"/>
        </w:rPr>
        <w:t xml:space="preserve">. </w:t>
      </w:r>
      <w:r>
        <w:rPr>
          <w:rStyle w:val="FootnoteAnchor"/>
          <w:rtl w:val="true"/>
        </w:rPr>
        <w:footnoteReference w:id="863"/>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عدم الفرق بین ما إذا کان طریق الثبوت هو الإقرار کما فی الروایه أو العلم کما فی المقام</w:t>
      </w:r>
      <w:r>
        <w:rPr>
          <w:rFonts w:eastAsia="IRNazanin" w:cs="IRNazanin"/>
          <w:color w:val="111111"/>
          <w:sz w:val="28"/>
          <w:szCs w:val="28"/>
          <w:rtl w:val="true"/>
          <w:lang w:bidi="fa-IR"/>
        </w:rPr>
        <w:t>.</w:t>
      </w:r>
      <w:bookmarkStart w:id="987" w:name="pg5021_49521"/>
    </w:p>
    <w:p>
      <w:pPr>
        <w:pStyle w:val="Heading3"/>
        <w:numPr>
          <w:ilvl w:val="2"/>
          <w:numId w:val="1"/>
        </w:numPr>
        <w:rPr/>
      </w:pPr>
      <w:bookmarkStart w:id="988" w:name="__RefHeading___Toc581050_774463916"/>
      <w:bookmarkStart w:id="989" w:name="_Toc393"/>
      <w:bookmarkEnd w:id="987"/>
      <w:bookmarkEnd w:id="988"/>
      <w:r>
        <w:rPr>
          <w:rtl w:val="true"/>
        </w:rPr>
        <w:t>الدرس</w:t>
      </w:r>
      <w:r>
        <w:rPr/>
        <w:t>4</w:t>
      </w:r>
      <w:r>
        <w:rPr>
          <w:rtl w:val="true"/>
        </w:rPr>
        <w:t xml:space="preserve"> - </w:t>
      </w:r>
      <w:r>
        <w:rPr>
          <w:rtl w:val="true"/>
        </w:rPr>
        <w:t xml:space="preserve">کتاب القضاء </w:t>
      </w:r>
      <w:r>
        <w:rPr>
          <w:rtl w:val="true"/>
        </w:rPr>
        <w:t>(</w:t>
      </w:r>
      <w:r>
        <w:rPr/>
        <w:t>4</w:t>
      </w:r>
      <w:r>
        <w:rPr>
          <w:rtl w:val="true"/>
        </w:rPr>
        <w:t>)</w:t>
      </w:r>
      <w:bookmarkEnd w:id="989"/>
    </w:p>
    <w:p>
      <w:pPr>
        <w:pStyle w:val="Heading4"/>
        <w:numPr>
          <w:ilvl w:val="3"/>
          <w:numId w:val="1"/>
        </w:numPr>
        <w:rPr/>
      </w:pPr>
      <w:bookmarkStart w:id="990" w:name="__RefHeading___Toc581052_774463916"/>
      <w:bookmarkStart w:id="991" w:name="_Toc394"/>
      <w:bookmarkEnd w:id="990"/>
      <w:r>
        <w:rPr>
          <w:rtl w:val="true"/>
        </w:rPr>
        <w:t>أحکام عامة فی القضاء</w:t>
      </w:r>
      <w:bookmarkEnd w:id="9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اختلفوا فی المراد من المدعی الوارد فی الروایات حتی یکون هو المطالَب بالبینة،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المدعی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لو تَرکَ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یدّعی خلاف الأصل أی الحجّة، کمن یدّعی ما هو خلاف قاعدة الید، کما إذا ادعی ما فی ید خصمه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والمناسب إیکال ذلک إلی العرف کسائر المفاهیم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للحاکم إحلاف المدعی بعد إقامة البینة؛ للروایات، منها صحیحة محمد بن مسلم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جعفر علیه السلام عن الرجل یقیم البینة علی حقّه، هل علیه ان یستحلف؟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نعم، إذا کانت الدعوی علی المیّت فعلی المدّعی حینئذٍ الیمین منضمّاً إلی بینته بلا خلاف؛ لما فی صحیحة محمد بن یحیی قال</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کتب محمد بن حسن یعنی الصفار إلی أبی محمد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تقبل شهادة الوصی علی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شاهد آخر عدل؟ فوقع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بعد یمین</w:t>
      </w:r>
      <w:r>
        <w:rPr>
          <w:rFonts w:eastAsia="IRNazanin" w:cs="IRNazanin"/>
          <w:color w:val="111111"/>
          <w:sz w:val="28"/>
          <w:szCs w:val="28"/>
          <w:rtl w:val="true"/>
          <w:lang w:bidi="fa-IR"/>
        </w:rPr>
        <w:t xml:space="preserve">. </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 xml:space="preserve">والظاهر اختصاص الحکم المذکور بالدین فلو ادعی عیناً کانت بید المیّت لا یحتاج لإثباته ضم الیمین بعد البینة أما لاشتمال الروایة علی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نسخة الفقیه دون الکافی، والتهذیب، 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فرض السؤال الدعوی علی المیت، والدعوی علی العین لیست دعوی علیه بل علی الوارث فقط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الدعوی علی الغائب مسموعة؛ لما فی صحیحة جمیل عن جماعة من أصحابنا ولا یحتمل عدم وثاقة جمیعهم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الغائب یقضی علیه إذا قامت علیه البینة ویباع ماله ویقضی عنه دینه وهو غائب ویکون الغائب علی حجته إذا قدم؟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یدفع المال إلی الذی أقام البینة إلا بکفلاء</w:t>
      </w:r>
      <w:r>
        <w:rPr>
          <w:rFonts w:eastAsia="IRNazanin" w:cs="IRNazanin"/>
          <w:color w:val="111111"/>
          <w:sz w:val="28"/>
          <w:szCs w:val="28"/>
          <w:rtl w:val="true"/>
          <w:lang w:bidi="fa-IR"/>
        </w:rPr>
        <w:t xml:space="preserve">. </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ومنها یعلم أنّ الغائب المحکوم علیه علی حجته إذا رجع فإذا أثبت عدم استحقاق شیءٍ علیه یسترجع الحاکم ما دفعه إلی المدعی کما علم أنه یلزم للحاکم أخذ کفیل أی ضامن علی المال إذا أعطاه للمدعی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یجوز لصاحب العین أخذها من الغیر ولو من دون استئذانه؛ بسیرة العقلاء الدالّة علی أنّ الناس مسلطون علی أموالهم، وهل یجوز له ذلک إذا استلزم التصرّف فی ملک الغاصب؟ فیه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إذا کان المال دیناً فی ذمة الغیر فمع اعترافه وبذله، لایجوز له أخذه من أمواله بدون إذنه، لأن ماله فی ذمة الغیر کلّیّ ولا ولایة للدائن فی تطبیقه علی الفرد الخارجی إلا بتشخیص المدیون فإنه الوالی علیه؛ بسیرة العقلاء، وکذلک اذا کان امتناعه بحق، أمّا إذا کان بظلم جاز له المقاصّة من أمواله؛ للروایات، منها صحیحة داود بن رزین، قال</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لأبی الحسن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اخالط السلطان فتکون عندی الجاریة</w:t>
      </w:r>
    </w:p>
    <w:p>
      <w:pPr>
        <w:pStyle w:val="BookText"/>
        <w:rPr/>
      </w:pPr>
      <w:r>
        <w:rPr>
          <w:rFonts w:ascii="IRNazanin" w:hAnsi="IRNazanin" w:eastAsia="IRNazanin"/>
          <w:color w:val="111111"/>
          <w:sz w:val="28"/>
          <w:sz w:val="28"/>
          <w:szCs w:val="28"/>
          <w:rtl w:val="true"/>
          <w:lang w:bidi="fa-IR"/>
        </w:rPr>
        <w:t>فیأخذونها والدابة الفارهة فیبعثون فیأخذونها ثمّ یقع لهم عندی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 ان آخذه؟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مثل ذلک ولا تزد علیه</w:t>
      </w:r>
      <w:r>
        <w:rPr>
          <w:rFonts w:eastAsia="IRNazanin" w:cs="IRNazanin"/>
          <w:color w:val="111111"/>
          <w:sz w:val="28"/>
          <w:szCs w:val="28"/>
          <w:rtl w:val="true"/>
          <w:lang w:bidi="fa-IR"/>
        </w:rPr>
        <w:t xml:space="preserve">. </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وقد یقید جواز التقاص بعدم إمکان التوصّل إلی حقّه من دون مشقة ولا ارتکاب محذور، فمع إمکان إقامه البینة الموجبة للحکم له من دون عسر لایجوز له المقاصة؛ لأنّ مورد الروایة عرفاً عدم إمکان التوصّل إلی حقّه إلّا بالتقاص لاسیما بالنظر إلی أنّ تجویز التقاص مع إمکان التوصّل إلی الحقّ بسهولة ینافی حکمة القضاء غالباً ویثیر الفتنة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جواز القضاء بشاهد واحد ویمین المدعی؛ لقضاء رسول‌الله صلی الله علیه و آله وقضاء علی علیه السلام ، به علی ما رواه العامة والخاصة ووافقنا علیه أکثر العامة خلافاً لأبی حنیفة وأتباعه،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والروایات بذلک متظافرة ففی صحیحة عبدالرحمن بن الحجاج،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الحکم بن عتیبه، وسلمة بن کهیل علی أبی جعفر علیه السلام فسألاه عن شاهد ویمین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به رسول‌الله صلی الله علیه و آله ، وقضی به علی علیه السلام عندکم بالکوفة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خلاف القرآن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وجدتموه خلاف القرآن؟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واشهدوا ذوی عدل منکم </w:t>
      </w:r>
      <w:r>
        <w:rPr>
          <w:rStyle w:val="FootnoteAnchor"/>
          <w:rtl w:val="true"/>
        </w:rPr>
        <w:footnoteReference w:id="868"/>
      </w:r>
      <w:r>
        <w:rPr>
          <w:rFonts w:ascii="IRNazanin" w:hAnsi="IRNazanin" w:eastAsia="IRNazanin"/>
          <w:color w:val="111111"/>
          <w:sz w:val="28"/>
          <w:sz w:val="28"/>
          <w:szCs w:val="28"/>
          <w:rtl w:val="true"/>
          <w:lang w:bidi="fa-IR"/>
        </w:rPr>
        <w:t>فقال لهما أبو جعفر علیه السلام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واشهدوا ذوی عدل منکم هو أن لا تقبلوا شهادة واحد ویمیناً</w:t>
      </w:r>
      <w:r>
        <w:rPr>
          <w:rFonts w:eastAsia="IRNazanin" w:cs="IRNazanin"/>
          <w:color w:val="111111"/>
          <w:sz w:val="28"/>
          <w:szCs w:val="28"/>
          <w:rtl w:val="true"/>
          <w:lang w:bidi="fa-IR"/>
        </w:rPr>
        <w:t xml:space="preserve">.... </w:t>
      </w:r>
      <w:r>
        <w:rPr>
          <w:rStyle w:val="FootnoteAnchor"/>
          <w:rtl w:val="true"/>
        </w:rPr>
        <w:footnoteReference w:id="869"/>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لا إشکال فی جواز القضاء بشاهد ویمین فی الدیون؛ لورود روایات فی ذلک بخصوصه </w:t>
      </w:r>
      <w:r>
        <w:rPr>
          <w:rStyle w:val="FootnoteAnchor"/>
          <w:rtl w:val="true"/>
        </w:rPr>
        <w:footnoteReference w:id="870"/>
      </w:r>
      <w:r>
        <w:rPr>
          <w:rFonts w:ascii="IRNazanin" w:hAnsi="IRNazanin" w:eastAsia="IRNazanin"/>
          <w:color w:val="111111"/>
          <w:sz w:val="28"/>
          <w:sz w:val="28"/>
          <w:szCs w:val="28"/>
          <w:rtl w:val="true"/>
          <w:lang w:bidi="fa-IR"/>
        </w:rPr>
        <w:t>کما لا إشکال فی عدم جواز ذلک فی حقوق الله تعالی لصحیحة محمد بن مسلم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الأمر إلینا أجزنا شهادة الرجل الواحد إذا علم منه خیر مع یمین الخصم فی حقوق الناس، فأمّا ما کان من حقوق الله عزوجل أو رؤیة الهلال، فلا</w:t>
      </w:r>
      <w:r>
        <w:rPr>
          <w:rFonts w:eastAsia="IRNazanin" w:cs="IRNazanin"/>
          <w:color w:val="111111"/>
          <w:sz w:val="28"/>
          <w:szCs w:val="28"/>
          <w:rtl w:val="true"/>
          <w:lang w:bidi="fa-IR"/>
        </w:rPr>
        <w:t xml:space="preserve">. </w:t>
      </w:r>
      <w:r>
        <w:rPr>
          <w:rStyle w:val="FootnoteAnchor"/>
          <w:rtl w:val="true"/>
        </w:rPr>
        <w:footnoteReference w:id="871"/>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الإشکال فی أنّه هل یجوز القضاء بهما فی مطلق حقوق الناس حتی مثل النسب والولایة والوکالة؟ فی المسأله خلاف اختار الإمام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اختصاصه بالدیون </w:t>
      </w:r>
      <w:r>
        <w:rPr>
          <w:rStyle w:val="FootnoteAnchor"/>
          <w:rtl w:val="true"/>
        </w:rPr>
        <w:footnoteReference w:id="872"/>
      </w:r>
      <w:r>
        <w:rPr>
          <w:rFonts w:ascii="IRNazanin" w:hAnsi="IRNazanin" w:eastAsia="IRNazanin"/>
          <w:color w:val="111111"/>
          <w:sz w:val="28"/>
          <w:sz w:val="28"/>
          <w:szCs w:val="28"/>
          <w:rtl w:val="true"/>
          <w:lang w:bidi="fa-IR"/>
        </w:rPr>
        <w:t>وإن کان مقتضی الصحیحة المتقدّمة التعمیم لمطلق حقوق الناس کما اختاره بعض الأعاظم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873"/>
      </w:r>
      <w:bookmarkStart w:id="992" w:name="pg5021_49525"/>
    </w:p>
    <w:p>
      <w:pPr>
        <w:pStyle w:val="Heading3"/>
        <w:numPr>
          <w:ilvl w:val="2"/>
          <w:numId w:val="1"/>
        </w:numPr>
        <w:rPr/>
      </w:pPr>
      <w:bookmarkStart w:id="993" w:name="__RefHeading___Toc581054_774463916"/>
      <w:bookmarkStart w:id="994" w:name="_Toc395"/>
      <w:bookmarkEnd w:id="992"/>
      <w:bookmarkEnd w:id="993"/>
      <w:r>
        <w:rPr>
          <w:rtl w:val="true"/>
        </w:rPr>
        <w:t>الدرس</w:t>
      </w:r>
      <w:r>
        <w:rPr/>
        <w:t>5</w:t>
      </w:r>
      <w:r>
        <w:rPr>
          <w:rtl w:val="true"/>
        </w:rPr>
        <w:t xml:space="preserve"> - </w:t>
      </w:r>
      <w:r>
        <w:rPr>
          <w:rtl w:val="true"/>
        </w:rPr>
        <w:t>کتاب الشهادات</w:t>
      </w:r>
      <w:bookmarkEnd w:id="994"/>
    </w:p>
    <w:p>
      <w:pPr>
        <w:pStyle w:val="Heading4"/>
        <w:numPr>
          <w:ilvl w:val="3"/>
          <w:numId w:val="1"/>
        </w:numPr>
        <w:rPr/>
      </w:pPr>
      <w:bookmarkStart w:id="995" w:name="__RefHeading___Toc581056_774463916"/>
      <w:bookmarkStart w:id="996" w:name="_Toc396"/>
      <w:bookmarkEnd w:id="995"/>
      <w:r>
        <w:rPr>
          <w:rtl w:val="true"/>
        </w:rPr>
        <w:t>شرائط الشاهد</w:t>
      </w:r>
      <w:bookmarkEnd w:id="996"/>
    </w:p>
    <w:p>
      <w:pPr>
        <w:pStyle w:val="BookText"/>
        <w:rPr/>
      </w:pPr>
      <w:r>
        <w:rPr>
          <w:rFonts w:ascii="IRNazanin" w:hAnsi="IRNazanin" w:eastAsia="IRNazanin"/>
          <w:color w:val="111111"/>
          <w:sz w:val="28"/>
          <w:sz w:val="28"/>
          <w:szCs w:val="28"/>
          <w:rtl w:val="true"/>
          <w:lang w:bidi="fa-IR"/>
        </w:rPr>
        <w:t>یعتبر فی الشاهد امور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البلوغ، فلا تقبل شاهدة غیر البالغ إلا فی القتل فیؤخذ بأوّل کلامه علی المشهور شهرة عظیمة؛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للروایات منها صحیحة محمد بن حمران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عبدالله علیه السلام عن شهادة الصبی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فی القتل یؤخذ بأوّل کلامه ولا یؤخذ بالثانی</w:t>
      </w:r>
      <w:r>
        <w:rPr>
          <w:rFonts w:eastAsia="IRNazanin" w:cs="IRNazanin"/>
          <w:color w:val="111111"/>
          <w:sz w:val="28"/>
          <w:szCs w:val="28"/>
          <w:rtl w:val="true"/>
          <w:lang w:bidi="fa-IR"/>
        </w:rPr>
        <w:t xml:space="preserve">. </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وفی قبول شهادتهم فی الجرح خلاف،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بالقبول للأولویة، وادعی علیه الإجماع کما فی المحکی عن الخلاف، والانتصار، والغنیة</w:t>
      </w:r>
      <w:r>
        <w:rPr>
          <w:rFonts w:eastAsia="IRNazanin" w:cs="IRNazanin"/>
          <w:color w:val="111111"/>
          <w:sz w:val="28"/>
          <w:szCs w:val="28"/>
          <w:rtl w:val="true"/>
          <w:lang w:bidi="fa-IR"/>
        </w:rPr>
        <w:t xml:space="preserve">. </w:t>
      </w:r>
      <w:r>
        <w:rPr>
          <w:rStyle w:val="FootnoteAnchor"/>
          <w:rtl w:val="true"/>
        </w:rPr>
        <w:footnoteReference w:id="875"/>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بعدمه؛ لإحتمال اهمیة التحفّظ علی الدماء فی نظر الشارع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العقل، فلا عبرة بشهادة المجنون حال جنونه لانصراف الادلة عنه قطعاً وعلیه جرت السیرة العقلائیه، وتقبل حال افاقته لاطلاق الادلة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الإیمان، فلا تقبل شهادة غیر المؤمن بلا خلاف، وادّعی علیه الإجماع فی</w:t>
      </w:r>
    </w:p>
    <w:p>
      <w:pPr>
        <w:pStyle w:val="BookText"/>
        <w:rPr/>
      </w:pPr>
      <w:r>
        <w:rPr>
          <w:rFonts w:ascii="IRNazanin" w:hAnsi="IRNazanin" w:eastAsia="IRNazanin"/>
          <w:color w:val="111111"/>
          <w:sz w:val="28"/>
          <w:sz w:val="28"/>
          <w:szCs w:val="28"/>
          <w:rtl w:val="true"/>
          <w:lang w:bidi="fa-IR"/>
        </w:rPr>
        <w:t>کلمات غیر واحد بل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من ضروری المذهب، ومع ذلک قد فصّل بعضهم بین المعذور منهم وغیره، واختار عدم قبول شهادة الثانی لأنّه فاسق أشد الفسق بعد ترکه أهم الواجبات الإلهیة وهو الإیمان بالأئمه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فاسق، ففی الحدیث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أمیرالمؤمنین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آخذ بقبول عرّاف، ولا قائف، ولا لص، ولا أقبل شهادة الفاسق إلّا علی نفسه</w:t>
      </w:r>
      <w:r>
        <w:rPr>
          <w:rFonts w:eastAsia="IRNazanin" w:cs="IRNazanin"/>
          <w:color w:val="111111"/>
          <w:sz w:val="28"/>
          <w:szCs w:val="28"/>
          <w:rtl w:val="true"/>
          <w:lang w:bidi="fa-IR"/>
        </w:rPr>
        <w:t xml:space="preserve">. </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وأما المعذور منهم کالمستضعف فلا یصدق علیه الفاسق، ولا المعاند فیشمله إطلاق قول الإمام الباقر علیه السلام فی صحیح محمد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الأمر إلینا لأجزنا شهادة الرجل إذا عُلم منه خیر مع یمین الخصم فی حقوق الناس</w:t>
      </w:r>
      <w:r>
        <w:rPr>
          <w:rFonts w:eastAsia="IRNazanin" w:cs="IRNazanin"/>
          <w:color w:val="111111"/>
          <w:sz w:val="28"/>
          <w:szCs w:val="28"/>
          <w:rtl w:val="true"/>
          <w:lang w:bidi="fa-IR"/>
        </w:rPr>
        <w:t xml:space="preserve">. </w:t>
      </w:r>
      <w:r>
        <w:rPr>
          <w:rStyle w:val="FootnoteAnchor"/>
          <w:rtl w:val="true"/>
        </w:rPr>
        <w:footnoteReference w:id="87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الاسلام، قلا تقبل شهادة غیر المسلم علی المسلم بلا خلاف ففی موثقة سماعة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عبدالله علیه السلام عن شهادة أهل الملّة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إلاّ علی أهل ملّتهم</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الحدیث </w:t>
      </w:r>
      <w:r>
        <w:rPr>
          <w:rStyle w:val="FootnoteAnchor"/>
          <w:rtl w:val="true"/>
        </w:rPr>
        <w:footnoteReference w:id="878"/>
      </w:r>
      <w:r>
        <w:rPr>
          <w:rFonts w:ascii="IRNazanin" w:hAnsi="IRNazanin" w:eastAsia="IRNazanin"/>
          <w:color w:val="111111"/>
          <w:sz w:val="28"/>
          <w:sz w:val="28"/>
          <w:szCs w:val="28"/>
          <w:rtl w:val="true"/>
          <w:lang w:bidi="fa-IR"/>
        </w:rPr>
        <w:t xml:space="preserve">ونحوها صحیحة أبی عبیدة </w:t>
      </w:r>
      <w:r>
        <w:rPr>
          <w:rStyle w:val="FootnoteAnchor"/>
          <w:rtl w:val="true"/>
        </w:rPr>
        <w:footnoteReference w:id="879"/>
      </w:r>
      <w:r>
        <w:rPr>
          <w:rFonts w:ascii="Amiri" w:hAnsi="Amiri" w:eastAsia="Amiri" w:cs="Amiri"/>
          <w:color w:val="111111"/>
          <w:sz w:val="28"/>
          <w:sz w:val="28"/>
          <w:szCs w:val="28"/>
          <w:rtl w:val="true"/>
          <w:lang w:bidi="ar-SA"/>
        </w:rPr>
        <w:t>نعم، تقبل شهادة الذمی علی المسلم فی الوصیة إذا لم یوجد شاهدان عادلان من المسلمین بلا خلاف ظاهر بین الأصحاب؛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شَهادَةُ بَیْنِکُمْ إِذا حَضَرَ أَحَدَکُمُ الْمَوْتُ حِینَ الْوَصِیَّةِ اثْنانِ ذَوا عَدْلٍ مِنْکُمْ أَوْ آخَرانِ مِنْ غَیْرِکُمْ إِنْ أَنْتُمْ ضَرَبْتُمْ فِی الْأَرْضِ فَأَصابَتْکُمْ مُصِیبَةُ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Style w:val="FootnoteAnchor"/>
          <w:rtl w:val="true"/>
        </w:rPr>
        <w:footnoteReference w:id="880"/>
      </w:r>
      <w:r>
        <w:rPr>
          <w:rFonts w:ascii="IRNazanin" w:hAnsi="IRNazanin" w:eastAsia="IRNazanin"/>
          <w:color w:val="111111"/>
          <w:sz w:val="28"/>
          <w:sz w:val="28"/>
          <w:szCs w:val="28"/>
          <w:rtl w:val="true"/>
          <w:lang w:bidi="fa-IR"/>
        </w:rPr>
        <w:t xml:space="preserve">وللروایات، منها صحیح هشام بن الحکم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آخران من غیرکم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الرجل فی أرض غربة لا یوجد فیها مسلم، جازت شهادة من لیس بمسلم علی الوصیة</w:t>
      </w:r>
      <w:r>
        <w:rPr>
          <w:rFonts w:eastAsia="IRNazanin" w:cs="IRNazanin"/>
          <w:color w:val="111111"/>
          <w:sz w:val="28"/>
          <w:szCs w:val="28"/>
          <w:rtl w:val="true"/>
          <w:lang w:bidi="fa-IR"/>
        </w:rPr>
        <w:t xml:space="preserve">. </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وإطلاق الآیه والحدیث یقتضی عدم اختصاص الحکم بالذمّی وإن کان مذکوراً فی کلمات غیر واحد من الفقهاء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العدالة، فلا تقبل شهادة الفاسق بلا خلاف؛ وتدل علیه الآیة الکریمه المتقدّمة فی قبول شهادة غیر المسلم فی الوصیة، فإنّ اعتبار العدالة فی شاهد الوصیه المبنی أمرها علی التوسعة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اعتبارها فی غیر الوصیة جزماً،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وللروایات الکثیرة منها ما تقدّم فی صحیح محمد بن 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علیاً علیه 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أقبل شهادة الفاسق إلاّ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صحیحة عبدالرحمن بن حجاج عن أبی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بشهادة المملوک إذا کان عدلاً</w:t>
      </w:r>
      <w:r>
        <w:rPr>
          <w:rFonts w:eastAsia="IRNazanin" w:cs="IRNazanin"/>
          <w:color w:val="111111"/>
          <w:sz w:val="28"/>
          <w:szCs w:val="28"/>
          <w:rtl w:val="true"/>
          <w:lang w:bidi="fa-IR"/>
        </w:rPr>
        <w:t xml:space="preserve">. </w:t>
      </w:r>
      <w:r>
        <w:rPr>
          <w:rStyle w:val="FootnoteAnchor"/>
          <w:rtl w:val="true"/>
        </w:rPr>
        <w:footnoteReference w:id="88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طهارة المولد، فلا تقبل شهادة ولد الزنا إلاّ فی الشیء الیسیر؛ لصحیحة عیسی بن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عبدالله علیه السلام عن شهادة ولد الزنا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لاتجوز إلا فی الشیء الیسیر اذا رأیت منه صلاحاً</w:t>
      </w:r>
      <w:r>
        <w:rPr>
          <w:rFonts w:eastAsia="IRNazanin" w:cs="IRNazanin"/>
          <w:color w:val="111111"/>
          <w:sz w:val="28"/>
          <w:szCs w:val="28"/>
          <w:rtl w:val="true"/>
          <w:lang w:bidi="fa-IR"/>
        </w:rPr>
        <w:t xml:space="preserve">. </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نعم، لابدّ من إثبات ذلک فتقبل شهادة من لم یثبت کونه ولد زنا وإن ناله بعض الألسن؛ لشمول الإطلاقات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لا تجرّ الشهادة له نفعاً ولا تدفع ضرراً؛ لموثقه سماعة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سألته عما یردّ من الشهود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المریب، والخصم، والشریک، ودافع مغرم، والاجیر، والعبد، والتابع، والمتهم کلّ هؤلاء ترد شهادتهم</w:t>
      </w:r>
      <w:r>
        <w:rPr>
          <w:rFonts w:eastAsia="IRNazanin" w:cs="IRNazanin"/>
          <w:color w:val="111111"/>
          <w:sz w:val="28"/>
          <w:szCs w:val="28"/>
          <w:rtl w:val="true"/>
          <w:lang w:bidi="fa-IR"/>
        </w:rPr>
        <w:t xml:space="preserve">. </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فلا تقبل شهادة الشریک فی المال المشترک بان ادعی انه اشتری من ثالث عیناً لهما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لا یکون الشاهد ذا عداوة دنیویة مع المشهود علیه وإن لم توجب الفسق،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المشهور بل ادّعی علیه الإجماع؛ وتدلّ علیه معتبرة إسماعیل بن مسلم عن الصادق جعفر بن محمد عن أبیه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تقبل شهادة ذی شحناء، أو ذی مخزیة فی الدین</w:t>
      </w:r>
      <w:r>
        <w:rPr>
          <w:rFonts w:eastAsia="IRNazanin" w:cs="IRNazanin"/>
          <w:color w:val="111111"/>
          <w:sz w:val="28"/>
          <w:szCs w:val="28"/>
          <w:rtl w:val="true"/>
          <w:lang w:bidi="fa-IR"/>
        </w:rPr>
        <w:t xml:space="preserve">. </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وأمّا العداوة الدینیة فلا تمنع قطعاً، فتقبل شهادة المسلم علی الکافر ففی صحیح ابی عبیدة عن أبی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تجوز شهادة المسلمین علی جمیع أهل الملل</w:t>
      </w:r>
      <w:r>
        <w:rPr>
          <w:rFonts w:eastAsia="IRNazanin" w:cs="IRNazanin"/>
          <w:color w:val="111111"/>
          <w:sz w:val="28"/>
          <w:szCs w:val="28"/>
          <w:rtl w:val="true"/>
          <w:lang w:bidi="fa-IR"/>
        </w:rPr>
        <w:t xml:space="preserve">.... </w:t>
      </w:r>
      <w:r>
        <w:rPr>
          <w:rStyle w:val="FootnoteAnchor"/>
          <w:rtl w:val="true"/>
        </w:rPr>
        <w:footnoteReference w:id="88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لا یکون سائلاً بکفّه؛ لصحیحة علی بن جعفر عن أخیه أبی الحسن علیه السلام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السائل الذی یسأل بکفّه هل تقبل شهادته؟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لا یقبل شهادته إذا سأل فی کفّه</w:t>
      </w:r>
      <w:r>
        <w:rPr>
          <w:rFonts w:eastAsia="IRNazanin" w:cs="IRNazanin"/>
          <w:color w:val="111111"/>
          <w:sz w:val="28"/>
          <w:szCs w:val="28"/>
          <w:rtl w:val="true"/>
          <w:lang w:bidi="fa-IR"/>
        </w:rPr>
        <w:t xml:space="preserve">. </w:t>
      </w:r>
      <w:r>
        <w:rPr>
          <w:rStyle w:val="FootnoteAnchor"/>
          <w:rtl w:val="true"/>
        </w:rPr>
        <w:footnoteReference w:id="887"/>
      </w:r>
      <w:bookmarkStart w:id="997" w:name="pg5021_49529"/>
    </w:p>
    <w:p>
      <w:pPr>
        <w:pStyle w:val="Heading3"/>
        <w:numPr>
          <w:ilvl w:val="2"/>
          <w:numId w:val="1"/>
        </w:numPr>
        <w:rPr/>
      </w:pPr>
      <w:bookmarkStart w:id="998" w:name="__RefHeading___Toc581058_774463916"/>
      <w:bookmarkStart w:id="999" w:name="_Toc397"/>
      <w:bookmarkEnd w:id="997"/>
      <w:bookmarkEnd w:id="998"/>
      <w:r>
        <w:rPr>
          <w:rtl w:val="true"/>
        </w:rPr>
        <w:t>الدرس</w:t>
      </w:r>
      <w:r>
        <w:rPr/>
        <w:t>6</w:t>
      </w:r>
      <w:r>
        <w:rPr>
          <w:rtl w:val="true"/>
        </w:rPr>
        <w:t xml:space="preserve"> - </w:t>
      </w:r>
      <w:r>
        <w:rPr>
          <w:rtl w:val="true"/>
        </w:rPr>
        <w:t xml:space="preserve">کتاب الشهادات </w:t>
      </w:r>
      <w:r>
        <w:rPr>
          <w:rtl w:val="true"/>
        </w:rPr>
        <w:t>(</w:t>
      </w:r>
      <w:r>
        <w:rPr/>
        <w:t>2</w:t>
      </w:r>
      <w:r>
        <w:rPr>
          <w:rtl w:val="true"/>
        </w:rPr>
        <w:t>)</w:t>
      </w:r>
      <w:bookmarkEnd w:id="999"/>
    </w:p>
    <w:p>
      <w:pPr>
        <w:pStyle w:val="Heading4"/>
        <w:numPr>
          <w:ilvl w:val="3"/>
          <w:numId w:val="1"/>
        </w:numPr>
        <w:rPr/>
      </w:pPr>
      <w:bookmarkStart w:id="1000" w:name="__RefHeading___Toc581060_774463916"/>
      <w:bookmarkStart w:id="1001" w:name="_Toc398"/>
      <w:bookmarkEnd w:id="1000"/>
      <w:r>
        <w:rPr>
          <w:rtl w:val="true"/>
        </w:rPr>
        <w:t>أحکام عامة فی باب الشهادات</w:t>
      </w:r>
      <w:bookmarkEnd w:id="10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تجوز الشهادة إلّا مع العلم بالمشهود به؛ لأنّها إخبار، ولا یجوز الإخبار بدون العلم، مضافاً إلی صحیحة معاویة بن وهب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إنّ ابن أبی لیلی یسألنی الشهادة عن هذه الدار، مات فلان وترکها میراثاً وأنه لیس له وارث غیر الذی شهدنا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بما هو علمک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لیلی یحلفنا الغموس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بغموس</w:t>
      </w:r>
      <w:r>
        <w:rPr>
          <w:rFonts w:eastAsia="IRNazanin" w:cs="IRNazanin"/>
          <w:color w:val="111111"/>
          <w:sz w:val="28"/>
          <w:szCs w:val="28"/>
          <w:rtl w:val="true"/>
          <w:lang w:bidi="fa-IR"/>
        </w:rPr>
        <w:t xml:space="preserve">) </w:t>
      </w:r>
      <w:r>
        <w:rPr>
          <w:rStyle w:val="FootnoteAnchor"/>
          <w:rtl w:val="true"/>
        </w:rPr>
        <w:footnoteReference w:id="888"/>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احلف إنّما هو علی علمک</w:t>
      </w:r>
      <w:r>
        <w:rPr>
          <w:rFonts w:eastAsia="IRNazanin" w:cs="IRNazanin"/>
          <w:color w:val="111111"/>
          <w:sz w:val="28"/>
          <w:szCs w:val="28"/>
          <w:rtl w:val="true"/>
          <w:lang w:bidi="fa-IR"/>
        </w:rPr>
        <w:t xml:space="preserve">. </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واضمارها لایضّر بعد کون الراوی من أجلاّء الأصحاب اللّذین لا یحتمل فی حقهم الروایة عن غیر الإمام علیه السلام ، مضافاً إلی أنّ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نقلها مسندة إلی الإمام علیه السلام </w:t>
      </w:r>
      <w:r>
        <w:rPr>
          <w:rFonts w:eastAsia="IRNazanin" w:cs="IRNazanin"/>
          <w:color w:val="111111"/>
          <w:sz w:val="28"/>
          <w:szCs w:val="28"/>
          <w:rtl w:val="true"/>
          <w:lang w:bidi="fa-IR"/>
        </w:rPr>
        <w:t xml:space="preserve">. </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 xml:space="preserve">ویعتبر أیضا أن یکون مستند علم الشاهد هو الحس أو ما یقرب منه، واستدلّ له بانه المتفاهم عرفا من عنوان الشهادة؛ ویؤیده روایة علی بن غراب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تشهدن بشهادة حتی تعرفها کما تعرف کفّک</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قوله صلی الله علیه و آله حینما سئل عن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تری الشمس؟ علی مثلها فاشهد أودع</w:t>
      </w:r>
      <w:r>
        <w:rPr>
          <w:rFonts w:eastAsia="IRNazanin" w:cs="IRNazanin"/>
          <w:color w:val="111111"/>
          <w:sz w:val="28"/>
          <w:szCs w:val="28"/>
          <w:rtl w:val="true"/>
          <w:lang w:bidi="fa-IR"/>
        </w:rPr>
        <w:t xml:space="preserve">. </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ولا یخفی أن الروایتین لا تدلان علی أزید من العلم إذ المراد من معرفة الکفّ، ورؤیه الشمس، هو وضوح الأمر دون الرؤیه بالعین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کفایة العلم صحیحة معاویه بن وهب المتقدمة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یجب أداء الشهادة، بلا خلاف؛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یَکْتُمْها فَإِنَّهُ آثِمٌ قَلْبُهُ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إلغاء خصوصیة المورد عرفاً،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یَأْبَ الشُّهَداءُ إِذا ما دُعُوا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یقیّد ذلک بما اذا کان التحمّل مع الدعوة إلیه وإلا فهو مخیّر إلاّ إذا کان أحد الطرفین ظالماً فیجب أداؤها مطلقاً؛ لصحیحة محمد بن مسلم عن أبی جعفر علیه السلام</w:t>
      </w:r>
    </w:p>
    <w:p>
      <w:pPr>
        <w:pStyle w:val="BookText"/>
        <w:rPr/>
      </w:pPr>
      <w:r>
        <w:rPr>
          <w:rFonts w:ascii="IRNazanin" w:hAnsi="IRNazanin" w:eastAsia="IRNazanin"/>
          <w:color w:val="111111"/>
          <w:sz w:val="28"/>
          <w:sz w:val="28"/>
          <w:szCs w:val="28"/>
          <w:rtl w:val="true"/>
          <w:lang w:bidi="fa-IR"/>
        </w:rPr>
        <w:t>إذا سمع الرجل الشهادة ولم یشهد علیها فهو بالخیار، إن شاء شهد وإن شاء سکت، إلاّ إذا علم من الظالم فیشهد، ولا یحل له أن لا یشهد</w:t>
      </w:r>
      <w:r>
        <w:rPr>
          <w:rFonts w:eastAsia="IRNazanin" w:cs="IRNazanin"/>
          <w:color w:val="111111"/>
          <w:sz w:val="28"/>
          <w:szCs w:val="28"/>
          <w:rtl w:val="true"/>
          <w:lang w:bidi="fa-IR"/>
        </w:rPr>
        <w:t xml:space="preserve">. </w:t>
      </w:r>
      <w:r>
        <w:rPr>
          <w:rStyle w:val="FootnoteAnchor"/>
          <w:rtl w:val="true"/>
        </w:rPr>
        <w:footnoteReference w:id="89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تقبل الشهادة علی الشهادة فی حقوق الناس، کالطلاق، والنسب بلا خلاف عندنا؛ لحجیة الشهادة مطلقاً أی سواءً تعلّقت بالواقعة أو با الشهادة علیها، ولموثّقه طلحة بن زید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علیاً کان لا یجیز شهادة رجل علی شهادة رجل إلاّشهادة رجلین علی شهادة رجل</w:t>
      </w:r>
      <w:r>
        <w:rPr>
          <w:rFonts w:eastAsia="IRNazanin" w:cs="IRNazanin"/>
          <w:color w:val="111111"/>
          <w:sz w:val="28"/>
          <w:szCs w:val="28"/>
          <w:rtl w:val="true"/>
          <w:lang w:bidi="fa-IR"/>
        </w:rPr>
        <w:t xml:space="preserve">. </w:t>
      </w:r>
      <w:r>
        <w:rPr>
          <w:rStyle w:val="FootnoteAnchor"/>
          <w:rtl w:val="true"/>
        </w:rPr>
        <w:footnoteReference w:id="893"/>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لا تقبل فی حقوق الله سبحانه؛ لموثق الأخری عن أبی عبدالله علیه السلام عن أبیه، عن علی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لا یجیز شهادةً علی شهادةٍ فی حدًّ</w:t>
      </w:r>
      <w:r>
        <w:rPr>
          <w:rFonts w:eastAsia="Amiri" w:cs="Amiri" w:ascii="Amiri" w:hAnsi="Amiri"/>
          <w:color w:val="111111"/>
          <w:sz w:val="28"/>
          <w:szCs w:val="28"/>
          <w:rtl w:val="true"/>
          <w:lang w:bidi="ar-SA"/>
        </w:rPr>
        <w:t xml:space="preserve">. </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ومقتضی إطلاقها عدم الفرق بین کون الحدّ خاصّاً بالله سبحانه، کما فی شرب الخمر، أو مشترکاً کما فی السرقة، وطلحة بن زید، راوی الحدیثین عامی ألاّ أنّه قد یستفاد وثاقته من تعبیر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کتابه معتمد</w:t>
      </w:r>
      <w:r>
        <w:rPr>
          <w:rFonts w:eastAsia="IRNazanin" w:cs="IRNazanin"/>
          <w:color w:val="111111"/>
          <w:sz w:val="28"/>
          <w:szCs w:val="28"/>
          <w:rtl w:val="true"/>
          <w:lang w:bidi="fa-IR"/>
        </w:rPr>
        <w:t xml:space="preserve">. </w:t>
      </w:r>
      <w:r>
        <w:rPr>
          <w:rStyle w:val="FootnoteAnchor"/>
          <w:rtl w:val="true"/>
        </w:rPr>
        <w:footnoteReference w:id="89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یعتبر الإشهاد فی أمر؛ لعدم الدلیل علیه إلاّ فی الطلاق والظهار، حیث دلّت الروایات علی عدم اعتبارهما من دون حضور العدلین، کما هو مذکور فی کتاب الطلاق والظهار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ادّعت المرأة انقضاء عدّتها أو کونها حائضاً تصدّق بلا حاجة إلی شیء آخر لصحیحة زرارة عن ابی جعفر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العدة والحیض للنساء، إذا ادّعت صدّقت</w:t>
      </w:r>
      <w:r>
        <w:rPr>
          <w:rFonts w:eastAsia="IRNazanin" w:cs="IRNazanin"/>
          <w:color w:val="111111"/>
          <w:sz w:val="28"/>
          <w:szCs w:val="28"/>
          <w:rtl w:val="true"/>
          <w:lang w:bidi="fa-IR"/>
        </w:rPr>
        <w:t xml:space="preserve">. </w:t>
      </w:r>
      <w:r>
        <w:rPr>
          <w:rStyle w:val="FootnoteAnchor"/>
          <w:rtl w:val="true"/>
        </w:rPr>
        <w:footnoteReference w:id="896"/>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أنّها تصدّق فی دعوی کونها خلیة، للأصل فلا تحتاج إلی البیّنة</w:t>
      </w:r>
      <w:r>
        <w:rPr>
          <w:rFonts w:eastAsia="IRNazanin" w:cs="IRNazanin"/>
          <w:color w:val="111111"/>
          <w:sz w:val="28"/>
          <w:szCs w:val="28"/>
          <w:rtl w:val="true"/>
          <w:lang w:bidi="fa-IR"/>
        </w:rPr>
        <w:t>.</w:t>
      </w:r>
      <w:bookmarkStart w:id="1002" w:name="pg5021_49532"/>
    </w:p>
    <w:p>
      <w:pPr>
        <w:pStyle w:val="Heading3"/>
        <w:numPr>
          <w:ilvl w:val="2"/>
          <w:numId w:val="1"/>
        </w:numPr>
        <w:rPr/>
      </w:pPr>
      <w:bookmarkStart w:id="1003" w:name="__RefHeading___Toc581062_774463916"/>
      <w:bookmarkStart w:id="1004" w:name="_Toc399"/>
      <w:bookmarkEnd w:id="1002"/>
      <w:bookmarkEnd w:id="1003"/>
      <w:r>
        <w:rPr>
          <w:rtl w:val="true"/>
        </w:rPr>
        <w:t>الدرس</w:t>
      </w:r>
      <w:r>
        <w:rPr/>
        <w:t>7</w:t>
      </w:r>
      <w:r>
        <w:rPr>
          <w:rtl w:val="true"/>
        </w:rPr>
        <w:t xml:space="preserve"> - </w:t>
      </w:r>
      <w:r>
        <w:rPr>
          <w:rtl w:val="true"/>
        </w:rPr>
        <w:t xml:space="preserve">کتاب الشهادات </w:t>
      </w:r>
      <w:r>
        <w:rPr>
          <w:rtl w:val="true"/>
        </w:rPr>
        <w:t>(</w:t>
      </w:r>
      <w:r>
        <w:rPr/>
        <w:t>3</w:t>
      </w:r>
      <w:r>
        <w:rPr>
          <w:rtl w:val="true"/>
        </w:rPr>
        <w:t xml:space="preserve">) </w:t>
      </w:r>
      <w:r>
        <w:rPr>
          <w:rtl w:val="true"/>
        </w:rPr>
        <w:t>والإقرار</w:t>
      </w:r>
      <w:bookmarkEnd w:id="1004"/>
    </w:p>
    <w:p>
      <w:pPr>
        <w:pStyle w:val="Heading4"/>
        <w:numPr>
          <w:ilvl w:val="3"/>
          <w:numId w:val="1"/>
        </w:numPr>
        <w:rPr/>
      </w:pPr>
      <w:bookmarkStart w:id="1005" w:name="__RefHeading___Toc581064_774463916"/>
      <w:bookmarkStart w:id="1006" w:name="_Toc400"/>
      <w:bookmarkEnd w:id="1005"/>
      <w:r>
        <w:rPr>
          <w:rtl w:val="true"/>
        </w:rPr>
        <w:t>اختلاف الحقوق فی الإثبات</w:t>
      </w:r>
      <w:bookmarkEnd w:id="1006"/>
    </w:p>
    <w:p>
      <w:pPr>
        <w:pStyle w:val="BookText"/>
        <w:rPr/>
      </w:pPr>
      <w:r>
        <w:rPr>
          <w:rFonts w:ascii="IRNazanin" w:hAnsi="IRNazanin" w:eastAsia="IRNazanin"/>
          <w:color w:val="111111"/>
          <w:sz w:val="28"/>
          <w:sz w:val="28"/>
          <w:szCs w:val="28"/>
          <w:rtl w:val="true"/>
          <w:lang w:bidi="fa-IR"/>
        </w:rPr>
        <w:t xml:space="preserve">یثبت مطلق الدعاوی بالبیّنة؛ لما تقدّم من 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شهادة رجلین عدلین؛ لأنّ ذلک هو المنصرف من کلمة البیّنة فی مقام إثبات الدعوی، والإطلاق المقامی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السکوت عن تحدید البیّنة أیضا یقتضی ذلک لأنّ المعروف من البیّنة هو ذلک، ثمّ إنّه خرج عن ذلک موارد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دعوی الدین علی المیّت، حیث یلزم معها ضم یمین المدعی، کما 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دعوی الدین أو العین علی الحی، حیث تثبت أیضا بشهادة رجل ویمین المدعی؛ للروایات منها، صحیحة منصور بن حازم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رسول الله صلی الله علیه و آله یقضی بشاهد واحد مع یمین صاحب الحقّ</w:t>
      </w:r>
      <w:r>
        <w:rPr>
          <w:rFonts w:eastAsia="IRNazanin" w:cs="IRNazanin"/>
          <w:color w:val="111111"/>
          <w:sz w:val="28"/>
          <w:szCs w:val="28"/>
          <w:rtl w:val="true"/>
          <w:lang w:bidi="fa-IR"/>
        </w:rPr>
        <w:t xml:space="preserve">. </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وإطلاقه یشمل الدین والعین، وکذلک تثبت برجل وامرأتین؛ لصحیحته الأخری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أبا الحسن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شهد لطالب الحقِّ امرأتان ویمینه، فهو جائز</w:t>
      </w:r>
      <w:r>
        <w:rPr>
          <w:rFonts w:eastAsia="IRNazanin" w:cs="IRNazanin"/>
          <w:color w:val="111111"/>
          <w:sz w:val="28"/>
          <w:szCs w:val="28"/>
          <w:rtl w:val="true"/>
          <w:lang w:bidi="fa-IR"/>
        </w:rPr>
        <w:t xml:space="preserve">. </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 xml:space="preserve">وکذلک تثبت بأمرأتین ویمین المدعی، علی المشهور؛ لصحیحة الحلبی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رسول‌الله صلی الله علیه و آله أجاز شهادة النساء مع یمین الطالب فی الدین، یحلف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حقّه لَحقّ</w:t>
      </w:r>
      <w:r>
        <w:rPr>
          <w:rFonts w:eastAsia="IRNazanin" w:cs="IRNazanin"/>
          <w:color w:val="111111"/>
          <w:sz w:val="28"/>
          <w:szCs w:val="28"/>
          <w:rtl w:val="true"/>
          <w:lang w:bidi="fa-IR"/>
        </w:rPr>
        <w:t xml:space="preserve">. </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لکن التعدّی عن الدین إلی العین مشکل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یثبت الزنا إلاّ بشهادة أربعة رجال عدول؛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یَرْمُونَ الْمُحْصَناتِ ثُمَّ لَمْ یَأْتُوا بِأَرْبَعَةِ شُهَداءَ فَاجْلِدُوهُمْ ثَمانِینَ جَلْدَةً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وللروایات الکثیرة، وکذلک یثبت بشهادة ثلاثة رجال وامرأتین، وبرجلین وأربع نساء، لصحیحة الحلبی عن أبی عبدالله علیه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سُئل عن رجلٍ محصن فجر بامرأة، فشهد علیه ثلاثة رجال وامرأتان، وجب علیه الرجم وإن شهد علیه رجلان وأربع نسوة، فلا تجوز شهادتهم ولا یرجم ولکن یضرب حد الزانی</w:t>
      </w:r>
      <w:r>
        <w:rPr>
          <w:rFonts w:eastAsia="IRNazanin" w:cs="IRNazanin"/>
          <w:color w:val="111111"/>
          <w:sz w:val="28"/>
          <w:szCs w:val="28"/>
          <w:rtl w:val="true"/>
          <w:lang w:bidi="fa-IR"/>
        </w:rPr>
        <w:t xml:space="preserve">. </w:t>
      </w:r>
      <w:r>
        <w:rPr>
          <w:rStyle w:val="FootnoteAnchor"/>
          <w:rtl w:val="true"/>
        </w:rPr>
        <w:footnoteReference w:id="90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تثبت العذرة والعیوب الباطنیة للنساء والرضاع، وکلّ ما لا یجوز للرجال النظر إلیه بشهادة اربع نساء؛ لصحیحة عبدالله بن سنان؛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تجوز شهادة النساء وحدهن بلا رجال فی کلّ ما لا یجوز للرجال النظر إلیه</w:t>
      </w:r>
      <w:r>
        <w:rPr>
          <w:rFonts w:eastAsia="IRNazanin" w:cs="IRNazanin"/>
          <w:color w:val="111111"/>
          <w:sz w:val="28"/>
          <w:szCs w:val="28"/>
          <w:rtl w:val="true"/>
          <w:lang w:bidi="fa-IR"/>
        </w:rPr>
        <w:t xml:space="preserve">.... </w:t>
      </w:r>
      <w:r>
        <w:rPr>
          <w:rStyle w:val="FootnoteAnchor"/>
          <w:rtl w:val="true"/>
        </w:rPr>
        <w:footnoteReference w:id="90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یثبت بشهادة امرأة بالقتل ربع الدیة، وباثنتین نصفها وهکذا؛ لصحیحة محمد بن قیس عن أبی جعفر علیه السلام </w:t>
      </w:r>
      <w:r>
        <w:rPr>
          <w:rFonts w:eastAsia="IRNazanin" w:cs="IRNazanin"/>
          <w:color w:val="111111"/>
          <w:sz w:val="28"/>
          <w:szCs w:val="28"/>
          <w:rtl w:val="true"/>
          <w:lang w:bidi="fa-IR"/>
        </w:rPr>
        <w:t>:</w:t>
      </w:r>
      <w:bookmarkStart w:id="1007" w:name="pg5021_49534"/>
    </w:p>
    <w:p>
      <w:pPr>
        <w:pStyle w:val="BookText"/>
        <w:rPr/>
      </w:pPr>
      <w:bookmarkEnd w:id="1007"/>
      <w:r>
        <w:rPr>
          <w:rFonts w:ascii="IRNazanin" w:hAnsi="IRNazanin" w:eastAsia="IRNazanin"/>
          <w:color w:val="111111"/>
          <w:sz w:val="28"/>
          <w:sz w:val="28"/>
          <w:szCs w:val="28"/>
          <w:rtl w:val="true"/>
          <w:lang w:bidi="fa-IR"/>
        </w:rPr>
        <w:t>قضی أمیرالمؤمنین فی غلام شهدت علیه امرأة أنّه دفع غلاماً فی بئر فقتله، فأجاز شهادة المرأة بحساب شهادة المرأة</w:t>
      </w:r>
      <w:r>
        <w:rPr>
          <w:rFonts w:eastAsia="IRNazanin" w:cs="IRNazanin"/>
          <w:color w:val="111111"/>
          <w:sz w:val="28"/>
          <w:szCs w:val="28"/>
          <w:rtl w:val="true"/>
          <w:lang w:bidi="fa-IR"/>
        </w:rPr>
        <w:t xml:space="preserve">. </w:t>
      </w:r>
      <w:r>
        <w:rPr>
          <w:rStyle w:val="FootnoteAnchor"/>
          <w:rtl w:val="true"/>
        </w:rPr>
        <w:footnoteReference w:id="902"/>
      </w:r>
    </w:p>
    <w:p>
      <w:pPr>
        <w:pStyle w:val="Heading4"/>
        <w:numPr>
          <w:ilvl w:val="3"/>
          <w:numId w:val="1"/>
        </w:numPr>
        <w:rPr/>
      </w:pPr>
      <w:bookmarkStart w:id="1008" w:name="__RefHeading___Toc581066_774463916"/>
      <w:bookmarkStart w:id="1009" w:name="_Toc401"/>
      <w:bookmarkEnd w:id="1008"/>
      <w:r>
        <w:rPr>
          <w:rtl w:val="true"/>
        </w:rPr>
        <w:t>حقیقة الإقرار</w:t>
      </w:r>
      <w:bookmarkEnd w:id="1009"/>
    </w:p>
    <w:p>
      <w:pPr>
        <w:pStyle w:val="BookText"/>
        <w:rPr/>
      </w:pPr>
      <w:r>
        <w:rPr>
          <w:rFonts w:ascii="IRNazanin" w:hAnsi="IRNazanin" w:eastAsia="IRNazanin"/>
          <w:color w:val="111111"/>
          <w:sz w:val="28"/>
          <w:sz w:val="28"/>
          <w:szCs w:val="28"/>
          <w:rtl w:val="true"/>
          <w:lang w:bidi="fa-IR"/>
        </w:rPr>
        <w:t>الإقرار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الشخص عن حقِّ علیه أو نفیه له علی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نافذ علی المقرِّ بلا إشکال؛ للسیرة العقلائیة، والحدیث المشهور عن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إقرار العقلاء علی أنفسهم جائز</w:t>
      </w:r>
      <w:r>
        <w:rPr>
          <w:rFonts w:eastAsia="IRNazanin" w:cs="IRNazanin"/>
          <w:color w:val="111111"/>
          <w:sz w:val="28"/>
          <w:szCs w:val="28"/>
          <w:rtl w:val="true"/>
          <w:lang w:bidi="fa-IR"/>
        </w:rPr>
        <w:t xml:space="preserve">. </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ویعتبر أن یکون بنحو الجزم؛ لعدم صدق الإقرار علی الخبر الظنی ولا تشمله السیرة العقلائیة، ولایترتب علی الإقرار إلاّ الآثار التی هی فی ضرر المقرّ دون ما ینتفع به أو تکون مرتبطة بالغیر لاختصاص السیرة بذلک، وعلیه فلو أقرّ بشیئٍ یلزم التفکیک فی آثاره، فإذا أقرّ بأبوّة شخصٍّ له، یلزمه الإنفاق علیه دون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یتحقق بکلّ ما یدلّ علیه ولو بالإشارة أو الدلاله الالتزامیة؛ لصدق الإقرار علیه، 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أدّیت دینی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إقراراً بأصل الدین، فینفذ ولا ینفذ إخباره بالأداء له؛ لأنه إقرار له لا علیه</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یقبل الانکار بعد الإقرار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للمقر تفسیر إقراره؛ للسیرة العقلائیة</w:t>
      </w:r>
      <w:r>
        <w:rPr>
          <w:rFonts w:eastAsia="IRNazanin" w:cs="IRNazanin"/>
          <w:color w:val="111111"/>
          <w:sz w:val="28"/>
          <w:szCs w:val="28"/>
          <w:rtl w:val="true"/>
          <w:lang w:bidi="fa-IR"/>
        </w:rPr>
        <w:t>.</w:t>
      </w:r>
      <w:bookmarkStart w:id="1010" w:name="pg5021_49535"/>
    </w:p>
    <w:p>
      <w:pPr>
        <w:pStyle w:val="Heading3"/>
        <w:numPr>
          <w:ilvl w:val="2"/>
          <w:numId w:val="1"/>
        </w:numPr>
        <w:rPr/>
      </w:pPr>
      <w:bookmarkStart w:id="1011" w:name="__RefHeading___Toc581068_774463916"/>
      <w:bookmarkStart w:id="1012" w:name="_Toc402"/>
      <w:bookmarkEnd w:id="1010"/>
      <w:bookmarkEnd w:id="1011"/>
      <w:r>
        <w:rPr>
          <w:rtl w:val="true"/>
        </w:rPr>
        <w:t>الدرس</w:t>
      </w:r>
      <w:r>
        <w:rPr/>
        <w:t>8</w:t>
      </w:r>
      <w:r>
        <w:rPr>
          <w:rtl w:val="true"/>
        </w:rPr>
        <w:t xml:space="preserve"> - </w:t>
      </w:r>
      <w:r>
        <w:rPr>
          <w:rtl w:val="true"/>
        </w:rPr>
        <w:t>کتاب اللقطة</w:t>
      </w:r>
      <w:bookmarkEnd w:id="1012"/>
    </w:p>
    <w:p>
      <w:pPr>
        <w:pStyle w:val="Heading4"/>
        <w:numPr>
          <w:ilvl w:val="3"/>
          <w:numId w:val="1"/>
        </w:numPr>
        <w:rPr/>
      </w:pPr>
      <w:bookmarkStart w:id="1013" w:name="__RefHeading___Toc581070_774463916"/>
      <w:bookmarkStart w:id="1014" w:name="_Toc403"/>
      <w:bookmarkEnd w:id="1013"/>
      <w:r>
        <w:rPr>
          <w:rtl w:val="true"/>
        </w:rPr>
        <w:t>حقیقة اللقطة وأقسامها</w:t>
      </w:r>
      <w:bookmarkEnd w:id="1014"/>
    </w:p>
    <w:p>
      <w:pPr>
        <w:pStyle w:val="BookText"/>
        <w:rPr/>
      </w:pPr>
      <w:r>
        <w:rPr>
          <w:rFonts w:ascii="IRNazanin" w:hAnsi="IRNazanin" w:eastAsia="IRNazanin"/>
          <w:color w:val="111111"/>
          <w:sz w:val="28"/>
          <w:sz w:val="28"/>
          <w:szCs w:val="28"/>
          <w:rtl w:val="true"/>
          <w:lang w:bidi="fa-IR"/>
        </w:rPr>
        <w:t>اللقطة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مال ضائع اخذ وکان مالکه مجهولاً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 یصدق عنوان اللقطة للحذاء المتبدل بغیره من دون معرفة صاحبه وإن کان مجهول المالک، فکلّ لقطة هی مجهول المالک دون العکس، ولکلٍّ منهما 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ویجوز أخذها علی کراهیة؛ للروایات، وتسالم الأصحاب، وارتکاز المتشرعة، ویلزم فیها تعریفها سنة، فان لم یعثر علی مالکها فالملتقط یتخیّر بین تملّکها مع الضمان؛ لصحیحة علی بن جعفر عن أخیه موسی بن جعفر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رجل أصاب شاةً فی الصحراء، هل تحلّ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 الله علیه و آله هی لک أو لأخیک أو للذئب، فخذها وعرّفها حیث أصبتها، فان عرفت فردّها إلی صاحبها، وإن لم تعرف فکلْها وأنت ضامن لها إن جاء صاحبها یطلب ثمنها أنْ تردها علیه</w:t>
      </w:r>
      <w:r>
        <w:rPr>
          <w:rFonts w:eastAsia="IRNazanin" w:cs="IRNazanin"/>
          <w:color w:val="111111"/>
          <w:sz w:val="28"/>
          <w:szCs w:val="28"/>
          <w:rtl w:val="true"/>
          <w:lang w:bidi="fa-IR"/>
        </w:rPr>
        <w:t xml:space="preserve">. </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 xml:space="preserve">أو التصدّق بها مع الضمان؛ لصحیحته الأخری عنه علیه السلام </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وسألته عن الرجل یصیب اللقطة، فیعرّفها سنة ثمّ یتصدّق فیأتی صاحبها، ما حال الذی تصدّق بها؟ ولمن الأجر؟ هل علیه أن یردّ علی صاحبها أو قیمتها؟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ضامن لها والأجر له إلاّ أن یرضی صاحبها فیدعها والأجر له</w:t>
      </w:r>
      <w:r>
        <w:rPr>
          <w:rFonts w:eastAsia="IRNazanin" w:cs="IRNazanin"/>
          <w:color w:val="111111"/>
          <w:sz w:val="28"/>
          <w:szCs w:val="28"/>
          <w:rtl w:val="true"/>
          <w:lang w:bidi="fa-IR"/>
        </w:rPr>
        <w:t xml:space="preserve">. </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 xml:space="preserve">أو یبقیها فی یده أمانة بلا ضمان؛ لصحیحة الحلبی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اللقطة یجدها الرجل ویأخذها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یعرّفها سنة، فان جاء لها طالب وإلاّ فهی کسبیل ماله</w:t>
      </w:r>
      <w:r>
        <w:rPr>
          <w:rFonts w:eastAsia="IRNazanin" w:cs="IRNazanin"/>
          <w:color w:val="111111"/>
          <w:sz w:val="28"/>
          <w:szCs w:val="28"/>
          <w:rtl w:val="true"/>
          <w:lang w:bidi="fa-IR"/>
        </w:rPr>
        <w:t xml:space="preserve">. </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 xml:space="preserve">هذا کله إذا لم تکن اللقطه دون الدرهم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یعادل ثلاثة غرامات فضّة حدوداً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جاز أخذها بلا تعریف بلا خلاف؛ لقول الصادق علیه السلام فی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کانت اللقطه دون درهم فهی لک فلا تعرّفها</w:t>
      </w:r>
      <w:r>
        <w:rPr>
          <w:rFonts w:eastAsia="IRNazanin" w:cs="IRNazanin"/>
          <w:color w:val="111111"/>
          <w:sz w:val="28"/>
          <w:szCs w:val="28"/>
          <w:rtl w:val="true"/>
          <w:lang w:bidi="fa-IR"/>
        </w:rPr>
        <w:t xml:space="preserve">. </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ونحوها روایة محمد بن أبی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لقطة حرم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زادها الله شرفاً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فیها التصدق بعد التعریف سنة، ولا یجوز تملّکها علی المشهور بین الأصحاب؛ وتدلّ علیه صحیحة ابراهیم بن عمر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اللقطة لقطتان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لقطة الحرم وتعرّف سنة، فإن وجدتَ صاحبها وإلاّ تصدّقت بها، ولقطة غیرها تعرّف سنة فإن لم تجد صاحبها فهی کسبیل مالک</w:t>
      </w:r>
      <w:r>
        <w:rPr>
          <w:rFonts w:eastAsia="IRNazanin" w:cs="IRNazanin"/>
          <w:color w:val="111111"/>
          <w:sz w:val="28"/>
          <w:szCs w:val="28"/>
          <w:rtl w:val="true"/>
          <w:lang w:bidi="fa-IR"/>
        </w:rPr>
        <w:t xml:space="preserve">. </w:t>
      </w:r>
      <w:r>
        <w:rPr>
          <w:rStyle w:val="FootnoteAnchor"/>
          <w:rtl w:val="true"/>
        </w:rPr>
        <w:footnoteReference w:id="908"/>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واللقطة التی لا یمکن تعریفها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لفقدان العلامة الممیزة لها أو للیأس عن الوصول إلی مالکها المجهول ونحو ذلک یسقط وجوب تعریفها؛ إذ التعریف إنّما وجب لکونه طریقاً إلی الوصول إلی صاحبها ومع عدمه فلا ملاک له، وبما أنّ التملّک کان مشروطاً بالتعریف سنة فلا یجوز له أن یتملّک فیکون المال من مصادیق مجهول المالک وحکمه التصدّق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یجوز دفعها إلی الحاکم الشرعی، لیسقط عنه التعریف؟ فیه خلاف من أنّ الحاکم ولیّ الغائب فی الحفظ، ومن أنّ ذلک مختصّ بالمورد الذی لم یجعل الشارع الولایة فیه للغیر وفی المقام قد جعلها للملتقط، والأحوط لو لم یکن أقوی إذا أراد التصدّق بها دفعها إلی الغیر وعدم احتسابها علی نفسه وان کان فقیراً وإن یدفع إلی الفقراء دون الأغنیاء؛ لقوة احتمال انصراف طلب التصدّق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کلّه فی المال الضائع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الطفل الضائع، فإذا خیف علیه التلف، یجب أخذه وحفظه والإنفاق علیه؛ لوجوب حفظ النفس المحترمة عن الهلاک سواءً نبذه أهله عمداً أو لهلاکهم أو لضیاعه عنهم، وسواءً کان الطفل رضیعاً أو اکبر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تقدّم أن اللقطة أخص من مجهول المالک، فإذا لم یصدق علی المال المجهول مالکه عنوان اللقطة، فلا بد من تطبیق حکم المال المجهول مالکه، وهو الفحص عن مالکه إلی حد الیأس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التقیّد بالسنة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التعریف والتخییر المتقدّم إنّما هو فی اللقطة وبعد عدم انطباقها، فالقاعده تقتضی إیصال مال الغیر إلی صاحبه،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یَأْمُرُکُمْ أَنْ تُؤَدُّوا الْأَماناتِ إِلی أَهْلِها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یأس من الظفر علیه من الأول أو بعد فترة من الفحص، یجب علیه أن یتصدّق؛ لصحیحة یونس بن عبدالرحمن</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سئل أبوالحسن الرضا علیه السلام وأنا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کان لنا بمکّة فرحل منها إلی منزله ورحلنا إلی منازلنا، فلما أن صرنا فی الطریق أصبنا بعض متاعه معنا، فأی شیء نصنع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تحملونه حتی تحملوه إلی 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نعرفه ولا نعرف بلده ولا نعرف کیف نصنع؟ قال إذا کان کذا فبعه وتصدق بثمنه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أهل الولایة</w:t>
      </w:r>
      <w:r>
        <w:rPr>
          <w:rFonts w:eastAsia="IRNazanin" w:cs="IRNazanin"/>
          <w:color w:val="111111"/>
          <w:sz w:val="28"/>
          <w:szCs w:val="28"/>
          <w:rtl w:val="true"/>
          <w:lang w:bidi="fa-IR"/>
        </w:rPr>
        <w:t xml:space="preserve">. </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ویلحق به المال المعلوم مالکه مع تعذّر الوصول إلیه، بالغاء الخصوصیة عرفاً؛ إذ العرف لا یری خصوصیة لذلک، بل یفهم أنّ الموضوع تعذر الوصول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تعذّر الوصول إلی المالک إلاّ أنّه یمکن الاستجازة منه تجب، لاختصاص إلغاء الخصوصیة بغیر ذلک کما أنّه إذا عیّن المالک وجه الصرف، تعیّن فیما عیّنه، وإن کان المالک مجهولاً کالأموال المجتمعة فی الصنادیق الصدقات العامة</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ما ذکر فمن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قلماً مثلاً من الغیر ثم نسی أن یرده إلیه ولم یعرفه یجب علیه أن یتصدّق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من تبدلّ حذاؤه بأن أخذه غیره وبقی حذاء الغیر عنده یجری فیه حکم مجهول المالک، ولا یجوز التصّرف فیه إلاّ مع إحراز رضا مالکه</w:t>
      </w:r>
      <w:r>
        <w:rPr>
          <w:rFonts w:eastAsia="IRNazanin" w:cs="IRNazanin"/>
          <w:color w:val="111111"/>
          <w:sz w:val="28"/>
          <w:szCs w:val="28"/>
          <w:rtl w:val="true"/>
          <w:lang w:bidi="fa-IR"/>
        </w:rPr>
        <w:t>.</w:t>
      </w:r>
      <w:bookmarkStart w:id="1015" w:name="pg5021_49539"/>
    </w:p>
    <w:p>
      <w:pPr>
        <w:pStyle w:val="Heading3"/>
        <w:numPr>
          <w:ilvl w:val="2"/>
          <w:numId w:val="1"/>
        </w:numPr>
        <w:rPr/>
      </w:pPr>
      <w:bookmarkStart w:id="1016" w:name="__RefHeading___Toc581072_774463916"/>
      <w:bookmarkStart w:id="1017" w:name="_Toc404"/>
      <w:bookmarkEnd w:id="1015"/>
      <w:bookmarkEnd w:id="1016"/>
      <w:r>
        <w:rPr>
          <w:rtl w:val="true"/>
        </w:rPr>
        <w:t>الدرس</w:t>
      </w:r>
      <w:r>
        <w:rPr/>
        <w:t>9</w:t>
      </w:r>
      <w:r>
        <w:rPr>
          <w:rtl w:val="true"/>
        </w:rPr>
        <w:t xml:space="preserve"> - </w:t>
      </w:r>
      <w:r>
        <w:rPr>
          <w:rtl w:val="true"/>
        </w:rPr>
        <w:t>کتاب الأطعمة والأشربة</w:t>
      </w:r>
      <w:bookmarkEnd w:id="1017"/>
    </w:p>
    <w:p>
      <w:pPr>
        <w:pStyle w:val="Heading4"/>
        <w:numPr>
          <w:ilvl w:val="3"/>
          <w:numId w:val="1"/>
        </w:numPr>
        <w:rPr/>
      </w:pPr>
      <w:bookmarkStart w:id="1018" w:name="__RefHeading___Toc581074_774463916"/>
      <w:bookmarkStart w:id="1019" w:name="_Toc405"/>
      <w:bookmarkEnd w:id="1018"/>
      <w:r>
        <w:rPr>
          <w:rtl w:val="true"/>
        </w:rPr>
        <w:t>أفراد ما یحرم تناوله</w:t>
      </w:r>
      <w:bookmarkEnd w:id="1019"/>
    </w:p>
    <w:p>
      <w:pPr>
        <w:pStyle w:val="BookText"/>
        <w:rPr/>
      </w:pPr>
      <w:r>
        <w:rPr>
          <w:rFonts w:ascii="IRNazanin" w:hAnsi="IRNazanin" w:eastAsia="IRNazanin"/>
          <w:color w:val="111111"/>
          <w:sz w:val="28"/>
          <w:sz w:val="28"/>
          <w:szCs w:val="28"/>
          <w:rtl w:val="true"/>
          <w:lang w:bidi="fa-IR"/>
        </w:rPr>
        <w:t xml:space="preserve">ما یحرم تناوله أما حیوان أو غیره، أمّا الأوّل، تارة یکون من حیوان البحر واُخری من حیوان البرّ وثالثة، من الطیور، أمّا حیوان البحر فیحرم منه جمیعه إلاّ السمک؛ لموثقة عمار الساباطی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الربیثا،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تأکلها فإنّا لا نعرفها فی السمک یا عمار</w:t>
      </w:r>
      <w:r>
        <w:rPr>
          <w:rFonts w:eastAsia="IRNazanin" w:cs="IRNazanin"/>
          <w:color w:val="111111"/>
          <w:sz w:val="28"/>
          <w:szCs w:val="28"/>
          <w:rtl w:val="true"/>
          <w:lang w:bidi="fa-IR"/>
        </w:rPr>
        <w:t xml:space="preserve">. </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إذ التعلیل یدلّ علی ما ذکر،</w:t>
      </w:r>
    </w:p>
    <w:p>
      <w:pPr>
        <w:pStyle w:val="BookText"/>
        <w:rPr/>
      </w:pPr>
      <w:r>
        <w:rPr>
          <w:rFonts w:ascii="IRNazanin" w:hAnsi="IRNazanin" w:eastAsia="IRNazanin"/>
          <w:color w:val="111111"/>
          <w:sz w:val="28"/>
          <w:sz w:val="28"/>
          <w:szCs w:val="28"/>
          <w:rtl w:val="true"/>
          <w:lang w:bidi="fa-IR"/>
        </w:rPr>
        <w:t>والسمک أیضاً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کان له فلس یحلّ وما لیس له فلس لا یحلّ؛ للتسالم علی ذلک بین الأصحاب، وتدلّ علیه الروایات الکثیرة منها صحیحة محمد بن مسلم عن أبی جعفر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إنّا نؤتی بسمک لیس له قشر،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له قشر من السمک وما لیس له قشر فلا تأکله</w:t>
      </w:r>
      <w:r>
        <w:rPr>
          <w:rFonts w:eastAsia="IRNazanin" w:cs="IRNazanin"/>
          <w:color w:val="111111"/>
          <w:sz w:val="28"/>
          <w:szCs w:val="28"/>
          <w:rtl w:val="true"/>
          <w:lang w:bidi="fa-IR"/>
        </w:rPr>
        <w:t xml:space="preserve">. </w:t>
      </w:r>
      <w:r>
        <w:rPr>
          <w:rStyle w:val="FootnoteAnchor"/>
          <w:rtl w:val="true"/>
        </w:rPr>
        <w:footnoteReference w:id="911"/>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الطیور المائیة أیضاً حلال؛ لما یأتی إن شاء الله تحت عنوان الطیور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شّک فی وجود الفلس، أو فلسیة الموجود یبنی علی الحرمة؛ لاستصحاب عدمه</w:t>
      </w:r>
    </w:p>
    <w:p>
      <w:pPr>
        <w:pStyle w:val="BookText"/>
        <w:rPr/>
      </w:pPr>
      <w:r>
        <w:rPr>
          <w:rFonts w:ascii="Amiri" w:hAnsi="Amiri" w:eastAsia="Amiri" w:cs="Amiri"/>
          <w:color w:val="111111"/>
          <w:sz w:val="28"/>
          <w:sz w:val="28"/>
          <w:szCs w:val="28"/>
          <w:rtl w:val="true"/>
          <w:lang w:bidi="ar-SA"/>
        </w:rPr>
        <w:t>وأما حیوان البرّ، فیحلّ منه الأنعام الثلاث بالضرورة،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الْأَنْعامَ خَلَقَها لَکُمْ فِیها دِفْ‌ءٌ وَ مَنافِعُ وَ مِنْها تَأْکُلُونَ،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الخیل والبغال والحمیر، فالمشهور حلّیتها علی کراهیة؛ لصحیحة محمدبن مسلم عن أبی‌جعفر علیه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سألته عن لحوم الخیل والبغال والحمیر،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ولکنّ الناس یعافونها</w:t>
      </w:r>
      <w:r>
        <w:rPr>
          <w:rFonts w:eastAsia="IRNazanin" w:cs="IRNazanin"/>
          <w:color w:val="111111"/>
          <w:sz w:val="28"/>
          <w:szCs w:val="28"/>
          <w:rtl w:val="true"/>
          <w:lang w:bidi="fa-IR"/>
        </w:rPr>
        <w:t xml:space="preserve">. </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وبذلک یحمل ما ورد من النهی عن أکلها علی الکراهیة جمعاً، نحو صحیح ابن مسکان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عبدالله علیه السلام عن أکل الخیل والبغال،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رسول‌الله صلی الله علیه و آله عنها ولا تأکلها إلاّ أن تضطرّ إلیها</w:t>
      </w:r>
      <w:r>
        <w:rPr>
          <w:rFonts w:eastAsia="IRNazanin" w:cs="IRNazanin"/>
          <w:color w:val="111111"/>
          <w:sz w:val="28"/>
          <w:szCs w:val="28"/>
          <w:rtl w:val="true"/>
          <w:lang w:bidi="fa-IR"/>
        </w:rPr>
        <w:t xml:space="preserve">. </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 xml:space="preserve">وکذلک یحلّ من الوحش البقر، وکبش الجبل، والحُمُر الوحشیة، والغزلان، والیحامیر </w:t>
      </w:r>
      <w:r>
        <w:rPr>
          <w:rStyle w:val="FootnoteAnchor"/>
          <w:rtl w:val="true"/>
        </w:rPr>
        <w:footnoteReference w:id="914"/>
      </w:r>
      <w:r>
        <w:rPr>
          <w:rFonts w:ascii="Amiri" w:hAnsi="Amiri" w:eastAsia="Amiri" w:cs="Amiri"/>
          <w:color w:val="111111"/>
          <w:sz w:val="28"/>
          <w:sz w:val="28"/>
          <w:szCs w:val="28"/>
          <w:rtl w:val="true"/>
          <w:lang w:bidi="ar-SA"/>
        </w:rPr>
        <w:t>بلا خلاف؛ وللروایات عدا کبش الجبل الذی یمکن التمسّک لإثبات حلیته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ثَمانِیَةَ أَزْواجٍ مِنَ الضَّأْنِ اثْنَیْنِ وَ مِنَ الْمَعْزِ اثْنَیْنِ قُلْ آلذَّکَرَیْنِ حَرَّمَ أَمِ الْأُنْثَیَیْنِ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الإطلاق یشمل الوحشی منه الذی هو کبش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ویحرم من حیوان البرّ خمسة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الکلب والخنزیر؛ لنجاستهما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عَلَیْکُمُ الْمَیْتَةُ وَ الدَّمُ وَ لَحْمُ الْخِنْزِیرِ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السباع، کالأسد والنمر والفهد بلا خلاف؛ لموثقة سماعة بن مهران فی حدیث عن الصادق علیه السلام قال</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سماعة، السبع کلّه حرام وإن کان سبعاً لاناب له</w:t>
      </w:r>
      <w:r>
        <w:rPr>
          <w:rFonts w:eastAsia="IRNazanin" w:cs="IRNazanin"/>
          <w:color w:val="111111"/>
          <w:sz w:val="28"/>
          <w:szCs w:val="28"/>
          <w:rtl w:val="true"/>
          <w:lang w:bidi="fa-IR"/>
        </w:rPr>
        <w:t xml:space="preserve">.... </w:t>
      </w:r>
      <w:r>
        <w:rPr>
          <w:rStyle w:val="FootnoteAnchor"/>
          <w:rtl w:val="true"/>
        </w:rPr>
        <w:footnoteReference w:id="91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المسوخ کالقردة والخنازیر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لموثقة سماعة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الله ورسوله المسوخ جمیعاً</w:t>
      </w:r>
      <w:r>
        <w:rPr>
          <w:rFonts w:eastAsia="IRNazanin" w:cs="IRNazanin"/>
          <w:color w:val="111111"/>
          <w:sz w:val="28"/>
          <w:szCs w:val="28"/>
          <w:rtl w:val="true"/>
          <w:lang w:bidi="fa-IR"/>
        </w:rPr>
        <w:t xml:space="preserve">. </w:t>
      </w:r>
      <w:r>
        <w:rPr>
          <w:rStyle w:val="FootnoteAnchor"/>
          <w:rtl w:val="true"/>
        </w:rPr>
        <w:footnoteReference w:id="91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الحشرات، وهی کلّ حیوان یأوی ثقوب الأرض، کالحیة، والعقرب، والفأرة بلا خلاف فی حرمتها، وبها روایة مرسلة</w:t>
      </w:r>
      <w:r>
        <w:rPr>
          <w:rFonts w:eastAsia="IRNazanin" w:cs="IRNazanin"/>
          <w:color w:val="111111"/>
          <w:sz w:val="28"/>
          <w:szCs w:val="28"/>
          <w:rtl w:val="true"/>
          <w:lang w:bidi="fa-IR"/>
        </w:rPr>
        <w:t xml:space="preserve">. </w:t>
      </w:r>
      <w:r>
        <w:rPr>
          <w:rStyle w:val="FootnoteAnchor"/>
          <w:rtl w:val="true"/>
        </w:rPr>
        <w:footnoteReference w:id="91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الخبائث من الحیوانات، مثل الخنافس، والخفاش، والقمل؛ استناداً 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یُحِلُّ لَهُمُ الطَّیِّباتِ وَ یُحَرِّمُ عَلَیْهِمُ الْخَبائِثَ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علی أنّ المراد منها ما تشمئزّ منه النفوس دون الأعمال السیئة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وکیفما کان فقد ادّعی الإجماع علی حرمة مثل الذباب، والبق والفراش، والدیدان وما شاکل ذلک</w:t>
      </w:r>
      <w:r>
        <w:rPr>
          <w:rFonts w:eastAsia="Amiri" w:cs="Amiri" w:ascii="Amiri" w:hAnsi="Amiri"/>
          <w:color w:val="111111"/>
          <w:sz w:val="28"/>
          <w:szCs w:val="28"/>
          <w:rtl w:val="true"/>
          <w:lang w:bidi="ar-SA"/>
        </w:rPr>
        <w:t>.</w:t>
      </w:r>
      <w:bookmarkStart w:id="1020" w:name="pg5021_49542"/>
    </w:p>
    <w:p>
      <w:pPr>
        <w:pStyle w:val="Heading3"/>
        <w:numPr>
          <w:ilvl w:val="2"/>
          <w:numId w:val="1"/>
        </w:numPr>
        <w:rPr/>
      </w:pPr>
      <w:bookmarkStart w:id="1021" w:name="__RefHeading___Toc581076_774463916"/>
      <w:bookmarkStart w:id="1022" w:name="_Toc406"/>
      <w:bookmarkEnd w:id="1020"/>
      <w:bookmarkEnd w:id="1021"/>
      <w:r>
        <w:rPr>
          <w:rtl w:val="true"/>
        </w:rPr>
        <w:t>الدرس</w:t>
      </w:r>
      <w:r>
        <w:rPr/>
        <w:t>10</w:t>
      </w:r>
      <w:r>
        <w:rPr>
          <w:rtl w:val="true"/>
        </w:rPr>
        <w:t xml:space="preserve"> - </w:t>
      </w:r>
      <w:r>
        <w:rPr>
          <w:rtl w:val="true"/>
        </w:rPr>
        <w:t xml:space="preserve">کتاب الأطعمة والأشربة </w:t>
      </w:r>
      <w:r>
        <w:rPr>
          <w:rtl w:val="true"/>
        </w:rPr>
        <w:t>(</w:t>
      </w:r>
      <w:r>
        <w:rPr/>
        <w:t>2</w:t>
      </w:r>
      <w:r>
        <w:rPr>
          <w:rtl w:val="true"/>
        </w:rPr>
        <w:t>)</w:t>
      </w:r>
      <w:bookmarkEnd w:id="1022"/>
    </w:p>
    <w:p>
      <w:pPr>
        <w:pStyle w:val="Heading4"/>
        <w:numPr>
          <w:ilvl w:val="3"/>
          <w:numId w:val="1"/>
        </w:numPr>
        <w:rPr/>
      </w:pPr>
      <w:bookmarkStart w:id="1023" w:name="__RefHeading___Toc581078_774463916"/>
      <w:bookmarkStart w:id="1024" w:name="_Toc407"/>
      <w:bookmarkEnd w:id="1023"/>
      <w:r>
        <w:rPr>
          <w:rtl w:val="true"/>
        </w:rPr>
        <w:t>أحکام الطیور</w:t>
      </w:r>
      <w:bookmarkEnd w:id="1024"/>
    </w:p>
    <w:p>
      <w:pPr>
        <w:pStyle w:val="BookText"/>
        <w:rPr/>
      </w:pPr>
      <w:r>
        <w:rPr>
          <w:rFonts w:ascii="IRNazanin" w:hAnsi="IRNazanin" w:eastAsia="IRNazanin"/>
          <w:color w:val="111111"/>
          <w:sz w:val="28"/>
          <w:sz w:val="28"/>
          <w:szCs w:val="28"/>
          <w:rtl w:val="true"/>
          <w:lang w:bidi="fa-IR"/>
        </w:rPr>
        <w:t>وأمّا الطیور فیحرم منها السبع؛ لما تقدّم من عموم موثّقة سماعة، وما کان صفیفه أکثر من دفیفه؛ لصحیحة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 أبا جعفر علیه السلام عما یؤکل من الطیر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دفّ ولا تأکل ما صفّ</w:t>
      </w:r>
      <w:r>
        <w:rPr>
          <w:rFonts w:eastAsia="IRNazanin" w:cs="IRNazanin"/>
          <w:color w:val="111111"/>
          <w:sz w:val="28"/>
          <w:szCs w:val="28"/>
          <w:rtl w:val="true"/>
          <w:lang w:bidi="fa-IR"/>
        </w:rPr>
        <w:t xml:space="preserve">. </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وکذا ما لم تکن له، قانصة ولا حوصلة ولا صیصة</w:t>
      </w:r>
      <w:r>
        <w:rPr>
          <w:rFonts w:eastAsia="IRNazanin" w:cs="IRNazanin"/>
          <w:color w:val="111111"/>
          <w:sz w:val="28"/>
          <w:szCs w:val="28"/>
          <w:rtl w:val="true"/>
          <w:lang w:bidi="fa-IR"/>
        </w:rPr>
        <w:t xml:space="preserve">. </w:t>
      </w:r>
      <w:r>
        <w:rPr>
          <w:rStyle w:val="FootnoteAnchor"/>
          <w:rtl w:val="true"/>
        </w:rPr>
        <w:footnoteReference w:id="919"/>
      </w:r>
      <w:r>
        <w:rPr>
          <w:rFonts w:ascii="IRNazanin" w:hAnsi="IRNazanin" w:eastAsia="IRNazanin"/>
          <w:color w:val="111111"/>
          <w:sz w:val="28"/>
          <w:sz w:val="28"/>
          <w:szCs w:val="28"/>
          <w:rtl w:val="true"/>
          <w:lang w:bidi="fa-IR"/>
        </w:rPr>
        <w:t xml:space="preserve">للروایات، منها معتبرة ابن بکیر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من الطیر ما کانت له قانصة أو صیصة أو حوصلة</w:t>
      </w:r>
      <w:r>
        <w:rPr>
          <w:rFonts w:eastAsia="IRNazanin" w:cs="IRNazanin"/>
          <w:color w:val="111111"/>
          <w:sz w:val="28"/>
          <w:szCs w:val="28"/>
          <w:rtl w:val="true"/>
          <w:lang w:bidi="fa-IR"/>
        </w:rPr>
        <w:t xml:space="preserve">. </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ولا فرق فیما ذکر بین طیر البرّ وطیر الماء؛ لإطلاق النصوص</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 تَغرْض الحرمة علی الحیوان المحلّل لاُمور،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الجلل، بأن یتغذّی الحیوان من عذرة الإنسان إلی حدّ یصدق أنّها غذاؤه، علی المشهور، لصحیحة هشام بن سالم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تأکل لحوم الجلّالات</w:t>
      </w:r>
      <w:r>
        <w:rPr>
          <w:rFonts w:eastAsia="IRNazanin" w:cs="IRNazanin"/>
          <w:color w:val="111111"/>
          <w:sz w:val="28"/>
          <w:szCs w:val="28"/>
          <w:rtl w:val="true"/>
          <w:lang w:bidi="fa-IR"/>
        </w:rPr>
        <w:t xml:space="preserve">... </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وعنوان الجلال إمّا ظاهر فیما ذکر أو هو المتیقّن منه، فیبقی الزائد داخلاً فی دلیل حلّیة الحیوان المشکوک، ثمّ إنّ الحرمة تزول بمنعه من التغذّی بذلک إلی أن یزول عنه اسم الجلل قطعاً، فبزوال الموضوع یزول حکمه، نعم، إذا شکّ فی الزوال یحرم للاستصحاب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موطوئة الانسان، فإنّه بذلک یحرم لحم الحیوان الموطوء ولبنه لِما فی الصحیح عن أبی عبدالله علیه السلام وأبی إبراهیم موسی وأبی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الرجل یأتی البهیمة فقالوا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البهیمة للفاعل ذبحت فاذا ماتت احرقت بالنار ولم ینتفع بها وضرب هو خمسة وعشرین سوطاً ربع حدّ الزانی</w:t>
      </w:r>
      <w:r>
        <w:rPr>
          <w:rFonts w:eastAsia="IRNazanin" w:cs="IRNazanin"/>
          <w:color w:val="111111"/>
          <w:sz w:val="28"/>
          <w:szCs w:val="28"/>
          <w:rtl w:val="true"/>
          <w:lang w:bidi="fa-IR"/>
        </w:rPr>
        <w:t xml:space="preserve">. </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فقولهم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ینتفع بها یدل علی حرمة لحمها ولبنها، بل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بحرمة نسلها أیضاً، وهل یختص الحکم بالبهیمة دون سائر الحیوانات، فیه تأمل</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أی زهاق روح الحیوان من دون تذکیة؛ لحرمة المیتة فی الإسلام بالضرورة،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عَلَیْکُمُ الْمَیْتَةُ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ذَکَّیْتُمْ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وإطلاق حرمة المیتة یشمل حتی ما لانفس سائلة له کالسمک؛ وإن کان طاهراً، نعم، یستثنی من حرمة أجزاء المیتة ما لا تحلّه الحیوة، کاللبن، والبیضة إذا اکتست قشرها الأعلی، والإنفحة؛ </w:t>
      </w:r>
      <w:r>
        <w:rPr>
          <w:rStyle w:val="FootnoteAnchor"/>
          <w:rtl w:val="true"/>
        </w:rPr>
        <w:footnoteReference w:id="923"/>
      </w:r>
      <w:r>
        <w:rPr>
          <w:rFonts w:ascii="IRNazanin" w:hAnsi="IRNazanin" w:eastAsia="IRNazanin"/>
          <w:color w:val="111111"/>
          <w:sz w:val="28"/>
          <w:sz w:val="28"/>
          <w:szCs w:val="28"/>
          <w:rtl w:val="true"/>
          <w:lang w:bidi="fa-IR"/>
        </w:rPr>
        <w:t xml:space="preserve">لصحیحة زرارة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الإنفحة تخرج من الجدی المیت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اللبن یکون فی الشاة وقد ماتت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والصوف، والشعر؛ وعظام الفیل، والجلد؛ والبیض، یخرج من الدجاجة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هذا لا بأس به</w:t>
      </w:r>
      <w:r>
        <w:rPr>
          <w:rFonts w:eastAsia="IRNazanin" w:cs="IRNazanin"/>
          <w:color w:val="111111"/>
          <w:sz w:val="28"/>
          <w:szCs w:val="28"/>
          <w:rtl w:val="true"/>
          <w:lang w:bidi="fa-IR"/>
        </w:rPr>
        <w:t xml:space="preserve">. </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 xml:space="preserve">نعم، لا بدّ من تقیید البیضة بما اکتست القشر الأعلی؛ لموثقة غیاث‌بن إبراهیم عن أبی عبدالله علیه السلام </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بیضة خرجت من أست دجاجة میتة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اکتست البیضة الجلد الغلیظ فلا بأس بها</w:t>
      </w:r>
      <w:r>
        <w:rPr>
          <w:rFonts w:eastAsia="IRNazanin" w:cs="IRNazanin"/>
          <w:color w:val="111111"/>
          <w:sz w:val="28"/>
          <w:szCs w:val="28"/>
          <w:rtl w:val="true"/>
          <w:lang w:bidi="fa-IR"/>
        </w:rPr>
        <w:t xml:space="preserve">. </w:t>
      </w:r>
      <w:r>
        <w:rPr>
          <w:rStyle w:val="FootnoteAnchor"/>
          <w:rtl w:val="true"/>
        </w:rPr>
        <w:footnoteReference w:id="925"/>
      </w:r>
      <w:bookmarkStart w:id="1025" w:name="pg5021_49545"/>
    </w:p>
    <w:p>
      <w:pPr>
        <w:pStyle w:val="Heading3"/>
        <w:numPr>
          <w:ilvl w:val="2"/>
          <w:numId w:val="1"/>
        </w:numPr>
        <w:rPr/>
      </w:pPr>
      <w:bookmarkStart w:id="1026" w:name="__RefHeading___Toc581080_774463916"/>
      <w:bookmarkStart w:id="1027" w:name="_Toc408"/>
      <w:bookmarkEnd w:id="1025"/>
      <w:bookmarkEnd w:id="1026"/>
      <w:r>
        <w:rPr>
          <w:rtl w:val="true"/>
        </w:rPr>
        <w:t>الدرس</w:t>
      </w:r>
      <w:r>
        <w:rPr/>
        <w:t>11</w:t>
      </w:r>
      <w:r>
        <w:rPr>
          <w:rtl w:val="true"/>
        </w:rPr>
        <w:t xml:space="preserve"> - </w:t>
      </w:r>
      <w:r>
        <w:rPr>
          <w:rtl w:val="true"/>
        </w:rPr>
        <w:t>کتاب الصید والذباحة</w:t>
      </w:r>
      <w:bookmarkEnd w:id="1027"/>
    </w:p>
    <w:p>
      <w:pPr>
        <w:pStyle w:val="Heading4"/>
        <w:numPr>
          <w:ilvl w:val="3"/>
          <w:numId w:val="1"/>
        </w:numPr>
        <w:rPr/>
      </w:pPr>
      <w:bookmarkStart w:id="1028" w:name="__RefHeading___Toc581082_774463916"/>
      <w:bookmarkStart w:id="1029" w:name="_Toc409"/>
      <w:bookmarkEnd w:id="1028"/>
      <w:r>
        <w:rPr>
          <w:rtl w:val="true"/>
        </w:rPr>
        <w:t>وسائل تحقق التذکیة</w:t>
      </w:r>
      <w:bookmarkEnd w:id="1029"/>
    </w:p>
    <w:p>
      <w:pPr>
        <w:pStyle w:val="BookText"/>
        <w:rPr/>
      </w:pPr>
      <w:r>
        <w:rPr>
          <w:rFonts w:ascii="Amiri" w:hAnsi="Amiri" w:eastAsia="Amiri" w:cs="Amiri"/>
          <w:color w:val="111111"/>
          <w:sz w:val="28"/>
          <w:sz w:val="28"/>
          <w:szCs w:val="28"/>
          <w:rtl w:val="true"/>
          <w:lang w:bidi="ar-SA"/>
        </w:rPr>
        <w:t>لا یجوز أکل لحم الحیوان المحللّ شرعاً إلّا إذا کان مذکّی،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عَلَیْکُمُ الْمَیْتَةُ وَ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ذَکَّیْتُمْ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وتتحقق التذکیة بالذبح والنحر والاصطیاد، أمّا الذبح فیشترط فی تحقق التذکیة به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الأعضاء الأربعة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المریء والحلقوم والودجین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ویقال للجمیع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الأوداج الأربعة، واعتبار قطع الأربعة هو المشهور وظاهر بعضهم الاکتفاء بقطع الحلقوم والودجین؛ </w:t>
      </w:r>
      <w:r>
        <w:rPr>
          <w:rStyle w:val="FootnoteAnchor"/>
          <w:rtl w:val="true"/>
        </w:rPr>
        <w:footnoteReference w:id="926"/>
      </w:r>
      <w:r>
        <w:rPr>
          <w:rFonts w:ascii="IRNazanin" w:hAnsi="IRNazanin" w:eastAsia="IRNazanin"/>
          <w:color w:val="111111"/>
          <w:sz w:val="28"/>
          <w:sz w:val="28"/>
          <w:szCs w:val="28"/>
          <w:rtl w:val="true"/>
          <w:lang w:bidi="fa-IR"/>
        </w:rPr>
        <w:t xml:space="preserve">وعن آخر المیل إلی الاکتفاء بقطع الحلقوم وخروج الدم خاصّة؛ </w:t>
      </w:r>
      <w:r>
        <w:rPr>
          <w:rStyle w:val="FootnoteAnchor"/>
          <w:rtl w:val="true"/>
        </w:rPr>
        <w:footnoteReference w:id="927"/>
      </w:r>
      <w:r>
        <w:rPr>
          <w:rFonts w:ascii="IRNazanin" w:hAnsi="IRNazanin" w:eastAsia="IRNazanin"/>
          <w:color w:val="111111"/>
          <w:sz w:val="28"/>
          <w:sz w:val="28"/>
          <w:szCs w:val="28"/>
          <w:rtl w:val="true"/>
          <w:lang w:bidi="fa-IR"/>
        </w:rPr>
        <w:t>والوارد فی صحیحة عبدالرحمن بن الحجاج عن إبی ابراهیم علیه السلام فی حدیث 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فری الأوداج فلا بأس بذلک</w:t>
      </w:r>
      <w:r>
        <w:rPr>
          <w:rFonts w:eastAsia="IRNazanin" w:cs="IRNazanin"/>
          <w:color w:val="111111"/>
          <w:sz w:val="28"/>
          <w:szCs w:val="28"/>
          <w:rtl w:val="true"/>
          <w:lang w:bidi="fa-IR"/>
        </w:rPr>
        <w:t xml:space="preserve">» </w:t>
      </w:r>
      <w:r>
        <w:rPr>
          <w:rStyle w:val="FootnoteAnchor"/>
          <w:rtl w:val="true"/>
        </w:rPr>
        <w:footnoteReference w:id="928"/>
      </w:r>
      <w:r>
        <w:rPr>
          <w:rFonts w:ascii="IRNazanin" w:hAnsi="IRNazanin" w:eastAsia="IRNazanin"/>
          <w:color w:val="111111"/>
          <w:sz w:val="28"/>
          <w:sz w:val="28"/>
          <w:szCs w:val="28"/>
          <w:rtl w:val="true"/>
          <w:lang w:bidi="fa-IR"/>
        </w:rPr>
        <w:t>قال الشهید فی</w:t>
      </w:r>
    </w:p>
    <w:p>
      <w:pPr>
        <w:pStyle w:val="BookText"/>
        <w:rPr/>
      </w:pP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الأوداج بصیغة الجمع یطلق علی الأربعة</w:t>
      </w:r>
      <w:r>
        <w:rPr>
          <w:rFonts w:eastAsia="IRNazanin" w:cs="IRNazanin"/>
          <w:color w:val="111111"/>
          <w:sz w:val="28"/>
          <w:szCs w:val="28"/>
          <w:rtl w:val="true"/>
          <w:lang w:bidi="fa-IR"/>
        </w:rPr>
        <w:t xml:space="preserve">&gt;. </w:t>
      </w:r>
      <w:r>
        <w:rPr>
          <w:rStyle w:val="FootnoteAnchor"/>
          <w:rtl w:val="true"/>
        </w:rPr>
        <w:footnoteReference w:id="929"/>
      </w:r>
      <w:r>
        <w:rPr>
          <w:rFonts w:ascii="IRNazanin" w:hAnsi="IRNazanin" w:eastAsia="IRNazanin"/>
          <w:color w:val="111111"/>
          <w:sz w:val="28"/>
          <w:sz w:val="28"/>
          <w:szCs w:val="28"/>
          <w:rtl w:val="true"/>
          <w:lang w:bidi="fa-IR"/>
        </w:rPr>
        <w:t>لکّن الوارد فی صحیحة زید الشحام عن الصادق علیه السلام فی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قطع الحلقوم وخرج الدم فلا بأس به</w:t>
      </w:r>
      <w:r>
        <w:rPr>
          <w:rFonts w:eastAsia="IRNazanin" w:cs="IRNazanin"/>
          <w:color w:val="111111"/>
          <w:sz w:val="28"/>
          <w:szCs w:val="28"/>
          <w:rtl w:val="true"/>
          <w:lang w:bidi="fa-IR"/>
        </w:rPr>
        <w:t xml:space="preserve">. </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ولذا مال العلامة فی المختلف إلی الاکتفاء بقطع الحلقوم والودجین بالجمع بین الروایتین، والذی یسهّل الخطب ما ذکره المقداد من أنّ الأوداج الأربعة متصلة بعضها ببعض، فإذا قطع الحلقوم فلا بد وأن یقطع الباقی معه</w:t>
      </w:r>
      <w:r>
        <w:rPr>
          <w:rFonts w:eastAsia="IRNazanin" w:cs="IRNazanin"/>
          <w:color w:val="111111"/>
          <w:sz w:val="28"/>
          <w:szCs w:val="28"/>
          <w:rtl w:val="true"/>
          <w:lang w:bidi="fa-IR"/>
        </w:rPr>
        <w:t xml:space="preserve">. </w:t>
      </w:r>
      <w:r>
        <w:rPr>
          <w:rStyle w:val="FootnoteAnchor"/>
          <w:rtl w:val="true"/>
        </w:rPr>
        <w:footnoteReference w:id="93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 الذابح مسلماً، فلا تحلّ ذبیحة الکافر علی المشهور، بل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کاد یکون من ضروریات المذهب فی زماننا، وإنّما الکلام فی ذبیحة أهل الکتاب، فقد اختلف الأصحاب فیها والمشهور فیها أیضاً الحرمة،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بالحلّ مطلقاً، وقیل بالحلّ مع سماع التسمیة علیها، والاختلاف فی ذلک نشأ من اختلاف الروایات، والبحث حولها یستدعی مجالاً أوسع لا یسعه هذا المختصر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الذبح بالحدید، فلا یحلّ بغیره مع القدرة بلا خلاف؛ لصحیحة محمد بن مسلم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جعفر علیه السلام عن الذبیحة باللطة وبالمروة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32"/>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ذکاة الاّ بحدیدة</w:t>
      </w:r>
      <w:r>
        <w:rPr>
          <w:rFonts w:eastAsia="IRNazanin" w:cs="IRNazanin"/>
          <w:color w:val="111111"/>
          <w:sz w:val="28"/>
          <w:szCs w:val="28"/>
          <w:rtl w:val="true"/>
          <w:lang w:bidi="fa-IR"/>
        </w:rPr>
        <w:t xml:space="preserve">. </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 xml:space="preserve">وغیر ذلک من الروایات الکثیرة، نعم، إذا لم توجد الحدیدة یجوز الذبح بغیره ففی صحیح عبدالله بن سنان عن أبی عبدالله علیه السلام </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بأس أن تأکل ما ذُبح بحجر إذا لم تجد حدیدة</w:t>
      </w:r>
      <w:r>
        <w:rPr>
          <w:rFonts w:eastAsia="IRNazanin" w:cs="IRNazanin"/>
          <w:color w:val="111111"/>
          <w:sz w:val="28"/>
          <w:szCs w:val="28"/>
          <w:rtl w:val="true"/>
          <w:lang w:bidi="fa-IR"/>
        </w:rPr>
        <w:t xml:space="preserve">. </w:t>
      </w:r>
      <w:r>
        <w:rPr>
          <w:rStyle w:val="FootnoteAnchor"/>
          <w:rtl w:val="true"/>
        </w:rPr>
        <w:footnoteReference w:id="93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ذکر اسم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الذبح، بلا خلاف؛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تَأْکُلُوا مِمّا لَمْ یُذْکَرِ اسْمُ اللّهِ عَلَیْهِ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ترکها نسیاناً لا تحرم؛ لصحیحة محمد بن مسلم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سألت أبا جعفر علیه السلام عن الرجل یذبح ولا یسمّی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ناسیاً فلا بأس إذا کان مسلماً</w:t>
      </w:r>
      <w:r>
        <w:rPr>
          <w:rFonts w:eastAsia="IRNazanin" w:cs="IRNazanin"/>
          <w:color w:val="111111"/>
          <w:sz w:val="28"/>
          <w:szCs w:val="28"/>
          <w:rtl w:val="true"/>
          <w:lang w:bidi="fa-IR"/>
        </w:rPr>
        <w:t xml:space="preserve">.... </w:t>
      </w:r>
      <w:r>
        <w:rPr>
          <w:rStyle w:val="FootnoteAnchor"/>
          <w:rtl w:val="true"/>
        </w:rPr>
        <w:footnoteReference w:id="93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استقبال القبلة بالحیوان حالة ذبحه، إلاّ إذا کان ناسیاً؛ لصحیحة الحلبی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 عن الذبیحة تذبح لغیر القبلة،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إذا لم یتعمّد</w:t>
      </w:r>
      <w:r>
        <w:rPr>
          <w:rFonts w:eastAsia="IRNazanin" w:cs="IRNazanin"/>
          <w:color w:val="111111"/>
          <w:sz w:val="28"/>
          <w:szCs w:val="28"/>
          <w:rtl w:val="true"/>
          <w:lang w:bidi="fa-IR"/>
        </w:rPr>
        <w:t xml:space="preserve">. </w:t>
      </w:r>
      <w:r>
        <w:rPr>
          <w:rStyle w:val="FootnoteAnchor"/>
          <w:rtl w:val="true"/>
        </w:rPr>
        <w:footnoteReference w:id="93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الدم بالمقدار المتعارف، مع تحریک الحیوان بعض إطرافه کالرجل أو الذنب وما شاکل ذلک بعد الذبح جمعاً؛ لصحیحة زید الشحام المتقدّمة حیث جاء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قطع الحلقوم وخرج الدم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وبین صحیحة الحلبی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الذبیحة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تحرّک الذنب أو الطرف أو الأذن فهو ذکیّ</w:t>
      </w:r>
      <w:r>
        <w:rPr>
          <w:rFonts w:eastAsia="IRNazanin" w:cs="IRNazanin"/>
          <w:color w:val="111111"/>
          <w:sz w:val="28"/>
          <w:szCs w:val="28"/>
          <w:rtl w:val="true"/>
          <w:lang w:bidi="fa-IR"/>
        </w:rPr>
        <w:t xml:space="preserve">. </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ویشهد هنا للزوم اجتماع الأمرین؛ صحیحة أبی بصیر سألت أباعبدالله علیه السلام</w:t>
      </w:r>
    </w:p>
    <w:p>
      <w:pPr>
        <w:pStyle w:val="BookText"/>
        <w:rPr/>
      </w:pPr>
      <w:r>
        <w:rPr>
          <w:rFonts w:ascii="IRNazanin" w:hAnsi="IRNazanin" w:eastAsia="IRNazanin"/>
          <w:color w:val="111111"/>
          <w:sz w:val="28"/>
          <w:sz w:val="28"/>
          <w:szCs w:val="28"/>
          <w:rtl w:val="true"/>
          <w:lang w:bidi="fa-IR"/>
        </w:rPr>
        <w:t>عن الشاة تُذبح فلا تتحرک ویهراق منها دم کثیر عبیط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تأکل، إنّ علیاً علیه 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رکضت الرجل أو طرفت العین فکُل</w:t>
      </w:r>
      <w:r>
        <w:rPr>
          <w:rFonts w:eastAsia="IRNazanin" w:cs="IRNazanin"/>
          <w:color w:val="111111"/>
          <w:sz w:val="28"/>
          <w:szCs w:val="28"/>
          <w:rtl w:val="true"/>
          <w:lang w:bidi="fa-IR"/>
        </w:rPr>
        <w:t xml:space="preserve">. </w:t>
      </w:r>
      <w:r>
        <w:rPr>
          <w:rStyle w:val="FootnoteAnchor"/>
          <w:rtl w:val="true"/>
        </w:rPr>
        <w:footnoteReference w:id="938"/>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أنّ المنسوب إلی کثیر من الأصحاب کراهة قطع رأس الذبیحة قبل خروج روحها، وکذا قطع نخاعها؛ للنهی عنهما فی الروایات کقوله علیه السلام فی صحیحة محمد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ینخع ولا یقطع الرقبة بعد ما یذبح</w:t>
      </w:r>
      <w:r>
        <w:rPr>
          <w:rFonts w:eastAsia="IRNazanin" w:cs="IRNazanin"/>
          <w:color w:val="111111"/>
          <w:sz w:val="28"/>
          <w:szCs w:val="28"/>
          <w:rtl w:val="true"/>
          <w:lang w:bidi="fa-IR"/>
        </w:rPr>
        <w:t xml:space="preserve">. </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ولولا الشهرة لکان الحمل علی الحرمة متعیّناً بل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فی أمثال المقام ظاهر فی اشتراط عدمهما وضعاً، فیحرم الحیوان مع قطعهما</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الذبح بالمکائن الحدیثة جائز، مع اجتماع الشرائط المتقدّمة فیجوز الذبح حالة عدم وضعه علی الارض أو إغمائه بسبب توجیه الشحنة الکهربائیة لیخمد عن الاضطراب والتحرّک لإطلاق الأدلة، کما لا یضرّ الذبح بواسطة الضغط علی الزر الکهربائی إذا کان الذابح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الحین، ویکفی التسمیة الواحدة حینئذٍ علی الجمیع إذا کان الفاصل الزمنی بین ذبح کلّ حیوان قلیلاً بعد فرض صدق مقارنة ذکر اسم الله تعالی عند ذبح الجمیع فتأمّل</w:t>
      </w:r>
      <w:r>
        <w:rPr>
          <w:rFonts w:eastAsia="IRNazanin" w:cs="IRNazanin"/>
          <w:color w:val="111111"/>
          <w:sz w:val="28"/>
          <w:szCs w:val="28"/>
          <w:rtl w:val="true"/>
          <w:lang w:bidi="fa-IR"/>
        </w:rPr>
        <w:t>.</w:t>
      </w:r>
      <w:bookmarkStart w:id="1030" w:name="pg5021_49549"/>
    </w:p>
    <w:p>
      <w:pPr>
        <w:pStyle w:val="Heading3"/>
        <w:numPr>
          <w:ilvl w:val="2"/>
          <w:numId w:val="1"/>
        </w:numPr>
        <w:rPr/>
      </w:pPr>
      <w:bookmarkStart w:id="1031" w:name="__RefHeading___Toc581084_774463916"/>
      <w:bookmarkStart w:id="1032" w:name="_Toc410"/>
      <w:bookmarkEnd w:id="1030"/>
      <w:bookmarkEnd w:id="1031"/>
      <w:r>
        <w:rPr>
          <w:rtl w:val="true"/>
        </w:rPr>
        <w:t>الدرس</w:t>
      </w:r>
      <w:r>
        <w:rPr/>
        <w:t>12</w:t>
      </w:r>
      <w:r>
        <w:rPr>
          <w:rtl w:val="true"/>
        </w:rPr>
        <w:t xml:space="preserve"> - </w:t>
      </w:r>
      <w:r>
        <w:rPr>
          <w:rtl w:val="true"/>
        </w:rPr>
        <w:t xml:space="preserve">کتاب الصید والذباحة </w:t>
      </w:r>
      <w:r>
        <w:rPr>
          <w:rtl w:val="true"/>
        </w:rPr>
        <w:t>(</w:t>
      </w:r>
      <w:r>
        <w:rPr/>
        <w:t>2</w:t>
      </w:r>
      <w:r>
        <w:rPr>
          <w:rtl w:val="true"/>
        </w:rPr>
        <w:t>)</w:t>
      </w:r>
      <w:bookmarkEnd w:id="1032"/>
    </w:p>
    <w:p>
      <w:pPr>
        <w:pStyle w:val="Heading4"/>
        <w:numPr>
          <w:ilvl w:val="3"/>
          <w:numId w:val="1"/>
        </w:numPr>
        <w:rPr/>
      </w:pPr>
      <w:bookmarkStart w:id="1033" w:name="__RefHeading___Toc581086_774463916"/>
      <w:bookmarkStart w:id="1034" w:name="_Toc411"/>
      <w:bookmarkEnd w:id="1033"/>
      <w:r>
        <w:rPr>
          <w:rtl w:val="true"/>
        </w:rPr>
        <w:t>النحر</w:t>
      </w:r>
      <w:bookmarkEnd w:id="1034"/>
    </w:p>
    <w:p>
      <w:pPr>
        <w:pStyle w:val="BookText"/>
        <w:rPr/>
      </w:pPr>
      <w:r>
        <w:rPr>
          <w:rFonts w:ascii="IRNazanin" w:hAnsi="IRNazanin" w:eastAsia="IRNazanin"/>
          <w:color w:val="111111"/>
          <w:sz w:val="28"/>
          <w:sz w:val="28"/>
          <w:szCs w:val="28"/>
          <w:rtl w:val="true"/>
          <w:lang w:bidi="fa-IR"/>
        </w:rPr>
        <w:t xml:space="preserve">تختص الإبل من بین بقیة الحیوانات بان تذکیتها لا تتحقق الا بالنحر، وذلک بطعن الآلة الحدیدیه فی لبتها </w:t>
      </w:r>
      <w:r>
        <w:rPr>
          <w:rStyle w:val="FootnoteAnchor"/>
          <w:rtl w:val="true"/>
        </w:rPr>
        <w:footnoteReference w:id="940"/>
      </w:r>
      <w:r>
        <w:rPr>
          <w:rFonts w:ascii="IRNazanin" w:hAnsi="IRNazanin" w:eastAsia="IRNazanin"/>
          <w:color w:val="111111"/>
          <w:sz w:val="28"/>
          <w:sz w:val="28"/>
          <w:szCs w:val="28"/>
          <w:rtl w:val="true"/>
          <w:lang w:bidi="fa-IR"/>
        </w:rPr>
        <w:t>بلا اشکال، کما هو المشهور؛ ویدلّ علی ذلک ما دلّ علی نحر البدنة فی الحجّ ولا یجوز نحر غیره لعدم الدلیل علی وقوع التذکیة به؛ ولصحیحة صفوان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الحسن علیه السلام عن ذبح البقر من المنحر،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للبقر الذبح، وما نحر فلیس بذکیًّ</w:t>
      </w:r>
      <w:r>
        <w:rPr>
          <w:rFonts w:eastAsia="IRNazanin" w:cs="IRNazanin"/>
          <w:color w:val="111111"/>
          <w:sz w:val="28"/>
          <w:szCs w:val="28"/>
          <w:rtl w:val="true"/>
          <w:lang w:bidi="fa-IR"/>
        </w:rPr>
        <w:t xml:space="preserve">. </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وهل یجوز ذبح الإبل بدل النحر؟ المشهور علی المنع ویدلّ علیه ما رواه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منحور مذبوح حرام، وکلّ مذبوح منحور حرام</w:t>
      </w:r>
      <w:r>
        <w:rPr>
          <w:rFonts w:eastAsia="IRNazanin" w:cs="IRNazanin"/>
          <w:color w:val="111111"/>
          <w:sz w:val="28"/>
          <w:szCs w:val="28"/>
          <w:rtl w:val="true"/>
          <w:lang w:bidi="fa-IR"/>
        </w:rPr>
        <w:t xml:space="preserve">. </w:t>
      </w:r>
      <w:r>
        <w:rPr>
          <w:rStyle w:val="FootnoteAnchor"/>
          <w:rtl w:val="true"/>
        </w:rPr>
        <w:footnoteReference w:id="942"/>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وخالف فی ذلک المحقق الأردبیلی، ومال إلی جواز ذبح الإبل بمقتضی الصناعة</w:t>
      </w:r>
      <w:bookmarkStart w:id="1035" w:name="pg5021_49550"/>
    </w:p>
    <w:p>
      <w:pPr>
        <w:pStyle w:val="BookText"/>
        <w:rPr/>
      </w:pPr>
      <w:bookmarkEnd w:id="1035"/>
      <w:r>
        <w:rPr>
          <w:rFonts w:ascii="IRNazanin" w:hAnsi="IRNazanin" w:eastAsia="IRNazanin"/>
          <w:color w:val="111111"/>
          <w:sz w:val="28"/>
          <w:sz w:val="28"/>
          <w:szCs w:val="28"/>
          <w:rtl w:val="true"/>
          <w:lang w:bidi="fa-IR"/>
        </w:rPr>
        <w:t xml:space="preserve">وإن احتاط باعتبار أنّه طریق السلامة، </w:t>
      </w:r>
      <w:r>
        <w:rPr>
          <w:rStyle w:val="FootnoteAnchor"/>
          <w:rtl w:val="true"/>
        </w:rPr>
        <w:footnoteReference w:id="943"/>
      </w:r>
      <w:r>
        <w:rPr>
          <w:rFonts w:ascii="IRNazanin" w:hAnsi="IRNazanin" w:eastAsia="IRNazanin"/>
          <w:color w:val="111111"/>
          <w:sz w:val="28"/>
          <w:sz w:val="28"/>
          <w:szCs w:val="28"/>
          <w:rtl w:val="true"/>
          <w:lang w:bidi="fa-IR"/>
        </w:rPr>
        <w:t>ثمّ إنّه لابدّ من تحقق سائر الشرائط المتقدّمة فی الذبح غیر الأول منها لإطلاق أدلّتها</w:t>
      </w:r>
      <w:r>
        <w:rPr>
          <w:rFonts w:eastAsia="IRNazanin" w:cs="IRNazanin"/>
          <w:color w:val="111111"/>
          <w:sz w:val="28"/>
          <w:szCs w:val="28"/>
          <w:rtl w:val="true"/>
          <w:lang w:bidi="fa-IR"/>
        </w:rPr>
        <w:t>.</w:t>
      </w:r>
    </w:p>
    <w:p>
      <w:pPr>
        <w:pStyle w:val="Heading4"/>
        <w:numPr>
          <w:ilvl w:val="3"/>
          <w:numId w:val="1"/>
        </w:numPr>
        <w:rPr/>
      </w:pPr>
      <w:bookmarkStart w:id="1036" w:name="__RefHeading___Toc581088_774463916"/>
      <w:bookmarkStart w:id="1037" w:name="_Toc412"/>
      <w:bookmarkEnd w:id="1036"/>
      <w:r>
        <w:rPr>
          <w:rtl w:val="true"/>
        </w:rPr>
        <w:t>الاصطیاد</w:t>
      </w:r>
      <w:bookmarkEnd w:id="1037"/>
    </w:p>
    <w:p>
      <w:pPr>
        <w:pStyle w:val="BookText"/>
        <w:rPr/>
      </w:pPr>
      <w:r>
        <w:rPr>
          <w:rFonts w:ascii="IRNazanin" w:hAnsi="IRNazanin" w:eastAsia="IRNazanin"/>
          <w:color w:val="111111"/>
          <w:sz w:val="28"/>
          <w:sz w:val="28"/>
          <w:szCs w:val="28"/>
          <w:rtl w:val="true"/>
          <w:lang w:bidi="fa-IR"/>
        </w:rPr>
        <w:t>تتحقق التذکیة بالاصطیاد فی ثلاثة من الحیوانات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الحیوان الوحشی دون الأهلی؛ اذ لا یصدق الاصطیاد فی الأهلی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کالبقر والدجاج، ففی الحدیث عن علی بن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أنّ رجلاً رمی صیداً فی وکره فأصاب الطیر والفراخ جمیعاً فإنّه یؤکل الطیر ولا یؤکل الفراخ، وذلک أنّ الفراخ لیست بصید ما لم تطر، وإنّما تؤخذ بالید، وإنّما یکون صیداً إذا طار</w:t>
      </w:r>
      <w:r>
        <w:rPr>
          <w:rFonts w:eastAsia="IRNazanin" w:cs="IRNazanin"/>
          <w:color w:val="111111"/>
          <w:sz w:val="28"/>
          <w:szCs w:val="28"/>
          <w:rtl w:val="true"/>
          <w:lang w:bidi="fa-IR"/>
        </w:rPr>
        <w:t xml:space="preserve">. </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ویعتبر فی صید الحیوان الوحشی أحد الامرین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 الصید بالکلب المعلَّم دون سائر الجوارح؛ إمّا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أُحِلَّ لَکُمُ الطَّیِّباتُ وَ ما عَلَّمْتُمْ مِنَ الْجَوارِحِ مُکَلِّبِینَ تُعَلِّمُونَهُنَّ مِمّا عَلَّمَکُمُ اللّهُ فَکُلُوا مِمّا أَمْسَکْنَ عَلَیْکُمْ وَ اذْکُرُوا اسْمَ اللّهِ عَلَیْهِ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علی 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مکلّبین یدلّ علی اختصاص الجواز بالکلاب، أو للروایات منها صحیحة أبی عبیدة الحذاء عن أبی عبدالله علیه السلام فی 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أدرکت ذکاته فکل،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الفهد بمنزلة الکلب؟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لیس شیء یؤکل منه مکلّب </w:t>
      </w:r>
      <w:r>
        <w:rPr>
          <w:rStyle w:val="FootnoteAnchor"/>
          <w:rtl w:val="true"/>
        </w:rPr>
        <w:footnoteReference w:id="945"/>
      </w:r>
      <w:r>
        <w:rPr>
          <w:rFonts w:ascii="Amiri" w:hAnsi="Amiri" w:eastAsia="Amiri" w:cs="Amiri"/>
          <w:color w:val="111111"/>
          <w:sz w:val="28"/>
          <w:sz w:val="28"/>
          <w:szCs w:val="28"/>
          <w:rtl w:val="true"/>
          <w:lang w:bidi="ar-SA"/>
        </w:rPr>
        <w:t>إلاّ الکلب</w:t>
      </w:r>
      <w:r>
        <w:rPr>
          <w:rFonts w:eastAsia="Amiri" w:cs="Amiri" w:ascii="Amiri" w:hAnsi="Amiri"/>
          <w:color w:val="111111"/>
          <w:sz w:val="28"/>
          <w:szCs w:val="28"/>
          <w:rtl w:val="true"/>
          <w:lang w:bidi="ar-SA"/>
        </w:rPr>
        <w:t xml:space="preserve">. </w:t>
      </w:r>
      <w:r>
        <w:rPr>
          <w:rStyle w:val="FootnoteAnchor"/>
          <w:rtl w:val="true"/>
        </w:rPr>
        <w:footnoteReference w:id="946"/>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ویعتبر فی وقوع التذکیه بِعضِّ الکلب وجرحه امور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یکون الکلب معلَّماً بلا خلاف؛ للآیة الکریمة، وللروایات، ومنها ما تقدّم من صحیحة أبی عبیدة الحذاء وغیرها والمعلَّم منه عرفاً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ینبعث إذا بعثه صاحبه وینزجر إذا زجره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لا یأکل ما یمسکه إلاّ نادراً کما هو المشهور، إمّا لعدم صدق عنوان المعلَّم علیه مع اعتیاده للأکل أو للروایات منها موثّقة سماعة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عمّا أمسک علیه الکلب المعلَّم للصید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تأکلوا مما أمسک الکلب ممّا لم یأکل الکلب منه فإذا أکل الکلب منه قبل أن تدرکه، فلا تأکل منه</w:t>
      </w:r>
      <w:r>
        <w:rPr>
          <w:rFonts w:eastAsia="IRNazanin" w:cs="IRNazanin"/>
          <w:color w:val="111111"/>
          <w:sz w:val="28"/>
          <w:szCs w:val="28"/>
          <w:rtl w:val="true"/>
          <w:lang w:bidi="fa-IR"/>
        </w:rPr>
        <w:t xml:space="preserve">. </w:t>
      </w:r>
      <w:r>
        <w:rPr>
          <w:rStyle w:val="FootnoteAnchor"/>
          <w:rtl w:val="true"/>
        </w:rPr>
        <w:footnoteReference w:id="94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ذکر الله سبحانه عند إرساله، بلا خلاف؛ لقوله تعالی فی الآیه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اذْکُرُوا اسْمَ اللّهِ عَلَیْهِ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صحیحة الحلبی قال أبو عبدالله علیه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أرسل کلبه ولم یسَّم فلا یأکله</w:t>
      </w:r>
      <w:r>
        <w:rPr>
          <w:rFonts w:eastAsia="IRNazanin" w:cs="IRNazanin"/>
          <w:color w:val="111111"/>
          <w:sz w:val="28"/>
          <w:szCs w:val="28"/>
          <w:rtl w:val="true"/>
          <w:lang w:bidi="fa-IR"/>
        </w:rPr>
        <w:t xml:space="preserve">. </w:t>
      </w:r>
      <w:r>
        <w:rPr>
          <w:rStyle w:val="FootnoteAnchor"/>
          <w:rtl w:val="true"/>
        </w:rPr>
        <w:footnoteReference w:id="94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إرساله للأصطیاد دون استرساله بنفسه، بلا خلاف؛ وهذا واضح بناء علی اعتبار مقارنة ذکر الله للإرسال، فلا یکفی مقارنته للاسترسال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یکون المرسِل مسلماً علی المشهور، وقد یستدلّ علیه بموثقة السکونی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 المجوس لا تأکل صیده إلا أن یأخذه المسلم فیعلّمه ویرسله</w:t>
      </w:r>
      <w:r>
        <w:rPr>
          <w:rFonts w:eastAsia="IRNazanin" w:cs="IRNazanin"/>
          <w:color w:val="111111"/>
          <w:sz w:val="28"/>
          <w:szCs w:val="28"/>
          <w:rtl w:val="true"/>
          <w:lang w:bidi="fa-IR"/>
        </w:rPr>
        <w:t xml:space="preserve">... </w:t>
      </w:r>
      <w:r>
        <w:rPr>
          <w:rStyle w:val="FootnoteAnchor"/>
          <w:rtl w:val="true"/>
        </w:rPr>
        <w:footnoteReference w:id="949"/>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یقال بان ذلک مقتضی أصالة عدم التذکیة بعد عدم وجود الإطلاق فی الادلّة من هذه الجهة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استناد الموت إلی جرح الکلب دون السبب الآخر من تعب أو اصطدام أو سقوط ونحو ذلک؛ لظهور الأدلة فی تحقق التذکیة بجرح الکلب دون غیره أو المرکّب منه ومن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موت الحیوان قبل إدراک صاحب الکلب الحیوان حیاً مع تمکنه من ذبحه بان یدرکه میتاً او حیاً فی زمان لا یسع لذبحه لصحیحة محمد بن مسلم وغیر واحد عنهما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الکلب یرسله الرجل ویسمی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اخذته فادرکت ذکاته فذکّه</w:t>
      </w:r>
      <w:r>
        <w:rPr>
          <w:rFonts w:eastAsia="IRNazanin" w:cs="IRNazanin"/>
          <w:color w:val="111111"/>
          <w:sz w:val="28"/>
          <w:szCs w:val="28"/>
          <w:rtl w:val="true"/>
          <w:lang w:bidi="fa-IR"/>
        </w:rPr>
        <w:t xml:space="preserve">. </w:t>
      </w:r>
      <w:r>
        <w:rPr>
          <w:rStyle w:val="FootnoteAnchor"/>
          <w:rtl w:val="true"/>
        </w:rPr>
        <w:footnoteReference w:id="950"/>
      </w:r>
      <w:bookmarkStart w:id="1038" w:name="pg5021_49553"/>
    </w:p>
    <w:p>
      <w:pPr>
        <w:pStyle w:val="Heading3"/>
        <w:numPr>
          <w:ilvl w:val="2"/>
          <w:numId w:val="1"/>
        </w:numPr>
        <w:rPr/>
      </w:pPr>
      <w:bookmarkStart w:id="1039" w:name="__RefHeading___Toc581090_774463916"/>
      <w:bookmarkStart w:id="1040" w:name="_Toc413"/>
      <w:bookmarkEnd w:id="1038"/>
      <w:bookmarkEnd w:id="1039"/>
      <w:r>
        <w:rPr>
          <w:rtl w:val="true"/>
        </w:rPr>
        <w:t>الدرس</w:t>
      </w:r>
      <w:r>
        <w:rPr/>
        <w:t>13</w:t>
      </w:r>
      <w:r>
        <w:rPr>
          <w:rtl w:val="true"/>
        </w:rPr>
        <w:t xml:space="preserve"> - </w:t>
      </w:r>
      <w:r>
        <w:rPr>
          <w:rtl w:val="true"/>
        </w:rPr>
        <w:t xml:space="preserve">کتاب الصید والذباحة </w:t>
      </w:r>
      <w:r>
        <w:rPr>
          <w:rtl w:val="true"/>
        </w:rPr>
        <w:t>(</w:t>
      </w:r>
      <w:r>
        <w:rPr/>
        <w:t>3</w:t>
      </w:r>
      <w:r>
        <w:rPr>
          <w:rtl w:val="true"/>
        </w:rPr>
        <w:t>)</w:t>
      </w:r>
      <w:bookmarkEnd w:id="1040"/>
    </w:p>
    <w:p>
      <w:pPr>
        <w:pStyle w:val="BookText"/>
        <w:rPr/>
      </w:pPr>
      <w:r>
        <w:rPr>
          <w:rFonts w:ascii="IRNazanin" w:hAnsi="IRNazanin" w:eastAsia="IRNazanin"/>
          <w:color w:val="111111"/>
          <w:sz w:val="28"/>
          <w:sz w:val="28"/>
          <w:szCs w:val="28"/>
          <w:rtl w:val="true"/>
          <w:lang w:bidi="fa-IR"/>
        </w:rPr>
        <w:t>الاصطیاد بالسلاح ویشترط فی تحقق التذکیه به أیضاً أمور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 الصائد مسلماً، علی المعروف بین الأصحاب کما تقدّم عند البحث عن اعتبار إسلام الصید بالکلب؛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ذکر الله سبحانه عند استعمال السلاح للأصطیاد؛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تَأْکُلُوا مِمّا لَمْ یُذْکَرِ اسْمُ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یکون الرمی بقصد الاصطیاد، فلو قصد شیئاً آخراً فأصاب صیداً، لم یحلّ؛ لأنّ المتبادر من الصید هو الصادر من القاصد لا سیما بالنظر إلی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ذَکَّیْتُمْ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فی نسبته التذکیه إلی الفاعل بالاختیار والقصد؛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ادراک الحیوان میتاً أو حیاً فی وقت لا یتّسع لتذکیته علی المشهور؛ لِما تقدّم فی الاصطیاد بالکلب بعد إلغاء الخصوصیة منه؛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یکون السلاح مستقّلاً فی قتله لِما تقدّم فی الاصطیاد بالکلب، من ظهور الأدلة فی تحقق القتل بالسلاح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السمک فتذکتیة بأخذه حیاً، إمّا من الماء أو من خارجه، کما لو وثب إلیه بنفسه أو نضب الماء لصحیحة علی بن جعفر عن أخیه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سمکة وثبت من نهر فوقعت علی الجد </w:t>
      </w:r>
      <w:r>
        <w:rPr>
          <w:rStyle w:val="FootnoteAnchor"/>
          <w:rtl w:val="true"/>
        </w:rPr>
        <w:footnoteReference w:id="951"/>
      </w:r>
      <w:r>
        <w:rPr>
          <w:rFonts w:ascii="IRNazanin" w:hAnsi="IRNazanin" w:eastAsia="IRNazanin"/>
          <w:color w:val="111111"/>
          <w:sz w:val="28"/>
          <w:sz w:val="28"/>
          <w:szCs w:val="28"/>
          <w:rtl w:val="true"/>
          <w:lang w:bidi="fa-IR"/>
        </w:rPr>
        <w:t>فی النهر فماتت، هل یصلح أکلها؟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أخذتها قبل أن تموت ثمّ ماتت فکلها، وإن ماتت قبل أن تأخذها فلا تأکلها</w:t>
      </w:r>
      <w:r>
        <w:rPr>
          <w:rFonts w:eastAsia="IRNazanin" w:cs="IRNazanin"/>
          <w:color w:val="111111"/>
          <w:sz w:val="28"/>
          <w:szCs w:val="28"/>
          <w:rtl w:val="true"/>
          <w:lang w:bidi="fa-IR"/>
        </w:rPr>
        <w:t xml:space="preserve">. </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وتتحقق التذکیه أیضاً بنصب الشبکة للاصطیاد لصدق الأخذ، وسیرة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ألقی السّمّ فی الماء وطفا السمک بسببه فلا یحل، لعدم صدق الأخذ حیاً ولا یشترط إسلام الآخذ؛ لموثّقة أبی بصیر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عبدالله علیه السلام عن صید المجوس للسمک حین یضربون للشبک ولا یسمون أو یهودی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إنّما صید الحیتان أخذها</w:t>
      </w:r>
      <w:r>
        <w:rPr>
          <w:rFonts w:eastAsia="IRNazanin" w:cs="IRNazanin"/>
          <w:color w:val="111111"/>
          <w:sz w:val="28"/>
          <w:szCs w:val="28"/>
          <w:rtl w:val="true"/>
          <w:lang w:bidi="fa-IR"/>
        </w:rPr>
        <w:t xml:space="preserve">. </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وهی تدلّ أیضاً علی عدم اشتراط ذکر الله تعالی علیه، وعلیه فلا یضر صید السمک من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یکون إخباره عن أخذها حیّاً حجة إلاّ مع الثقة به وإلاّ فالأصل عدم التذکیه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وقع الخلاف بین الأعلام فی أنّ کلّ حیوان حتی السباع هل یقبل التذکیه بفری أو داجه أو صیده مع الشرائط، فیکون جلده طاهراً یصح استعماله فی الصلاة وفیما تعتبر فیه الطهارة کالشرب أولا؟ ولعل الأوجه هو القبول؛ لصحیحة علی بن یقطین</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سألت أبا الحسن عن لباس الفراء، والسمور، والفنک، والثعالب، وجمیع الجلود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w:t>
      </w:r>
      <w:r>
        <w:rPr>
          <w:rFonts w:eastAsia="IRNazanin" w:cs="IRNazanin"/>
          <w:color w:val="111111"/>
          <w:sz w:val="28"/>
          <w:szCs w:val="28"/>
          <w:rtl w:val="true"/>
          <w:lang w:bidi="fa-IR"/>
        </w:rPr>
        <w:t xml:space="preserve">. </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ألاّ أن یتأمل فی دلالتها من حیث احتمال السؤال عن مجرد اللبس دون اللبس فی الصلاة حتی یدل علی قبول التذکیة لمطلق الحیوانات، والأولی التمسّک بموثقة سماعة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جلود السباع أینتفع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رمیت وسمیت فانتفع بجلده، وأمّا المیتة فلا</w:t>
      </w:r>
      <w:r>
        <w:rPr>
          <w:rFonts w:eastAsia="IRNazanin" w:cs="IRNazanin"/>
          <w:color w:val="111111"/>
          <w:sz w:val="28"/>
          <w:szCs w:val="28"/>
          <w:rtl w:val="true"/>
          <w:lang w:bidi="fa-IR"/>
        </w:rPr>
        <w:t xml:space="preserve">. </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نعم، قد یتأمل فی التعدی عن السباع إلی مثل الفار وأمثاله</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أنّ أثر التذکیه فی محلل الأکل حلّیة لحمه وطهارته وطهارة جلده، إذ غیر المذکی میتة نجسة یحرم أکلها، هذا کله إذا کان للحیوان نفس سائله وإلاّ فإن کان حلال الأکل کالسمک فأثر تذکیته حلّیة اللحم فقط؛ إذ میتته طاهرة، وإن کان حرام الأکل کالحیة، فلا أثر لتذکیته بعد طهارته مطلقاً وعدم حلّیة أکله کذلک</w:t>
      </w:r>
      <w:r>
        <w:rPr>
          <w:rFonts w:eastAsia="IRNazanin" w:cs="IRNazanin"/>
          <w:color w:val="111111"/>
          <w:sz w:val="28"/>
          <w:szCs w:val="28"/>
          <w:rtl w:val="true"/>
          <w:lang w:bidi="fa-IR"/>
        </w:rPr>
        <w:t>.</w:t>
      </w:r>
      <w:bookmarkStart w:id="1041" w:name="pg5021_49556"/>
    </w:p>
    <w:p>
      <w:pPr>
        <w:pStyle w:val="Heading3"/>
        <w:numPr>
          <w:ilvl w:val="2"/>
          <w:numId w:val="1"/>
        </w:numPr>
        <w:rPr/>
      </w:pPr>
      <w:bookmarkStart w:id="1042" w:name="__RefHeading___Toc581092_774463916"/>
      <w:bookmarkStart w:id="1043" w:name="_Toc414"/>
      <w:bookmarkEnd w:id="1041"/>
      <w:bookmarkEnd w:id="1042"/>
      <w:r>
        <w:rPr>
          <w:rtl w:val="true"/>
        </w:rPr>
        <w:t>الدرس</w:t>
      </w:r>
      <w:r>
        <w:rPr/>
        <w:t>14</w:t>
      </w:r>
      <w:r>
        <w:rPr>
          <w:rtl w:val="true"/>
        </w:rPr>
        <w:t xml:space="preserve"> - </w:t>
      </w:r>
      <w:r>
        <w:rPr>
          <w:rtl w:val="true"/>
        </w:rPr>
        <w:t>کتاب الأنفال والمشترکات</w:t>
      </w:r>
      <w:bookmarkEnd w:id="1043"/>
    </w:p>
    <w:p>
      <w:pPr>
        <w:pStyle w:val="Heading4"/>
        <w:numPr>
          <w:ilvl w:val="3"/>
          <w:numId w:val="1"/>
        </w:numPr>
        <w:rPr/>
      </w:pPr>
      <w:bookmarkStart w:id="1044" w:name="__RefHeading___Toc581094_774463916"/>
      <w:bookmarkStart w:id="1045" w:name="_Toc415"/>
      <w:bookmarkEnd w:id="1044"/>
      <w:r>
        <w:rPr>
          <w:rtl w:val="true"/>
        </w:rPr>
        <w:t>حقیقة الأنفال وملکیتها</w:t>
      </w:r>
      <w:bookmarkEnd w:id="1045"/>
    </w:p>
    <w:p>
      <w:pPr>
        <w:pStyle w:val="BookText"/>
        <w:rPr/>
      </w:pPr>
      <w:r>
        <w:rPr>
          <w:rFonts w:ascii="Amiri" w:hAnsi="Amiri" w:eastAsia="Amiri" w:cs="Amiri"/>
          <w:color w:val="111111"/>
          <w:sz w:val="28"/>
          <w:sz w:val="28"/>
          <w:szCs w:val="28"/>
          <w:rtl w:val="true"/>
          <w:lang w:bidi="ar-SA"/>
        </w:rPr>
        <w:t xml:space="preserve">لا إشکال فی أنّ الأنفال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یأتی ضبطها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للنبی صلی الله علیه و آله بضرورة الدین؛ ویدلّ علیه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یَسْئَلُونَکَ عَنِ الْأَنْفالِ قُلِ الْأَنْفالُ لِلّهِ وَ الرَّسُولِ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ما یکون له صلی الله علیه و آله فهو للإمام علیه السلام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الأموال التی تکون لهما زیادة علی مالهما من سهم الخمس کما یومی إلیها لفظ النفْل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بسکون الفاء وفتحها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الزیادة، وکیفما کان فللأنفال مصادیق،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التی یأخذها المسلمون من الکفار بغیر قتال، إمّا بانجلاء أهلها عنها أو بتمکینهم المسلمین منها طوعاً فهی من الأنفال بلا خلاف،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أَفاءَ اللّهُ عَلی رَسُولِهِ مِنْهُمْ فَما أَوْجَفْتُمْ عَلَیْهِ مِنْ خَیْلٍ وَ لا رِکابٍ</w:t>
      </w:r>
      <w:r>
        <w:rPr>
          <w:rFonts w:eastAsia="Amiri" w:cs="Amiri" w:ascii="Amiri" w:hAnsi="Amiri"/>
          <w:color w:val="111111"/>
          <w:sz w:val="28"/>
          <w:szCs w:val="28"/>
          <w:rtl w:val="true"/>
          <w:lang w:bidi="ar-SA"/>
        </w:rPr>
        <w:t xml:space="preserve">... . </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و منها الأرض المیتة کما فی مرسلة حماد بن عیسی عن بعض أصحابنا عن العبد الصالح علیه السلام فی حدیث</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أرض میتة لا ربَّ لها</w:t>
      </w:r>
      <w:r>
        <w:rPr>
          <w:rFonts w:eastAsia="IRNazanin" w:cs="IRNazanin"/>
          <w:color w:val="111111"/>
          <w:sz w:val="28"/>
          <w:szCs w:val="28"/>
          <w:rtl w:val="true"/>
          <w:lang w:bidi="fa-IR"/>
        </w:rPr>
        <w:t xml:space="preserve">. </w:t>
      </w:r>
      <w:r>
        <w:rPr>
          <w:rStyle w:val="FootnoteAnchor"/>
          <w:rtl w:val="true"/>
        </w:rPr>
        <w:footnoteReference w:id="957"/>
      </w:r>
    </w:p>
    <w:p>
      <w:pPr>
        <w:pStyle w:val="BookText"/>
        <w:rPr/>
      </w:pPr>
      <w:r>
        <w:rPr>
          <w:rFonts w:ascii="IRNazanin" w:hAnsi="IRNazanin" w:eastAsia="IRNazanin"/>
          <w:color w:val="111111"/>
          <w:sz w:val="28"/>
          <w:sz w:val="28"/>
          <w:szCs w:val="28"/>
          <w:rtl w:val="true"/>
          <w:lang w:bidi="fa-IR"/>
        </w:rPr>
        <w:t xml:space="preserve">وصحیحة حفص‌بن البختری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الأنفال ما لم یوجف علیه بخیل ولا رکاب أو قوم صالحوا، أو قوم أعطوا بأیدیهم، وکلّ أرض خربة، وبطون الأودیة، فهو لرسول‌الله صلی الله علیه و آله وهو للإمام من بعده یضعه حیث یشاء</w:t>
      </w:r>
      <w:r>
        <w:rPr>
          <w:rFonts w:eastAsia="IRNazanin" w:cs="IRNazanin"/>
          <w:color w:val="111111"/>
          <w:sz w:val="28"/>
          <w:szCs w:val="28"/>
          <w:rtl w:val="true"/>
          <w:lang w:bidi="fa-IR"/>
        </w:rPr>
        <w:t xml:space="preserve">. </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والمراد بالمیتة أو الخربة خصوص التی لا مالک لها دون المملوکة بقرینة الروایات الأخری، بل ونفس المرسلة، وتسالم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بطون الأودیة کما اشیر إلیها فی صحیحة حفص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کلّ أرض لا ربّ لها، کما فی موثّقة إسحاق بن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عبدالله علیه السلام عن 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القری التی قد خَربت وانجلی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أرض لاربَّ لها</w:t>
      </w:r>
      <w:r>
        <w:rPr>
          <w:rFonts w:eastAsia="IRNazanin" w:cs="IRNazanin"/>
          <w:color w:val="111111"/>
          <w:sz w:val="28"/>
          <w:szCs w:val="28"/>
          <w:rtl w:val="true"/>
          <w:lang w:bidi="fa-IR"/>
        </w:rPr>
        <w:t xml:space="preserve">.... </w:t>
      </w:r>
      <w:r>
        <w:rPr>
          <w:rStyle w:val="FootnoteAnchor"/>
          <w:rtl w:val="true"/>
        </w:rPr>
        <w:footnoteReference w:id="959"/>
      </w:r>
    </w:p>
    <w:p>
      <w:pPr>
        <w:pStyle w:val="BookText"/>
        <w:rPr/>
      </w:pPr>
      <w:r>
        <w:rPr>
          <w:rFonts w:ascii="IRNazanin" w:hAnsi="IRNazanin" w:eastAsia="IRNazanin"/>
          <w:color w:val="111111"/>
          <w:sz w:val="28"/>
          <w:sz w:val="28"/>
          <w:szCs w:val="28"/>
          <w:rtl w:val="true"/>
          <w:lang w:bidi="fa-IR"/>
        </w:rPr>
        <w:t>ومن مصادیقها رؤوس الجبال والآجام، وقد صرّح بکونها منها فی مرسلة حمّاد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 رؤوس الجبال، وبطون الأودیه والآجام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60"/>
      </w:r>
      <w:r>
        <w:rPr>
          <w:rFonts w:ascii="IRNazanin" w:hAnsi="IRNazanin" w:eastAsia="IRNazanin"/>
          <w:color w:val="111111"/>
          <w:sz w:val="28"/>
          <w:sz w:val="28"/>
          <w:szCs w:val="28"/>
          <w:rtl w:val="true"/>
          <w:lang w:bidi="fa-IR"/>
        </w:rPr>
        <w:t xml:space="preserve">ومنها أیضاً سیف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ساحلها</w:t>
      </w:r>
      <w:r>
        <w:rPr>
          <w:rFonts w:eastAsia="IRNazanin" w:cs="IRNazanin"/>
          <w:color w:val="111111"/>
          <w:sz w:val="28"/>
          <w:szCs w:val="28"/>
          <w:rtl w:val="true"/>
          <w:lang w:bidi="fa-IR"/>
        </w:rPr>
        <w:t>-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المعادن فقد اختلفوا فی کونها من الأنفال أم لا،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منها، غایته إنّ الأئمه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أباحها لمن أخرجها بعد أداء خمسها،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فی المباحات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بالتفصیل بین المعادن المستخرجة من أرض الأنفال، فهی منها وبین المستخرجة من غیرها فلیست منها، وهل البحث علمی بحت بعد وجوب الخمس وتملّک المستخرِج للباقی علی کلّ حال؟ فیه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قطائع الملوک وصفایاهم، </w:t>
      </w:r>
      <w:r>
        <w:rPr>
          <w:rStyle w:val="FootnoteAnchor"/>
          <w:rtl w:val="true"/>
        </w:rPr>
        <w:footnoteReference w:id="961"/>
      </w:r>
      <w:r>
        <w:rPr>
          <w:rFonts w:ascii="IRNazanin" w:hAnsi="IRNazanin" w:eastAsia="IRNazanin"/>
          <w:color w:val="111111"/>
          <w:sz w:val="28"/>
          <w:sz w:val="28"/>
          <w:szCs w:val="28"/>
          <w:rtl w:val="true"/>
          <w:lang w:bidi="fa-IR"/>
        </w:rPr>
        <w:t>بلا خلاف؛ وتدلّ علیه صحیحة داود بن فرقد،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قطایع الملوک کلّها للإمام ولیس للناس فیها شیئ</w:t>
      </w:r>
      <w:r>
        <w:rPr>
          <w:rFonts w:eastAsia="IRNazanin" w:cs="IRNazanin"/>
          <w:color w:val="111111"/>
          <w:sz w:val="28"/>
          <w:szCs w:val="28"/>
          <w:rtl w:val="true"/>
          <w:lang w:bidi="fa-IR"/>
        </w:rPr>
        <w:t xml:space="preserve">. </w:t>
      </w:r>
      <w:r>
        <w:rPr>
          <w:rStyle w:val="FootnoteAnchor"/>
          <w:rtl w:val="true"/>
        </w:rPr>
        <w:footnoteReference w:id="962"/>
      </w:r>
    </w:p>
    <w:p>
      <w:pPr>
        <w:pStyle w:val="BookText"/>
        <w:rPr/>
      </w:pPr>
      <w:r>
        <w:rPr>
          <w:rFonts w:ascii="IRNazanin" w:hAnsi="IRNazanin" w:eastAsia="IRNazanin"/>
          <w:color w:val="111111"/>
          <w:sz w:val="28"/>
          <w:sz w:val="28"/>
          <w:szCs w:val="28"/>
          <w:rtl w:val="true"/>
          <w:lang w:bidi="fa-IR"/>
        </w:rPr>
        <w:t xml:space="preserve">ومنها غنائم الحرب التی وقعت بغیر إذن الامام علیه السلام ؛ المشهورهی له بأجمعها؛ لمرسلة الوراق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غزا قوم بغیر إذن الإمام فغنموا، کانت الغنیمة کلّها للإمام، وإذا غزوا بأمر الإمام فغنموا کان للإمام الخمس</w:t>
      </w:r>
      <w:r>
        <w:rPr>
          <w:rFonts w:eastAsia="IRNazanin" w:cs="IRNazanin"/>
          <w:color w:val="111111"/>
          <w:sz w:val="28"/>
          <w:szCs w:val="28"/>
          <w:rtl w:val="true"/>
          <w:lang w:bidi="fa-IR"/>
        </w:rPr>
        <w:t xml:space="preserve">. </w:t>
      </w:r>
      <w:r>
        <w:rPr>
          <w:rStyle w:val="FootnoteAnchor"/>
          <w:rtl w:val="true"/>
        </w:rPr>
        <w:footnoteReference w:id="963"/>
      </w:r>
    </w:p>
    <w:p>
      <w:pPr>
        <w:pStyle w:val="BookText"/>
        <w:rPr/>
      </w:pPr>
      <w:r>
        <w:rPr>
          <w:rFonts w:ascii="IRNazanin" w:hAnsi="IRNazanin" w:eastAsia="IRNazanin"/>
          <w:color w:val="111111"/>
          <w:sz w:val="28"/>
          <w:sz w:val="28"/>
          <w:szCs w:val="28"/>
          <w:rtl w:val="true"/>
          <w:lang w:bidi="fa-IR"/>
        </w:rPr>
        <w:t>وضعفها منجبر بالشهرة ویؤیده فحوی صحیحة معاویة بن وهب،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سریة یبعثها الإمام فیصیبون غنائم کیف تقسّم؟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قاتلوا علیها مع أمیر أمره الإمام علیها أخرج منها الخمس لله وللرسول، وقسّم بینهم أربعة أخماس</w:t>
      </w:r>
      <w:r>
        <w:rPr>
          <w:rFonts w:eastAsia="IRNazanin" w:cs="IRNazanin"/>
          <w:color w:val="111111"/>
          <w:sz w:val="28"/>
          <w:szCs w:val="28"/>
          <w:rtl w:val="true"/>
          <w:lang w:bidi="fa-IR"/>
        </w:rPr>
        <w:t xml:space="preserve">.... </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 xml:space="preserve">ومنها میراث من لا وارث له، فقد ادّعی علیه الإجماع وتدلّ علیه صحیحة محمد بن مسلم عن أبی جعفر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مات ولیس له وارث من قرابته فما له من الأنفال</w:t>
      </w:r>
      <w:r>
        <w:rPr>
          <w:rFonts w:eastAsia="IRNazanin" w:cs="IRNazanin"/>
          <w:color w:val="111111"/>
          <w:sz w:val="28"/>
          <w:szCs w:val="28"/>
          <w:rtl w:val="true"/>
          <w:lang w:bidi="fa-IR"/>
        </w:rPr>
        <w:t xml:space="preserve">. </w:t>
      </w:r>
      <w:r>
        <w:rPr>
          <w:rStyle w:val="FootnoteAnchor"/>
          <w:rtl w:val="true"/>
        </w:rPr>
        <w:footnoteReference w:id="965"/>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وأمر الأنفال فی زمن الغیبة یرجع إلی نائب الإمام علیه السلام یعمل فیها بما حکموا، وعلی طبق مصالح المؤمنین کما هو مقتضی إطلاق الولایة عنه علیه السلام </w:t>
      </w:r>
      <w:r>
        <w:rPr>
          <w:rFonts w:eastAsia="IRNazanin" w:cs="IRNazanin"/>
          <w:color w:val="111111"/>
          <w:sz w:val="28"/>
          <w:szCs w:val="28"/>
          <w:rtl w:val="true"/>
          <w:lang w:bidi="fa-IR"/>
        </w:rPr>
        <w:t>.</w:t>
      </w:r>
      <w:bookmarkStart w:id="1046" w:name="pg5021_49559"/>
    </w:p>
    <w:p>
      <w:pPr>
        <w:pStyle w:val="Heading3"/>
        <w:numPr>
          <w:ilvl w:val="2"/>
          <w:numId w:val="1"/>
        </w:numPr>
        <w:rPr/>
      </w:pPr>
      <w:bookmarkStart w:id="1047" w:name="__RefHeading___Toc581096_774463916"/>
      <w:bookmarkStart w:id="1048" w:name="_Toc416"/>
      <w:bookmarkEnd w:id="1046"/>
      <w:bookmarkEnd w:id="1047"/>
      <w:r>
        <w:rPr>
          <w:rtl w:val="true"/>
        </w:rPr>
        <w:t>الدرس</w:t>
      </w:r>
      <w:r>
        <w:rPr/>
        <w:t>15</w:t>
      </w:r>
      <w:r>
        <w:rPr>
          <w:rtl w:val="true"/>
        </w:rPr>
        <w:t xml:space="preserve"> - </w:t>
      </w:r>
      <w:r>
        <w:rPr>
          <w:rtl w:val="true"/>
        </w:rPr>
        <w:t xml:space="preserve">کتاب الأنفال والمشترکات </w:t>
      </w:r>
      <w:r>
        <w:rPr>
          <w:rtl w:val="true"/>
        </w:rPr>
        <w:t>(</w:t>
      </w:r>
      <w:r>
        <w:rPr/>
        <w:t>2</w:t>
      </w:r>
      <w:r>
        <w:rPr>
          <w:rtl w:val="true"/>
        </w:rPr>
        <w:t>)</w:t>
      </w:r>
      <w:bookmarkEnd w:id="1048"/>
    </w:p>
    <w:p>
      <w:pPr>
        <w:pStyle w:val="Heading4"/>
        <w:numPr>
          <w:ilvl w:val="3"/>
          <w:numId w:val="1"/>
        </w:numPr>
        <w:rPr/>
      </w:pPr>
      <w:bookmarkStart w:id="1049" w:name="__RefHeading___Toc581098_774463916"/>
      <w:bookmarkStart w:id="1050" w:name="_Toc417"/>
      <w:bookmarkEnd w:id="1049"/>
      <w:r>
        <w:rPr>
          <w:rtl w:val="true"/>
        </w:rPr>
        <w:t>المشترکات</w:t>
      </w:r>
      <w:bookmarkEnd w:id="1050"/>
    </w:p>
    <w:p>
      <w:pPr>
        <w:pStyle w:val="BookText"/>
        <w:rPr/>
      </w:pPr>
      <w:r>
        <w:rPr>
          <w:rFonts w:ascii="IRNazanin" w:hAnsi="IRNazanin" w:eastAsia="IRNazanin"/>
          <w:color w:val="111111"/>
          <w:sz w:val="28"/>
          <w:sz w:val="28"/>
          <w:szCs w:val="28"/>
          <w:rtl w:val="true"/>
          <w:lang w:bidi="fa-IR"/>
        </w:rPr>
        <w:t>الأنفال أمرها بید الإمام علیه السلام أو نائبه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 منع الناس عن التصّرف فیها أو تحدیده حفظاً للنظام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فی صورة عدم المنع، یجوز التصرّف فیها بالإحیاء بلاخلاف؛ للسیرة المستمرة علی التصرّف فی الأرض الموات وإحیائها، مضافاً إلی ما دلّ علی الإذن، کصحیحة زرارة عن أبی جعفر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أحی أرضاً مواتاً فهی له</w:t>
      </w:r>
      <w:r>
        <w:rPr>
          <w:rFonts w:eastAsia="IRNazanin" w:cs="IRNazanin"/>
          <w:color w:val="111111"/>
          <w:sz w:val="28"/>
          <w:szCs w:val="28"/>
          <w:rtl w:val="true"/>
          <w:lang w:bidi="fa-IR"/>
        </w:rPr>
        <w:t xml:space="preserve">. </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نعم، وقع الکلام فی أنّ المحیی هل یملکها بالإحیاء أو یکون ذا حقّ فقط؟ مقتضی ظهور اللام فی الصحیح المتقدّم هو الأوّل والمعادن أیضاً کذلک؛ للسیرة، ولظهور ما دلّ علی وجوب الخمس فی المعدن علی أنّ الباقی للمخرِج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الأراضی الخراجیة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المفتوحة عنوة بإذن الإمام، المحیاة حالة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للمسلمین لا یجوز بیعها ولا وقفها ولا هبتها وأمرها بید ولیّ الأمر یدفعها إلی من شاء مقابل الخراج والأجرة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فی کتاب الجهاد ویصرفها فی صالح المسلمین بمقتضی ملکیتهم لها</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غیر ذلک من المباحات العامة، کالماء والطیور والأسماک ونحوها، فیملک</w:t>
      </w:r>
      <w:bookmarkStart w:id="1051" w:name="pg5021_49560"/>
    </w:p>
    <w:p>
      <w:pPr>
        <w:pStyle w:val="BookText"/>
        <w:rPr/>
      </w:pPr>
      <w:bookmarkEnd w:id="1051"/>
      <w:r>
        <w:rPr>
          <w:rFonts w:ascii="IRNazanin" w:hAnsi="IRNazanin" w:eastAsia="IRNazanin"/>
          <w:color w:val="111111"/>
          <w:sz w:val="28"/>
          <w:sz w:val="28"/>
          <w:szCs w:val="28"/>
          <w:rtl w:val="true"/>
          <w:lang w:bidi="fa-IR"/>
        </w:rPr>
        <w:t xml:space="preserve">بالحیازة لسیرة المتشرّعة، وتؤیده روایة محمد بن سنان عن أبی الحسن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ماء الوادی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المسلمین شرکاء فی الماء، والنار، والکلاء</w:t>
      </w:r>
      <w:r>
        <w:rPr>
          <w:rFonts w:eastAsia="IRNazanin" w:cs="IRNazanin"/>
          <w:color w:val="111111"/>
          <w:sz w:val="28"/>
          <w:szCs w:val="28"/>
          <w:rtl w:val="true"/>
          <w:lang w:bidi="fa-IR"/>
        </w:rPr>
        <w:t xml:space="preserve">. </w:t>
      </w:r>
      <w:r>
        <w:rPr>
          <w:rStyle w:val="FootnoteAnchor"/>
          <w:rtl w:val="true"/>
        </w:rPr>
        <w:footnoteReference w:id="967"/>
      </w:r>
    </w:p>
    <w:p>
      <w:pPr>
        <w:pStyle w:val="Heading4"/>
        <w:numPr>
          <w:ilvl w:val="3"/>
          <w:numId w:val="1"/>
        </w:numPr>
        <w:rPr/>
      </w:pPr>
      <w:bookmarkStart w:id="1052" w:name="__RefHeading___Toc581100_774463916"/>
      <w:bookmarkStart w:id="1053" w:name="_Toc418"/>
      <w:bookmarkEnd w:id="1052"/>
      <w:r>
        <w:rPr>
          <w:rtl w:val="true"/>
        </w:rPr>
        <w:t>أحکام المشترکات</w:t>
      </w:r>
      <w:bookmarkEnd w:id="10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لایصحّ التبرّع ولا التوکیل فی الحیازة عن الغیرّ لعدم إحراز السیرة فی ذلک وفی صحة إطلاق الحائز حقیقة علی الموکّل تأمل ناشئ من أنّ الحیازة هل هی من الأمور الاعتباریة عرفاً حتی تصحّ فیها الوکالة کما فی سائر العقود، أو هی من الأمور التکوینیة کالأکل الذی لا یقبل التوکیل عرفاً؟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تصح الإجارة علی الحیازة؛ للسیرة العقلائیة علی ذلک کما هو المتداول فی زماننا فی عملیات التنقیب عن المعادن، وقد یناقش فیها بعدم إحراز تعاصرها مع عصر المعصوم علیه السلام وفیه أنّه من البعید حدوث هذه السیر المشاهدة فی اصطیاد السمک أو اقتصاف ثمار الشجرة التی من المباحات العامة بعد عصر المعصوم علیه السلام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التحجیر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أن ینصب علی أرض سیاجاً أو یحوطها بحائط مما یدلّ علی إرادة الاحیاء أو الشروع فیه، وهو لا یفید الملک؛ لعدم الإحیاء بعد، ولکنّه یفید الأولویة للإجماع، وحینئذٍ فلا یجوز للغیر إحیاؤها وله منعها؛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سبق إلی المکان المشترک بالحیازة، فهو أحق به لقضاء السیرة بذلک، ویؤیده قوله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سبق إلی ما لا یسبقه إلیه المسلم فهو أحق به</w:t>
      </w:r>
      <w:r>
        <w:rPr>
          <w:rFonts w:eastAsia="IRNazanin" w:cs="IRNazanin"/>
          <w:color w:val="111111"/>
          <w:sz w:val="28"/>
          <w:szCs w:val="28"/>
          <w:rtl w:val="true"/>
          <w:lang w:bidi="fa-IR"/>
        </w:rPr>
        <w:t xml:space="preserve">. </w:t>
      </w:r>
      <w:r>
        <w:rPr>
          <w:rStyle w:val="FootnoteAnchor"/>
          <w:rtl w:val="true"/>
        </w:rPr>
        <w:footnoteReference w:id="968"/>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 السبق إلی المسجد أو المشاهد المشرّفة التی لا تملک، فمن سبق إلیها فهو أحق بها مادام شاغلاً لها بما لا یتنافی مع ذلک المکان المقدّس؛ للسیرة المذکورة،</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فارقه بنیة العود وترک بعض رحله فیه فالحق باقٍ لعین الدلیل والمتیقن منها ما إذا کانت فترة المفارقة قصیرة، ولا یبعد تحقق سیرة العقلاء علی ثبوت الحق بوضع الرحل فی الأماکن المشترکة قبیل وقت الانتفاع منها، کوضع الرحل فی المسجد قبل دخول الوقت</w:t>
      </w:r>
      <w:r>
        <w:rPr>
          <w:rFonts w:eastAsia="IRNazanin" w:cs="IRNazanin"/>
          <w:color w:val="111111"/>
          <w:sz w:val="28"/>
          <w:szCs w:val="28"/>
          <w:rtl w:val="true"/>
          <w:lang w:bidi="fa-IR"/>
        </w:rPr>
        <w:t>.</w:t>
      </w:r>
      <w:bookmarkStart w:id="1054" w:name="pg5021_49562"/>
    </w:p>
    <w:p>
      <w:pPr>
        <w:pStyle w:val="Heading3"/>
        <w:numPr>
          <w:ilvl w:val="2"/>
          <w:numId w:val="1"/>
        </w:numPr>
        <w:rPr/>
      </w:pPr>
      <w:bookmarkStart w:id="1055" w:name="__RefHeading___Toc581102_774463916"/>
      <w:bookmarkStart w:id="1056" w:name="_Toc419"/>
      <w:bookmarkEnd w:id="1054"/>
      <w:bookmarkEnd w:id="1055"/>
      <w:r>
        <w:rPr>
          <w:rtl w:val="true"/>
        </w:rPr>
        <w:t>الدرس</w:t>
      </w:r>
      <w:r>
        <w:rPr/>
        <w:t>16</w:t>
      </w:r>
      <w:r>
        <w:rPr>
          <w:rtl w:val="true"/>
        </w:rPr>
        <w:t xml:space="preserve"> - </w:t>
      </w:r>
      <w:r>
        <w:rPr>
          <w:rtl w:val="true"/>
        </w:rPr>
        <w:t>کتاب الإرث</w:t>
      </w:r>
      <w:bookmarkEnd w:id="1056"/>
    </w:p>
    <w:p>
      <w:pPr>
        <w:pStyle w:val="Heading4"/>
        <w:numPr>
          <w:ilvl w:val="3"/>
          <w:numId w:val="1"/>
        </w:numPr>
        <w:rPr/>
      </w:pPr>
      <w:bookmarkStart w:id="1057" w:name="__RefHeading___Toc581104_774463916"/>
      <w:bookmarkStart w:id="1058" w:name="_Toc420"/>
      <w:bookmarkEnd w:id="1057"/>
      <w:r>
        <w:rPr/>
        <w:t>1</w:t>
      </w:r>
      <w:r>
        <w:rPr>
          <w:rtl w:val="true"/>
        </w:rPr>
        <w:t xml:space="preserve">- </w:t>
      </w:r>
      <w:r>
        <w:rPr>
          <w:rtl w:val="true"/>
        </w:rPr>
        <w:t>ما یوجب الإرث</w:t>
      </w:r>
      <w:bookmarkEnd w:id="1058"/>
    </w:p>
    <w:p>
      <w:pPr>
        <w:pStyle w:val="BookText"/>
        <w:rPr/>
      </w:pPr>
      <w:r>
        <w:rPr>
          <w:rFonts w:ascii="IRNazanin" w:hAnsi="IRNazanin" w:eastAsia="IRNazanin"/>
          <w:color w:val="111111"/>
          <w:sz w:val="28"/>
          <w:sz w:val="28"/>
          <w:szCs w:val="28"/>
          <w:rtl w:val="true"/>
          <w:lang w:bidi="fa-IR"/>
        </w:rPr>
        <w:t>وهما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النسب والسبب کما یأتی تفصیلهما، بلا خلاف بل لعلّه من واضحات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النسب، فترث به ثلاث طوائف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الأب والأم المباشریان، والأولاد ذکوراً وإناثا وإن نزلوا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الأجداد والجدّات وإن علوا، کأب الجدّ وجدّه، والأخوة والأخوات وأولادهم وإن نزلوا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الأعمام والأخوال وإن علو، کعمٍّ أو خالٍ الأب، أو الأم، أو الجدّ أو الجدّة وأولادهما واٍن نزلوا</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وکلُّ طائفةٍ من هذه لا ترث مع وجود الطائفة السابقه علیها ولو واحداً إلاّ إذا فرض وجود أحد موانع الإرث الآتیه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السبب، فهو عبارة عن الزوجیة وهو یجتمع مع جمیع طبقات الإرث، کلّ ذلک متسالم بین الأصحاب، وتأتی الإشارة إلی بعض الروایات الدالّة علیه عند البحث عن تفاصیل إرث الطبقات</w:t>
      </w:r>
      <w:r>
        <w:rPr>
          <w:rFonts w:eastAsia="IRNazanin" w:cs="IRNazanin"/>
          <w:color w:val="111111"/>
          <w:sz w:val="28"/>
          <w:szCs w:val="28"/>
          <w:rtl w:val="true"/>
          <w:lang w:bidi="fa-IR"/>
        </w:rPr>
        <w:t xml:space="preserve">. </w:t>
      </w:r>
      <w:r>
        <w:rPr>
          <w:rStyle w:val="FootnoteAnchor"/>
          <w:rtl w:val="true"/>
        </w:rPr>
        <w:footnoteReference w:id="969"/>
      </w:r>
      <w:bookmarkStart w:id="1059" w:name="pg5021_49563"/>
    </w:p>
    <w:p>
      <w:pPr>
        <w:pStyle w:val="Heading4"/>
        <w:numPr>
          <w:ilvl w:val="3"/>
          <w:numId w:val="1"/>
        </w:numPr>
        <w:rPr/>
      </w:pPr>
      <w:bookmarkStart w:id="1060" w:name="__RefHeading___Toc581106_774463916"/>
      <w:bookmarkStart w:id="1061" w:name="_Toc421"/>
      <w:bookmarkEnd w:id="1059"/>
      <w:bookmarkEnd w:id="1060"/>
      <w:r>
        <w:rPr/>
        <w:t>2</w:t>
      </w:r>
      <w:r>
        <w:rPr>
          <w:rtl w:val="true"/>
        </w:rPr>
        <w:t xml:space="preserve">- </w:t>
      </w:r>
      <w:r>
        <w:rPr>
          <w:rtl w:val="true"/>
        </w:rPr>
        <w:t>الإرث تارة یکون بالفرض</w:t>
      </w:r>
      <w:bookmarkEnd w:id="1061"/>
    </w:p>
    <w:p>
      <w:pPr>
        <w:pStyle w:val="BookText"/>
        <w:rPr/>
      </w:pPr>
      <w:r>
        <w:rPr>
          <w:rFonts w:ascii="Amiri" w:hAnsi="Amiri" w:eastAsia="Amiri" w:cs="Amiri"/>
          <w:color w:val="111111"/>
          <w:sz w:val="28"/>
          <w:sz w:val="28"/>
          <w:szCs w:val="28"/>
          <w:rtl w:val="true"/>
          <w:lang w:bidi="ar-SA"/>
        </w:rPr>
        <w:t>أی السهم المذکور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واُخری بالقرابة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أَوْلی بِبَعْضٍ فِی کِتابِ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والفروض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والربع، والثمن، والثلثان، والثلث، والسدس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والنصف، 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البنت الواحدة؛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کانَتْ واحِدَةً فَلَهَا النِّصْفُ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والأخت للأبوین، أو للأب فقط إذا لم یکن معها أخ، والأخت؛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امْرُؤٌ هَلَکَ لَیْسَ لَهُ وَلَدٌ وَ لَهُ أُخْتٌ فَلَها نِصْفُ ما تَرَکَ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کانت من الأم فقط أو کان معها أخ فلها سهم آخر نذکره فیما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والزوج مع عدم الولد للزوجة؛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لَکُمْ نِصْفُ ما تَرَکَ أَزْواجُکُمْ إِنْ لَمْ یَکُنْ لَهُنَّ وَلَدٌ</w:t>
      </w:r>
      <w:r>
        <w:rPr>
          <w:rFonts w:eastAsia="Amiri" w:cs="Amiri" w:ascii="Amiri" w:hAnsi="Amiri"/>
          <w:color w:val="111111"/>
          <w:sz w:val="28"/>
          <w:szCs w:val="28"/>
          <w:rtl w:val="true"/>
          <w:lang w:bidi="ar-SA"/>
        </w:rPr>
        <w:t xml:space="preserve">... . </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وأمّا الربع فهو لاثنین، الزوج مع عدم الولد للزوجة وإن نزل، والزوجة مع عدم الولد للزوج وإن نزل؛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لَهُنَّ وَلَدٌ فَلَکُمُ الرُّبُعُ مِمّا تَرَکْنَ مِنْ بَعْدِ وَصِیَّةٍ یُوصِینَ بِها أَوْ دَیْنٍ وَ لَهُنَّ الرُّبُعُ مِمّا تَرَکْتُمْ إِنْ لَمْ یَکُنْ لَکُمْ وَلَدٌ</w:t>
      </w:r>
      <w:r>
        <w:rPr>
          <w:rFonts w:eastAsia="Amiri" w:cs="Amiri" w:ascii="Amiri" w:hAnsi="Amiri"/>
          <w:color w:val="111111"/>
          <w:sz w:val="28"/>
          <w:szCs w:val="28"/>
          <w:rtl w:val="true"/>
          <w:lang w:bidi="ar-SA"/>
        </w:rPr>
        <w:t xml:space="preserve">... . </w:t>
      </w:r>
      <w:r>
        <w:rPr>
          <w:rStyle w:val="FootnoteAnchor"/>
          <w:rtl w:val="true"/>
        </w:rPr>
        <w:footnoteReference w:id="971"/>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وتعمیم الولد للنازل؛ 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کانت الزوجة أکثر من واحدة قسّم بینهن بالسویة لعدم الترجیح، وأمّا الثمن فهو للزوجة مع الولد للزوج؛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کانَ لَکُمْ وَلَدٌ فَلَهُنَّ الثُّمُنُ مِمّا تَرَکْتُمْ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والولد یشمل النازل کما أنّ الثمن یُقسّم بینهن بالسویة إذا کن أکثر؛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الثلثان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لاثنین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البنتین فصاعداً؛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یُوصِیکُمُ اللّهُ فِی أَوْلادِکُمْ لِلذَّکَرِ مِثْلُ حَظِّ الْأُنْثَیَیْنِ فَإِنْ کُنَّ نِساءً فَوْقَ اثْنَتَیْنِ فَلَهُنَّ ثُلُثا ما تَرَکَ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الآیة المبارکة وإن کان ساکتاً عن حکم البنتین لکن الاُمّة أجمعت علی أن حکمهما حکم من زاد علیهما من البنات</w:t>
      </w:r>
      <w:r>
        <w:rPr>
          <w:rFonts w:eastAsia="Amiri" w:cs="Amiri" w:ascii="Amiri" w:hAnsi="Amiri"/>
          <w:color w:val="111111"/>
          <w:sz w:val="28"/>
          <w:szCs w:val="28"/>
          <w:rtl w:val="true"/>
          <w:lang w:bidi="ar-SA"/>
        </w:rPr>
        <w:t xml:space="preserve">. </w:t>
      </w:r>
      <w:r>
        <w:rPr>
          <w:rStyle w:val="FootnoteAnchor"/>
          <w:rtl w:val="true"/>
        </w:rPr>
        <w:footnoteReference w:id="972"/>
      </w:r>
      <w:r>
        <w:rPr>
          <w:rFonts w:ascii="IRNazanin" w:hAnsi="IRNazanin" w:eastAsia="IRNazanin"/>
          <w:color w:val="111111"/>
          <w:sz w:val="28"/>
          <w:sz w:val="28"/>
          <w:szCs w:val="28"/>
          <w:rtl w:val="true"/>
          <w:lang w:bidi="fa-IR"/>
        </w:rPr>
        <w:t>نعم، إذا لم یکن معهن ابن وإلاّ فللذکر مثل حظ الانثیین کما فی الآیة الکریمة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والثانی منهما الأختان فصاعداً،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کانَتَا اثْنَتَیْنِ فَلَهُمَا الثُّلُثانِ مِمّا تَرَکَ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کانتا من الأم فقط أو کان معهما أخ فلهما سهم آخر نذکره فیمایأتی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لاثنین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 مع عدم الولد للمیت؛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یَکُنْ لَهُ وَلَدٌ وَ وَرِثَهُ أَبَواهُ فَلِأُمِّهِ الثُّلُثُ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ویشترط عدم الأخوة أیضا علی تفصیل یأتی فی باب الحَجْب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 أو الأخت من الأم مع التعدد،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من الواحد؛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کانُوا أَکْثَرَ مِنْ ذلِکَ فَهُمْ شُرَکاءُ فِی الثُّلُثِ</w:t>
      </w:r>
      <w:r>
        <w:rPr>
          <w:rFonts w:eastAsia="Amiri" w:cs="Amiri" w:ascii="Amiri" w:hAnsi="Amiri"/>
          <w:color w:val="111111"/>
          <w:sz w:val="28"/>
          <w:szCs w:val="28"/>
          <w:rtl w:val="true"/>
          <w:lang w:bidi="ar-SA"/>
        </w:rPr>
        <w:t xml:space="preserve">... . </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وأما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لکلّ واحد من الأبوین إن کان للمیت ولد؛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لِأَبَوَیْهِ لِکُلِّ واحِدٍ مِنْهُمَا السُّدُسُ مِمّا تَرَکَ إِنْ کانَ لَهُ وَلَدٌ</w:t>
      </w:r>
      <w:r>
        <w:rPr>
          <w:rFonts w:eastAsia="Amiri" w:cs="Amiri" w:ascii="Amiri" w:hAnsi="Amiri"/>
          <w:color w:val="111111"/>
          <w:sz w:val="28"/>
          <w:szCs w:val="28"/>
          <w:rtl w:val="true"/>
          <w:lang w:bidi="ar-SA"/>
        </w:rPr>
        <w:t xml:space="preserve">... . </w:t>
      </w:r>
      <w:r>
        <w:rPr>
          <w:rStyle w:val="FootnoteAnchor"/>
          <w:rtl w:val="true"/>
        </w:rPr>
        <w:footnoteReference w:id="97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 مع وجود الأخوة للأبوین أو للأب علی تفصیل یذکر فی باب الحَجْب،</w:t>
      </w:r>
    </w:p>
    <w:p>
      <w:pPr>
        <w:pStyle w:val="BookText"/>
        <w:rPr/>
      </w:pPr>
      <w:r>
        <w:rPr>
          <w:rFonts w:ascii="Amiri" w:hAnsi="Amiri" w:eastAsia="Amiri" w:cs="Amiri"/>
          <w:color w:val="111111"/>
          <w:sz w:val="28"/>
          <w:sz w:val="28"/>
          <w:szCs w:val="28"/>
          <w:rtl w:val="true"/>
          <w:lang w:bidi="ar-SA"/>
        </w:rPr>
        <w:t>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کانَ لَهُ إِخْوَةٌ فَلِأُمِّهِ السُّدُسُ</w:t>
      </w:r>
      <w:r>
        <w:rPr>
          <w:rFonts w:eastAsia="Amiri" w:cs="Amiri" w:ascii="Amiri" w:hAnsi="Amiri"/>
          <w:color w:val="111111"/>
          <w:sz w:val="28"/>
          <w:szCs w:val="28"/>
          <w:rtl w:val="true"/>
          <w:lang w:bidi="ar-SA"/>
        </w:rPr>
        <w:t xml:space="preserve">... . </w:t>
      </w:r>
      <w:r>
        <w:rPr>
          <w:rStyle w:val="FootnoteAnchor"/>
          <w:rtl w:val="true"/>
        </w:rPr>
        <w:footnoteReference w:id="97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 الواحد من الأم، أو الأخت الواحدة منها؛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کانَ رَجُلٌ یُورَثُ کَلالَةً أَوِ امْرَأَةٌ وَ لَهُ أَخٌ أَوْ أُخْتٌ فَلِکُلِّ واحِدٍ مِنْهُمَا السُّدُسُ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مجمع البیان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والمروی عن أئمتنا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الکلالة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الأخوة، والأخوات، والمذکور فی هذه الآیة من کان من قبل الأم منهم، والمذکور فی آخر السورة من کان منهم من قبل الأب والأم أو من قبل الآباء</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062" w:name="pg5021_49566"/>
    </w:p>
    <w:p>
      <w:pPr>
        <w:pStyle w:val="Heading3"/>
        <w:numPr>
          <w:ilvl w:val="2"/>
          <w:numId w:val="1"/>
        </w:numPr>
        <w:rPr/>
      </w:pPr>
      <w:bookmarkStart w:id="1063" w:name="__RefHeading___Toc581108_774463916"/>
      <w:bookmarkStart w:id="1064" w:name="_Toc422"/>
      <w:bookmarkEnd w:id="1062"/>
      <w:bookmarkEnd w:id="1063"/>
      <w:r>
        <w:rPr>
          <w:rtl w:val="true"/>
        </w:rPr>
        <w:t>الدرس</w:t>
      </w:r>
      <w:r>
        <w:rPr/>
        <w:t>17</w:t>
      </w:r>
      <w:r>
        <w:rPr>
          <w:rtl w:val="true"/>
        </w:rPr>
        <w:t xml:space="preserve"> - </w:t>
      </w:r>
      <w:r>
        <w:rPr>
          <w:rtl w:val="true"/>
        </w:rPr>
        <w:t xml:space="preserve">کتاب الإرث </w:t>
      </w:r>
      <w:r>
        <w:rPr>
          <w:rtl w:val="true"/>
        </w:rPr>
        <w:t>(</w:t>
      </w:r>
      <w:r>
        <w:rPr/>
        <w:t>2</w:t>
      </w:r>
      <w:r>
        <w:rPr>
          <w:rtl w:val="true"/>
        </w:rPr>
        <w:t>)</w:t>
      </w:r>
      <w:bookmarkEnd w:id="1064"/>
    </w:p>
    <w:p>
      <w:pPr>
        <w:pStyle w:val="Heading4"/>
        <w:numPr>
          <w:ilvl w:val="3"/>
          <w:numId w:val="1"/>
        </w:numPr>
        <w:rPr/>
      </w:pPr>
      <w:bookmarkStart w:id="1065" w:name="__RefHeading___Toc581110_774463916"/>
      <w:bookmarkStart w:id="1066" w:name="_Toc423"/>
      <w:bookmarkEnd w:id="1065"/>
      <w:r>
        <w:rPr/>
        <w:t>3</w:t>
      </w:r>
      <w:r>
        <w:rPr>
          <w:rtl w:val="true"/>
        </w:rPr>
        <w:t xml:space="preserve">- </w:t>
      </w:r>
      <w:r>
        <w:rPr>
          <w:rtl w:val="true"/>
        </w:rPr>
        <w:t>الإرث بالفرض وبالقرابة</w:t>
      </w:r>
      <w:bookmarkEnd w:id="1066"/>
    </w:p>
    <w:p>
      <w:pPr>
        <w:pStyle w:val="BookText"/>
        <w:rPr/>
      </w:pPr>
      <w:r>
        <w:rPr>
          <w:rFonts w:ascii="IRNazanin" w:hAnsi="IRNazanin" w:eastAsia="IRNazanin"/>
          <w:color w:val="111111"/>
          <w:sz w:val="28"/>
          <w:sz w:val="28"/>
          <w:szCs w:val="28"/>
          <w:rtl w:val="true"/>
          <w:lang w:bidi="fa-IR"/>
        </w:rPr>
        <w:t xml:space="preserve">الوارث تارة یرث بالفرض دائماً من دون أن یُردّ علیه شیء، وهو الزوجة، فإنّ لها الربع مع عدم الولد للمیت، والثمن معه کما فی الکتاب العزیز، وقد تقدّم ولا یُردّ علیها شیء زائد حتی لو لم یکن وارث غیرهما من الطوائف الثلاث النسبیة، بل یکون الباقی للإمام علیه السلام علی المشهور، ویدل علیه صحیحة أبی بصیر عن أبی جعفر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توفی وترک امرأته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للمرأة الربع وما بقی فللإمام</w:t>
      </w:r>
      <w:r>
        <w:rPr>
          <w:rFonts w:eastAsia="IRNazanin" w:cs="IRNazanin"/>
          <w:color w:val="111111"/>
          <w:sz w:val="28"/>
          <w:szCs w:val="28"/>
          <w:rtl w:val="true"/>
          <w:lang w:bidi="fa-IR"/>
        </w:rPr>
        <w:t xml:space="preserve">. </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وفی المسألة قولان آخران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الباقی علیها مطلقاً، إو فی زمن الغیبة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یرث الوارث بالفرض دائماً مع الردّ علیه أحیاناً، کالأم فإنّه مع انفرادها یُردّ علیها الفاضل عن الثلث بلا خلاف بیننا، خلافاً لغیرنا حیث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 العصبة،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أبناء المیت وقرابته لأبیه علی ما یأتی إن شاء الله تعالی</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وکالزوج حیث یُردّ علیه الفاضل عن النصف إذا لم یکن وارث سوی الإمام علیه السلام علی المشهور وعلیه روایات کثیرة کصحیحة أبی بصیر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قرأ علیّ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فرائض علی علیه السلام فإذا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 یحوز المالَ کلّه إذا لم یکن غیره</w:t>
      </w:r>
      <w:r>
        <w:rPr>
          <w:rFonts w:eastAsia="IRNazanin" w:cs="IRNazanin"/>
          <w:color w:val="111111"/>
          <w:sz w:val="28"/>
          <w:szCs w:val="28"/>
          <w:rtl w:val="true"/>
          <w:lang w:bidi="fa-IR"/>
        </w:rPr>
        <w:t xml:space="preserve">. </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یرث بالفرض تارة وبالقرابة اخری، کالاب فانه یرث السدس بالفرض مع وجود الولد کما تقدّم، وبالقرابة مع عدمه؛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أَوْلی بِبَعْضٍ فِی کِتابِ اللّهِ</w:t>
      </w:r>
      <w:r>
        <w:rPr>
          <w:rFonts w:eastAsia="Amiri" w:cs="Amiri" w:ascii="Amiri" w:hAnsi="Amiri"/>
          <w:color w:val="111111"/>
          <w:sz w:val="28"/>
          <w:szCs w:val="28"/>
          <w:rtl w:val="true"/>
          <w:lang w:bidi="ar-SA"/>
        </w:rPr>
        <w:t xml:space="preserve">... . </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 xml:space="preserve">وکالبنت والبنات فإنهن یرثن مع عدم الابن بالفرض کما تقدّم؛ ومع وجوده بالقرابة 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الأرحام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للذکر مثل حظ الانثیین، وهنا موارد اخری تظهر بالتأمل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یرث الا بالقرابة، وهو من لم یذکر له فرض فی الکتاب الکریم کالابن والأخوة للأبوین أو للأب، والجدّ والأعمام والأخوال؛ فیرثون بالقرابة بمقتضی آیة أولی الأرحام</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یرث بالفرض ولا بالقرابة، لعدم ذکر سهم له فی الکتاب الکریم ولیس فی الأرحام وهو، المعتَق وضامِن الجریرة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تعهد بأداء دیة جنایة شخص فی مقابل أن یرثه إذا مات بلا وارث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علیه السلام </w:t>
      </w:r>
      <w:r>
        <w:rPr>
          <w:rFonts w:eastAsia="IRNazanin" w:cs="IRNazanin"/>
          <w:color w:val="111111"/>
          <w:sz w:val="28"/>
          <w:szCs w:val="28"/>
          <w:rtl w:val="true"/>
          <w:lang w:bidi="fa-IR"/>
        </w:rPr>
        <w:t>.</w:t>
      </w:r>
      <w:bookmarkStart w:id="1067" w:name="pg5021_49568"/>
    </w:p>
    <w:p>
      <w:pPr>
        <w:pStyle w:val="Heading3"/>
        <w:numPr>
          <w:ilvl w:val="2"/>
          <w:numId w:val="1"/>
        </w:numPr>
        <w:rPr/>
      </w:pPr>
      <w:bookmarkStart w:id="1068" w:name="__RefHeading___Toc581112_774463916"/>
      <w:bookmarkStart w:id="1069" w:name="_Toc424"/>
      <w:bookmarkEnd w:id="1067"/>
      <w:bookmarkEnd w:id="1068"/>
      <w:r>
        <w:rPr>
          <w:rtl w:val="true"/>
        </w:rPr>
        <w:t>الدرس</w:t>
      </w:r>
      <w:r>
        <w:rPr/>
        <w:t>18</w:t>
      </w:r>
      <w:r>
        <w:rPr>
          <w:rtl w:val="true"/>
        </w:rPr>
        <w:t xml:space="preserve"> -</w:t>
      </w:r>
      <w:r>
        <w:rPr>
          <w:rtl w:val="true"/>
        </w:rPr>
        <w:t xml:space="preserve">کتاب الإرث </w:t>
      </w:r>
      <w:r>
        <w:rPr>
          <w:rtl w:val="true"/>
        </w:rPr>
        <w:t>(</w:t>
      </w:r>
      <w:r>
        <w:rPr/>
        <w:t>3</w:t>
      </w:r>
      <w:r>
        <w:rPr>
          <w:rtl w:val="true"/>
        </w:rPr>
        <w:t>)</w:t>
      </w:r>
      <w:bookmarkEnd w:id="1069"/>
    </w:p>
    <w:p>
      <w:pPr>
        <w:pStyle w:val="Heading4"/>
        <w:numPr>
          <w:ilvl w:val="3"/>
          <w:numId w:val="1"/>
        </w:numPr>
        <w:rPr/>
      </w:pPr>
      <w:bookmarkStart w:id="1070" w:name="__RefHeading___Toc581114_774463916"/>
      <w:bookmarkStart w:id="1071" w:name="_Toc425"/>
      <w:bookmarkEnd w:id="1070"/>
      <w:r>
        <w:rPr/>
        <w:t>4</w:t>
      </w:r>
      <w:r>
        <w:rPr>
          <w:rtl w:val="true"/>
        </w:rPr>
        <w:t xml:space="preserve">- </w:t>
      </w:r>
      <w:r>
        <w:rPr>
          <w:rtl w:val="true"/>
        </w:rPr>
        <w:t>الحَجْب</w:t>
      </w:r>
      <w:bookmarkEnd w:id="1071"/>
    </w:p>
    <w:p>
      <w:pPr>
        <w:pStyle w:val="BookText"/>
        <w:rPr/>
      </w:pPr>
      <w:r>
        <w:rPr>
          <w:rFonts w:ascii="IRNazanin" w:hAnsi="IRNazanin" w:eastAsia="IRNazanin"/>
          <w:color w:val="111111"/>
          <w:sz w:val="28"/>
          <w:sz w:val="28"/>
          <w:szCs w:val="28"/>
          <w:rtl w:val="true"/>
          <w:lang w:bidi="fa-IR"/>
        </w:rPr>
        <w:t>والمراد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 عن الإرث کلّاً أو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 یسمی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حجْب حرمان، وله مصادیق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حجْب کلّ طبقة لاحقة بالطبقة السابقة، بلا خلاف بین المسلمین وسیأتی بعض الروایات الدالة علیه فی المباحث الآتیة</w:t>
      </w:r>
    </w:p>
    <w:p>
      <w:pPr>
        <w:pStyle w:val="BookText"/>
        <w:rPr/>
      </w:pPr>
      <w:r>
        <w:rPr>
          <w:rFonts w:ascii="IRNazanin" w:hAnsi="IRNazanin" w:eastAsia="IRNazanin"/>
          <w:color w:val="111111"/>
          <w:sz w:val="28"/>
          <w:sz w:val="28"/>
          <w:szCs w:val="28"/>
          <w:rtl w:val="true"/>
          <w:lang w:bidi="fa-IR"/>
        </w:rPr>
        <w:t>حجب الأقرب للأبعد فی الطبقة الواحدة؛ لآیة أولی الأرحام، فالولد یمنع ولد الولد، والأخ یمنع ولد الأخ،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الحجْب بالکفر، فالکافر لا یرث المسلم دون العکس، بلا خلاف؛ ففی صحیحة جمیل، وهشام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الناس عن النبی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یتوارث أهل ملتین،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نرثهم ولا یرثونا، إنّ الإسلام لم یزده فی حقه إلّا شدّة</w:t>
      </w:r>
      <w:r>
        <w:rPr>
          <w:rFonts w:eastAsia="IRNazanin" w:cs="IRNazanin"/>
          <w:color w:val="111111"/>
          <w:sz w:val="28"/>
          <w:szCs w:val="28"/>
          <w:rtl w:val="true"/>
          <w:lang w:bidi="fa-IR"/>
        </w:rPr>
        <w:t xml:space="preserve">. </w:t>
      </w:r>
      <w:r>
        <w:rPr>
          <w:rStyle w:val="FootnoteAnchor"/>
          <w:rtl w:val="true"/>
        </w:rPr>
        <w:footnoteReference w:id="979"/>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الحجْب بالقتل عمداً ظلماً، فالقاتل لا یرث المقتول بلا خلاف والروایات فی ذلک کثیرة جداً، ویدل علیه صحیح عبدالله 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عبدالله علیه السلام عن رجل قتل أمه، أیرثها؟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خطأً، ورثها، وإن کان عمداً لم یرثها</w:t>
      </w:r>
      <w:r>
        <w:rPr>
          <w:rFonts w:eastAsia="IRNazanin" w:cs="IRNazanin"/>
          <w:color w:val="111111"/>
          <w:sz w:val="28"/>
          <w:szCs w:val="28"/>
          <w:rtl w:val="true"/>
          <w:lang w:bidi="fa-IR"/>
        </w:rPr>
        <w:t xml:space="preserve">. </w:t>
      </w:r>
      <w:r>
        <w:rPr>
          <w:rStyle w:val="FootnoteAnchor"/>
          <w:rtl w:val="true"/>
        </w:rPr>
        <w:footnoteReference w:id="980"/>
      </w:r>
    </w:p>
    <w:p>
      <w:pPr>
        <w:pStyle w:val="BookText"/>
        <w:rPr/>
      </w:pPr>
      <w:r>
        <w:rPr>
          <w:rFonts w:ascii="IRNazanin" w:hAnsi="IRNazanin" w:eastAsia="IRNazanin"/>
          <w:color w:val="111111"/>
          <w:sz w:val="28"/>
          <w:sz w:val="28"/>
          <w:szCs w:val="28"/>
          <w:rtl w:val="true"/>
          <w:lang w:bidi="fa-IR"/>
        </w:rPr>
        <w:t>وروی أبو عبیدة فی الصحیح عن أبی جعفر علیه السلام</w:t>
      </w:r>
    </w:p>
    <w:p>
      <w:pPr>
        <w:pStyle w:val="BookText"/>
        <w:rPr/>
      </w:pPr>
      <w:r>
        <w:rPr>
          <w:rFonts w:ascii="IRNazanin" w:hAnsi="IRNazanin" w:eastAsia="IRNazanin"/>
          <w:color w:val="111111"/>
          <w:sz w:val="28"/>
          <w:sz w:val="28"/>
          <w:szCs w:val="28"/>
          <w:rtl w:val="true"/>
          <w:lang w:bidi="fa-IR"/>
        </w:rPr>
        <w:t>أنّ المرأة التی شربت دواء فألقت ولدها ولم یعلم بذلک زوجها، أن علیها الدیه تسلمها إلی أبیه ولا ترث من دیته لأنّها قتلته</w:t>
      </w:r>
      <w:r>
        <w:rPr>
          <w:rFonts w:eastAsia="IRNazanin" w:cs="IRNazanin"/>
          <w:color w:val="111111"/>
          <w:sz w:val="28"/>
          <w:szCs w:val="28"/>
          <w:rtl w:val="true"/>
          <w:lang w:bidi="fa-IR"/>
        </w:rPr>
        <w:t xml:space="preserve">. </w:t>
      </w:r>
      <w:r>
        <w:rPr>
          <w:rStyle w:val="FootnoteAnchor"/>
          <w:rtl w:val="true"/>
        </w:rPr>
        <w:footnoteReference w:id="981"/>
      </w:r>
    </w:p>
    <w:p>
      <w:pPr>
        <w:pStyle w:val="BookText"/>
        <w:rPr/>
      </w:pPr>
      <w:r>
        <w:rPr>
          <w:rFonts w:ascii="IRNazanin" w:hAnsi="IRNazanin" w:eastAsia="IRNazanin"/>
          <w:color w:val="111111"/>
          <w:sz w:val="28"/>
          <w:sz w:val="28"/>
          <w:szCs w:val="28"/>
          <w:rtl w:val="true"/>
          <w:lang w:bidi="fa-IR"/>
        </w:rPr>
        <w:t xml:space="preserve">الحَجْب بالرقیّة، بلا خلاف؛ لصحیحة محمد بن مسلم عن أحدهما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یتوارث الحرّ والمملوک</w:t>
      </w:r>
      <w:r>
        <w:rPr>
          <w:rFonts w:eastAsia="IRNazanin" w:cs="IRNazanin"/>
          <w:color w:val="111111"/>
          <w:sz w:val="28"/>
          <w:szCs w:val="28"/>
          <w:rtl w:val="true"/>
          <w:lang w:bidi="fa-IR"/>
        </w:rPr>
        <w:t xml:space="preserve">. </w:t>
      </w:r>
      <w:r>
        <w:rPr>
          <w:rStyle w:val="FootnoteAnchor"/>
          <w:rtl w:val="true"/>
        </w:rPr>
        <w:footnoteReference w:id="982"/>
      </w:r>
    </w:p>
    <w:p>
      <w:pPr>
        <w:pStyle w:val="BookText"/>
        <w:rPr/>
      </w:pPr>
      <w:r>
        <w:rPr>
          <w:rFonts w:ascii="IRNazanin" w:hAnsi="IRNazanin" w:eastAsia="IRNazanin"/>
          <w:color w:val="111111"/>
          <w:sz w:val="28"/>
          <w:sz w:val="28"/>
          <w:szCs w:val="28"/>
          <w:rtl w:val="true"/>
          <w:lang w:bidi="fa-IR"/>
        </w:rPr>
        <w:t xml:space="preserve">الحجب بالزنا، فلا توارث بین الولد والزانی، وبینه والزانیة، بلا خلاف؛ والروایات فی ذلک متعددة منها صحیحة الحلبی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أیّما رجل وقع علی ولیدة قوم حراماً ثمّ اشتراها، فادعی ولدها؛ فإنّه لا یورث منه شیء فان رسول‌الله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 xml:space="preserve">». </w:t>
      </w:r>
      <w:r>
        <w:rPr>
          <w:rStyle w:val="FootnoteAnchor"/>
          <w:rtl w:val="true"/>
        </w:rPr>
        <w:footnoteReference w:id="983"/>
      </w:r>
    </w:p>
    <w:p>
      <w:pPr>
        <w:pStyle w:val="BookText"/>
        <w:rPr/>
      </w:pPr>
      <w:r>
        <w:rPr>
          <w:rFonts w:ascii="IRNazanin" w:hAnsi="IRNazanin" w:eastAsia="IRNazanin"/>
          <w:color w:val="111111"/>
          <w:sz w:val="28"/>
          <w:sz w:val="28"/>
          <w:szCs w:val="28"/>
          <w:rtl w:val="true"/>
          <w:lang w:bidi="fa-IR"/>
        </w:rPr>
        <w:t>الحجْب باللعان؛ لانقطاع العلاقة بین الوالد ومن یتقرّب به وبین ولده، بعد الحکم بنفی الولد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حجْب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موردان</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حجب الولد فإنه یحجب الأبوین عما زاد عن السدس، إذ للام الثلث فی صورة عدم الولد وأمّا معه فالسدس، وللأب جمیع المال عَدا سهم الأم والزوجة فی صورة عدم الولد، ومعه فله السدس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یستثنی من ذلک صورتان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اجتمعت مع الأبوین بنت واحدة، فإنّه یبقی سدس یرد علیهم</w:t>
      </w:r>
    </w:p>
    <w:p>
      <w:pPr>
        <w:pStyle w:val="BookText"/>
        <w:rPr/>
      </w:pPr>
      <w:r>
        <w:rPr>
          <w:rFonts w:ascii="IRNazanin" w:hAnsi="IRNazanin" w:eastAsia="IRNazanin"/>
          <w:color w:val="111111"/>
          <w:sz w:val="28"/>
          <w:sz w:val="28"/>
          <w:szCs w:val="28"/>
          <w:rtl w:val="true"/>
          <w:lang w:bidi="fa-IR"/>
        </w:rPr>
        <w:t>أخماساً أو اجتمعت مع أحدهما فإنه یبقی ثلث یُردّ علیهما أرباعاً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والصورة 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إجتماع أحدهما مع البنتین فصاعداً فإنّه یبقی سدس یُردّ علیهما أخماساً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یحجب الولد الزوج والزوجة عن نصیبهما الاعلی إلی الادنی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المورد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 الأخوة للامُ عما زاد عن السدس بالرغم من أنّهم لا یرثون معها؛ فیدل علیه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یَکُنْ لَهُ وَلَدٌ وَ وَرِثَهُ أَبَواهُ فَلِأُمِّهِ الثُّلُثُ فَإِنْ کانَ لَهُ إِخْوَةٌ فَلِأُمِّهِ السُّدُسُ</w:t>
      </w:r>
      <w:r>
        <w:rPr>
          <w:rFonts w:eastAsia="Amiri" w:cs="Amiri" w:ascii="Amiri" w:hAnsi="Amiri"/>
          <w:color w:val="111111"/>
          <w:sz w:val="28"/>
          <w:szCs w:val="28"/>
          <w:rtl w:val="true"/>
          <w:lang w:bidi="ar-SA"/>
        </w:rPr>
        <w:t xml:space="preserve">... . </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ویشترط فی حجْب الأخوة للأم أمور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یکونوا مسلمین وأحراراً، فلا یحجْب المملوک ولا الکافر؛ لصحیح محمد بن مسلم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عبدالله علیه السلام عن المملوک والمشرک یحجبان إذا لم یرثا؟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98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یکون الأب حیّاً؛ لظاهر الآیة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وورثه ابواه، حیث یفهم منه اختصاصها بصورة حیاة الاب، هذا مضافاً، إلی دلالة صحیحة زرارة علی ذلک</w:t>
      </w:r>
      <w:r>
        <w:rPr>
          <w:rFonts w:eastAsia="IRNazanin" w:cs="IRNazanin"/>
          <w:color w:val="111111"/>
          <w:sz w:val="28"/>
          <w:szCs w:val="28"/>
          <w:rtl w:val="true"/>
          <w:lang w:bidi="fa-IR"/>
        </w:rPr>
        <w:t xml:space="preserve">. </w:t>
      </w:r>
      <w:r>
        <w:rPr>
          <w:rStyle w:val="FootnoteAnchor"/>
          <w:rtl w:val="true"/>
        </w:rPr>
        <w:footnoteReference w:id="98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یکونوا للأبوین أو للأب فقط دون الأم فقط، بلا خلاف؛ ویدلّ علیه قوله فی صحیحة زرارة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والأخوة لأم لیسوا لأب فإنّهم لا یحجبون الأم عن الثلث ولا یرثون</w:t>
      </w:r>
      <w:r>
        <w:rPr>
          <w:rFonts w:eastAsia="IRNazanin" w:cs="IRNazanin"/>
          <w:color w:val="111111"/>
          <w:sz w:val="28"/>
          <w:szCs w:val="28"/>
          <w:rtl w:val="true"/>
          <w:lang w:bidi="fa-IR"/>
        </w:rPr>
        <w:t xml:space="preserve">.... </w:t>
      </w:r>
      <w:r>
        <w:rPr>
          <w:rStyle w:val="FootnoteAnchor"/>
          <w:rtl w:val="true"/>
        </w:rPr>
        <w:footnoteReference w:id="98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یکونوا رجلین فصاعداً أو رجلاً وامرأتین أو أربع نساء، فلا یکفی الرجل‌الواحدة أو المرأة الواحد، أو هما معاً أو ثلاث نساء؛ لصحیح أبی العباس عن أبی عبدالله علیه السلام </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ترک المیت أخوین فهم اخوة مع المیت حجبا الأمّ عن الثلث، وإن کان واحداً لم یحجب الأم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 أربع أخوات حجبن الأم عن الثلث؛ لأنّهنّ بمنزلة الأخوین وإن کنّ ثلاثاً لم یحجبن</w:t>
      </w:r>
      <w:r>
        <w:rPr>
          <w:rFonts w:eastAsia="IRNazanin" w:cs="IRNazanin"/>
          <w:color w:val="111111"/>
          <w:sz w:val="28"/>
          <w:szCs w:val="28"/>
          <w:rtl w:val="true"/>
          <w:lang w:bidi="fa-IR"/>
        </w:rPr>
        <w:t xml:space="preserve">. </w:t>
      </w:r>
      <w:r>
        <w:rPr>
          <w:rStyle w:val="FootnoteAnchor"/>
          <w:rtl w:val="true"/>
        </w:rPr>
        <w:footnoteReference w:id="988"/>
      </w:r>
      <w:bookmarkStart w:id="1072" w:name="pg5021_49572"/>
    </w:p>
    <w:p>
      <w:pPr>
        <w:pStyle w:val="Heading3"/>
        <w:numPr>
          <w:ilvl w:val="2"/>
          <w:numId w:val="1"/>
        </w:numPr>
        <w:rPr/>
      </w:pPr>
      <w:bookmarkStart w:id="1073" w:name="__RefHeading___Toc581116_774463916"/>
      <w:bookmarkStart w:id="1074" w:name="_Toc426"/>
      <w:bookmarkEnd w:id="1072"/>
      <w:bookmarkEnd w:id="1073"/>
      <w:r>
        <w:rPr>
          <w:rtl w:val="true"/>
        </w:rPr>
        <w:t>الدرس</w:t>
      </w:r>
      <w:r>
        <w:rPr/>
        <w:t>19</w:t>
      </w:r>
      <w:r>
        <w:rPr>
          <w:rtl w:val="true"/>
        </w:rPr>
        <w:t xml:space="preserve"> - </w:t>
      </w:r>
      <w:r>
        <w:rPr>
          <w:rtl w:val="true"/>
        </w:rPr>
        <w:t xml:space="preserve">کتاب الإرث </w:t>
      </w:r>
      <w:r>
        <w:rPr>
          <w:rtl w:val="true"/>
        </w:rPr>
        <w:t>(</w:t>
      </w:r>
      <w:r>
        <w:rPr/>
        <w:t>4</w:t>
      </w:r>
      <w:r>
        <w:rPr>
          <w:rtl w:val="true"/>
        </w:rPr>
        <w:t>)</w:t>
      </w:r>
      <w:bookmarkEnd w:id="1074"/>
    </w:p>
    <w:p>
      <w:pPr>
        <w:pStyle w:val="Heading4"/>
        <w:numPr>
          <w:ilvl w:val="3"/>
          <w:numId w:val="1"/>
        </w:numPr>
        <w:rPr/>
      </w:pPr>
      <w:bookmarkStart w:id="1075" w:name="__RefHeading___Toc581118_774463916"/>
      <w:bookmarkStart w:id="1076" w:name="_Toc427"/>
      <w:bookmarkEnd w:id="1075"/>
      <w:r>
        <w:rPr/>
        <w:t>5</w:t>
      </w:r>
      <w:r>
        <w:rPr>
          <w:rtl w:val="true"/>
        </w:rPr>
        <w:t xml:space="preserve">- </w:t>
      </w:r>
      <w:r>
        <w:rPr>
          <w:rtl w:val="true"/>
        </w:rPr>
        <w:t>العول والتعصیب</w:t>
      </w:r>
      <w:bookmarkEnd w:id="1076"/>
    </w:p>
    <w:p>
      <w:pPr>
        <w:pStyle w:val="BookText"/>
        <w:rPr/>
      </w:pPr>
      <w:r>
        <w:rPr>
          <w:rFonts w:ascii="IRNazanin" w:hAnsi="IRNazanin" w:eastAsia="IRNazanin"/>
          <w:color w:val="111111"/>
          <w:sz w:val="28"/>
          <w:sz w:val="28"/>
          <w:szCs w:val="28"/>
          <w:rtl w:val="true"/>
          <w:lang w:bidi="fa-IR"/>
        </w:rPr>
        <w:t>إذا کان جمیع الورثة ذوی فروض، فتارة تفترض فروضهم مساویة لستة أسداس، کما لو فرض أنّ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أبوان وبنتان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للأبوین سدسان وللبنتین الثلثان فلا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واُخری یفترض کونها أکثر من ذلک، کما لو فُرض أنّ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وله النصف، وأخت للأب ولهما النصف أیضاً، وأختان من الأم ولهما الثلث، والمجموع یزید علی ستة أسداس بمقدار ثلث، وهذا هو مورد العول الذی ذهب إلیه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وثالثة یفترض کونها أقل، وهو مورد التعصیب الباطل عندنا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العول فأوّل من قال به من العامة هو الخلیفة الثانی، قال ابن قدامی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مسألة عائلة حدثت فی زمن عمر، فجمع الصحابة للمشورة فیها،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أن تقسّم المال بینهم علی قدر سهامهم، فأخذ به عمر واتبعه الناس علی ذلک</w:t>
      </w:r>
      <w:r>
        <w:rPr>
          <w:rFonts w:eastAsia="IRNazanin" w:cs="IRNazanin"/>
          <w:color w:val="111111"/>
          <w:sz w:val="28"/>
          <w:szCs w:val="28"/>
          <w:rtl w:val="true"/>
          <w:lang w:bidi="fa-IR"/>
        </w:rPr>
        <w:t xml:space="preserve">. </w:t>
      </w:r>
      <w:r>
        <w:rPr>
          <w:rStyle w:val="FootnoteAnchor"/>
          <w:rtl w:val="true"/>
        </w:rPr>
        <w:footnoteReference w:id="989"/>
      </w:r>
      <w:r>
        <w:rPr>
          <w:rFonts w:ascii="IRNazanin" w:hAnsi="IRNazanin" w:eastAsia="IRNazanin"/>
          <w:color w:val="111111"/>
          <w:sz w:val="28"/>
          <w:sz w:val="28"/>
          <w:szCs w:val="28"/>
          <w:rtl w:val="true"/>
          <w:lang w:bidi="fa-IR"/>
        </w:rPr>
        <w:t>ولذا قالوا بورود النقص علی جمیع ذوی الفروض علی نسبة فرضه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وذهبت الإمامیة إلی استحالة العول، ففی صحیحة الحضرمی عن أبی عبدالله علیه السلام </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ابن عباس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یحصی رمل عالج لیعلم أن السهام لاتعول من</w:t>
      </w:r>
    </w:p>
    <w:p>
      <w:pPr>
        <w:pStyle w:val="BookText"/>
        <w:rPr/>
      </w:pPr>
      <w:r>
        <w:rPr>
          <w:rFonts w:ascii="Amiri" w:hAnsi="Amiri" w:eastAsia="Amiri" w:cs="Amiri"/>
          <w:color w:val="111111"/>
          <w:sz w:val="28"/>
          <w:sz w:val="28"/>
          <w:szCs w:val="28"/>
          <w:rtl w:val="true"/>
          <w:lang w:bidi="ar-SA"/>
        </w:rPr>
        <w:t>ستة، فمن شاء لاعنْته عند الحجر؛ أنّ السهام لا تعول من ستة</w:t>
      </w:r>
      <w:r>
        <w:rPr>
          <w:rFonts w:eastAsia="Amiri" w:cs="Amiri" w:ascii="Amiri" w:hAnsi="Amiri"/>
          <w:color w:val="111111"/>
          <w:sz w:val="28"/>
          <w:szCs w:val="28"/>
          <w:rtl w:val="true"/>
          <w:lang w:bidi="ar-SA"/>
        </w:rPr>
        <w:t xml:space="preserve">. </w:t>
      </w:r>
      <w:r>
        <w:rPr>
          <w:rStyle w:val="FootnoteAnchor"/>
          <w:rtl w:val="true"/>
        </w:rPr>
        <w:footnoteReference w:id="990"/>
      </w:r>
    </w:p>
    <w:p>
      <w:pPr>
        <w:pStyle w:val="BookText"/>
        <w:rPr/>
      </w:pPr>
      <w:r>
        <w:rPr>
          <w:rFonts w:ascii="IRNazanin" w:hAnsi="IRNazanin" w:eastAsia="IRNazanin"/>
          <w:color w:val="111111"/>
          <w:sz w:val="28"/>
          <w:sz w:val="28"/>
          <w:szCs w:val="28"/>
          <w:rtl w:val="true"/>
          <w:lang w:bidi="fa-IR"/>
        </w:rPr>
        <w:t>ومن هنا سمیت المسألة المذکورة بمسألة المباهلة</w:t>
      </w:r>
      <w:r>
        <w:rPr>
          <w:rFonts w:eastAsia="IRNazanin" w:cs="IRNazanin"/>
          <w:color w:val="111111"/>
          <w:sz w:val="28"/>
          <w:szCs w:val="28"/>
          <w:rtl w:val="true"/>
          <w:lang w:bidi="fa-IR"/>
        </w:rPr>
        <w:t xml:space="preserve">. </w:t>
      </w:r>
      <w:r>
        <w:rPr>
          <w:rStyle w:val="FootnoteAnchor"/>
          <w:rtl w:val="true"/>
        </w:rPr>
        <w:footnoteReference w:id="991"/>
      </w:r>
    </w:p>
    <w:p>
      <w:pPr>
        <w:pStyle w:val="BookText"/>
        <w:rPr/>
      </w:pPr>
      <w:r>
        <w:rPr>
          <w:rFonts w:ascii="IRNazanin" w:hAnsi="IRNazanin" w:eastAsia="IRNazanin"/>
          <w:color w:val="111111"/>
          <w:sz w:val="28"/>
          <w:sz w:val="28"/>
          <w:szCs w:val="28"/>
          <w:rtl w:val="true"/>
          <w:lang w:bidi="fa-IR"/>
        </w:rPr>
        <w:t>والظاهر إن ابن عباس أخذ ذلک عن علی علیه السلام کما یشیر إلیه موثّقة أبی بصیر عن أبی جعفر علیه السلام فی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امیرالمؤمنین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أحصی رمل عالج لیعلم أنّ السهام لا تعول علی ستة لو یبصرون وجهها لم تجز ستة</w:t>
      </w:r>
      <w:r>
        <w:rPr>
          <w:rFonts w:eastAsia="IRNazanin" w:cs="IRNazanin"/>
          <w:color w:val="111111"/>
          <w:sz w:val="28"/>
          <w:szCs w:val="28"/>
          <w:rtl w:val="true"/>
          <w:lang w:bidi="fa-IR"/>
        </w:rPr>
        <w:t xml:space="preserve">. </w:t>
      </w:r>
      <w:r>
        <w:rPr>
          <w:rStyle w:val="FootnoteAnchor"/>
          <w:rtl w:val="true"/>
        </w:rPr>
        <w:footnoteReference w:id="992"/>
      </w:r>
    </w:p>
    <w:p>
      <w:pPr>
        <w:pStyle w:val="BookText"/>
        <w:rPr/>
      </w:pPr>
      <w:r>
        <w:rPr>
          <w:rFonts w:ascii="IRNazanin" w:hAnsi="IRNazanin" w:eastAsia="IRNazanin"/>
          <w:color w:val="111111"/>
          <w:sz w:val="28"/>
          <w:sz w:val="28"/>
          <w:szCs w:val="28"/>
          <w:rtl w:val="true"/>
          <w:lang w:bidi="fa-IR"/>
        </w:rPr>
        <w:t>وکیفما کان فقد ذهبت الإمامیة تبعاً لأئمتهم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دخول النقص علی من یکون ذا فرض واحد، بحیث لو تغیر عنه ورث الباقی بالقرابة، بخلاف من قرّر له القرآن الکریم فرضین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وأدنی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مثله لا یدخل علیه النقص، لصحیحة عمر بن أذینة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اردت أن تلقی العول فانما یدخل النقصان علی الذین لهم الزیادة من الولد والأخوة من الأب، وأما الزوج والأخوة من الأم فإنّهم لا ینقصون مما سمی لهم شیئاً</w:t>
      </w:r>
      <w:r>
        <w:rPr>
          <w:rFonts w:eastAsia="IRNazanin" w:cs="IRNazanin"/>
          <w:color w:val="111111"/>
          <w:sz w:val="28"/>
          <w:szCs w:val="28"/>
          <w:rtl w:val="true"/>
          <w:lang w:bidi="fa-IR"/>
        </w:rPr>
        <w:t xml:space="preserve">. </w:t>
      </w:r>
      <w:r>
        <w:rPr>
          <w:rStyle w:val="FootnoteAnchor"/>
          <w:rtl w:val="true"/>
        </w:rPr>
        <w:footnoteReference w:id="993"/>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المثال المتقدّم یدخل النقص علی الأخت للأبوین، لأن فرضها النصف وإذا تغیر بسبب انضمام الأخ لها ورثت الباقی مع أخیها بالقرابة؛ للذکر مثل حظ الانثیین، ولا یدخل علی الزوج لأن فرضه عند عدم الولد النصف ومعه ینتقل إلی الربع کما لا یدخل علی الأختین من الأم، لأن فرضهما الثلث ولا یتغیر إلی إرث الباقی بانضمام أخ أو أخت 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التعصیب، بمعنی إذا کانت الفروض أقل من ستة أسداس، یعطی الزائد للعصبة، وهم الذکور من أقارب المیّت ممن ینتسب إلیه من دون واسطة کالأخ، أو بواسطة ذکر، کالعم وابنه وابن الأخ،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ترک المیت بنتاً یدفع إلیها نصف المال ویدفع النصف الاخر للأخ أو ابنه إن کان، أو للعم أو ابنه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والإمامیة أجمعوا علی بطلانه ولزوم رد النصف الثانی أیضاً إلی البنت نفسها فی المثال، لإن التعصیب علی خلاف القاعدة القرآنیة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أَوْلی بِبَعْضٍ فِی کِتابِ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فی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المال للأقرب، والعصبة فی فیه التراب</w:t>
      </w:r>
      <w:r>
        <w:rPr>
          <w:rFonts w:eastAsia="IRNazanin" w:cs="IRNazanin"/>
          <w:color w:val="111111"/>
          <w:sz w:val="28"/>
          <w:szCs w:val="28"/>
          <w:rtl w:val="true"/>
          <w:lang w:bidi="fa-IR"/>
        </w:rPr>
        <w:t xml:space="preserve">. </w:t>
      </w:r>
      <w:r>
        <w:rPr>
          <w:rStyle w:val="FootnoteAnchor"/>
          <w:rtl w:val="true"/>
        </w:rPr>
        <w:footnoteReference w:id="994"/>
      </w:r>
    </w:p>
    <w:p>
      <w:pPr>
        <w:pStyle w:val="BookText"/>
        <w:rPr/>
      </w:pPr>
      <w:r>
        <w:rPr>
          <w:rFonts w:ascii="IRNazanin" w:hAnsi="IRNazanin" w:eastAsia="IRNazanin"/>
          <w:color w:val="111111"/>
          <w:sz w:val="28"/>
          <w:sz w:val="28"/>
          <w:szCs w:val="28"/>
          <w:rtl w:val="true"/>
          <w:lang w:bidi="fa-IR"/>
        </w:rPr>
        <w:t xml:space="preserve">وعن أبی جعفر علیه السلام ذیل آیة اولی الأرحام قال علیه السلام </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أیهم أولی بالمیت وأقربهم إلیه؟ امّه او أخوه؟ الیس الأم أقرب إلی المیت من إخوته وأخواته</w:t>
      </w:r>
      <w:r>
        <w:rPr>
          <w:rFonts w:eastAsia="IRNazanin" w:cs="IRNazanin"/>
          <w:color w:val="111111"/>
          <w:sz w:val="28"/>
          <w:szCs w:val="28"/>
          <w:rtl w:val="true"/>
          <w:lang w:bidi="fa-IR"/>
        </w:rPr>
        <w:t xml:space="preserve">. </w:t>
      </w:r>
      <w:r>
        <w:rPr>
          <w:rStyle w:val="FootnoteAnchor"/>
          <w:rtl w:val="true"/>
        </w:rPr>
        <w:footnoteReference w:id="995"/>
      </w:r>
      <w:bookmarkStart w:id="1077" w:name="pg5021_49575"/>
    </w:p>
    <w:p>
      <w:pPr>
        <w:pStyle w:val="Heading3"/>
        <w:numPr>
          <w:ilvl w:val="2"/>
          <w:numId w:val="1"/>
        </w:numPr>
        <w:rPr/>
      </w:pPr>
      <w:bookmarkStart w:id="1078" w:name="__RefHeading___Toc581120_774463916"/>
      <w:bookmarkStart w:id="1079" w:name="_Toc428"/>
      <w:bookmarkEnd w:id="1077"/>
      <w:bookmarkEnd w:id="1078"/>
      <w:r>
        <w:rPr>
          <w:rtl w:val="true"/>
        </w:rPr>
        <w:t>الدرس</w:t>
      </w:r>
      <w:r>
        <w:rPr/>
        <w:t>20</w:t>
      </w:r>
      <w:r>
        <w:rPr>
          <w:rtl w:val="true"/>
        </w:rPr>
        <w:t xml:space="preserve"> - </w:t>
      </w:r>
      <w:r>
        <w:rPr>
          <w:rtl w:val="true"/>
        </w:rPr>
        <w:t xml:space="preserve">کتاب الإرث </w:t>
      </w:r>
      <w:r>
        <w:rPr>
          <w:rtl w:val="true"/>
        </w:rPr>
        <w:t>(</w:t>
      </w:r>
      <w:r>
        <w:rPr/>
        <w:t>5</w:t>
      </w:r>
      <w:r>
        <w:rPr>
          <w:rtl w:val="true"/>
        </w:rPr>
        <w:t>)</w:t>
      </w:r>
      <w:bookmarkEnd w:id="1079"/>
    </w:p>
    <w:p>
      <w:pPr>
        <w:pStyle w:val="Heading4"/>
        <w:numPr>
          <w:ilvl w:val="3"/>
          <w:numId w:val="1"/>
        </w:numPr>
        <w:rPr/>
      </w:pPr>
      <w:bookmarkStart w:id="1080" w:name="__RefHeading___Toc581122_774463916"/>
      <w:bookmarkStart w:id="1081" w:name="_Toc429"/>
      <w:bookmarkEnd w:id="1080"/>
      <w:r>
        <w:rPr/>
        <w:t>6</w:t>
      </w:r>
      <w:r>
        <w:rPr>
          <w:rtl w:val="true"/>
        </w:rPr>
        <w:t xml:space="preserve">- </w:t>
      </w:r>
      <w:r>
        <w:rPr>
          <w:rtl w:val="true"/>
        </w:rPr>
        <w:t>من تفاصیل إرث الطبقات</w:t>
      </w:r>
      <w:bookmarkEnd w:id="1081"/>
    </w:p>
    <w:p>
      <w:pPr>
        <w:pStyle w:val="Heading5"/>
        <w:numPr>
          <w:ilvl w:val="4"/>
          <w:numId w:val="1"/>
        </w:numPr>
        <w:rPr/>
      </w:pPr>
      <w:bookmarkStart w:id="1082" w:name="__RefHeading___Toc581124_774463916"/>
      <w:bookmarkStart w:id="1083" w:name="_Toc430"/>
      <w:bookmarkEnd w:id="1082"/>
      <w:r>
        <w:rPr>
          <w:rtl w:val="true"/>
        </w:rPr>
        <w:t>إرث الطبقة الاولی</w:t>
      </w:r>
      <w:bookmarkEnd w:id="1083"/>
    </w:p>
    <w:p>
      <w:pPr>
        <w:pStyle w:val="BookText"/>
        <w:rPr/>
      </w:pPr>
      <w:r>
        <w:rPr>
          <w:rFonts w:ascii="IRNazanin" w:hAnsi="IRNazanin" w:eastAsia="IRNazanin"/>
          <w:color w:val="111111"/>
          <w:sz w:val="28"/>
          <w:sz w:val="28"/>
          <w:szCs w:val="28"/>
          <w:rtl w:val="true"/>
          <w:lang w:bidi="fa-IR"/>
        </w:rPr>
        <w:t>للأب المنفرد تمام المال؛ للقرابة التی تدل آیة أولی الأرحام علی أولویتها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للأم المنفردة الثلث منه بالفرض والباقی بالقرابة، ولو اجتمع الأبوان ولیس للمیت وارث آخر فی طبقتهما، کان للأم الثلث مع عدم الحاجب والباقی للأب للقرابة، ومع الحاجب لها السدس والباقی للأب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 اجتمع الزوج والزوجة مع أحد الأبوین؛ کان للزوج النصف فرضاً، وللزوجة الربع، والباقی للأب بالقرابة، أو للأم فرضاً وقرابةً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 اجتمع الزوج أو الزوجة مع الأبوین معاً، کان للزوج النصف وللزوجة الربع حیث لا ولد للمیت کما هو المفروض، وللأم الثلث فرضاً أو السدس مع وجود الحاجب، والباقی للأب؛ للقرابة</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للإبن المنفرد تمام المال بالقرابة بعد عدم الفرض له، وأمّا البنت المنفردة فلها النصف فرضاً والباقی یُردّ علیها، للقرابة، وقد تقدّم بطلان التعصیب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اجتمع الابن والبنت کان للذکر مثل حظ الانثیین کما فی الکتاب الکریم؛ </w:t>
      </w:r>
      <w:r>
        <w:rPr>
          <w:rStyle w:val="FootnoteAnchor"/>
          <w:rtl w:val="true"/>
        </w:rPr>
        <w:footnoteReference w:id="996"/>
      </w:r>
      <w:r>
        <w:rPr>
          <w:rFonts w:ascii="IRNazanin" w:hAnsi="IRNazanin" w:eastAsia="IRNazanin"/>
          <w:color w:val="111111"/>
          <w:sz w:val="28"/>
          <w:sz w:val="28"/>
          <w:szCs w:val="28"/>
          <w:rtl w:val="true"/>
          <w:lang w:bidi="fa-IR"/>
        </w:rPr>
        <w:t>لعدم الفرض لهما</w:t>
      </w:r>
    </w:p>
    <w:p>
      <w:pPr>
        <w:pStyle w:val="BookText"/>
        <w:rPr/>
      </w:pPr>
      <w:r>
        <w:rPr>
          <w:rFonts w:ascii="IRNazanin" w:hAnsi="IRNazanin" w:eastAsia="IRNazanin"/>
          <w:color w:val="111111"/>
          <w:sz w:val="28"/>
          <w:sz w:val="28"/>
          <w:szCs w:val="28"/>
          <w:rtl w:val="true"/>
          <w:lang w:bidi="fa-IR"/>
        </w:rPr>
        <w:t>فیرثان بالقرابة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انفرد الابنان فما زاد فلهما تمام المال بالقرابة یقسّم بینهما بالسویة لعدم الترجیح، وکذلک البنتان المنفردتان فما زاد فلهما الثلثان فرضاً کما تقدّم ویُردّ الباقی أیضاً علیهما بالسویة للقرابة، وإذا اجتمع البنون مع البنات کان لهم تمام المال بالقرابة للذکر مثل حظ الأنثیین؛ للآیة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اجتمع الأبوان مع ابن واحد کان لکل منهما السدس فرضاً والباقی للابن للقرابة، وإذا کان الأبناء متعددة فالباقی لهم أیضاً بالسویة لعدم 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اجتمع أحد الأبوین مع ابن واحد، کان له السدس فرضاً والباقی للابن بالقرابة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اجتمعا مع البنت الواحدة فقط، کان لکلِّ واحدٍ منهما فرضاً وردّاً والباقی للبنت کذلک، علی ما فی الروایات ومنها صحیحة محمد بن مسلم فراجع</w:t>
      </w:r>
      <w:r>
        <w:rPr>
          <w:rFonts w:eastAsia="IRNazanin" w:cs="IRNazanin"/>
          <w:color w:val="111111"/>
          <w:sz w:val="28"/>
          <w:szCs w:val="28"/>
          <w:rtl w:val="true"/>
          <w:lang w:bidi="fa-IR"/>
        </w:rPr>
        <w:t xml:space="preserve">. </w:t>
      </w:r>
      <w:r>
        <w:rPr>
          <w:rStyle w:val="FootnoteAnchor"/>
          <w:rtl w:val="true"/>
        </w:rPr>
        <w:footnoteReference w:id="997"/>
      </w:r>
    </w:p>
    <w:p>
      <w:pPr>
        <w:pStyle w:val="BookText"/>
        <w:rPr/>
      </w:pPr>
      <w:r>
        <w:rPr>
          <w:rFonts w:ascii="IRNazanin" w:hAnsi="IRNazanin" w:eastAsia="IRNazanin"/>
          <w:color w:val="111111"/>
          <w:sz w:val="28"/>
          <w:sz w:val="28"/>
          <w:szCs w:val="28"/>
          <w:rtl w:val="true"/>
          <w:lang w:bidi="fa-IR"/>
        </w:rPr>
        <w:t>واذا اجتمعا معاً مع البنتین أو أکثر، فلکلّ واحد منهما السدس فرضاً والباقی لهنّ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إجتمع أحدهما مع البنتین فما زاد، کان له السدس بالفرض والرد والباقی لهن بالسویة، فکما تقدّم إذ الزائد وهو سدس المال یردّ علیهم علی حسب سهامهم للقرابة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یؤیده حدیث حمران، وبکیر عن أبی جعفر علیه السلام </w:t>
      </w:r>
      <w:r>
        <w:rPr>
          <w:rStyle w:val="FootnoteAnchor"/>
          <w:rtl w:val="true"/>
        </w:rPr>
        <w:footnoteReference w:id="998"/>
      </w:r>
      <w:r>
        <w:rPr>
          <w:rFonts w:ascii="IRNazanin" w:hAnsi="IRNazanin" w:eastAsia="IRNazanin"/>
          <w:color w:val="111111"/>
          <w:sz w:val="28"/>
          <w:sz w:val="28"/>
          <w:szCs w:val="28"/>
          <w:rtl w:val="true"/>
          <w:lang w:bidi="fa-IR"/>
        </w:rPr>
        <w:t>وهکذا فی سائر الموارد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ویقوم أولاد الأولاد وإن نزلوا مقام الأولاد عند عدمهم فی مقاسمة الأبوین ویحجبونهما عن الأعلی إلی الأدنی علی ما هو المعروف بین الأصحاب؛ لإطلاق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لِأَبَوَیْهِ لِکُلِّ واحِدٍ مِنْهُمَا السُّدُسُ مِمّا تَرَکَ إِنْ کانَ لَهُ وَلَدٌ فَإِنْ لَمْ یَکُنْ لَهُ وَلَدٌ وَ وَرِثَهُ أَبَواهُ فَلِأُمِّهِ الثُّلُثُ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کلمة ولد یشمل ولد الولد وإن نزل، ولا یرث ولد الولد مع وجود الولد وإن کان انثی و بلا خلاف؛ لان الأقرب یمنع الأبعد؛ وللروایات، منها صحیح عبدالرحمن بن الحجاج عن أبی عبدالله علیه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بنات الابنة یرثن إذا لم یکن بنات کن مکان البنات</w:t>
      </w:r>
      <w:r>
        <w:rPr>
          <w:rFonts w:eastAsia="IRNazanin" w:cs="IRNazanin"/>
          <w:color w:val="111111"/>
          <w:sz w:val="28"/>
          <w:szCs w:val="28"/>
          <w:rtl w:val="true"/>
          <w:lang w:bidi="fa-IR"/>
        </w:rPr>
        <w:t xml:space="preserve">. </w:t>
      </w:r>
      <w:r>
        <w:rPr>
          <w:rStyle w:val="FootnoteAnchor"/>
          <w:rtl w:val="true"/>
        </w:rPr>
        <w:footnoteReference w:id="999"/>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صحیحة سعد بن ابی خلف عن أبی الحسن الأول علیه السلام </w:t>
      </w:r>
      <w:r>
        <w:rPr>
          <w:rStyle w:val="FootnoteAnchor"/>
          <w:rtl w:val="true"/>
        </w:rPr>
        <w:footnoteReference w:id="1000"/>
      </w:r>
      <w:r>
        <w:rPr>
          <w:rFonts w:ascii="IRNazanin" w:hAnsi="IRNazanin" w:eastAsia="IRNazanin"/>
          <w:color w:val="111111"/>
          <w:sz w:val="28"/>
          <w:sz w:val="28"/>
          <w:szCs w:val="28"/>
          <w:rtl w:val="true"/>
          <w:lang w:bidi="fa-IR"/>
        </w:rPr>
        <w:t>ویرث ولد الولد نصیب من یتقرّب به علی المشهور، فولد البنت یرث نصیب أمه ذکراً کان أو أنثی، وولد الابن یأخذ نصیب أبیه ذکراً کان أو انثی؛ ویدلّ علیه ما تقدّم فی صحیحة عبدالرحمن ابن الحجاج، وهل یقیّد ذلک بما إذا لم یکن للمیت وارث أقرب منه کالأبوین أو ولد آخر من صلبه؟ فیه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فلو کان للمیت أولاد بنت وأولاد ابن فقط، کان لأولاد البنت الثلث نصیب أمهم یقسّم بینهم للذکر مثل حظ الانثیین، للقاعدة القرآنیة ولأولاد الابن الثلثان نصیب أبیهم کذلک</w:t>
      </w:r>
      <w:r>
        <w:rPr>
          <w:rFonts w:eastAsia="IRNazanin" w:cs="IRNazanin"/>
          <w:color w:val="111111"/>
          <w:sz w:val="28"/>
          <w:szCs w:val="28"/>
          <w:rtl w:val="true"/>
          <w:lang w:bidi="fa-IR"/>
        </w:rPr>
        <w:t>.</w:t>
      </w:r>
      <w:bookmarkStart w:id="1084" w:name="pg5021_49578"/>
    </w:p>
    <w:p>
      <w:pPr>
        <w:pStyle w:val="Heading3"/>
        <w:numPr>
          <w:ilvl w:val="2"/>
          <w:numId w:val="1"/>
        </w:numPr>
        <w:rPr/>
      </w:pPr>
      <w:bookmarkStart w:id="1085" w:name="__RefHeading___Toc581126_774463916"/>
      <w:bookmarkStart w:id="1086" w:name="_Toc431"/>
      <w:bookmarkEnd w:id="1084"/>
      <w:bookmarkEnd w:id="1085"/>
      <w:r>
        <w:rPr>
          <w:rtl w:val="true"/>
        </w:rPr>
        <w:t>الدرس</w:t>
      </w:r>
      <w:r>
        <w:rPr/>
        <w:t>21</w:t>
      </w:r>
      <w:r>
        <w:rPr>
          <w:rtl w:val="true"/>
        </w:rPr>
        <w:t xml:space="preserve"> -</w:t>
      </w:r>
      <w:r>
        <w:rPr>
          <w:rtl w:val="true"/>
        </w:rPr>
        <w:t xml:space="preserve">کتاب الإرث </w:t>
      </w:r>
      <w:r>
        <w:rPr>
          <w:rtl w:val="true"/>
        </w:rPr>
        <w:t>(</w:t>
      </w:r>
      <w:r>
        <w:rPr/>
        <w:t>6</w:t>
      </w:r>
      <w:r>
        <w:rPr>
          <w:rtl w:val="true"/>
        </w:rPr>
        <w:t>)</w:t>
      </w:r>
      <w:bookmarkEnd w:id="1086"/>
    </w:p>
    <w:p>
      <w:pPr>
        <w:pStyle w:val="Heading4"/>
        <w:numPr>
          <w:ilvl w:val="3"/>
          <w:numId w:val="1"/>
        </w:numPr>
        <w:rPr/>
      </w:pPr>
      <w:bookmarkStart w:id="1087" w:name="__RefHeading___Toc581128_774463916"/>
      <w:bookmarkStart w:id="1088" w:name="_Toc432"/>
      <w:bookmarkEnd w:id="1087"/>
      <w:r>
        <w:rPr>
          <w:rtl w:val="true"/>
        </w:rPr>
        <w:t>إرث الطبقة الثانیة</w:t>
      </w:r>
      <w:bookmarkEnd w:id="1088"/>
    </w:p>
    <w:p>
      <w:pPr>
        <w:pStyle w:val="BookText"/>
        <w:rPr/>
      </w:pPr>
      <w:r>
        <w:rPr>
          <w:rFonts w:ascii="IRNazanin" w:hAnsi="IRNazanin" w:eastAsia="IRNazanin"/>
          <w:color w:val="111111"/>
          <w:sz w:val="28"/>
          <w:sz w:val="28"/>
          <w:szCs w:val="28"/>
          <w:rtl w:val="true"/>
          <w:lang w:bidi="fa-IR"/>
        </w:rPr>
        <w:t>الطبقة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الأخوة والأجداد، ولا ترث هذه الطبقة إلّا إذا لم یکن للمیت ولد وإن نزل ولا احد الأبوین المباشرین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إرث هذه الطبقة نذکره فی مسائل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للأخ من الأبوین إذا کان وحده، المال کلّه بالقرابة، بلا خلاف؛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امْرُؤٌ هَلَکَ لَیْسَ لَهُ وَلَدٌ وَ لَهُ أُخْتٌ فَلَها نِصْفُ ما تَرَکَ وَ هُوَ یَرِثُها إِنْ لَمْ یَکُنْ لَها وَلَدٌ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مقتضی إطلاق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یَرِثُها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 یرث جمیع الترکة؛ ولصحیحة عبدالله بن سنان بالنسبة إلی إرث الأخ من الأخ،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سألته عن رجل مات وترک أخاه ولم یترک وارثاً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له</w:t>
      </w:r>
      <w:r>
        <w:rPr>
          <w:rFonts w:eastAsia="IRNazanin" w:cs="IRNazanin"/>
          <w:color w:val="111111"/>
          <w:sz w:val="28"/>
          <w:szCs w:val="28"/>
          <w:rtl w:val="true"/>
          <w:lang w:bidi="fa-IR"/>
        </w:rPr>
        <w:t xml:space="preserve">.... </w:t>
      </w:r>
      <w:r>
        <w:rPr>
          <w:rStyle w:val="FootnoteAnchor"/>
          <w:rtl w:val="true"/>
        </w:rPr>
        <w:footnoteReference w:id="1001"/>
      </w:r>
    </w:p>
    <w:p>
      <w:pPr>
        <w:pStyle w:val="BookText"/>
        <w:rPr/>
      </w:pPr>
      <w:r>
        <w:rPr>
          <w:rFonts w:ascii="IRNazanin" w:hAnsi="IRNazanin" w:eastAsia="IRNazanin"/>
          <w:color w:val="111111"/>
          <w:sz w:val="28"/>
          <w:sz w:val="28"/>
          <w:szCs w:val="28"/>
          <w:rtl w:val="true"/>
          <w:lang w:bidi="fa-IR"/>
        </w:rPr>
        <w:t>ومع تعدد الأخوة یقسّم بینهم بالسویة؛ لعدم الترجیح بعد کون سبب الشرکة أمراً واحداً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للأخت المنفردة من الأبوین المال کلّه أیضاً، نصفه بالفرض کما تقدّم</w:t>
      </w:r>
    </w:p>
    <w:p>
      <w:pPr>
        <w:pStyle w:val="BookText"/>
        <w:rPr/>
      </w:pPr>
      <w:r>
        <w:rPr>
          <w:rFonts w:ascii="Amiri" w:hAnsi="Amiri" w:eastAsia="Amiri" w:cs="Amiri"/>
          <w:color w:val="111111"/>
          <w:sz w:val="28"/>
          <w:sz w:val="28"/>
          <w:szCs w:val="28"/>
          <w:rtl w:val="true"/>
          <w:lang w:bidi="ar-SA"/>
        </w:rPr>
        <w:t>ونصفه بالقرابة؛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الْأَرْحامِ</w:t>
      </w:r>
      <w:r>
        <w:rPr>
          <w:rFonts w:eastAsia="Amiri" w:cs="Amiri" w:ascii="Amiri" w:hAnsi="Amiri"/>
          <w:color w:val="111111"/>
          <w:sz w:val="28"/>
          <w:szCs w:val="28"/>
          <w:rtl w:val="true"/>
          <w:lang w:bidi="ar-SA"/>
        </w:rPr>
        <w:t xml:space="preserve">... . </w:t>
      </w:r>
      <w:r>
        <w:rPr>
          <w:rStyle w:val="FootnoteAnchor"/>
          <w:rtl w:val="true"/>
        </w:rPr>
        <w:footnoteReference w:id="100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للأختین أو الأخوات من الأبوین المال کله، یرثن ثلثیه بالفرض کما تقدّم والباقی بالقرابة، لآیة أولی الارحام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خلّف المیت إخوة وأخوات معاً، فلا فرض لعدم سهم لهم فی القرآن، بل یرثون المال کلّه بالقرابة؛ للآیة للذکر مثل حظ الأنثیین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کانُوا إِخْوَةً رِجالاً وَ نِساءً فَلِلذَّکَرِ مِثْلُ حَظِّ الْأُنْثَیَیْنِ</w:t>
      </w:r>
      <w:r>
        <w:rPr>
          <w:rFonts w:eastAsia="Amiri" w:cs="Amiri" w:ascii="Amiri" w:hAnsi="Amiri"/>
          <w:color w:val="111111"/>
          <w:sz w:val="28"/>
          <w:szCs w:val="28"/>
          <w:rtl w:val="true"/>
          <w:lang w:bidi="ar-SA"/>
        </w:rPr>
        <w:t xml:space="preserve">... . </w:t>
      </w:r>
      <w:r>
        <w:rPr>
          <w:rStyle w:val="FootnoteAnchor"/>
          <w:rtl w:val="true"/>
        </w:rPr>
        <w:footnoteReference w:id="100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للأخ المنفرد من الأم المال کلّه، یرث السدس بالفرض والباقی بالقرابة، وکذلک الأخت المنفردة،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کانَ رَجُلٌ یُورَثُ کَلالَةً أَوِ امْرَأَةٌ وَ لَهُ أَخٌ أَوْ أُخْتٌ فَلِکُلِّ واحِدٍ مِنْهُمَا السُّدُسُ</w:t>
      </w:r>
      <w:r>
        <w:rPr>
          <w:rFonts w:eastAsia="Amiri" w:cs="Amiri" w:ascii="Amiri" w:hAnsi="Amiri"/>
          <w:color w:val="111111"/>
          <w:sz w:val="28"/>
          <w:szCs w:val="28"/>
          <w:rtl w:val="true"/>
          <w:lang w:bidi="ar-SA"/>
        </w:rPr>
        <w:t xml:space="preserve">... . </w:t>
      </w:r>
      <w:r>
        <w:rPr>
          <w:rStyle w:val="FootnoteAnchor"/>
          <w:rtl w:val="true"/>
        </w:rPr>
        <w:footnoteReference w:id="100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للأثنین فصاعداً من الاخوة من الام ذکوراً او اناثاً المال کلّه، یرثون ثلثه بالفرض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کانُوا أَکْثَرَ مِنْ ذلِکَ فَهُمْ شُرَکاءُ فِی الثُّلُثِ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ویؤیده ما رواه محمد بن مسلم عن أبی جعفر علیه السلام ذیل الآیة الکریمة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إنما عنی بذلک الإخوة والأخوات من الأم خاصّة</w:t>
      </w:r>
      <w:r>
        <w:rPr>
          <w:rFonts w:eastAsia="IRNazanin" w:cs="IRNazanin"/>
          <w:color w:val="111111"/>
          <w:sz w:val="28"/>
          <w:szCs w:val="28"/>
          <w:rtl w:val="true"/>
          <w:lang w:bidi="fa-IR"/>
        </w:rPr>
        <w:t xml:space="preserve">. </w:t>
      </w:r>
      <w:r>
        <w:rPr>
          <w:rStyle w:val="FootnoteAnchor"/>
          <w:rtl w:val="true"/>
        </w:rPr>
        <w:footnoteReference w:id="1005"/>
      </w:r>
    </w:p>
    <w:p>
      <w:pPr>
        <w:pStyle w:val="BookText"/>
        <w:rPr/>
      </w:pPr>
      <w:r>
        <w:rPr>
          <w:rFonts w:ascii="IRNazanin" w:hAnsi="IRNazanin" w:eastAsia="IRNazanin"/>
          <w:color w:val="111111"/>
          <w:sz w:val="28"/>
          <w:sz w:val="28"/>
          <w:szCs w:val="28"/>
          <w:rtl w:val="true"/>
          <w:lang w:bidi="fa-IR"/>
        </w:rPr>
        <w:t>وأمّا الباقی یردّ الیهم بالقرابة، کلّ ذلک بالسویة لعدم الترجیح بعد وحدة سبب الاشتراک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یرث الأخ أو الأخت للأب مع وجود الأخ والأخت للأبوین بلا خلاف؛ فان الأقرب یمنع الأبعد بمقتضی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حظ ما رواه برید الکناسی عن أبی عبدالله علیه السلام فی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وأخوک لأبیک وأمک أولی بک من أخیک لأبیک</w:t>
      </w:r>
      <w:r>
        <w:rPr>
          <w:rFonts w:eastAsia="IRNazanin" w:cs="IRNazanin"/>
          <w:color w:val="111111"/>
          <w:sz w:val="28"/>
          <w:szCs w:val="28"/>
          <w:rtl w:val="true"/>
          <w:lang w:bidi="fa-IR"/>
        </w:rPr>
        <w:t xml:space="preserve">.... </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نعم، مع فقدهم یرثون علی نهج میراثهم بلا خلاف، ویمکن الاستدلال علیه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یَسْتَفْتُونَکَ قُلِ اللّهُ یُفْتِیکُمْ فِی الْکَلالَةِ إِنِ امْرُؤٌ هَلَکَ لَیْسَ لَهُ وَلَدٌ وَ لَهُ أُخْتٌ فَلَها نِصْفُ ما تَرَکَ وَ هُوَ یَرِثُها إِنْ لَمْ یَکُنْ لَها وَلَدٌ فَإِنْ کانَتَا اثْنَتَیْنِ فَلَهُمَا الثُّلُثانِ مِمّا تَرَکَ وَ إِنْ کانُوا إِخْوَةً رِجالاً وَ نِساءً فَلِلذَّکَرِ مِثْلُ حَظِّ الْأُنْثَیَیْنِ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إطلاقها یشمل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نرفع الید عنه بالنسبة إلی المتقرّب بالأب منهم مع وجود المتقرّب بالأبوین بالدلیل المخصِصِ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انحصر الوارث بالجدّ أو الجدّة، کان له المال کلّه لأبٍ کان أو لأم بالقرابة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واذا اجتمع الجد والجدة معاً، فإن کانا لأب کان المال لهما فی فرض الانحصار فیهما للقرابة، یقسّم بینهما للذکر مثل حظ الانثیین بلا خلاف کما فی الجواهر</w:t>
      </w:r>
      <w:r>
        <w:rPr>
          <w:rFonts w:eastAsia="IRNazanin" w:cs="IRNazanin"/>
          <w:color w:val="111111"/>
          <w:sz w:val="28"/>
          <w:szCs w:val="28"/>
          <w:rtl w:val="true"/>
          <w:lang w:bidi="fa-IR"/>
        </w:rPr>
        <w:t xml:space="preserve">. </w:t>
      </w:r>
      <w:r>
        <w:rPr>
          <w:rStyle w:val="FootnoteAnchor"/>
          <w:rtl w:val="true"/>
        </w:rPr>
        <w:footnoteReference w:id="1007"/>
      </w:r>
    </w:p>
    <w:p>
      <w:pPr>
        <w:pStyle w:val="BookText"/>
        <w:rPr/>
      </w:pPr>
      <w:r>
        <w:rPr>
          <w:rFonts w:ascii="IRNazanin" w:hAnsi="IRNazanin" w:eastAsia="IRNazanin"/>
          <w:color w:val="111111"/>
          <w:sz w:val="28"/>
          <w:sz w:val="28"/>
          <w:szCs w:val="28"/>
          <w:rtl w:val="true"/>
          <w:lang w:bidi="fa-IR"/>
        </w:rPr>
        <w:t>وإن کانا لأم، فالمال أیضا لهما فی فرض الانحصار للقرابة، لکن یقسّم بینهما بالسویة بلا خلاف، 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لم أجد فیه خلافاً وإن وسوس فیه بعض متأخری المتأخرین</w:t>
      </w:r>
      <w:r>
        <w:rPr>
          <w:rFonts w:eastAsia="IRNazanin" w:cs="IRNazanin"/>
          <w:color w:val="111111"/>
          <w:sz w:val="28"/>
          <w:szCs w:val="28"/>
          <w:rtl w:val="true"/>
          <w:lang w:bidi="fa-IR"/>
        </w:rPr>
        <w:t xml:space="preserve">». </w:t>
      </w:r>
      <w:r>
        <w:rPr>
          <w:rStyle w:val="FootnoteAnchor"/>
          <w:rtl w:val="true"/>
        </w:rPr>
        <w:footnoteReference w:id="1008"/>
      </w:r>
      <w:r>
        <w:rPr>
          <w:rFonts w:ascii="IRNazanin" w:hAnsi="IRNazanin" w:eastAsia="IRNazanin"/>
          <w:color w:val="111111"/>
          <w:sz w:val="28"/>
          <w:sz w:val="28"/>
          <w:szCs w:val="28"/>
          <w:rtl w:val="true"/>
          <w:lang w:bidi="fa-IR"/>
        </w:rPr>
        <w:t>هذا مضافاً إلی أن الأصل فی القسمة هو التساوی مع اشتراک السبب</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اجتمع الأجداد بعضهم للأم وبعضهم للأب، کان للجّد من الأم الثلث وإن کان واحداً، وللجد للأب الثلثان علی المشهور بین الأصحاب کما فی الجواهر، </w:t>
      </w:r>
      <w:r>
        <w:rPr>
          <w:rStyle w:val="FootnoteAnchor"/>
          <w:rtl w:val="true"/>
        </w:rPr>
        <w:footnoteReference w:id="1009"/>
      </w:r>
      <w:r>
        <w:rPr>
          <w:rFonts w:ascii="IRNazanin" w:hAnsi="IRNazanin" w:eastAsia="IRNazanin"/>
          <w:color w:val="111111"/>
          <w:sz w:val="28"/>
          <w:sz w:val="28"/>
          <w:szCs w:val="28"/>
          <w:rtl w:val="true"/>
          <w:lang w:bidi="fa-IR"/>
        </w:rPr>
        <w:t>بل فی کشف اللثام عن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w:t>
      </w:r>
      <w:r>
        <w:rPr>
          <w:rStyle w:val="FootnoteAnchor"/>
          <w:rtl w:val="true"/>
        </w:rPr>
        <w:footnoteReference w:id="1010"/>
      </w:r>
      <w:r>
        <w:rPr>
          <w:rFonts w:ascii="IRNazanin" w:hAnsi="IRNazanin" w:eastAsia="IRNazanin"/>
          <w:color w:val="111111"/>
          <w:sz w:val="28"/>
          <w:sz w:val="28"/>
          <w:szCs w:val="28"/>
          <w:rtl w:val="true"/>
          <w:lang w:bidi="fa-IR"/>
        </w:rPr>
        <w:t>لاحظ ما رواه محمدبن مسلم عن أبی‌جعفر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لم یترک المیت إلا جدّه أبا أبیه، وجدته أم أمه، فإنّ للجدّة الثلث وللجدّالباقی</w:t>
      </w:r>
      <w:r>
        <w:rPr>
          <w:rFonts w:eastAsia="IRNazanin" w:cs="IRNazanin"/>
          <w:color w:val="111111"/>
          <w:sz w:val="28"/>
          <w:szCs w:val="28"/>
          <w:rtl w:val="true"/>
          <w:lang w:bidi="fa-IR"/>
        </w:rPr>
        <w:t xml:space="preserve">.... </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إذا اجتمع الزوج أو الزوجة مع الأجداد لا یتغیر سهمهما، فللزوج نصف المال وللزوجة ربعها، لأن المفروض عدم الولد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الجد وإن علا کالأخ والجدة وإن علت کالاخت، یقاسمون المال وکیفیة الاقتسام تختلف حسب اختلافهم ذکوراً وإناثاً مع الاتحاد فی جهة النسب أو عدمه وغیر ذلک مما هو مذکور فی المطولات</w:t>
      </w:r>
      <w:r>
        <w:rPr>
          <w:rFonts w:eastAsia="IRNazanin" w:cs="IRNazanin"/>
          <w:color w:val="111111"/>
          <w:sz w:val="28"/>
          <w:szCs w:val="28"/>
          <w:rtl w:val="true"/>
          <w:lang w:bidi="fa-IR"/>
        </w:rPr>
        <w:t>.</w:t>
      </w:r>
      <w:bookmarkStart w:id="1089" w:name="pg5021_49582"/>
    </w:p>
    <w:p>
      <w:pPr>
        <w:pStyle w:val="Heading3"/>
        <w:numPr>
          <w:ilvl w:val="2"/>
          <w:numId w:val="1"/>
        </w:numPr>
        <w:rPr/>
      </w:pPr>
      <w:bookmarkStart w:id="1090" w:name="__RefHeading___Toc581130_774463916"/>
      <w:bookmarkStart w:id="1091" w:name="_Toc433"/>
      <w:bookmarkEnd w:id="1089"/>
      <w:bookmarkEnd w:id="1090"/>
      <w:r>
        <w:rPr>
          <w:rtl w:val="true"/>
        </w:rPr>
        <w:t>الدرس</w:t>
      </w:r>
      <w:r>
        <w:rPr/>
        <w:t>22</w:t>
      </w:r>
      <w:r>
        <w:rPr>
          <w:rtl w:val="true"/>
        </w:rPr>
        <w:t xml:space="preserve"> - </w:t>
      </w:r>
      <w:r>
        <w:rPr>
          <w:rtl w:val="true"/>
        </w:rPr>
        <w:t xml:space="preserve">کتاب الإرث </w:t>
      </w:r>
      <w:r>
        <w:rPr>
          <w:rtl w:val="true"/>
        </w:rPr>
        <w:t>(</w:t>
      </w:r>
      <w:r>
        <w:rPr/>
        <w:t>7</w:t>
      </w:r>
      <w:r>
        <w:rPr>
          <w:rtl w:val="true"/>
        </w:rPr>
        <w:t>)</w:t>
      </w:r>
      <w:bookmarkEnd w:id="1091"/>
    </w:p>
    <w:p>
      <w:pPr>
        <w:pStyle w:val="Heading4"/>
        <w:numPr>
          <w:ilvl w:val="3"/>
          <w:numId w:val="1"/>
        </w:numPr>
        <w:rPr/>
      </w:pPr>
      <w:bookmarkStart w:id="1092" w:name="__RefHeading___Toc581132_774463916"/>
      <w:bookmarkStart w:id="1093" w:name="_Toc434"/>
      <w:bookmarkEnd w:id="1092"/>
      <w:r>
        <w:rPr>
          <w:rtl w:val="true"/>
        </w:rPr>
        <w:t>إرث الطبقة الثالثة</w:t>
      </w:r>
      <w:bookmarkEnd w:id="1093"/>
    </w:p>
    <w:p>
      <w:pPr>
        <w:pStyle w:val="BookText"/>
        <w:rPr/>
      </w:pPr>
      <w:r>
        <w:rPr>
          <w:rFonts w:ascii="IRNazanin" w:hAnsi="IRNazanin" w:eastAsia="IRNazanin"/>
          <w:color w:val="111111"/>
          <w:sz w:val="28"/>
          <w:sz w:val="28"/>
          <w:szCs w:val="28"/>
          <w:rtl w:val="true"/>
          <w:lang w:bidi="fa-IR"/>
        </w:rPr>
        <w:t>المرتبة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الأعمام والأخوال، ولا یرثون مع وجود المرتبتین السابقتین، لأنّ الأقرب یمنع الأبعد، ففی صحیحة ابی بصیر عن أبی عبدالله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الخال والخالة یرثان إذا لم یکن معهما أحد یرث غیرهم، إنّ الله تبارک وتعالی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أَوْلی بِبَعْضٍ فِی کِتابِ اللّهِ</w:t>
      </w:r>
      <w:r>
        <w:rPr>
          <w:rFonts w:eastAsia="Amiri" w:cs="Amiri" w:ascii="Amiri" w:hAnsi="Amiri"/>
          <w:color w:val="111111"/>
          <w:sz w:val="28"/>
          <w:szCs w:val="28"/>
          <w:rtl w:val="true"/>
          <w:lang w:bidi="ar-SA"/>
        </w:rPr>
        <w:t xml:space="preserve">... . </w:t>
      </w:r>
      <w:r>
        <w:rPr>
          <w:rStyle w:val="FootnoteAnchor"/>
          <w:rtl w:val="true"/>
        </w:rPr>
        <w:footnoteReference w:id="1012"/>
      </w:r>
    </w:p>
    <w:p>
      <w:pPr>
        <w:pStyle w:val="BookText"/>
        <w:rPr/>
      </w:pPr>
      <w:r>
        <w:rPr>
          <w:rFonts w:ascii="IRNazanin" w:hAnsi="IRNazanin" w:eastAsia="IRNazanin"/>
          <w:color w:val="111111"/>
          <w:sz w:val="28"/>
          <w:sz w:val="28"/>
          <w:szCs w:val="28"/>
          <w:rtl w:val="true"/>
          <w:lang w:bidi="fa-IR"/>
        </w:rPr>
        <w:t>والتعلیل یقتضی التعدّی إلی العمّ والعمّة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مسائل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انفرد العم أو العمة، أو الخال أو الخالة کان له جمیع المال للقرابة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اجتمعت الخؤولة والعمومة، یکون للأولی الثلث والباقی للثانیة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علیه صحیحة أبی أیوب الخزاز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فی کتاب علی علیه السلام ان کل ذی رحم بمنزلة الرحم الذی یجرّ به إلاّ أن یکون وارث أقرب إلی المیت منه فیحجبه</w:t>
      </w:r>
      <w:r>
        <w:rPr>
          <w:rFonts w:eastAsia="IRNazanin" w:cs="IRNazanin"/>
          <w:color w:val="111111"/>
          <w:sz w:val="28"/>
          <w:szCs w:val="28"/>
          <w:rtl w:val="true"/>
          <w:lang w:bidi="fa-IR"/>
        </w:rPr>
        <w:t xml:space="preserve">. </w:t>
      </w:r>
      <w:r>
        <w:rPr>
          <w:rStyle w:val="FootnoteAnchor"/>
          <w:rtl w:val="true"/>
        </w:rPr>
        <w:footnoteReference w:id="1013"/>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وصحیحة ابی بصیر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عبدالله علیه السلام عن شیئ من الفرائض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أخرج لک کتاب علی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علیّ لم یدرس؟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کتاب علیّ لا یدرس، فأخرجه، فإذا کتاب جلیل واذان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مات وترک عمّه وخاله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للعم الثلثان وللخال الثلث</w:t>
      </w:r>
      <w:r>
        <w:rPr>
          <w:rFonts w:eastAsia="IRNazanin" w:cs="IRNazanin"/>
          <w:color w:val="111111"/>
          <w:sz w:val="28"/>
          <w:szCs w:val="28"/>
          <w:rtl w:val="true"/>
          <w:lang w:bidi="fa-IR"/>
        </w:rPr>
        <w:t xml:space="preserve">. </w:t>
      </w:r>
      <w:r>
        <w:rPr>
          <w:rStyle w:val="FootnoteAnchor"/>
          <w:rtl w:val="true"/>
        </w:rPr>
        <w:footnoteReference w:id="101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اجتمع الأخوال والخالات، اقتسموا حصتهم بالسویة بلا خلاف؛ لأنّ الأصل فی القسمة هو التساوی بعد اشتراک السبب وهو القرابة؛ ولصحیحة أبی أیوب المتقدمة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اذا اجتمع الأعمام والعمات، فالمشهور هنا القسمة بالتفاضل، للذکر مثل حظ الانثیین؛ ویؤیده خبر سلمة بن محرز عن أبی عبدالله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عمّ وعمّة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للعم الثلثان وللعمة الثلث</w:t>
      </w:r>
      <w:r>
        <w:rPr>
          <w:rFonts w:eastAsia="IRNazanin" w:cs="IRNazanin"/>
          <w:color w:val="111111"/>
          <w:sz w:val="28"/>
          <w:szCs w:val="28"/>
          <w:rtl w:val="true"/>
          <w:lang w:bidi="fa-IR"/>
        </w:rPr>
        <w:t xml:space="preserve">. </w:t>
      </w:r>
      <w:r>
        <w:rPr>
          <w:rStyle w:val="FootnoteAnchor"/>
          <w:rtl w:val="true"/>
        </w:rPr>
        <w:footnoteReference w:id="1015"/>
      </w:r>
    </w:p>
    <w:p>
      <w:pPr>
        <w:pStyle w:val="BookText"/>
        <w:rPr/>
      </w:pPr>
      <w:r>
        <w:rPr>
          <w:rFonts w:ascii="IRNazanin" w:hAnsi="IRNazanin" w:eastAsia="IRNazanin"/>
          <w:color w:val="111111"/>
          <w:sz w:val="28"/>
          <w:sz w:val="28"/>
          <w:szCs w:val="28"/>
          <w:rtl w:val="true"/>
          <w:lang w:bidi="fa-IR"/>
        </w:rPr>
        <w:t>ویمکن أن یستدل علیه بصحیحة الأحول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العوجاء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المرأة المسکینة الضعیفة تأخذ سهماً واحداً ویأخذ الرجل سهمین؟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ذلک بعض أصحابنا لأبی عبدالله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المرأة لیس علیها جهاد ولانفقة ولا معقلة وإنما ذلک علی الرجال؛ فلذلک جعل للمرأة سهماً واحداً وللرجل سهمین</w:t>
      </w:r>
      <w:r>
        <w:rPr>
          <w:rFonts w:eastAsia="IRNazanin" w:cs="IRNazanin"/>
          <w:color w:val="111111"/>
          <w:sz w:val="28"/>
          <w:szCs w:val="28"/>
          <w:rtl w:val="true"/>
          <w:lang w:bidi="fa-IR"/>
        </w:rPr>
        <w:t xml:space="preserve">. </w:t>
      </w:r>
      <w:r>
        <w:rPr>
          <w:rStyle w:val="FootnoteAnchor"/>
          <w:rtl w:val="true"/>
        </w:rPr>
        <w:footnoteReference w:id="101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الأعمام والأخوال هم صنف واحد، فلا یرث أولاد العم مثلاً مع الخال، لأنّ الأقرب یمنع الأبعد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أولادهم یقومون مقامهم عند فقدهم جمیعاً، فیرث کلّ واحد منهم نصیب من یتقرّب به؛ لصحیحة أبی أیوب الخزاز المتقدّمة حیث جاء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ذی رحم بمنزلة الرحم الذی یجرّ به</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1094" w:name="pg5021_49584"/>
    </w:p>
    <w:p>
      <w:pPr>
        <w:pStyle w:val="Heading3"/>
        <w:numPr>
          <w:ilvl w:val="2"/>
          <w:numId w:val="1"/>
        </w:numPr>
        <w:rPr/>
      </w:pPr>
      <w:bookmarkStart w:id="1095" w:name="__RefHeading___Toc581134_774463916"/>
      <w:bookmarkStart w:id="1096" w:name="_Toc435"/>
      <w:bookmarkEnd w:id="1094"/>
      <w:bookmarkEnd w:id="1095"/>
      <w:r>
        <w:rPr>
          <w:rtl w:val="true"/>
        </w:rPr>
        <w:t>الدرس</w:t>
      </w:r>
      <w:r>
        <w:rPr/>
        <w:t>23</w:t>
      </w:r>
      <w:r>
        <w:rPr>
          <w:rtl w:val="true"/>
        </w:rPr>
        <w:t xml:space="preserve"> - </w:t>
      </w:r>
      <w:r>
        <w:rPr>
          <w:rtl w:val="true"/>
        </w:rPr>
        <w:t xml:space="preserve">کتاب الإرث </w:t>
      </w:r>
      <w:r>
        <w:rPr>
          <w:rtl w:val="true"/>
        </w:rPr>
        <w:t>(</w:t>
      </w:r>
      <w:r>
        <w:rPr/>
        <w:t>8</w:t>
      </w:r>
      <w:r>
        <w:rPr>
          <w:rtl w:val="true"/>
        </w:rPr>
        <w:t>)</w:t>
      </w:r>
      <w:bookmarkEnd w:id="1096"/>
    </w:p>
    <w:p>
      <w:pPr>
        <w:pStyle w:val="Heading4"/>
        <w:numPr>
          <w:ilvl w:val="3"/>
          <w:numId w:val="1"/>
        </w:numPr>
        <w:rPr/>
      </w:pPr>
      <w:bookmarkStart w:id="1097" w:name="__RefHeading___Toc581136_774463916"/>
      <w:bookmarkStart w:id="1098" w:name="_Toc436"/>
      <w:bookmarkEnd w:id="1097"/>
      <w:r>
        <w:rPr>
          <w:rtl w:val="true"/>
        </w:rPr>
        <w:t>میراث الزوج والزوجة</w:t>
      </w:r>
      <w:bookmarkEnd w:id="10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یرث الزوج من الزوجة النصف مع عدم الولد لها والربع مع الولد؛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لَکُمْ نِصْفُ ما تَرَکَ أَزْواجُکُمْ إِنْ لَمْ یَکُنْ لَهُنَّ وَلَدٌ فَإِنْ کانَ لَهُنَّ وَلَدٌ فَلَکُمُ الرُّبُعُ مِمّا تَرَکْنَ مِنْ بَعْدِ وَصِیَّةٍ یُوصِینَ بِها أَوْ دَیْنٍ وَ لَهُنَّ الرُّبُعُ مِمّا تَرَکْتُمْ إِنْ لَمْ یَکُنْ لَکُمْ وَلَدٌ فَإِنْ کانَ لَکُمْ وَلَدٌ فَلَهُنَّ الثُّمُنُ مِمّا تَرَکْتُمْ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یعلم حکمهما مع الولد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اذا لم تترک الزوجة وارثاً إلاّ الإمام علیه السلام ؛ فلزوجها نصف المال بالفرض للآیة والنصف الآخر بالرد علی المشهور شهرة عظیمة کادت تکون إجماعاً کما عن الجواهر؛ ویدلّ علیه روایات منها صحیح محمد بن قیس عن أبی جعفر علیه السلام</w:t>
      </w:r>
    </w:p>
    <w:p>
      <w:pPr>
        <w:pStyle w:val="BookText"/>
        <w:rPr/>
      </w:pPr>
      <w:r>
        <w:rPr>
          <w:rFonts w:ascii="IRNazanin" w:hAnsi="IRNazanin" w:eastAsia="IRNazanin"/>
          <w:color w:val="111111"/>
          <w:sz w:val="28"/>
          <w:sz w:val="28"/>
          <w:szCs w:val="28"/>
          <w:rtl w:val="true"/>
          <w:lang w:bidi="fa-IR"/>
        </w:rPr>
        <w:t>فی امرأة توفیت ولم یعلم لها أحد، ولها زوج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المیراث لزوجها</w:t>
      </w:r>
      <w:r>
        <w:rPr>
          <w:rFonts w:eastAsia="IRNazanin" w:cs="IRNazanin"/>
          <w:color w:val="111111"/>
          <w:sz w:val="28"/>
          <w:szCs w:val="28"/>
          <w:rtl w:val="true"/>
          <w:lang w:bidi="fa-IR"/>
        </w:rPr>
        <w:t xml:space="preserve">. </w:t>
      </w:r>
      <w:r>
        <w:rPr>
          <w:rStyle w:val="FootnoteAnchor"/>
          <w:rtl w:val="true"/>
        </w:rPr>
        <w:footnoteReference w:id="1017"/>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تنافیه الآیة المبارکة کما یظهر بالتأمل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یکون الحکم کذلک إذا لم یترک الزوج وارثاً إلاّ زوجته؟ المشهور شهرة عظیمة کما فی الجواهر </w:t>
      </w:r>
      <w:r>
        <w:rPr>
          <w:rStyle w:val="FootnoteAnchor"/>
          <w:rtl w:val="true"/>
        </w:rPr>
        <w:footnoteReference w:id="1018"/>
      </w:r>
      <w:r>
        <w:rPr>
          <w:rFonts w:ascii="IRNazanin" w:hAnsi="IRNazanin" w:eastAsia="IRNazanin"/>
          <w:color w:val="111111"/>
          <w:sz w:val="28"/>
          <w:sz w:val="28"/>
          <w:szCs w:val="28"/>
          <w:rtl w:val="true"/>
          <w:lang w:bidi="fa-IR"/>
        </w:rPr>
        <w:t xml:space="preserve">هو العدم إنّ الزائد عن الربع للامام علیه السلام ؛ للروایات، منها ما رواه أبو بصیر عن ابی جعفر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رجل توفی وترک امرأته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للمرأة الربع وما بقی فللامام</w:t>
      </w:r>
      <w:r>
        <w:rPr>
          <w:rFonts w:eastAsia="IRNazanin" w:cs="IRNazanin"/>
          <w:color w:val="111111"/>
          <w:sz w:val="28"/>
          <w:szCs w:val="28"/>
          <w:rtl w:val="true"/>
          <w:lang w:bidi="fa-IR"/>
        </w:rPr>
        <w:t xml:space="preserve">. </w:t>
      </w:r>
      <w:r>
        <w:rPr>
          <w:rStyle w:val="FootnoteAnchor"/>
          <w:rtl w:val="true"/>
        </w:rPr>
        <w:footnoteReference w:id="1019"/>
      </w:r>
    </w:p>
    <w:p>
      <w:pPr>
        <w:pStyle w:val="BookText"/>
        <w:rPr/>
      </w:pP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اذا اجتمع الزوج أو الزوجة مع الطبقات الثلاث، لا ینقص فرضهما، فللزوج نصف المال، وللزوجة ربعهما إذا لم یکن للمیت ولد وإلاّ فله الربع ولها الثمن فی جمیع الحالات؛ لإطلاق الأدلة کتاباً وسنة إلاّ إذا انحصر الوارث بالزوج فیرث جمیع المال کما 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للمیت زوجتان فما زاد اشترکن فی الثمن بالسویة مع الولد وفی الربع کذلک مع عدمه؛ لأنّ سهم الزوجة مطلقاً ما ذکر والاشتراک یقتضی التسویة خصوصاً إذا کان السبب واحداً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یشترط فی التوارث بین الزوجین دوام العقد، فلا میراث بینهما فی الانقطاع کما تقدّم ولا یشترط الدخول فیتوارثان ولو کان قبله؛ لإطلاق الأدلة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المطلقة رجعیاً ترثه وتورث، بخلاف البائن؛ للروایات منها صحیحة محمد بن قیس عن أبی جعفر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طلقت المرأة ثمّ توفی عنها زوجها وهی فی عدة منه لم تحرم علیه فانها ترثه ویرثها</w:t>
      </w:r>
      <w:r>
        <w:rPr>
          <w:rFonts w:eastAsia="IRNazanin" w:cs="IRNazanin"/>
          <w:color w:val="111111"/>
          <w:sz w:val="28"/>
          <w:szCs w:val="28"/>
          <w:rtl w:val="true"/>
          <w:lang w:bidi="fa-IR"/>
        </w:rPr>
        <w:t xml:space="preserve">.... </w:t>
      </w:r>
      <w:r>
        <w:rPr>
          <w:rStyle w:val="FootnoteAnchor"/>
          <w:rtl w:val="true"/>
        </w:rPr>
        <w:footnoteReference w:id="102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یرث الزوج من جمیع ما ترکته الزوجة منقولاً وغیره، أرضاً وغیرها بلا خلاف فی ذلک بین المسلمین کما فی الجواهر؛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ویدل علیه إطلاق الکتاب والسنّة کما تقدّم فی المباحث</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الزوجة فترث من زوجها المنقولات وما ثبت فی الأرض من بناء وأشجار</w:t>
      </w:r>
    </w:p>
    <w:p>
      <w:pPr>
        <w:pStyle w:val="BookText"/>
        <w:rPr/>
      </w:pPr>
      <w:r>
        <w:rPr>
          <w:rFonts w:ascii="IRNazanin" w:hAnsi="IRNazanin" w:eastAsia="IRNazanin"/>
          <w:color w:val="111111"/>
          <w:sz w:val="28"/>
          <w:sz w:val="28"/>
          <w:szCs w:val="28"/>
          <w:rtl w:val="true"/>
          <w:lang w:bidi="fa-IR"/>
        </w:rPr>
        <w:t xml:space="preserve">وآلات وأخشاب فترثها أیضاً، أمّا رقبتها فالمشهور عدم إرثها منها لا عیناً ولا قیمة، ولا یخفی أن مقتضی إطلاق الکتاب عدم الفرق بین الزوج والزوجة فی المیراث لکن ادعی الإجماع علی حرمانها من العقار؛ </w:t>
      </w:r>
      <w:r>
        <w:rPr>
          <w:rStyle w:val="FootnoteAnchor"/>
          <w:rtl w:val="true"/>
        </w:rPr>
        <w:footnoteReference w:id="1021"/>
      </w:r>
      <w:r>
        <w:rPr>
          <w:rFonts w:ascii="IRNazanin" w:hAnsi="IRNazanin" w:eastAsia="IRNazanin"/>
          <w:color w:val="111111"/>
          <w:sz w:val="28"/>
          <w:sz w:val="28"/>
          <w:szCs w:val="28"/>
          <w:rtl w:val="true"/>
          <w:lang w:bidi="fa-IR"/>
        </w:rPr>
        <w:t>ویؤیده جملة من الروایات، وخالف فی ذلک ابن جنید واستند الی صحیح ابن أبی یعفور عن أبی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الرجل هل یرث من دار امرأته أو أرضها من التربة شیئاً؟ أو یکون ذلک بمنزلة المرأة فلا یرث من ذلک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یرثها وترثه من کل شیء ترک وترکت</w:t>
      </w:r>
      <w:r>
        <w:rPr>
          <w:rFonts w:eastAsia="IRNazanin" w:cs="IRNazanin"/>
          <w:color w:val="111111"/>
          <w:sz w:val="28"/>
          <w:szCs w:val="28"/>
          <w:rtl w:val="true"/>
          <w:lang w:bidi="fa-IR"/>
        </w:rPr>
        <w:t xml:space="preserve">. </w:t>
      </w:r>
      <w:r>
        <w:rPr>
          <w:rStyle w:val="FootnoteAnchor"/>
          <w:rtl w:val="true"/>
        </w:rPr>
        <w:footnoteReference w:id="1022"/>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والمسألة خلافیة وتنظر فی الإجماع المدعی فی الجواهر أولاً </w:t>
      </w:r>
      <w:r>
        <w:rPr>
          <w:rStyle w:val="FootnoteAnchor"/>
          <w:rtl w:val="true"/>
        </w:rPr>
        <w:footnoteReference w:id="1023"/>
      </w:r>
      <w:r>
        <w:rPr>
          <w:rFonts w:ascii="IRNazanin" w:hAnsi="IRNazanin" w:eastAsia="IRNazanin"/>
          <w:color w:val="111111"/>
          <w:sz w:val="28"/>
          <w:sz w:val="28"/>
          <w:szCs w:val="28"/>
          <w:rtl w:val="true"/>
          <w:lang w:bidi="fa-IR"/>
        </w:rPr>
        <w:t xml:space="preserve">وإن التزم به صریحاً فی آخر کلامه </w:t>
      </w:r>
      <w:r>
        <w:rPr>
          <w:rStyle w:val="FootnoteAnchor"/>
          <w:rtl w:val="true"/>
        </w:rPr>
        <w:footnoteReference w:id="1024"/>
      </w:r>
      <w:r>
        <w:rPr>
          <w:rFonts w:ascii="IRNazanin" w:hAnsi="IRNazanin" w:eastAsia="IRNazanin"/>
          <w:color w:val="111111"/>
          <w:sz w:val="28"/>
          <w:sz w:val="28"/>
          <w:szCs w:val="28"/>
          <w:rtl w:val="true"/>
          <w:lang w:bidi="fa-IR"/>
        </w:rPr>
        <w:t>وحمل الصحیح المذکور علی التقیة فراجع</w:t>
      </w:r>
      <w:r>
        <w:rPr>
          <w:rFonts w:eastAsia="IRNazanin" w:cs="IRNazanin"/>
          <w:color w:val="111111"/>
          <w:sz w:val="28"/>
          <w:szCs w:val="28"/>
          <w:rtl w:val="true"/>
          <w:lang w:bidi="fa-IR"/>
        </w:rPr>
        <w:t>.</w:t>
      </w:r>
      <w:bookmarkStart w:id="1099" w:name="pg5021_49587"/>
    </w:p>
    <w:p>
      <w:pPr>
        <w:pStyle w:val="Heading3"/>
        <w:numPr>
          <w:ilvl w:val="2"/>
          <w:numId w:val="1"/>
        </w:numPr>
        <w:rPr/>
      </w:pPr>
      <w:bookmarkStart w:id="1100" w:name="__RefHeading___Toc581138_774463916"/>
      <w:bookmarkStart w:id="1101" w:name="_Toc437"/>
      <w:bookmarkEnd w:id="1099"/>
      <w:bookmarkEnd w:id="1100"/>
      <w:r>
        <w:rPr>
          <w:rtl w:val="true"/>
        </w:rPr>
        <w:t>الدرس</w:t>
      </w:r>
      <w:r>
        <w:rPr/>
        <w:t>24</w:t>
      </w:r>
      <w:r>
        <w:rPr>
          <w:rtl w:val="true"/>
        </w:rPr>
        <w:t xml:space="preserve">- </w:t>
      </w:r>
      <w:r>
        <w:rPr>
          <w:rtl w:val="true"/>
        </w:rPr>
        <w:t>کتاب الحدود</w:t>
      </w:r>
      <w:bookmarkEnd w:id="1101"/>
    </w:p>
    <w:p>
      <w:pPr>
        <w:pStyle w:val="Heading4"/>
        <w:numPr>
          <w:ilvl w:val="3"/>
          <w:numId w:val="1"/>
        </w:numPr>
        <w:rPr/>
      </w:pPr>
      <w:bookmarkStart w:id="1102" w:name="__RefHeading___Toc581140_774463916"/>
      <w:bookmarkStart w:id="1103" w:name="_Toc438"/>
      <w:bookmarkEnd w:id="1102"/>
      <w:r>
        <w:rPr>
          <w:rtl w:val="true"/>
        </w:rPr>
        <w:t>تعریف الحد</w:t>
      </w:r>
      <w:bookmarkEnd w:id="1103"/>
    </w:p>
    <w:p>
      <w:pPr>
        <w:pStyle w:val="BookText"/>
        <w:rPr/>
      </w:pPr>
      <w:r>
        <w:rPr>
          <w:rFonts w:ascii="IRNazanin" w:hAnsi="IRNazanin" w:eastAsia="IRNazanin"/>
          <w:color w:val="111111"/>
          <w:sz w:val="28"/>
          <w:sz w:val="28"/>
          <w:szCs w:val="28"/>
          <w:rtl w:val="true"/>
          <w:lang w:bidi="fa-IR"/>
        </w:rPr>
        <w:t>الحدّ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العقوبة التی حدّد مقدارها الشارع علی جنایة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والزنا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یقدّرها وأوکلها إلی نظر الحاکم الشرعی فهو التعزیر</w:t>
      </w:r>
      <w:r>
        <w:rPr>
          <w:rFonts w:eastAsia="IRNazanin" w:cs="IRNazanin"/>
          <w:color w:val="111111"/>
          <w:sz w:val="28"/>
          <w:szCs w:val="28"/>
          <w:rtl w:val="true"/>
          <w:lang w:bidi="fa-IR"/>
        </w:rPr>
        <w:t>.</w:t>
      </w:r>
    </w:p>
    <w:p>
      <w:pPr>
        <w:pStyle w:val="Heading4"/>
        <w:numPr>
          <w:ilvl w:val="3"/>
          <w:numId w:val="1"/>
        </w:numPr>
        <w:rPr/>
      </w:pPr>
      <w:bookmarkStart w:id="1104" w:name="__RefHeading___Toc581142_774463916"/>
      <w:bookmarkStart w:id="1105" w:name="_Toc439"/>
      <w:bookmarkEnd w:id="1104"/>
      <w:r>
        <w:rPr>
          <w:rtl w:val="true"/>
        </w:rPr>
        <w:t>موجبات الحد</w:t>
      </w:r>
      <w:bookmarkEnd w:id="1105"/>
    </w:p>
    <w:p>
      <w:pPr>
        <w:pStyle w:val="Heading5"/>
        <w:numPr>
          <w:ilvl w:val="4"/>
          <w:numId w:val="1"/>
        </w:numPr>
        <w:rPr/>
      </w:pPr>
      <w:bookmarkStart w:id="1106" w:name="__RefHeading___Toc581144_774463916"/>
      <w:bookmarkStart w:id="1107" w:name="_Toc440"/>
      <w:bookmarkEnd w:id="1106"/>
      <w:r>
        <w:rPr>
          <w:rtl w:val="true"/>
        </w:rPr>
        <w:t>اشارة</w:t>
      </w:r>
      <w:bookmarkEnd w:id="1107"/>
    </w:p>
    <w:p>
      <w:pPr>
        <w:pStyle w:val="BookText"/>
        <w:rPr/>
      </w:pPr>
      <w:r>
        <w:rPr>
          <w:rFonts w:ascii="IRNazanin" w:hAnsi="IRNazanin" w:eastAsia="IRNazanin"/>
          <w:color w:val="111111"/>
          <w:sz w:val="28"/>
          <w:sz w:val="28"/>
          <w:szCs w:val="28"/>
          <w:rtl w:val="true"/>
          <w:lang w:bidi="fa-IR"/>
        </w:rPr>
        <w:t>یجب الحدّ عند ارتکاب المحرّمات الثالیة</w:t>
      </w:r>
      <w:r>
        <w:rPr>
          <w:rFonts w:eastAsia="IRNazanin" w:cs="IRNazanin"/>
          <w:color w:val="111111"/>
          <w:sz w:val="28"/>
          <w:szCs w:val="28"/>
          <w:rtl w:val="true"/>
          <w:lang w:bidi="fa-IR"/>
        </w:rPr>
        <w:t>:</w:t>
      </w:r>
    </w:p>
    <w:p>
      <w:pPr>
        <w:pStyle w:val="Heading5"/>
        <w:numPr>
          <w:ilvl w:val="4"/>
          <w:numId w:val="1"/>
        </w:numPr>
        <w:rPr/>
      </w:pPr>
      <w:bookmarkStart w:id="1108" w:name="__RefHeading___Toc581146_774463916"/>
      <w:bookmarkStart w:id="1109" w:name="_Toc441"/>
      <w:bookmarkEnd w:id="1108"/>
      <w:r>
        <w:rPr/>
        <w:t>1</w:t>
      </w:r>
      <w:r>
        <w:rPr>
          <w:rtl w:val="true"/>
        </w:rPr>
        <w:t xml:space="preserve">- </w:t>
      </w:r>
      <w:r>
        <w:rPr>
          <w:rtl w:val="true"/>
        </w:rPr>
        <w:t>الزنا</w:t>
      </w:r>
      <w:bookmarkEnd w:id="1109"/>
    </w:p>
    <w:p>
      <w:pPr>
        <w:pStyle w:val="BookText"/>
        <w:rPr/>
      </w:pPr>
      <w:r>
        <w:rPr>
          <w:rFonts w:ascii="Amiri" w:hAnsi="Amiri" w:eastAsia="Amiri" w:cs="Amiri"/>
          <w:color w:val="111111"/>
          <w:sz w:val="28"/>
          <w:sz w:val="28"/>
          <w:szCs w:val="28"/>
          <w:rtl w:val="true"/>
          <w:lang w:bidi="ar-SA"/>
        </w:rPr>
        <w:t>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اَلزّانِیَةُ وَ الزّانِی فَاجْلِدُوا کُلَّ واحِدٍ مِنْهُما مِائَةَ جَلْدَةٍ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یتحقق بإیلاج مقدار الحشفة فی فرج امرأة من دون عقد ولا شبهة ولا ملک، ویدلّ علی تحقق الزنا بإیلاج مقدار الحشفة صحیحة زرارة عن أبی جعفر علیه السلام قال</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عمر بن الخطاب أصحاب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فی الرجل یأتی أهله فیخالطها ولا ینزل؟ فقالت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المهاجرون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التقی الختانان فقد وجب علیه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یا أبا الحسن؟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أتوجبون علیه الحد والرجم ولا توجبون علیه صاعاً من الماء؟ إذا</w:t>
      </w:r>
    </w:p>
    <w:p>
      <w:pPr>
        <w:pStyle w:val="BookText"/>
        <w:rPr/>
      </w:pPr>
      <w:r>
        <w:rPr>
          <w:rFonts w:ascii="IRNazanin" w:hAnsi="IRNazanin" w:eastAsia="IRNazanin"/>
          <w:color w:val="111111"/>
          <w:sz w:val="28"/>
          <w:sz w:val="28"/>
          <w:szCs w:val="28"/>
          <w:rtl w:val="true"/>
          <w:lang w:bidi="fa-IR"/>
        </w:rPr>
        <w:t>التقی الختانان فقد وجب علیه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ما قال المهاجرون ودعوا ما قالت الانصار</w:t>
      </w:r>
      <w:r>
        <w:rPr>
          <w:rFonts w:eastAsia="IRNazanin" w:cs="IRNazanin"/>
          <w:color w:val="111111"/>
          <w:sz w:val="28"/>
          <w:szCs w:val="28"/>
          <w:rtl w:val="true"/>
          <w:lang w:bidi="fa-IR"/>
        </w:rPr>
        <w:t xml:space="preserve">. </w:t>
      </w:r>
      <w:r>
        <w:rPr>
          <w:rStyle w:val="FootnoteAnchor"/>
          <w:rtl w:val="true"/>
        </w:rPr>
        <w:footnoteReference w:id="1025"/>
      </w:r>
    </w:p>
    <w:p>
      <w:pPr>
        <w:pStyle w:val="BookText"/>
        <w:rPr/>
      </w:pP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وحدّه القتل تارة، وذلک فی موارد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بإحدی المحارم النسبیة کالأم، والبنت للروایات، منها صحیحة جمیل بن دراج،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یضرب الذی یأتی ذات مَحرْم بالسیف؟ أین هذه الضربة؟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تضرب رقبته</w:t>
      </w:r>
      <w:r>
        <w:rPr>
          <w:rFonts w:eastAsia="IRNazanin" w:cs="IRNazanin"/>
          <w:color w:val="111111"/>
          <w:sz w:val="28"/>
          <w:szCs w:val="28"/>
          <w:rtl w:val="true"/>
          <w:lang w:bidi="fa-IR"/>
        </w:rPr>
        <w:t xml:space="preserve">. </w:t>
      </w:r>
      <w:r>
        <w:rPr>
          <w:rStyle w:val="FootnoteAnchor"/>
          <w:rtl w:val="true"/>
        </w:rPr>
        <w:footnoteReference w:id="1026"/>
      </w:r>
    </w:p>
    <w:p>
      <w:pPr>
        <w:pStyle w:val="BookText"/>
        <w:rPr/>
      </w:pPr>
      <w:r>
        <w:rPr>
          <w:rFonts w:ascii="IRNazanin" w:hAnsi="IRNazanin" w:eastAsia="IRNazanin"/>
          <w:color w:val="111111"/>
          <w:sz w:val="28"/>
          <w:sz w:val="28"/>
          <w:szCs w:val="28"/>
          <w:rtl w:val="true"/>
          <w:lang w:bidi="fa-IR"/>
        </w:rPr>
        <w:t>وضرب العنق أو الرقبة کنایة عن القتل عرفاً، وفی تعمیم الحکم للزنا بالمحرمات السببیة کأم الزوجة، أو بالرضاع خلاف،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بالتعدّی لصدق عنوان ذات المحرم علیها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بالعدم بدعوی انصرافها عن ذلک مؤیداً بدعوی الإجماع والاحتیاط فی الدماء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زنا الذمی بالمسلمة؛ لصحیحة حنان بن سدیر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یهودی فجر بمسلمة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w:t>
      </w:r>
      <w:r>
        <w:rPr>
          <w:rFonts w:eastAsia="IRNazanin" w:cs="IRNazanin"/>
          <w:color w:val="111111"/>
          <w:sz w:val="28"/>
          <w:szCs w:val="28"/>
          <w:rtl w:val="true"/>
          <w:lang w:bidi="fa-IR"/>
        </w:rPr>
        <w:t xml:space="preserve">. </w:t>
      </w:r>
      <w:r>
        <w:rPr>
          <w:rStyle w:val="FootnoteAnchor"/>
          <w:rtl w:val="true"/>
        </w:rPr>
        <w:footnoteReference w:id="1027"/>
      </w:r>
    </w:p>
    <w:p>
      <w:pPr>
        <w:pStyle w:val="BookText"/>
        <w:rPr/>
      </w:pPr>
      <w:r>
        <w:rPr>
          <w:rFonts w:ascii="IRNazanin" w:hAnsi="IRNazanin" w:eastAsia="IRNazanin"/>
          <w:color w:val="111111"/>
          <w:sz w:val="28"/>
          <w:sz w:val="28"/>
          <w:szCs w:val="28"/>
          <w:rtl w:val="true"/>
          <w:lang w:bidi="fa-IR"/>
        </w:rPr>
        <w:t>ولا خصوصیّة للیهودی بل لعل وجه قتله خروجه بذلک عن ذمته، وهل یُتعدی من الذّمی إلی مطلق الکافر؟ وجهان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الزنا بالأجنبیة عن إکراه لها، بلا خلاف، بل الإجماع بقسمیه علیه کما فی الجواهر،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وتدلّ علیه صحیحة برید العجلی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 أبو جعفر علیه السلام عن رجل اغتصب امرأة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محصناً کان أو غیر محصن</w:t>
      </w:r>
      <w:r>
        <w:rPr>
          <w:rFonts w:eastAsia="IRNazanin" w:cs="IRNazanin"/>
          <w:color w:val="111111"/>
          <w:sz w:val="28"/>
          <w:szCs w:val="28"/>
          <w:rtl w:val="true"/>
          <w:lang w:bidi="fa-IR"/>
        </w:rPr>
        <w:t xml:space="preserve">. </w:t>
      </w:r>
      <w:r>
        <w:rPr>
          <w:rStyle w:val="FootnoteAnchor"/>
          <w:rtl w:val="true"/>
        </w:rPr>
        <w:footnoteReference w:id="1028"/>
      </w:r>
    </w:p>
    <w:p>
      <w:pPr>
        <w:pStyle w:val="BookText"/>
        <w:rPr/>
      </w:pP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تکررّ الزنا والجلد ثلاثاً، فاذا جلد ثلاث مرات، قتل فی الرابعة علی المشهور بین الأصحاب لموثقة أبی بصیر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الزانی إذا زنی یجلد ثلاثاً، ویقتل فی الرابعة یعنی جلد ثلاث مرات</w:t>
      </w:r>
      <w:r>
        <w:rPr>
          <w:rFonts w:eastAsia="IRNazanin" w:cs="IRNazanin"/>
          <w:color w:val="111111"/>
          <w:sz w:val="28"/>
          <w:szCs w:val="28"/>
          <w:rtl w:val="true"/>
          <w:lang w:bidi="fa-IR"/>
        </w:rPr>
        <w:t xml:space="preserve">. </w:t>
      </w:r>
      <w:r>
        <w:rPr>
          <w:rStyle w:val="FootnoteAnchor"/>
          <w:rtl w:val="true"/>
        </w:rPr>
        <w:footnoteReference w:id="1029"/>
      </w:r>
    </w:p>
    <w:p>
      <w:pPr>
        <w:pStyle w:val="BookText"/>
        <w:rPr/>
      </w:pPr>
      <w:r>
        <w:rPr>
          <w:rFonts w:ascii="IRNazanin" w:hAnsi="IRNazanin" w:eastAsia="IRNazanin"/>
          <w:color w:val="111111"/>
          <w:sz w:val="28"/>
          <w:sz w:val="28"/>
          <w:szCs w:val="28"/>
          <w:rtl w:val="true"/>
          <w:lang w:bidi="fa-IR"/>
        </w:rPr>
        <w:t>وبها تخصص صحیحة یونس بن عبدالرحمن عن أبی الحسن الماضی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الکبائر کلّها إذا اقیم علیهم الحدّ مرتین قتلوا فی الثالثة</w:t>
      </w:r>
      <w:r>
        <w:rPr>
          <w:rFonts w:eastAsia="IRNazanin" w:cs="IRNazanin"/>
          <w:color w:val="111111"/>
          <w:sz w:val="28"/>
          <w:szCs w:val="28"/>
          <w:rtl w:val="true"/>
          <w:lang w:bidi="fa-IR"/>
        </w:rPr>
        <w:t xml:space="preserve">. </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والجلد اخری وذلک فی الزانی او الزانیة غیر المحصنین؛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اَلزّانِیَةُ وَ الزّانِی فَاجْلِدُوا کُلَّ واحِدٍ مِنْهُما مِائَةَ جَلْدَةٍ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وللروایات، منها موثّقة سماعة عن أبی عبدالله علیه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الحرّ والحرّة إذا زنیا جلد کلّ واحد منهما ماة جلدة فأمّا المحصن والمحصنة فعلیهما الرجم</w:t>
      </w:r>
      <w:r>
        <w:rPr>
          <w:rFonts w:eastAsia="IRNazanin" w:cs="IRNazanin"/>
          <w:color w:val="111111"/>
          <w:sz w:val="28"/>
          <w:szCs w:val="28"/>
          <w:rtl w:val="true"/>
          <w:lang w:bidi="fa-IR"/>
        </w:rPr>
        <w:t xml:space="preserve">. </w:t>
      </w:r>
      <w:r>
        <w:rPr>
          <w:rStyle w:val="FootnoteAnchor"/>
          <w:rtl w:val="true"/>
        </w:rPr>
        <w:footnoteReference w:id="1031"/>
      </w:r>
    </w:p>
    <w:p>
      <w:pPr>
        <w:pStyle w:val="BookText"/>
        <w:rPr/>
      </w:pPr>
      <w:r>
        <w:rPr>
          <w:rFonts w:ascii="IRNazanin" w:hAnsi="IRNazanin" w:eastAsia="IRNazanin"/>
          <w:color w:val="111111"/>
          <w:sz w:val="28"/>
          <w:sz w:val="28"/>
          <w:szCs w:val="28"/>
          <w:rtl w:val="true"/>
          <w:lang w:bidi="fa-IR"/>
        </w:rPr>
        <w:t>وسیأتی معنی الإحصان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المرأة المحصنة إذا زنی بها غیر البالغ؛ لصحیحة أبی بصیر عن أبی عبدالله علیه السلام </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 صغیر لم یدرک، ابن عشر سنین زنی بامرأة،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 الغلام دون الحدّ، وتجلد المرأة حدّاً کاملاً،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محصنة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ترجم؛ لأنّ الذی نکحها لیس بمدرک، ولو کان مدرکاً رجمت</w:t>
      </w:r>
      <w:r>
        <w:rPr>
          <w:rFonts w:eastAsia="IRNazanin" w:cs="IRNazanin"/>
          <w:color w:val="111111"/>
          <w:sz w:val="28"/>
          <w:szCs w:val="28"/>
          <w:rtl w:val="true"/>
          <w:lang w:bidi="fa-IR"/>
        </w:rPr>
        <w:t xml:space="preserve">. </w:t>
      </w:r>
      <w:r>
        <w:rPr>
          <w:rStyle w:val="FootnoteAnchor"/>
          <w:rtl w:val="true"/>
        </w:rPr>
        <w:footnoteReference w:id="1032"/>
      </w:r>
    </w:p>
    <w:p>
      <w:pPr>
        <w:pStyle w:val="BookText"/>
        <w:rPr/>
      </w:pPr>
      <w:r>
        <w:rPr>
          <w:rFonts w:ascii="IRNazanin" w:hAnsi="IRNazanin" w:eastAsia="IRNazanin"/>
          <w:color w:val="111111"/>
          <w:sz w:val="28"/>
          <w:sz w:val="28"/>
          <w:szCs w:val="28"/>
          <w:rtl w:val="true"/>
          <w:lang w:bidi="fa-IR"/>
        </w:rPr>
        <w:t>والرجم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کانا محصنین بلا خلاف، للروایات، ومنها موثّقة سماعة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یکون الجلد والرجم معاً، وذلک للشیخ الزانی أو الشیخة المزنی بها، إذا کانا محصنین، لصحیحة الحلبی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الشیخ والشیخة جلد مأة والرجم، والبکر والبکرة جلد مأة ونفی سنة</w:t>
      </w:r>
      <w:r>
        <w:rPr>
          <w:rFonts w:eastAsia="IRNazanin" w:cs="IRNazanin"/>
          <w:color w:val="111111"/>
          <w:sz w:val="28"/>
          <w:szCs w:val="28"/>
          <w:rtl w:val="true"/>
          <w:lang w:bidi="fa-IR"/>
        </w:rPr>
        <w:t xml:space="preserve">. </w:t>
      </w:r>
      <w:r>
        <w:rPr>
          <w:rStyle w:val="FootnoteAnchor"/>
          <w:rtl w:val="true"/>
        </w:rPr>
        <w:footnoteReference w:id="1033"/>
      </w:r>
    </w:p>
    <w:p>
      <w:pPr>
        <w:pStyle w:val="BookText"/>
        <w:rPr/>
      </w:pPr>
      <w:r>
        <w:rPr>
          <w:rFonts w:ascii="IRNazanin" w:hAnsi="IRNazanin" w:eastAsia="IRNazanin"/>
          <w:color w:val="111111"/>
          <w:sz w:val="28"/>
          <w:sz w:val="28"/>
          <w:szCs w:val="28"/>
          <w:rtl w:val="true"/>
          <w:lang w:bidi="fa-IR"/>
        </w:rPr>
        <w:t>ویقید إطلاقها بما دلّ علی أنّ الرجم لا یثبت فی حق غیر المحصن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یکون الجلد مع جز الشعر والنفی من البلد سنة کما فی الرجل البکر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تزوج ولم یدخل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زنی؛ لصحیحة حنان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 رجل أبا عبدالله علیه السلام وأنا أسمع عن البکر یفجر، وقد تزوج قبل أن یدخل بأهله،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مأة، ویجز شعره، وینفی من المصر حولاً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1034"/>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ونحوها صحیحة علی بن جعفر إلاّ أنّ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یحلق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ألجز أو الحلق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بالرجل دون المرأة لعدم الدلیل علیه فیها</w:t>
      </w:r>
      <w:r>
        <w:rPr>
          <w:rFonts w:eastAsia="IRNazanin" w:cs="IRNazanin"/>
          <w:color w:val="111111"/>
          <w:sz w:val="28"/>
          <w:szCs w:val="28"/>
          <w:rtl w:val="true"/>
          <w:lang w:bidi="fa-IR"/>
        </w:rPr>
        <w:t>.</w:t>
      </w:r>
      <w:bookmarkStart w:id="1110" w:name="pg5021_49591"/>
    </w:p>
    <w:p>
      <w:pPr>
        <w:pStyle w:val="Heading3"/>
        <w:numPr>
          <w:ilvl w:val="2"/>
          <w:numId w:val="1"/>
        </w:numPr>
        <w:rPr/>
      </w:pPr>
      <w:bookmarkStart w:id="1111" w:name="__RefHeading___Toc581148_774463916"/>
      <w:bookmarkStart w:id="1112" w:name="_Toc442"/>
      <w:bookmarkEnd w:id="1110"/>
      <w:bookmarkEnd w:id="1111"/>
      <w:r>
        <w:rPr>
          <w:rtl w:val="true"/>
        </w:rPr>
        <w:t>الدرس</w:t>
      </w:r>
      <w:r>
        <w:rPr/>
        <w:t>25</w:t>
      </w:r>
      <w:r>
        <w:rPr>
          <w:rtl w:val="true"/>
        </w:rPr>
        <w:t xml:space="preserve"> - </w:t>
      </w:r>
      <w:r>
        <w:rPr>
          <w:rtl w:val="true"/>
        </w:rPr>
        <w:t xml:space="preserve">کتاب الحدود </w:t>
      </w:r>
      <w:r>
        <w:rPr>
          <w:rtl w:val="true"/>
        </w:rPr>
        <w:t>(</w:t>
      </w:r>
      <w:r>
        <w:rPr/>
        <w:t>2</w:t>
      </w:r>
      <w:r>
        <w:rPr>
          <w:rtl w:val="true"/>
        </w:rPr>
        <w:t>)</w:t>
      </w:r>
      <w:bookmarkEnd w:id="1112"/>
    </w:p>
    <w:p>
      <w:pPr>
        <w:pStyle w:val="Heading4"/>
        <w:numPr>
          <w:ilvl w:val="3"/>
          <w:numId w:val="1"/>
        </w:numPr>
        <w:rPr/>
      </w:pPr>
      <w:bookmarkStart w:id="1113" w:name="__RefHeading___Toc581150_774463916"/>
      <w:bookmarkStart w:id="1114" w:name="_Toc443"/>
      <w:bookmarkEnd w:id="1113"/>
      <w:r>
        <w:rPr>
          <w:rtl w:val="true"/>
        </w:rPr>
        <w:t>الإحصان</w:t>
      </w:r>
      <w:bookmarkEnd w:id="1114"/>
    </w:p>
    <w:p>
      <w:pPr>
        <w:pStyle w:val="BookText"/>
        <w:rPr/>
      </w:pPr>
      <w:r>
        <w:rPr>
          <w:rFonts w:ascii="IRNazanin" w:hAnsi="IRNazanin" w:eastAsia="IRNazanin"/>
          <w:color w:val="111111"/>
          <w:sz w:val="28"/>
          <w:sz w:val="28"/>
          <w:szCs w:val="28"/>
          <w:rtl w:val="true"/>
          <w:lang w:bidi="fa-IR"/>
        </w:rPr>
        <w:t>والإحصان المعتبر فی استحقاق الرجم، یتحقق فی الرجل باجتماع امور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الحریة بلا خلاف، وللروایات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کونه ذا زوجة دائمة قد دخل بها لما یأتی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کونه متمکّناً من وطئها متی شاء؛ لصحیحة عمر بن یزید عن أبی عبدالله علیه السلام فی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یُرجم الغائب عن أهله ولا المملک الذی لم یبنِ باهله، ولا صاحب المتعة </w:t>
      </w:r>
      <w:r>
        <w:rPr>
          <w:rStyle w:val="FootnoteAnchor"/>
          <w:rtl w:val="true"/>
        </w:rPr>
        <w:footnoteReference w:id="1035"/>
      </w:r>
      <w:r>
        <w:rPr>
          <w:rFonts w:ascii="IRNazanin" w:hAnsi="IRNazanin" w:eastAsia="IRNazanin"/>
          <w:color w:val="111111"/>
          <w:sz w:val="28"/>
          <w:sz w:val="28"/>
          <w:szCs w:val="28"/>
          <w:rtl w:val="true"/>
          <w:lang w:bidi="fa-IR"/>
        </w:rPr>
        <w:t>والمراد من الغائب من لم یتمکّن من الوطئ متی شاء، ویدل علیه أیضاً صحیحة حریز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المحصن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یزنی وعنده ما یغنیه</w:t>
      </w:r>
      <w:r>
        <w:rPr>
          <w:rFonts w:eastAsia="IRNazanin" w:cs="IRNazanin"/>
          <w:color w:val="111111"/>
          <w:sz w:val="28"/>
          <w:szCs w:val="28"/>
          <w:rtl w:val="true"/>
          <w:lang w:bidi="fa-IR"/>
        </w:rPr>
        <w:t xml:space="preserve">. </w:t>
      </w:r>
      <w:r>
        <w:rPr>
          <w:rStyle w:val="FootnoteAnchor"/>
          <w:rtl w:val="true"/>
        </w:rPr>
        <w:footnoteReference w:id="1036"/>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الإحصان فی المرأة، یتحقق بحریتها بلا خلاف؛ ولِما فی صحیح محمد بن قیس عن أبی جعفر علیه السلام </w:t>
      </w:r>
      <w:r>
        <w:rPr>
          <w:rFonts w:eastAsia="IRNazanin" w:cs="IRNazanin"/>
          <w:color w:val="111111"/>
          <w:sz w:val="28"/>
          <w:szCs w:val="28"/>
          <w:rtl w:val="true"/>
          <w:lang w:bidi="fa-IR"/>
        </w:rPr>
        <w:t>:</w:t>
      </w:r>
      <w:bookmarkStart w:id="1115" w:name="pg5021_49592"/>
    </w:p>
    <w:p>
      <w:pPr>
        <w:pStyle w:val="BookText"/>
        <w:rPr/>
      </w:pPr>
      <w:bookmarkEnd w:id="1115"/>
      <w:r>
        <w:rPr>
          <w:rFonts w:ascii="IRNazanin" w:hAnsi="IRNazanin" w:eastAsia="IRNazanin"/>
          <w:color w:val="111111"/>
          <w:sz w:val="28"/>
          <w:sz w:val="28"/>
          <w:szCs w:val="28"/>
          <w:rtl w:val="true"/>
          <w:lang w:bidi="fa-IR"/>
        </w:rPr>
        <w:t>قضی أمیرالمؤمنین فی العبید إذا زنی أحدهم أن یجلد خمسین جلدة وإن کان مسلماً أو کافراً أو نصرانیا، ولا یرجم ولا ینفی</w:t>
      </w:r>
      <w:r>
        <w:rPr>
          <w:rFonts w:eastAsia="IRNazanin" w:cs="IRNazanin"/>
          <w:color w:val="111111"/>
          <w:sz w:val="28"/>
          <w:szCs w:val="28"/>
          <w:rtl w:val="true"/>
          <w:lang w:bidi="fa-IR"/>
        </w:rPr>
        <w:t xml:space="preserve">. </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 xml:space="preserve">بناءً علی انّ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 الرجل والمرأة، ویعتبر أن یکون لها زوج؛ لصحیحة محمد بن مسلم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المغیب والمغیبة لیس علیهما رجم إلا أن یکون الرجل مع المرأة والمرأة مع الرجل</w:t>
      </w:r>
      <w:r>
        <w:rPr>
          <w:rFonts w:eastAsia="IRNazanin" w:cs="IRNazanin"/>
          <w:color w:val="111111"/>
          <w:sz w:val="28"/>
          <w:szCs w:val="28"/>
          <w:rtl w:val="true"/>
          <w:lang w:bidi="fa-IR"/>
        </w:rPr>
        <w:t xml:space="preserve">. </w:t>
      </w:r>
      <w:r>
        <w:rPr>
          <w:rStyle w:val="FootnoteAnchor"/>
          <w:rtl w:val="true"/>
        </w:rPr>
        <w:footnoteReference w:id="1038"/>
      </w:r>
    </w:p>
    <w:p>
      <w:pPr>
        <w:pStyle w:val="BookText"/>
        <w:rPr/>
      </w:pPr>
      <w:r>
        <w:rPr>
          <w:rFonts w:ascii="IRNazanin" w:hAnsi="IRNazanin" w:eastAsia="IRNazanin"/>
          <w:color w:val="111111"/>
          <w:sz w:val="28"/>
          <w:sz w:val="28"/>
          <w:szCs w:val="28"/>
          <w:rtl w:val="true"/>
          <w:lang w:bidi="fa-IR"/>
        </w:rPr>
        <w:t xml:space="preserve">ویعتبر أیضا أن تکون مدخولاً بها لما فی صحیحته الأخری عن أحدهما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قول الله عزوجل فإذا أحصن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إحصانهنّ أن یدخل بهنّ</w:t>
      </w:r>
      <w:r>
        <w:rPr>
          <w:rFonts w:eastAsia="IRNazanin" w:cs="IRNazanin"/>
          <w:color w:val="111111"/>
          <w:sz w:val="28"/>
          <w:szCs w:val="28"/>
          <w:rtl w:val="true"/>
          <w:lang w:bidi="fa-IR"/>
        </w:rPr>
        <w:t xml:space="preserve">.... </w:t>
      </w:r>
      <w:r>
        <w:rPr>
          <w:rStyle w:val="FootnoteAnchor"/>
          <w:rtl w:val="true"/>
        </w:rPr>
        <w:footnoteReference w:id="1039"/>
      </w:r>
    </w:p>
    <w:p>
      <w:pPr>
        <w:pStyle w:val="BookText"/>
        <w:rPr/>
      </w:pPr>
      <w:r>
        <w:rPr>
          <w:rFonts w:ascii="IRNazanin" w:hAnsi="IRNazanin" w:eastAsia="IRNazanin"/>
          <w:color w:val="111111"/>
          <w:sz w:val="28"/>
          <w:sz w:val="28"/>
          <w:szCs w:val="28"/>
          <w:rtl w:val="true"/>
          <w:lang w:bidi="fa-IR"/>
        </w:rPr>
        <w:t>ویعتبر أیضاً فیها دوام الزوجیة، لتسالم الأصحاب وقد یستدلّ له ببعض الروایات أیضاً</w:t>
      </w:r>
      <w:r>
        <w:rPr>
          <w:rFonts w:eastAsia="IRNazanin" w:cs="IRNazanin"/>
          <w:color w:val="111111"/>
          <w:sz w:val="28"/>
          <w:szCs w:val="28"/>
          <w:rtl w:val="true"/>
          <w:lang w:bidi="fa-IR"/>
        </w:rPr>
        <w:t xml:space="preserve">. </w:t>
      </w:r>
      <w:r>
        <w:rPr>
          <w:rStyle w:val="FootnoteAnchor"/>
          <w:rtl w:val="true"/>
        </w:rPr>
        <w:footnoteReference w:id="1040"/>
      </w:r>
    </w:p>
    <w:p>
      <w:pPr>
        <w:pStyle w:val="Heading4"/>
        <w:numPr>
          <w:ilvl w:val="3"/>
          <w:numId w:val="1"/>
        </w:numPr>
        <w:rPr/>
      </w:pPr>
      <w:bookmarkStart w:id="1116" w:name="__RefHeading___Toc581152_774463916"/>
      <w:bookmarkStart w:id="1117" w:name="_Toc444"/>
      <w:bookmarkEnd w:id="1116"/>
      <w:r>
        <w:rPr>
          <w:rtl w:val="true"/>
        </w:rPr>
        <w:t>شرائط ثبوت حدّ الزنا</w:t>
      </w:r>
      <w:bookmarkEnd w:id="1117"/>
    </w:p>
    <w:p>
      <w:pPr>
        <w:pStyle w:val="BookText"/>
        <w:rPr/>
      </w:pPr>
      <w:r>
        <w:rPr>
          <w:rFonts w:ascii="IRNazanin" w:hAnsi="IRNazanin" w:eastAsia="IRNazanin"/>
          <w:color w:val="111111"/>
          <w:sz w:val="28"/>
          <w:sz w:val="28"/>
          <w:szCs w:val="28"/>
          <w:rtl w:val="true"/>
          <w:lang w:bidi="fa-IR"/>
        </w:rPr>
        <w:t xml:space="preserve">لا یحدّ الزانی ولا الزانیة إلا مع البلوغ؛ لارتفاع التکلیف عن غیره، نعم، یعزّر علی مبلغ سنّه فی الحدود؛ کما فی روایة برید الکناسی عن أبی جعفر علیه السلام ، </w:t>
      </w:r>
      <w:r>
        <w:rPr>
          <w:rStyle w:val="FootnoteAnchor"/>
          <w:rtl w:val="true"/>
        </w:rPr>
        <w:footnoteReference w:id="1041"/>
      </w:r>
      <w:r>
        <w:rPr>
          <w:rFonts w:ascii="IRNazanin" w:hAnsi="IRNazanin" w:eastAsia="IRNazanin"/>
          <w:color w:val="111111"/>
          <w:sz w:val="28"/>
          <w:sz w:val="28"/>
          <w:szCs w:val="28"/>
          <w:rtl w:val="true"/>
          <w:lang w:bidi="fa-IR"/>
        </w:rPr>
        <w:t>وتقدّم فی صحیحة أبی بصیر أنّ الصبی یجلد دون الحدّ، وکذا یعتبر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لدفع القلم عن المجنون، والاختیار لِما دلّ علی رفع العقاب عما اکره علیه، فی حدیث الرفع، والعلم بالحکم والموضوع؛ لقوله علیه السلام فی صحیحة عبد الصمد بن بشیر فی حدیث</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رجل رکب أمراً بجهالة فلا شیء علیه</w:t>
      </w:r>
      <w:r>
        <w:rPr>
          <w:rFonts w:eastAsia="IRNazanin" w:cs="IRNazanin"/>
          <w:color w:val="111111"/>
          <w:sz w:val="28"/>
          <w:szCs w:val="28"/>
          <w:rtl w:val="true"/>
          <w:lang w:bidi="fa-IR"/>
        </w:rPr>
        <w:t xml:space="preserve">.... </w:t>
      </w:r>
      <w:r>
        <w:rPr>
          <w:rStyle w:val="FootnoteAnchor"/>
          <w:rtl w:val="true"/>
        </w:rPr>
        <w:footnoteReference w:id="1042"/>
      </w:r>
      <w:bookmarkStart w:id="1118" w:name="pg5021_49593"/>
    </w:p>
    <w:p>
      <w:pPr>
        <w:pStyle w:val="BookText"/>
        <w:rPr/>
      </w:pPr>
      <w:bookmarkEnd w:id="1118"/>
      <w:r>
        <w:rPr>
          <w:rFonts w:ascii="IRNazanin" w:hAnsi="IRNazanin" w:eastAsia="IRNazanin"/>
          <w:color w:val="111111"/>
          <w:sz w:val="28"/>
          <w:sz w:val="28"/>
          <w:szCs w:val="28"/>
          <w:rtl w:val="true"/>
          <w:lang w:bidi="fa-IR"/>
        </w:rPr>
        <w:t>هذا مضافاً إلی ما یقال من عدم صدق عنوان الزنا مع الجهل، وعلیه فإذا أسلم رجل ولم یعلم حرمة الزنا، لرواجه فی عرفه کما هو دائر فی بلاد الغرب، فلا یحدّ</w:t>
      </w:r>
      <w:r>
        <w:rPr>
          <w:rFonts w:eastAsia="IRNazanin" w:cs="IRNazanin"/>
          <w:color w:val="111111"/>
          <w:sz w:val="28"/>
          <w:szCs w:val="28"/>
          <w:rtl w:val="true"/>
          <w:lang w:bidi="fa-IR"/>
        </w:rPr>
        <w:t>.</w:t>
      </w:r>
    </w:p>
    <w:p>
      <w:pPr>
        <w:pStyle w:val="Heading4"/>
        <w:numPr>
          <w:ilvl w:val="3"/>
          <w:numId w:val="1"/>
        </w:numPr>
        <w:rPr/>
      </w:pPr>
      <w:bookmarkStart w:id="1119" w:name="__RefHeading___Toc581154_774463916"/>
      <w:bookmarkStart w:id="1120" w:name="_Toc445"/>
      <w:bookmarkEnd w:id="1119"/>
      <w:r>
        <w:rPr>
          <w:rtl w:val="true"/>
        </w:rPr>
        <w:t>وسائل إثبات الزنا</w:t>
      </w:r>
      <w:bookmarkEnd w:id="1120"/>
    </w:p>
    <w:p>
      <w:pPr>
        <w:pStyle w:val="BookText"/>
        <w:rPr/>
      </w:pPr>
      <w:r>
        <w:rPr>
          <w:rFonts w:ascii="IRNazanin" w:hAnsi="IRNazanin" w:eastAsia="IRNazanin"/>
          <w:color w:val="111111"/>
          <w:sz w:val="28"/>
          <w:sz w:val="28"/>
          <w:szCs w:val="28"/>
          <w:rtl w:val="true"/>
          <w:lang w:bidi="fa-IR"/>
        </w:rPr>
        <w:t>یثبت الزنا بأمرین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إقرار الزانی أربع مرات؛ لصحیحة محمد بن مسلم عن أبی جعفر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قال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زانیة أنا زنیت 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حدٌّ واحد لقذفه إیاها وأمّا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زنیتُ بکِ فلا حدّ فیه إلا أن یشهد علی نفسه أربع شهادات بالزنا عند الإمام</w:t>
      </w:r>
      <w:r>
        <w:rPr>
          <w:rFonts w:eastAsia="IRNazanin" w:cs="IRNazanin"/>
          <w:color w:val="111111"/>
          <w:sz w:val="28"/>
          <w:szCs w:val="28"/>
          <w:rtl w:val="true"/>
          <w:lang w:bidi="fa-IR"/>
        </w:rPr>
        <w:t xml:space="preserve">. </w:t>
      </w:r>
      <w:r>
        <w:rPr>
          <w:rStyle w:val="FootnoteAnchor"/>
          <w:rtl w:val="true"/>
        </w:rPr>
        <w:footnoteReference w:id="10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البینة علیه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شهادة أربعة رجال عدول أو ثلاثة وامرأتین دون رجلین واربع نساء نعم، یثبت بالأخیرة الجلد خاصّة دون الرجم کما تقدّم وجهها فی کتاب الشهادات،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ویلزم فی شهادة الشهود أن تکون عن حسٍّ ورؤیة؛ لصحیحة الحلبی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الرجم أن یشهد أربع أنّهم رأوه یدخل ویخرج</w:t>
      </w:r>
      <w:r>
        <w:rPr>
          <w:rFonts w:eastAsia="IRNazanin" w:cs="IRNazanin"/>
          <w:color w:val="111111"/>
          <w:sz w:val="28"/>
          <w:szCs w:val="28"/>
          <w:rtl w:val="true"/>
          <w:lang w:bidi="fa-IR"/>
        </w:rPr>
        <w:t xml:space="preserve">. </w:t>
      </w:r>
      <w:r>
        <w:rPr>
          <w:rStyle w:val="FootnoteAnchor"/>
          <w:rtl w:val="true"/>
        </w:rPr>
        <w:footnoteReference w:id="1044"/>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یکفی الشهادة علی الخلوة أو اجتماعهما تحت فراش ولو عریاناً، ونحو ذلک من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یلزم أیضاً وحدة المشهود به زماناً ومکاناً وإلاّ لایتحقق قیام البینّة علی الزنا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فلو شهدوا من دون ذلک حدّوا حدّ القذف بعد عدم ثبوت الزنا، وکذلک یلزم أداء الشهود شهادتهم سویة وبلا تأخیر وإلا حدّ السابق حدّ القذف لموثّقة السکونی عن جعفر عن أبیه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ثلاثة شهدوا علی رجل بالزنا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الرابع؟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 یجیء، فقال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حدّوهم فلیس فی الحدود نظرة ساعة</w:t>
      </w:r>
      <w:r>
        <w:rPr>
          <w:rFonts w:eastAsia="IRNazanin" w:cs="IRNazanin"/>
          <w:color w:val="111111"/>
          <w:sz w:val="28"/>
          <w:szCs w:val="28"/>
          <w:rtl w:val="true"/>
          <w:lang w:bidi="fa-IR"/>
        </w:rPr>
        <w:t xml:space="preserve">. </w:t>
      </w:r>
      <w:r>
        <w:rPr>
          <w:rStyle w:val="FootnoteAnchor"/>
          <w:rtl w:val="true"/>
        </w:rPr>
        <w:footnoteReference w:id="1045"/>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یظهر لزوم الإسراع فی إقامة الحدود بعد الثبوت</w:t>
      </w:r>
      <w:r>
        <w:rPr>
          <w:rFonts w:eastAsia="IRNazanin" w:cs="IRNazanin"/>
          <w:color w:val="111111"/>
          <w:sz w:val="28"/>
          <w:szCs w:val="28"/>
          <w:rtl w:val="true"/>
          <w:lang w:bidi="fa-IR"/>
        </w:rPr>
        <w:t>.</w:t>
      </w:r>
      <w:bookmarkStart w:id="1121" w:name="pg5021_49595"/>
    </w:p>
    <w:p>
      <w:pPr>
        <w:pStyle w:val="Heading3"/>
        <w:numPr>
          <w:ilvl w:val="2"/>
          <w:numId w:val="1"/>
        </w:numPr>
        <w:rPr/>
      </w:pPr>
      <w:bookmarkStart w:id="1122" w:name="__RefHeading___Toc581156_774463916"/>
      <w:bookmarkStart w:id="1123" w:name="_Toc446"/>
      <w:bookmarkEnd w:id="1121"/>
      <w:bookmarkEnd w:id="1122"/>
      <w:r>
        <w:rPr>
          <w:rtl w:val="true"/>
        </w:rPr>
        <w:t>الدرس</w:t>
      </w:r>
      <w:r>
        <w:rPr/>
        <w:t>26</w:t>
      </w:r>
      <w:r>
        <w:rPr>
          <w:rtl w:val="true"/>
        </w:rPr>
        <w:t xml:space="preserve"> -</w:t>
      </w:r>
      <w:r>
        <w:rPr>
          <w:rtl w:val="true"/>
        </w:rPr>
        <w:t xml:space="preserve">کتاب الحدود </w:t>
      </w:r>
      <w:r>
        <w:rPr>
          <w:rtl w:val="true"/>
        </w:rPr>
        <w:t>(</w:t>
      </w:r>
      <w:r>
        <w:rPr/>
        <w:t>3</w:t>
      </w:r>
      <w:r>
        <w:rPr>
          <w:rtl w:val="true"/>
        </w:rPr>
        <w:t>)</w:t>
      </w:r>
      <w:bookmarkEnd w:id="1123"/>
    </w:p>
    <w:p>
      <w:pPr>
        <w:pStyle w:val="Heading4"/>
        <w:numPr>
          <w:ilvl w:val="3"/>
          <w:numId w:val="1"/>
        </w:numPr>
        <w:rPr/>
      </w:pPr>
      <w:bookmarkStart w:id="1124" w:name="__RefHeading___Toc581158_774463916"/>
      <w:bookmarkStart w:id="1125" w:name="_Toc447"/>
      <w:bookmarkEnd w:id="1124"/>
      <w:r>
        <w:rPr/>
        <w:t>2</w:t>
      </w:r>
      <w:r>
        <w:rPr>
          <w:rtl w:val="true"/>
        </w:rPr>
        <w:t xml:space="preserve">- </w:t>
      </w:r>
      <w:r>
        <w:rPr>
          <w:rtl w:val="true"/>
        </w:rPr>
        <w:t>اللواط</w:t>
      </w:r>
      <w:bookmarkEnd w:id="1125"/>
    </w:p>
    <w:p>
      <w:pPr>
        <w:pStyle w:val="BookText"/>
        <w:rPr/>
      </w:pPr>
      <w:r>
        <w:rPr>
          <w:rFonts w:ascii="IRNazanin" w:hAnsi="IRNazanin" w:eastAsia="IRNazanin"/>
          <w:color w:val="111111"/>
          <w:sz w:val="28"/>
          <w:sz w:val="28"/>
          <w:szCs w:val="28"/>
          <w:rtl w:val="true"/>
          <w:lang w:bidi="fa-IR"/>
        </w:rPr>
        <w:t>و هو یتحقق اما بالایقاب أو بالتفخیذ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الأوّل فحدّه القتل علی اللائط والملوط به إذا کانا مکلّفین، بأحد الأسالیب الأربعة المذکورة فی الروایات، منها صحیحة مالک بن عطیة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أمیرالمؤمنین علیه السلام قال لرجل أقرّ عنده باللواط أربعاً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إنّ رسول‌الله صلی الله علیه و آله حکم فی مثلک بثلاثة أحکام فاختر أیهنّ 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یا أمیرالمؤمنین؟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ضربة بالسیف فی عنقک بالغة منک ما بلغت أو إهداب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إهداء</w:t>
      </w:r>
      <w:r>
        <w:rPr>
          <w:rFonts w:eastAsia="IRNazanin" w:cs="IRNazanin"/>
          <w:color w:val="111111"/>
          <w:sz w:val="28"/>
          <w:szCs w:val="28"/>
          <w:rtl w:val="true"/>
          <w:lang w:bidi="fa-IR"/>
        </w:rPr>
        <w:t xml:space="preserve">) </w:t>
      </w:r>
      <w:r>
        <w:rPr>
          <w:rStyle w:val="FootnoteAnchor"/>
          <w:rtl w:val="true"/>
        </w:rPr>
        <w:footnoteReference w:id="1046"/>
      </w:r>
      <w:r>
        <w:rPr>
          <w:rFonts w:ascii="IRNazanin" w:hAnsi="IRNazanin" w:eastAsia="IRNazanin"/>
          <w:color w:val="111111"/>
          <w:sz w:val="28"/>
          <w:sz w:val="28"/>
          <w:szCs w:val="28"/>
          <w:rtl w:val="true"/>
          <w:lang w:bidi="fa-IR"/>
        </w:rPr>
        <w:t>من جبل مشدود الیدین والرجلین، أو إحراق بالنار</w:t>
      </w:r>
      <w:r>
        <w:rPr>
          <w:rFonts w:eastAsia="IRNazanin" w:cs="IRNazanin"/>
          <w:color w:val="111111"/>
          <w:sz w:val="28"/>
          <w:szCs w:val="28"/>
          <w:rtl w:val="true"/>
          <w:lang w:bidi="fa-IR"/>
        </w:rPr>
        <w:t xml:space="preserve">. </w:t>
      </w:r>
      <w:r>
        <w:rPr>
          <w:rStyle w:val="FootnoteAnchor"/>
          <w:rtl w:val="true"/>
        </w:rPr>
        <w:footnoteReference w:id="1047"/>
      </w:r>
    </w:p>
    <w:p>
      <w:pPr>
        <w:pStyle w:val="BookText"/>
        <w:rPr/>
      </w:pPr>
      <w:r>
        <w:rPr>
          <w:rFonts w:ascii="IRNazanin" w:hAnsi="IRNazanin" w:eastAsia="IRNazanin"/>
          <w:color w:val="111111"/>
          <w:sz w:val="28"/>
          <w:sz w:val="28"/>
          <w:szCs w:val="28"/>
          <w:rtl w:val="true"/>
          <w:lang w:bidi="fa-IR"/>
        </w:rPr>
        <w:t>وأمّا الرجم فقد ذکر فی روایات أخری کصحیحة أبی بصیر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بعض الروایات قیّد حکم قتل اللائط بما إذا کان محصناً وإلاّ جلّد، إلاّ أنّ المشهور أعرضوا عنها وان افتی به بعض المعاصرین</w:t>
      </w:r>
      <w:r>
        <w:rPr>
          <w:rFonts w:eastAsia="IRNazanin" w:cs="IRNazanin"/>
          <w:color w:val="111111"/>
          <w:sz w:val="28"/>
          <w:szCs w:val="28"/>
          <w:rtl w:val="true"/>
          <w:lang w:bidi="fa-IR"/>
        </w:rPr>
        <w:t xml:space="preserve">. </w:t>
      </w:r>
      <w:r>
        <w:rPr>
          <w:rStyle w:val="FootnoteAnchor"/>
          <w:rtl w:val="true"/>
        </w:rPr>
        <w:footnoteReference w:id="1048"/>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ما ذکر إنّما کان فی البالغین المکلّفین أمّا الصبی والمجنون فلا لرفع التکلیف</w:t>
      </w:r>
    </w:p>
    <w:p>
      <w:pPr>
        <w:pStyle w:val="BookText"/>
        <w:rPr/>
      </w:pPr>
      <w:r>
        <w:rPr>
          <w:rFonts w:ascii="IRNazanin" w:hAnsi="IRNazanin" w:eastAsia="IRNazanin"/>
          <w:color w:val="111111"/>
          <w:sz w:val="28"/>
          <w:sz w:val="28"/>
          <w:szCs w:val="28"/>
          <w:rtl w:val="true"/>
          <w:lang w:bidi="fa-IR"/>
        </w:rPr>
        <w:t xml:space="preserve">عنهما، نعم، یؤدب الصبی لصحیحة أبی بصیر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کتاب علی علیه السلام إذا أخذ الرجل مع غلام فی لحاف مجردین، ضرب الرجل واُدّب الغلام، وإن کان ثقب وکان محصناً رجم</w:t>
      </w:r>
      <w:r>
        <w:rPr>
          <w:rFonts w:eastAsia="IRNazanin" w:cs="IRNazanin"/>
          <w:color w:val="111111"/>
          <w:sz w:val="28"/>
          <w:szCs w:val="28"/>
          <w:rtl w:val="true"/>
          <w:lang w:bidi="fa-IR"/>
        </w:rPr>
        <w:t xml:space="preserve">. </w:t>
      </w:r>
      <w:r>
        <w:rPr>
          <w:rStyle w:val="FootnoteAnchor"/>
          <w:rtl w:val="true"/>
        </w:rPr>
        <w:footnoteReference w:id="1049"/>
      </w:r>
    </w:p>
    <w:p>
      <w:pPr>
        <w:pStyle w:val="BookText"/>
        <w:rPr/>
      </w:pPr>
      <w:r>
        <w:rPr>
          <w:rFonts w:ascii="IRNazanin" w:hAnsi="IRNazanin" w:eastAsia="IRNazanin"/>
          <w:color w:val="111111"/>
          <w:sz w:val="28"/>
          <w:sz w:val="28"/>
          <w:szCs w:val="28"/>
          <w:rtl w:val="true"/>
          <w:lang w:bidi="fa-IR"/>
        </w:rPr>
        <w:t>وإمّا إذا کان اللواط بالتفخیذ فحدّه مأة جلدة علی المشهور دون القتل او الرجم، ولعلّه لذلک عبّر فی صحیحة أبی بصیر المتقدّمة عن ذلک بالضرب، وعلیه یُحمل ما رواه أحمد بن محمد بن عیسی فی نوادره عن أبی بصیر، عن أبی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اللوطی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مأة جلدة</w:t>
      </w:r>
      <w:r>
        <w:rPr>
          <w:rFonts w:eastAsia="IRNazanin" w:cs="IRNazanin"/>
          <w:color w:val="111111"/>
          <w:sz w:val="28"/>
          <w:szCs w:val="28"/>
          <w:rtl w:val="true"/>
          <w:lang w:bidi="fa-IR"/>
        </w:rPr>
        <w:t xml:space="preserve">. </w:t>
      </w:r>
      <w:r>
        <w:rPr>
          <w:rStyle w:val="FootnoteAnchor"/>
          <w:rtl w:val="true"/>
        </w:rPr>
        <w:footnoteReference w:id="1050"/>
      </w:r>
    </w:p>
    <w:p>
      <w:pPr>
        <w:pStyle w:val="BookText"/>
        <w:rPr/>
      </w:pPr>
      <w:r>
        <w:rPr>
          <w:rFonts w:ascii="IRNazanin" w:hAnsi="IRNazanin" w:eastAsia="IRNazanin"/>
          <w:color w:val="111111"/>
          <w:sz w:val="28"/>
          <w:sz w:val="28"/>
          <w:szCs w:val="28"/>
          <w:rtl w:val="true"/>
          <w:lang w:bidi="fa-IR"/>
        </w:rPr>
        <w:t xml:space="preserve">ثّم إنْ تکرر منه التفخیذ مرّتین وحدّ فی کلّ مرة، یقتل فی الثالثة لإطلاق صحیحة یونس عن أبی الحسن الماضی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أصحاب الکبائر کلّها إذا أقیم علیهم الحدّ مرتین قتلوا فی الثالثة</w:t>
      </w:r>
      <w:r>
        <w:rPr>
          <w:rFonts w:eastAsia="IRNazanin" w:cs="IRNazanin"/>
          <w:color w:val="111111"/>
          <w:sz w:val="28"/>
          <w:szCs w:val="28"/>
          <w:rtl w:val="true"/>
          <w:lang w:bidi="fa-IR"/>
        </w:rPr>
        <w:t xml:space="preserve">. </w:t>
      </w:r>
      <w:r>
        <w:rPr>
          <w:rStyle w:val="FootnoteAnchor"/>
          <w:rtl w:val="true"/>
        </w:rPr>
        <w:footnoteReference w:id="1051"/>
      </w:r>
    </w:p>
    <w:p>
      <w:pPr>
        <w:pStyle w:val="BookText"/>
        <w:rPr/>
      </w:pPr>
      <w:r>
        <w:rPr>
          <w:rFonts w:ascii="IRNazanin" w:hAnsi="IRNazanin" w:eastAsia="IRNazanin"/>
          <w:color w:val="111111"/>
          <w:sz w:val="28"/>
          <w:sz w:val="28"/>
          <w:szCs w:val="28"/>
          <w:rtl w:val="true"/>
          <w:lang w:bidi="fa-IR"/>
        </w:rPr>
        <w:t>خلافاً للمشهور من انّه یَقتل فی الرابعة بل ادّعی علیه الإجماع</w:t>
      </w:r>
      <w:r>
        <w:rPr>
          <w:rFonts w:eastAsia="IRNazanin" w:cs="IRNazanin"/>
          <w:color w:val="111111"/>
          <w:sz w:val="28"/>
          <w:szCs w:val="28"/>
          <w:rtl w:val="true"/>
          <w:lang w:bidi="fa-IR"/>
        </w:rPr>
        <w:t xml:space="preserve">. </w:t>
      </w:r>
      <w:r>
        <w:rPr>
          <w:rStyle w:val="FootnoteAnchor"/>
          <w:rtl w:val="true"/>
        </w:rPr>
        <w:footnoteReference w:id="1052"/>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اللواط یثبت بالإقرار أربع مرات دون الأقل بلا خلاف فی ذلک، وتدلّ علیه صحیحة مالک بن عطیة المتقدّمة حیث جاء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کان فی الرابعة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w:t>
      </w:r>
      <w:r>
        <w:rPr>
          <w:rFonts w:eastAsia="IRNazanin" w:cs="IRNazanin"/>
          <w:color w:val="111111"/>
          <w:sz w:val="28"/>
          <w:szCs w:val="28"/>
          <w:rtl w:val="true"/>
          <w:lang w:bidi="fa-IR"/>
        </w:rPr>
        <w:t xml:space="preserve">...» </w:t>
      </w:r>
      <w:r>
        <w:rPr>
          <w:rStyle w:val="FootnoteAnchor"/>
          <w:rtl w:val="true"/>
        </w:rPr>
        <w:footnoteReference w:id="1053"/>
      </w:r>
      <w:r>
        <w:rPr>
          <w:rFonts w:ascii="IRNazanin" w:hAnsi="IRNazanin" w:eastAsia="IRNazanin"/>
          <w:color w:val="111111"/>
          <w:sz w:val="28"/>
          <w:sz w:val="28"/>
          <w:szCs w:val="28"/>
          <w:rtl w:val="true"/>
          <w:lang w:bidi="fa-IR"/>
        </w:rPr>
        <w:t>فلو کان یثبت بالأقل لم یکن وجه لتأخیر العقوبة إلی الإقرار الرابع، ویثبت أیضاً بشهادة أربعة رجال دون الأقل؛ للتسالم علی ذلک، وإن لم یعثر علی نصٍّ فی ذلک کما ذکره 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1054"/>
      </w:r>
      <w:r>
        <w:rPr>
          <w:rFonts w:ascii="IRNazanin" w:hAnsi="IRNazanin" w:eastAsia="IRNazanin"/>
          <w:color w:val="111111"/>
          <w:sz w:val="28"/>
          <w:sz w:val="28"/>
          <w:szCs w:val="28"/>
          <w:rtl w:val="true"/>
          <w:lang w:bidi="fa-IR"/>
        </w:rPr>
        <w:t>نعم، قد یستفاد ذلک مما دلّ علی أنّ کلّ إقرار</w:t>
      </w:r>
    </w:p>
    <w:p>
      <w:pPr>
        <w:pStyle w:val="BookText"/>
        <w:rPr/>
      </w:pPr>
      <w:r>
        <w:rPr>
          <w:rFonts w:ascii="IRNazanin" w:hAnsi="IRNazanin" w:eastAsia="IRNazanin"/>
          <w:color w:val="111111"/>
          <w:sz w:val="28"/>
          <w:sz w:val="28"/>
          <w:szCs w:val="28"/>
          <w:rtl w:val="true"/>
          <w:lang w:bidi="fa-IR"/>
        </w:rPr>
        <w:t xml:space="preserve">بمثابة شهادة واحدة کما یستظهر من معتبرة سعد بن طریف عن الأصبغ بن نباتة عن أمیرالمؤمنین علیه السلام </w:t>
      </w:r>
      <w:r>
        <w:rPr>
          <w:rStyle w:val="FootnoteAnchor"/>
          <w:rtl w:val="true"/>
        </w:rPr>
        <w:footnoteReference w:id="1055"/>
      </w:r>
      <w:r>
        <w:rPr>
          <w:rFonts w:ascii="IRNazanin" w:hAnsi="IRNazanin" w:eastAsia="IRNazanin"/>
          <w:color w:val="111111"/>
          <w:sz w:val="28"/>
          <w:sz w:val="28"/>
          <w:szCs w:val="28"/>
          <w:rtl w:val="true"/>
          <w:lang w:bidi="fa-IR"/>
        </w:rPr>
        <w:t>فاذا کان اللواط لا یثبت بأقل من أربعة، اقرارات کما تقدّم، فیلزم عدم ثبوته بأقل من أربع شهادات</w:t>
      </w:r>
      <w:r>
        <w:rPr>
          <w:rFonts w:eastAsia="IRNazanin" w:cs="IRNazanin"/>
          <w:color w:val="111111"/>
          <w:sz w:val="28"/>
          <w:szCs w:val="28"/>
          <w:rtl w:val="true"/>
          <w:lang w:bidi="fa-IR"/>
        </w:rPr>
        <w:t xml:space="preserve">. </w:t>
      </w:r>
      <w:r>
        <w:rPr>
          <w:rStyle w:val="FootnoteAnchor"/>
          <w:rtl w:val="true"/>
        </w:rPr>
        <w:footnoteReference w:id="1056"/>
      </w:r>
    </w:p>
    <w:p>
      <w:pPr>
        <w:pStyle w:val="BookText"/>
        <w:rPr/>
      </w:pPr>
      <w:r>
        <w:rPr>
          <w:rFonts w:ascii="IRNazanin" w:hAnsi="IRNazanin" w:eastAsia="IRNazanin"/>
          <w:color w:val="111111"/>
          <w:sz w:val="28"/>
          <w:sz w:val="28"/>
          <w:szCs w:val="28"/>
          <w:rtl w:val="true"/>
          <w:lang w:bidi="fa-IR"/>
        </w:rPr>
        <w:t xml:space="preserve">ویلحق بالتفخیذ، السحق فی النساء، </w:t>
      </w:r>
      <w:r>
        <w:rPr>
          <w:rStyle w:val="FootnoteAnchor"/>
          <w:rtl w:val="true"/>
        </w:rPr>
        <w:footnoteReference w:id="1057"/>
      </w:r>
      <w:r>
        <w:rPr>
          <w:rFonts w:ascii="IRNazanin" w:hAnsi="IRNazanin" w:eastAsia="IRNazanin"/>
          <w:color w:val="111111"/>
          <w:sz w:val="28"/>
          <w:sz w:val="28"/>
          <w:szCs w:val="28"/>
          <w:rtl w:val="true"/>
          <w:lang w:bidi="fa-IR"/>
        </w:rPr>
        <w:t xml:space="preserve">وحدّه ماة جلدة کالزنا، بلا خلاف، لصحیحة محمد بن أبی حمزة، وهشام، وحفص کلّهم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علیه نسوة فسألته امرأة منهنّ عن السحق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حدّها حدّ الزانی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الله ذلک فی القرآن،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 اصحاب الرس</w:t>
      </w:r>
      <w:r>
        <w:rPr>
          <w:rFonts w:eastAsia="IRNazanin" w:cs="IRNazanin"/>
          <w:color w:val="111111"/>
          <w:sz w:val="28"/>
          <w:szCs w:val="28"/>
          <w:rtl w:val="true"/>
          <w:lang w:bidi="fa-IR"/>
        </w:rPr>
        <w:t xml:space="preserve">. </w:t>
      </w:r>
      <w:r>
        <w:rPr>
          <w:rStyle w:val="FootnoteAnchor"/>
          <w:rtl w:val="true"/>
        </w:rPr>
        <w:footnoteReference w:id="1058"/>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التکرار مرتین وإقامة الحدّ علیها یقتل فی الثالثة؛ لما تقدّم فی حدّ التفخیذ من صحیح یونس، فراجع</w:t>
      </w:r>
      <w:r>
        <w:rPr>
          <w:rFonts w:eastAsia="IRNazanin" w:cs="IRNazanin"/>
          <w:color w:val="111111"/>
          <w:sz w:val="28"/>
          <w:szCs w:val="28"/>
          <w:rtl w:val="true"/>
          <w:lang w:bidi="fa-IR"/>
        </w:rPr>
        <w:t>.</w:t>
      </w:r>
      <w:bookmarkStart w:id="1126" w:name="pg5021_49598"/>
    </w:p>
    <w:p>
      <w:pPr>
        <w:pStyle w:val="Heading3"/>
        <w:numPr>
          <w:ilvl w:val="2"/>
          <w:numId w:val="1"/>
        </w:numPr>
        <w:rPr/>
      </w:pPr>
      <w:bookmarkStart w:id="1127" w:name="__RefHeading___Toc581160_774463916"/>
      <w:bookmarkStart w:id="1128" w:name="_Toc448"/>
      <w:bookmarkEnd w:id="1126"/>
      <w:bookmarkEnd w:id="1127"/>
      <w:r>
        <w:rPr>
          <w:rtl w:val="true"/>
        </w:rPr>
        <w:t>الدرس</w:t>
      </w:r>
      <w:r>
        <w:rPr/>
        <w:t>27</w:t>
      </w:r>
      <w:r>
        <w:rPr>
          <w:rtl w:val="true"/>
        </w:rPr>
        <w:t xml:space="preserve"> - </w:t>
      </w:r>
      <w:r>
        <w:rPr>
          <w:rtl w:val="true"/>
        </w:rPr>
        <w:t xml:space="preserve">کتاب الحدود </w:t>
      </w:r>
      <w:r>
        <w:rPr>
          <w:rtl w:val="true"/>
        </w:rPr>
        <w:t>(</w:t>
      </w:r>
      <w:r>
        <w:rPr/>
        <w:t>4</w:t>
      </w:r>
      <w:r>
        <w:rPr>
          <w:rtl w:val="true"/>
        </w:rPr>
        <w:t>)</w:t>
      </w:r>
      <w:bookmarkEnd w:id="1128"/>
    </w:p>
    <w:p>
      <w:pPr>
        <w:pStyle w:val="Heading4"/>
        <w:numPr>
          <w:ilvl w:val="3"/>
          <w:numId w:val="1"/>
        </w:numPr>
        <w:rPr/>
      </w:pPr>
      <w:bookmarkStart w:id="1129" w:name="__RefHeading___Toc581162_774463916"/>
      <w:bookmarkStart w:id="1130" w:name="_Toc449"/>
      <w:bookmarkEnd w:id="1129"/>
      <w:r>
        <w:rPr/>
        <w:t>3</w:t>
      </w:r>
      <w:r>
        <w:rPr>
          <w:rtl w:val="true"/>
        </w:rPr>
        <w:t xml:space="preserve">- </w:t>
      </w:r>
      <w:r>
        <w:rPr>
          <w:rtl w:val="true"/>
        </w:rPr>
        <w:t>القذف</w:t>
      </w:r>
      <w:bookmarkEnd w:id="1130"/>
    </w:p>
    <w:p>
      <w:pPr>
        <w:pStyle w:val="BookText"/>
        <w:rPr/>
      </w:pP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 الغیر بالزنا أو اللواط، وحدّه ثمانون جلدةً؛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یَرْمُونَ الْمُحْصَناتِ ثُمَّ لَمْ یَأْتُوا بِأَرْبَعَةِ شُهَداءَ فَاجْلِدُوهُمْ ثَمانِینَ جَلْدَةً وَ لا تَقْبَلُوا لَهُمْ شَهادَةً أَبَداً وَ أُولئِکَ هُمُ الْفاسِقُونَ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صحیحة أبی بصیر عن أبی جعفر علیه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امرأة قذفت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تجلد ثمانین جلدة</w:t>
      </w:r>
      <w:r>
        <w:rPr>
          <w:rFonts w:eastAsia="IRNazanin" w:cs="IRNazanin"/>
          <w:color w:val="111111"/>
          <w:sz w:val="28"/>
          <w:szCs w:val="28"/>
          <w:rtl w:val="true"/>
          <w:lang w:bidi="fa-IR"/>
        </w:rPr>
        <w:t xml:space="preserve">. </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نعم، یحرم الفحش مطلقاً 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فاسق، یا فاجر، یا شارب الخمر، مما یوجب الاستخفاف بالغیر بلا استحقاق، ومن ارتکبه یستحق التعزیر دون حدّ القذف، وتدلّ علیه الروایات، ففی الحدیث عن أبی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خبیث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خنث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أنت خنزیر، فلیس فیه حدّ ولکن فیه موعظة وبعض العقوبة</w:t>
      </w:r>
      <w:r>
        <w:rPr>
          <w:rFonts w:eastAsia="IRNazanin" w:cs="IRNazanin"/>
          <w:color w:val="111111"/>
          <w:sz w:val="28"/>
          <w:szCs w:val="28"/>
          <w:rtl w:val="true"/>
          <w:lang w:bidi="fa-IR"/>
        </w:rPr>
        <w:t xml:space="preserve">. </w:t>
      </w:r>
      <w:r>
        <w:rPr>
          <w:rStyle w:val="FootnoteAnchor"/>
          <w:rtl w:val="true"/>
        </w:rPr>
        <w:footnoteReference w:id="1060"/>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عبدالرحمن بن أبی عبدالله،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سألت أبا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سبّ رجلاً بغیر قذف یعرض به، هل یجلّد؟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تعزیر</w:t>
      </w:r>
      <w:r>
        <w:rPr>
          <w:rFonts w:eastAsia="IRNazanin" w:cs="IRNazanin"/>
          <w:color w:val="111111"/>
          <w:sz w:val="28"/>
          <w:szCs w:val="28"/>
          <w:rtl w:val="true"/>
          <w:lang w:bidi="fa-IR"/>
        </w:rPr>
        <w:t xml:space="preserve">. </w:t>
      </w:r>
      <w:r>
        <w:rPr>
          <w:rStyle w:val="FootnoteAnchor"/>
          <w:rtl w:val="true"/>
        </w:rPr>
        <w:footnoteReference w:id="1061"/>
      </w:r>
    </w:p>
    <w:p>
      <w:pPr>
        <w:pStyle w:val="BookText"/>
        <w:rPr/>
      </w:pPr>
      <w:r>
        <w:rPr>
          <w:rFonts w:ascii="IRNazanin" w:hAnsi="IRNazanin" w:eastAsia="IRNazanin"/>
          <w:color w:val="111111"/>
          <w:sz w:val="28"/>
          <w:sz w:val="28"/>
          <w:szCs w:val="28"/>
          <w:rtl w:val="true"/>
          <w:lang w:bidi="fa-IR"/>
        </w:rPr>
        <w:t xml:space="preserve">ویعتبر فی القاذف البلوغ والعقل، 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الاختیار؛ 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 علی رفع ما أکرهوا علیه، </w:t>
      </w:r>
      <w:r>
        <w:rPr>
          <w:rStyle w:val="FootnoteAnchor"/>
          <w:rtl w:val="true"/>
        </w:rPr>
        <w:footnoteReference w:id="1062"/>
      </w:r>
      <w:r>
        <w:rPr>
          <w:rFonts w:ascii="IRNazanin" w:hAnsi="IRNazanin" w:eastAsia="IRNazanin"/>
          <w:color w:val="111111"/>
          <w:sz w:val="28"/>
          <w:sz w:val="28"/>
          <w:szCs w:val="28"/>
          <w:rtl w:val="true"/>
          <w:lang w:bidi="fa-IR"/>
        </w:rPr>
        <w:t>وکذلک یعتبر القصد فلو قذف ساهیاً أو غافلاً أو هزلاً لم یحدّ؛ لعدم صدق القذف عرفاً، ویعتبر فی المقذوف الإحصان وهو فی المقام عبارة عن البلوغ والعقل والحریة والإسلام والعفه فمن استکملها وجب الحّد بقذفه، ومن فقدها أو فقد بعضها فلاحدّ علی قاذفه وعلیه التعزیر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اعتبار العقل والبلوغ فلصحیحة فضیل بن یسار، قال سمعت أبا عبدالله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لاحدّ لمن لاحدّ علیه یعنی لو أنّ مجنوناً قذف رجلاً لم أر علیه شیئاً، ولو قذفه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یازان، لم یکن علیه حدّ</w:t>
      </w:r>
      <w:r>
        <w:rPr>
          <w:rFonts w:eastAsia="IRNazanin" w:cs="IRNazanin"/>
          <w:color w:val="111111"/>
          <w:sz w:val="28"/>
          <w:szCs w:val="28"/>
          <w:rtl w:val="true"/>
          <w:lang w:bidi="fa-IR"/>
        </w:rPr>
        <w:t xml:space="preserve">. </w:t>
      </w:r>
      <w:r>
        <w:rPr>
          <w:rStyle w:val="FootnoteAnchor"/>
          <w:rtl w:val="true"/>
        </w:rPr>
        <w:footnoteReference w:id="1063"/>
      </w:r>
    </w:p>
    <w:p>
      <w:pPr>
        <w:pStyle w:val="BookText"/>
        <w:rPr/>
      </w:pPr>
      <w:r>
        <w:rPr>
          <w:rFonts w:ascii="IRNazanin" w:hAnsi="IRNazanin" w:eastAsia="IRNazanin"/>
          <w:color w:val="111111"/>
          <w:sz w:val="28"/>
          <w:sz w:val="28"/>
          <w:szCs w:val="28"/>
          <w:rtl w:val="true"/>
          <w:lang w:bidi="fa-IR"/>
        </w:rPr>
        <w:t>وغیرها من الروایات، وأما الحریة؛ فلروایة عبید بن زرارة،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أتیت برجل قذف عبداً مسلماً بالزنا لانعلم منه إلّا خیراً لضربته الحدّ، حدّ الحرّ إلّا سوطاً</w:t>
      </w:r>
      <w:r>
        <w:rPr>
          <w:rFonts w:eastAsia="IRNazanin" w:cs="IRNazanin"/>
          <w:color w:val="111111"/>
          <w:sz w:val="28"/>
          <w:szCs w:val="28"/>
          <w:rtl w:val="true"/>
          <w:lang w:bidi="fa-IR"/>
        </w:rPr>
        <w:t xml:space="preserve">. </w:t>
      </w:r>
      <w:r>
        <w:rPr>
          <w:rStyle w:val="FootnoteAnchor"/>
          <w:rtl w:val="true"/>
        </w:rPr>
        <w:footnoteReference w:id="1064"/>
      </w:r>
    </w:p>
    <w:p>
      <w:pPr>
        <w:pStyle w:val="BookText"/>
        <w:rPr/>
      </w:pPr>
      <w:r>
        <w:rPr>
          <w:rFonts w:ascii="IRNazanin" w:hAnsi="IRNazanin" w:eastAsia="IRNazanin"/>
          <w:color w:val="111111"/>
          <w:sz w:val="28"/>
          <w:sz w:val="28"/>
          <w:szCs w:val="28"/>
          <w:rtl w:val="true"/>
          <w:lang w:bidi="fa-IR"/>
        </w:rPr>
        <w:t xml:space="preserve">وأما إلاسلام؛ لصحیحة الحلبی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نهی عن قذف من کان علی غیر الإسلام إلا أن تکون قد اطلّعت علی ذلک منه</w:t>
      </w:r>
      <w:r>
        <w:rPr>
          <w:rFonts w:eastAsia="IRNazanin" w:cs="IRNazanin"/>
          <w:color w:val="111111"/>
          <w:sz w:val="28"/>
          <w:szCs w:val="28"/>
          <w:rtl w:val="true"/>
          <w:lang w:bidi="fa-IR"/>
        </w:rPr>
        <w:t xml:space="preserve">. </w:t>
      </w:r>
      <w:r>
        <w:rPr>
          <w:rStyle w:val="FootnoteAnchor"/>
          <w:rtl w:val="true"/>
        </w:rPr>
        <w:footnoteReference w:id="1065"/>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فهی تدلّ علی جواز القذف مع الاطلاع وأمّا مع عدم الاطلاع فیعزّر قاذفه؛ لما رواه اسماعیل بن الفضل قال</w:t>
      </w:r>
      <w:r>
        <w:rPr>
          <w:rFonts w:eastAsia="IRNazanin" w:cs="IRNazanin"/>
          <w:color w:val="111111"/>
          <w:sz w:val="28"/>
          <w:szCs w:val="28"/>
          <w:rtl w:val="true"/>
          <w:lang w:bidi="fa-IR"/>
        </w:rPr>
        <w:t>:</w:t>
      </w:r>
      <w:bookmarkStart w:id="1131" w:name="pg5021_49600"/>
    </w:p>
    <w:p>
      <w:pPr>
        <w:pStyle w:val="BookText"/>
        <w:rPr/>
      </w:pPr>
      <w:bookmarkEnd w:id="1131"/>
      <w:r>
        <w:rPr>
          <w:rFonts w:ascii="IRNazanin" w:hAnsi="IRNazanin" w:eastAsia="IRNazanin"/>
          <w:color w:val="111111"/>
          <w:sz w:val="28"/>
          <w:sz w:val="28"/>
          <w:szCs w:val="28"/>
          <w:rtl w:val="true"/>
          <w:lang w:bidi="fa-IR"/>
        </w:rPr>
        <w:t>سألت اباعبدالله علیه السلام عن الافتراء علی أهل الذمة وأهل الکتاب هل یجلد</w:t>
      </w:r>
    </w:p>
    <w:p>
      <w:pPr>
        <w:pStyle w:val="BookText"/>
        <w:rPr/>
      </w:pPr>
      <w:r>
        <w:rPr>
          <w:rFonts w:ascii="IRNazanin" w:hAnsi="IRNazanin" w:eastAsia="IRNazanin"/>
          <w:color w:val="111111"/>
          <w:sz w:val="28"/>
          <w:sz w:val="28"/>
          <w:szCs w:val="28"/>
          <w:rtl w:val="true"/>
          <w:lang w:bidi="fa-IR"/>
        </w:rPr>
        <w:t>المسلم الحدّ فی الافتراء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یعزّر</w:t>
      </w:r>
      <w:r>
        <w:rPr>
          <w:rFonts w:eastAsia="IRNazanin" w:cs="IRNazanin"/>
          <w:color w:val="111111"/>
          <w:sz w:val="28"/>
          <w:szCs w:val="28"/>
          <w:rtl w:val="true"/>
          <w:lang w:bidi="fa-IR"/>
        </w:rPr>
        <w:t xml:space="preserve">. </w:t>
      </w:r>
      <w:r>
        <w:rPr>
          <w:rStyle w:val="FootnoteAnchor"/>
          <w:rtl w:val="true"/>
        </w:rPr>
        <w:footnoteReference w:id="1066"/>
      </w:r>
    </w:p>
    <w:p>
      <w:pPr>
        <w:pStyle w:val="BookText"/>
        <w:rPr/>
      </w:pPr>
      <w:r>
        <w:rPr>
          <w:rFonts w:ascii="IRNazanin" w:hAnsi="IRNazanin" w:eastAsia="IRNazanin"/>
          <w:color w:val="111111"/>
          <w:sz w:val="28"/>
          <w:sz w:val="28"/>
          <w:szCs w:val="28"/>
          <w:rtl w:val="true"/>
          <w:lang w:bidi="fa-IR"/>
        </w:rPr>
        <w:t>وأمّا العفة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المقذوف غیر متظاهر بالزنا واللواط؛ فللآیة المتقدّمة الدالة علی اشتراط الحصان الذی بمعنی العفّه عما قذف به ولبعض الروایات، </w:t>
      </w:r>
      <w:r>
        <w:rPr>
          <w:rStyle w:val="FootnoteAnchor"/>
          <w:rtl w:val="true"/>
        </w:rPr>
        <w:footnoteReference w:id="1067"/>
      </w:r>
      <w:r>
        <w:rPr>
          <w:rFonts w:ascii="IRNazanin" w:hAnsi="IRNazanin" w:eastAsia="IRNazanin"/>
          <w:color w:val="111111"/>
          <w:sz w:val="28"/>
          <w:sz w:val="28"/>
          <w:szCs w:val="28"/>
          <w:rtl w:val="true"/>
          <w:lang w:bidi="fa-IR"/>
        </w:rPr>
        <w:t>ویقتل القاذف فی الثالثة إذا حدّ مرّتین حدّ القذف لِما تقدّم فی صحیحة یونس ویثبت القذف بالبینة والإقرار مرة واحدة؛ لإطلاق دلیل حجیّتهما</w:t>
      </w:r>
      <w:r>
        <w:rPr>
          <w:rFonts w:eastAsia="IRNazanin" w:cs="IRNazanin"/>
          <w:color w:val="111111"/>
          <w:sz w:val="28"/>
          <w:szCs w:val="28"/>
          <w:rtl w:val="true"/>
          <w:lang w:bidi="fa-IR"/>
        </w:rPr>
        <w:t>.</w:t>
      </w:r>
    </w:p>
    <w:p>
      <w:pPr>
        <w:pStyle w:val="Heading4"/>
        <w:numPr>
          <w:ilvl w:val="3"/>
          <w:numId w:val="1"/>
        </w:numPr>
        <w:rPr/>
      </w:pPr>
      <w:bookmarkStart w:id="1132" w:name="__RefHeading___Toc581164_774463916"/>
      <w:bookmarkStart w:id="1133" w:name="_Toc450"/>
      <w:bookmarkEnd w:id="1132"/>
      <w:r>
        <w:rPr/>
        <w:t>4</w:t>
      </w:r>
      <w:r>
        <w:rPr>
          <w:rtl w:val="true"/>
        </w:rPr>
        <w:t xml:space="preserve">- </w:t>
      </w:r>
      <w:r>
        <w:rPr>
          <w:rtl w:val="true"/>
        </w:rPr>
        <w:t>سابّ النبی صلی الله علیه و آله</w:t>
      </w:r>
      <w:bookmarkEnd w:id="1133"/>
    </w:p>
    <w:p>
      <w:pPr>
        <w:pStyle w:val="BookText"/>
        <w:rPr/>
      </w:pPr>
      <w:r>
        <w:rPr>
          <w:rFonts w:ascii="IRNazanin" w:hAnsi="IRNazanin" w:eastAsia="IRNazanin"/>
          <w:color w:val="111111"/>
          <w:sz w:val="28"/>
          <w:sz w:val="28"/>
          <w:szCs w:val="28"/>
          <w:rtl w:val="true"/>
          <w:lang w:bidi="fa-IR"/>
        </w:rPr>
        <w:t xml:space="preserve">سابّ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بلاخلاف؛ للروایات، ففی صحیحة هشام‌بن سالم عن أبی‌عبدالله علیه السلام</w:t>
      </w:r>
    </w:p>
    <w:p>
      <w:pPr>
        <w:pStyle w:val="BookText"/>
        <w:rPr/>
      </w:pPr>
      <w:r>
        <w:rPr>
          <w:rFonts w:ascii="IRNazanin" w:hAnsi="IRNazanin" w:eastAsia="IRNazanin"/>
          <w:color w:val="111111"/>
          <w:sz w:val="28"/>
          <w:sz w:val="28"/>
          <w:szCs w:val="28"/>
          <w:rtl w:val="true"/>
          <w:lang w:bidi="fa-IR"/>
        </w:rPr>
        <w:t>إنّه سئل عمّن شتم رسول‌الله صلی الله علیه و آله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یقتله الأدنی فالأدنی قبل أن یرفع إلی الامام</w:t>
      </w:r>
      <w:r>
        <w:rPr>
          <w:rFonts w:eastAsia="IRNazanin" w:cs="IRNazanin"/>
          <w:color w:val="111111"/>
          <w:sz w:val="28"/>
          <w:szCs w:val="28"/>
          <w:rtl w:val="true"/>
          <w:lang w:bidi="fa-IR"/>
        </w:rPr>
        <w:t xml:space="preserve">. </w:t>
      </w:r>
      <w:r>
        <w:rPr>
          <w:rStyle w:val="FootnoteAnchor"/>
          <w:rtl w:val="true"/>
        </w:rPr>
        <w:footnoteReference w:id="1068"/>
      </w:r>
    </w:p>
    <w:p>
      <w:pPr>
        <w:pStyle w:val="BookText"/>
        <w:rPr/>
      </w:pPr>
      <w:r>
        <w:rPr>
          <w:rFonts w:ascii="IRNazanin" w:hAnsi="IRNazanin" w:eastAsia="IRNazanin"/>
          <w:color w:val="111111"/>
          <w:sz w:val="28"/>
          <w:sz w:val="28"/>
          <w:szCs w:val="28"/>
          <w:rtl w:val="true"/>
          <w:lang w:bidi="fa-IR"/>
        </w:rPr>
        <w:t>وغیرها، وکذلک من سبّ أحد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للروایات منها صحیحة هشام بن سالم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رجل سباّبة لعلی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الدم والله، لو لا أن تعمّ به بریئاً،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 شیء یعمّ به بریئاً؟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مؤمن بکافر</w:t>
      </w:r>
      <w:r>
        <w:rPr>
          <w:rFonts w:eastAsia="IRNazanin" w:cs="IRNazanin"/>
          <w:color w:val="111111"/>
          <w:sz w:val="28"/>
          <w:szCs w:val="28"/>
          <w:rtl w:val="true"/>
          <w:lang w:bidi="fa-IR"/>
        </w:rPr>
        <w:t xml:space="preserve">.... </w:t>
      </w:r>
      <w:r>
        <w:rPr>
          <w:rStyle w:val="FootnoteAnchor"/>
          <w:rtl w:val="true"/>
        </w:rPr>
        <w:footnoteReference w:id="1069"/>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جواز ذلک عند الخوف علی نفسه تأمّل فضلاً عن وجوبه، لحرمة إلقاء النفس فی التهکلة؛ ولصحیحة هشام المتقدّمة، ولصحیحة محمد بن مسلم فی حدیث</w:t>
      </w:r>
      <w:r>
        <w:rPr>
          <w:rFonts w:eastAsia="IRNazanin" w:cs="IRNazanin"/>
          <w:color w:val="111111"/>
          <w:sz w:val="28"/>
          <w:szCs w:val="28"/>
          <w:rtl w:val="true"/>
          <w:lang w:bidi="fa-IR"/>
        </w:rPr>
        <w:t>:</w:t>
      </w:r>
      <w:bookmarkStart w:id="1134" w:name="pg5021_49601"/>
    </w:p>
    <w:p>
      <w:pPr>
        <w:pStyle w:val="BookText"/>
        <w:rPr/>
      </w:pPr>
      <w:bookmarkEnd w:id="1134"/>
      <w:r>
        <w:rPr>
          <w:rFonts w:ascii="IRNazanin" w:hAnsi="IRNazanin" w:eastAsia="IRNazanin"/>
          <w:color w:val="111111"/>
          <w:sz w:val="28"/>
          <w:sz w:val="28"/>
          <w:szCs w:val="28"/>
          <w:rtl w:val="true"/>
          <w:lang w:bidi="fa-IR"/>
        </w:rPr>
        <w:t xml:space="preserve">فقلت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لو أنّ رجلاً الآن سبّ النبی صلی الله علیه و آله أیقتل؟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لم تخف علی نفسک فاقتله</w:t>
      </w:r>
      <w:r>
        <w:rPr>
          <w:rFonts w:eastAsia="IRNazanin" w:cs="IRNazanin"/>
          <w:color w:val="111111"/>
          <w:sz w:val="28"/>
          <w:szCs w:val="28"/>
          <w:rtl w:val="true"/>
          <w:lang w:bidi="fa-IR"/>
        </w:rPr>
        <w:t xml:space="preserve">. </w:t>
      </w:r>
      <w:r>
        <w:rPr>
          <w:rStyle w:val="FootnoteAnchor"/>
          <w:rtl w:val="true"/>
        </w:rPr>
        <w:footnoteReference w:id="1070"/>
      </w:r>
    </w:p>
    <w:p>
      <w:pPr>
        <w:pStyle w:val="Heading4"/>
        <w:numPr>
          <w:ilvl w:val="3"/>
          <w:numId w:val="1"/>
        </w:numPr>
        <w:rPr/>
      </w:pPr>
      <w:bookmarkStart w:id="1135" w:name="__RefHeading___Toc581166_774463916"/>
      <w:bookmarkStart w:id="1136" w:name="_Toc451"/>
      <w:bookmarkEnd w:id="1135"/>
      <w:r>
        <w:rPr/>
        <w:t>5</w:t>
      </w:r>
      <w:r>
        <w:rPr>
          <w:rtl w:val="true"/>
        </w:rPr>
        <w:t xml:space="preserve">- </w:t>
      </w:r>
      <w:r>
        <w:rPr>
          <w:rtl w:val="true"/>
        </w:rPr>
        <w:t>شرب الخمر</w:t>
      </w:r>
      <w:bookmarkEnd w:id="1136"/>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شرب الخمر فحدّه ثمانون جلدة، بلاخلاف؛ للروایات الکثیرة ویلحق به سائر المسْکرات؛ لصحیحة الکنانی عن أبی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مسکر من الأشربة یجب فیه کما یجب فی الخمر</w:t>
      </w:r>
      <w:r>
        <w:rPr>
          <w:rFonts w:eastAsia="IRNazanin" w:cs="IRNazanin"/>
          <w:color w:val="111111"/>
          <w:sz w:val="28"/>
          <w:szCs w:val="28"/>
          <w:rtl w:val="true"/>
          <w:lang w:bidi="fa-IR"/>
        </w:rPr>
        <w:t xml:space="preserve">». </w:t>
      </w:r>
      <w:r>
        <w:rPr>
          <w:rStyle w:val="FootnoteAnchor"/>
          <w:rtl w:val="true"/>
        </w:rPr>
        <w:footnoteReference w:id="1071"/>
      </w:r>
      <w:r>
        <w:rPr>
          <w:rFonts w:ascii="IRNazanin" w:hAnsi="IRNazanin" w:eastAsia="IRNazanin"/>
          <w:color w:val="111111"/>
          <w:sz w:val="28"/>
          <w:sz w:val="28"/>
          <w:szCs w:val="28"/>
          <w:rtl w:val="true"/>
          <w:lang w:bidi="fa-IR"/>
        </w:rPr>
        <w:t xml:space="preserve">وإذا حدّ شارب الخمر مرتین قتل فی المرة الثالثة؛ لما تقدّم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أصحاب الکبائر إذا حدّوا مرتین قتلوا فی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ویثبت بشهادة عدلین وبالإقرار مرة؛ لحجیتهما فی جمیع الموضوعات إلاّماخرج</w:t>
      </w:r>
      <w:r>
        <w:rPr>
          <w:rFonts w:eastAsia="IRNazanin" w:cs="IRNazanin"/>
          <w:color w:val="111111"/>
          <w:sz w:val="28"/>
          <w:szCs w:val="28"/>
          <w:rtl w:val="true"/>
          <w:lang w:bidi="fa-IR"/>
        </w:rPr>
        <w:t>.</w:t>
      </w:r>
      <w:bookmarkStart w:id="1137" w:name="pg5021_49602"/>
    </w:p>
    <w:p>
      <w:pPr>
        <w:pStyle w:val="Heading3"/>
        <w:numPr>
          <w:ilvl w:val="2"/>
          <w:numId w:val="1"/>
        </w:numPr>
        <w:rPr/>
      </w:pPr>
      <w:bookmarkStart w:id="1138" w:name="__RefHeading___Toc581168_774463916"/>
      <w:bookmarkStart w:id="1139" w:name="_Toc452"/>
      <w:bookmarkEnd w:id="1137"/>
      <w:bookmarkEnd w:id="1138"/>
      <w:r>
        <w:rPr>
          <w:rtl w:val="true"/>
        </w:rPr>
        <w:t>الدرس</w:t>
      </w:r>
      <w:r>
        <w:rPr/>
        <w:t>28</w:t>
      </w:r>
      <w:r>
        <w:rPr>
          <w:rtl w:val="true"/>
        </w:rPr>
        <w:t xml:space="preserve"> - </w:t>
      </w:r>
      <w:r>
        <w:rPr>
          <w:rtl w:val="true"/>
        </w:rPr>
        <w:t xml:space="preserve">کتاب الحدود </w:t>
      </w:r>
      <w:r>
        <w:rPr>
          <w:rtl w:val="true"/>
        </w:rPr>
        <w:t>(</w:t>
      </w:r>
      <w:r>
        <w:rPr/>
        <w:t>5</w:t>
      </w:r>
      <w:r>
        <w:rPr>
          <w:rtl w:val="true"/>
        </w:rPr>
        <w:t>)</w:t>
      </w:r>
      <w:bookmarkEnd w:id="1139"/>
    </w:p>
    <w:p>
      <w:pPr>
        <w:pStyle w:val="Heading4"/>
        <w:numPr>
          <w:ilvl w:val="3"/>
          <w:numId w:val="1"/>
        </w:numPr>
        <w:rPr/>
      </w:pPr>
      <w:bookmarkStart w:id="1140" w:name="__RefHeading___Toc581170_774463916"/>
      <w:bookmarkStart w:id="1141" w:name="_Toc453"/>
      <w:bookmarkEnd w:id="1140"/>
      <w:r>
        <w:rPr/>
        <w:t>6</w:t>
      </w:r>
      <w:r>
        <w:rPr>
          <w:rtl w:val="true"/>
        </w:rPr>
        <w:t xml:space="preserve">- </w:t>
      </w:r>
      <w:r>
        <w:rPr>
          <w:rtl w:val="true"/>
        </w:rPr>
        <w:t>السرقة</w:t>
      </w:r>
      <w:bookmarkEnd w:id="1141"/>
    </w:p>
    <w:p>
      <w:pPr>
        <w:pStyle w:val="BookText"/>
        <w:rPr/>
      </w:pPr>
      <w:r>
        <w:rPr>
          <w:rFonts w:ascii="IRNazanin" w:hAnsi="IRNazanin" w:eastAsia="IRNazanin"/>
          <w:color w:val="111111"/>
          <w:sz w:val="28"/>
          <w:sz w:val="28"/>
          <w:szCs w:val="28"/>
          <w:rtl w:val="true"/>
          <w:lang w:bidi="fa-IR"/>
        </w:rPr>
        <w:t>حد السرقة فی المرّة الأولی مع اجتماع الشرائط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الید؛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السّارِقُ وَ السّارِقَةُ فَاقْطَعُوا أَیْدِیَهُما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وموضع القطع هو الأصابع الأربع من الید الیمنی مع ترک الراحة والأبهام بلاخلاف؛ وللروایات کما تأتی فإن عاد قطعت رجله الیسری من وسطها فإنّ تکررت منه ثالثة خُلّد فی الحبس إلی أن یموت وإن تکررت منه رابعة فی الحبس قتل بلاخلاف؛ وتدل علیه موثقة سماعة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أخذ السارق قطعت یده من وسط الکف، فإن عاد قطعت رجله من وسط القدم، فإن عاد استودع السجن، فان سرق فی السجن قتل</w:t>
      </w:r>
      <w:r>
        <w:rPr>
          <w:rFonts w:eastAsia="IRNazanin" w:cs="IRNazanin"/>
          <w:color w:val="111111"/>
          <w:sz w:val="28"/>
          <w:szCs w:val="28"/>
          <w:rtl w:val="true"/>
          <w:lang w:bidi="fa-IR"/>
        </w:rPr>
        <w:t xml:space="preserve">. </w:t>
      </w:r>
      <w:r>
        <w:rPr>
          <w:rStyle w:val="FootnoteAnchor"/>
          <w:rtl w:val="true"/>
        </w:rPr>
        <w:footnoteReference w:id="1072"/>
      </w:r>
    </w:p>
    <w:p>
      <w:pPr>
        <w:pStyle w:val="BookText"/>
        <w:rPr/>
      </w:pPr>
      <w:r>
        <w:rPr>
          <w:rFonts w:ascii="IRNazanin" w:hAnsi="IRNazanin" w:eastAsia="IRNazanin"/>
          <w:color w:val="111111"/>
          <w:sz w:val="28"/>
          <w:sz w:val="28"/>
          <w:szCs w:val="28"/>
          <w:rtl w:val="true"/>
          <w:lang w:bidi="fa-IR"/>
        </w:rPr>
        <w:t>ویدلّ علی خلوده فی السجن فی الثالثة عدة من الروایات، کقول أمیرالمؤمنین علیه السلام فی صحیحة محمد بن 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فیمن سرق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ولکنی أسجنه حتی یموت فی السجن</w:t>
      </w:r>
      <w:r>
        <w:rPr>
          <w:rFonts w:eastAsia="IRNazanin" w:cs="IRNazanin"/>
          <w:color w:val="111111"/>
          <w:sz w:val="28"/>
          <w:szCs w:val="28"/>
          <w:rtl w:val="true"/>
          <w:lang w:bidi="fa-IR"/>
        </w:rPr>
        <w:t xml:space="preserve">. </w:t>
      </w:r>
      <w:r>
        <w:rPr>
          <w:rStyle w:val="FootnoteAnchor"/>
          <w:rtl w:val="true"/>
        </w:rPr>
        <w:footnoteReference w:id="1073"/>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تکررت منه السرقة ولم یتخلّل الحدّ کفی حدّ واحد بلا خلاف بین العامة</w:t>
      </w:r>
    </w:p>
    <w:p>
      <w:pPr>
        <w:pStyle w:val="BookText"/>
        <w:rPr/>
      </w:pPr>
      <w:r>
        <w:rPr>
          <w:rFonts w:ascii="IRNazanin" w:hAnsi="IRNazanin" w:eastAsia="IRNazanin"/>
          <w:color w:val="111111"/>
          <w:sz w:val="28"/>
          <w:sz w:val="28"/>
          <w:szCs w:val="28"/>
          <w:rtl w:val="true"/>
          <w:lang w:bidi="fa-IR"/>
        </w:rPr>
        <w:t xml:space="preserve">والخاصّة کما فی الجواهر، </w:t>
      </w:r>
      <w:r>
        <w:rPr>
          <w:rStyle w:val="FootnoteAnchor"/>
          <w:rtl w:val="true"/>
        </w:rPr>
        <w:footnoteReference w:id="1074"/>
      </w:r>
      <w:r>
        <w:rPr>
          <w:rFonts w:ascii="IRNazanin" w:hAnsi="IRNazanin" w:eastAsia="IRNazanin"/>
          <w:color w:val="111111"/>
          <w:sz w:val="28"/>
          <w:sz w:val="28"/>
          <w:szCs w:val="28"/>
          <w:rtl w:val="true"/>
          <w:lang w:bidi="fa-IR"/>
        </w:rPr>
        <w:t>وتدل علیه صحیحة عبدالرحمن بن الحجاج وبکیر بن أعین عن أبی جعفر علیه السلام فراجع</w:t>
      </w:r>
      <w:r>
        <w:rPr>
          <w:rFonts w:eastAsia="IRNazanin" w:cs="IRNazanin"/>
          <w:color w:val="111111"/>
          <w:sz w:val="28"/>
          <w:szCs w:val="28"/>
          <w:rtl w:val="true"/>
          <w:lang w:bidi="fa-IR"/>
        </w:rPr>
        <w:t xml:space="preserve">. </w:t>
      </w:r>
      <w:r>
        <w:rPr>
          <w:rStyle w:val="FootnoteAnchor"/>
          <w:rtl w:val="true"/>
        </w:rPr>
        <w:footnoteReference w:id="1075"/>
      </w:r>
    </w:p>
    <w:p>
      <w:pPr>
        <w:pStyle w:val="BookText"/>
        <w:rPr/>
      </w:pPr>
      <w:r>
        <w:rPr>
          <w:rFonts w:ascii="IRNazanin" w:hAnsi="IRNazanin" w:eastAsia="IRNazanin"/>
          <w:color w:val="111111"/>
          <w:sz w:val="28"/>
          <w:sz w:val="28"/>
          <w:szCs w:val="28"/>
          <w:rtl w:val="true"/>
          <w:lang w:bidi="fa-IR"/>
        </w:rPr>
        <w:t>یشترط فی وجوب الحدّ علی السارق والسارقة أمور نذکر أهمّها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البلوغ، فلو سرق الطفل لم یحدّ ولو تکرر منه السرقة؛ 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وللروایات، نعم، یؤدّب بما یراه الحاکم 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یعفی عنه أولاً فإن عاد ادّب، فإن عاد حکّت أنامله حتی تدمی؛ فإن عاد قطعت أنامله وإن عاد قطع کما یقطع الرجل، وفی المسألة روایات مختلفة فی کیفیة تأدیب الصبی وجواز قطعه فی الرابعة أو الخامسة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یقطع المجنون؛ 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الاختیار فلا یقطع المکره؛ 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رفع المؤاخذة عما استکرهوا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الاضطرار، فلایقطع إذا سرق لدفع أضطراره؛ 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یکون المال فی مکان محرز، لا إذن للسارق بالدخول فیه بلاخلاف، وتدلّ علیه موثّقة السکونی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أمیرالمؤمنین علیه السلام لایُقطع إلاّ من نَقب بیتاً أو کسر قفلاً</w:t>
      </w:r>
      <w:r>
        <w:rPr>
          <w:rFonts w:eastAsia="IRNazanin" w:cs="IRNazanin"/>
          <w:color w:val="111111"/>
          <w:sz w:val="28"/>
          <w:szCs w:val="28"/>
          <w:rtl w:val="true"/>
          <w:lang w:bidi="fa-IR"/>
        </w:rPr>
        <w:t xml:space="preserve">. </w:t>
      </w:r>
      <w:r>
        <w:rPr>
          <w:rStyle w:val="FootnoteAnchor"/>
          <w:rtl w:val="true"/>
        </w:rPr>
        <w:footnoteReference w:id="1076"/>
      </w:r>
    </w:p>
    <w:p>
      <w:pPr>
        <w:pStyle w:val="BookText"/>
        <w:rPr/>
      </w:pPr>
      <w:r>
        <w:rPr>
          <w:rFonts w:ascii="IRNazanin" w:hAnsi="IRNazanin" w:eastAsia="IRNazanin"/>
          <w:color w:val="111111"/>
          <w:sz w:val="28"/>
          <w:sz w:val="28"/>
          <w:szCs w:val="28"/>
          <w:rtl w:val="true"/>
          <w:lang w:bidi="fa-IR"/>
        </w:rPr>
        <w:t xml:space="preserve">وفی موثقتة الأخری قال علیه السلام </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مدخل یدخل فیه بغیر إذن، فسرق منه السارق فلا قطع فیه؛ یعنی الحمامات والخانات والأرحیة</w:t>
      </w:r>
      <w:r>
        <w:rPr>
          <w:rFonts w:eastAsia="IRNazanin" w:cs="IRNazanin"/>
          <w:color w:val="111111"/>
          <w:sz w:val="28"/>
          <w:szCs w:val="28"/>
          <w:rtl w:val="true"/>
          <w:lang w:bidi="fa-IR"/>
        </w:rPr>
        <w:t xml:space="preserve">. </w:t>
      </w:r>
      <w:r>
        <w:rPr>
          <w:rStyle w:val="FootnoteAnchor"/>
          <w:rtl w:val="true"/>
        </w:rPr>
        <w:footnoteReference w:id="1077"/>
      </w:r>
      <w:bookmarkStart w:id="1142" w:name="pg5021_49604"/>
    </w:p>
    <w:p>
      <w:pPr>
        <w:pStyle w:val="BookText"/>
        <w:rPr/>
      </w:pPr>
      <w:bookmarkEnd w:id="1142"/>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 المسروق بمقدار ربع مثقال ذهب، علی المشهور؛ وتدلّ علیه صحیحة محمد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عبدالله علیه السلام فی کم یقطع السارق؟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ربع دینار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درهمین؟ قال فی ربع دینار بلغ الدینار ما بلغ،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من سرق أقل من ربع دنیار هل یقع علیه حین سرق اسم السارق؟ وهل هو عند الله سارق؟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سرق من مسلم شیئاً قد حواه وأحرزه فهو یقع علیه اسم السارق ولکن لایقطع إلاّ فی ربع دینار أو أکثر</w:t>
      </w:r>
      <w:r>
        <w:rPr>
          <w:rFonts w:eastAsia="IRNazanin" w:cs="IRNazanin"/>
          <w:color w:val="111111"/>
          <w:sz w:val="28"/>
          <w:szCs w:val="28"/>
          <w:rtl w:val="true"/>
          <w:lang w:bidi="fa-IR"/>
        </w:rPr>
        <w:t xml:space="preserve">.... </w:t>
      </w:r>
      <w:r>
        <w:rPr>
          <w:rStyle w:val="FootnoteAnchor"/>
          <w:rtl w:val="true"/>
        </w:rPr>
        <w:footnoteReference w:id="107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یأخذ سراً، فلو هتک الحرز قهراً ظاهراً وأخذ لایقطع لعدم صدق عنوان السرقة حینئذً؛ ولصحیحة محمد بن قیس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 أمیرالمؤمنین علیه السلام فی رجل اختلس ثوباً من السوق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سرق هذا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لاأقطع فی الدغارة المعلنة ولکن أقطع من یأخذ ویخفی</w:t>
      </w:r>
      <w:r>
        <w:rPr>
          <w:rFonts w:eastAsia="IRNazanin" w:cs="IRNazanin"/>
          <w:color w:val="111111"/>
          <w:sz w:val="28"/>
          <w:szCs w:val="28"/>
          <w:rtl w:val="true"/>
          <w:lang w:bidi="fa-IR"/>
        </w:rPr>
        <w:t xml:space="preserve">. </w:t>
      </w:r>
      <w:r>
        <w:rPr>
          <w:rStyle w:val="FootnoteAnchor"/>
          <w:rtl w:val="true"/>
        </w:rPr>
        <w:footnoteReference w:id="107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لایکون السارق والد المسروق منه، بلاخلاف لقوله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ومالک لأبیک</w:t>
      </w:r>
      <w:r>
        <w:rPr>
          <w:rFonts w:eastAsia="IRNazanin" w:cs="IRNazanin"/>
          <w:color w:val="111111"/>
          <w:sz w:val="28"/>
          <w:szCs w:val="28"/>
          <w:rtl w:val="true"/>
          <w:lang w:bidi="fa-IR"/>
        </w:rPr>
        <w:t xml:space="preserve">. </w:t>
      </w:r>
      <w:r>
        <w:rPr>
          <w:rStyle w:val="FootnoteAnchor"/>
          <w:rtl w:val="true"/>
        </w:rPr>
        <w:footnoteReference w:id="1080"/>
      </w:r>
    </w:p>
    <w:p>
      <w:pPr>
        <w:pStyle w:val="Heading4"/>
        <w:numPr>
          <w:ilvl w:val="3"/>
          <w:numId w:val="1"/>
        </w:numPr>
        <w:rPr/>
      </w:pPr>
      <w:bookmarkStart w:id="1143" w:name="__RefHeading___Toc581172_774463916"/>
      <w:bookmarkStart w:id="1144" w:name="_Toc454"/>
      <w:bookmarkEnd w:id="1143"/>
      <w:r>
        <w:rPr/>
        <w:t>7</w:t>
      </w:r>
      <w:r>
        <w:rPr>
          <w:rtl w:val="true"/>
        </w:rPr>
        <w:t xml:space="preserve">- </w:t>
      </w:r>
      <w:r>
        <w:rPr>
          <w:rtl w:val="true"/>
        </w:rPr>
        <w:t>المحاربة</w:t>
      </w:r>
      <w:bookmarkEnd w:id="1144"/>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شهر السلاح لإخافة الناس فهو محارب، یقتل أو یصلّب، أو یقطع مخالفاً، أو ینفی من الأرض؛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جَزاءُ الَّذِینَ یُحارِبُونَ اللّهَ وَ رَسُولَهُ وَ یَسْعَوْنَ فِی الْأَرْضِ فَساداً أَنْ یُقَتَّلُوا أَوْ یُصَلَّبُوا أَوْ تُقَطَّعَ أَیْدِیهِمْ وَ أَرْجُلُهُمْ مِنْ خِلافٍ أَوْ یُنْفَوْا مِنَ الْأَرْضِ ذلِکَ لَهُمْ خِزْیٌ فِی الدُّنْیا وَ لَهُمْ فِی الْآخِرَةِ عَذابٌ عَظِیمٌ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الآیة هو التخییر فی الأنحاء الأربعة</w:t>
      </w:r>
    </w:p>
    <w:p>
      <w:pPr>
        <w:pStyle w:val="BookText"/>
        <w:rPr/>
      </w:pPr>
      <w:r>
        <w:rPr>
          <w:rFonts w:ascii="Amiri" w:hAnsi="Amiri" w:eastAsia="Amiri" w:cs="Amiri"/>
          <w:color w:val="111111"/>
          <w:sz w:val="28"/>
          <w:sz w:val="28"/>
          <w:szCs w:val="28"/>
          <w:rtl w:val="true"/>
          <w:lang w:bidi="ar-SA"/>
        </w:rPr>
        <w:t>إلّا أنّ الروایات قد یستفاد منها الترتیب حسب کیفیة إقدام المحارب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مذکور فی المطولات ثمّ لوتاب المحارب قبل القدرة علیه سقط الحدّ لقوله تعالی عقیب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تابُوا مِنْ قَبْلِ أَنْ تَقْدِرُوا عَلَیْهِمْ فَاعْلَمُوا أَنَّ اللّهَ غَفُورٌ رَحِیمٌ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لاتسقط حقوق الناس من القتل والجرح والمال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واللصّ إذا صدق علیه عنوان المحارب کان حکمه؛ حکمه ففی مرسلة الحلبی عن أبی عبدالله علیه السلام قال</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أمیرالمؤمنین علیه السلام إذا دخل علیک اللّص المحارب فاقتله فما أصابک فدمه فی عنقی</w:t>
      </w:r>
      <w:r>
        <w:rPr>
          <w:rFonts w:eastAsia="IRNazanin" w:cs="IRNazanin"/>
          <w:color w:val="111111"/>
          <w:sz w:val="28"/>
          <w:szCs w:val="28"/>
          <w:rtl w:val="true"/>
          <w:lang w:bidi="fa-IR"/>
        </w:rPr>
        <w:t xml:space="preserve">. </w:t>
      </w:r>
      <w:r>
        <w:rPr>
          <w:rStyle w:val="FootnoteAnchor"/>
          <w:rtl w:val="true"/>
        </w:rPr>
        <w:footnoteReference w:id="1081"/>
      </w:r>
      <w:bookmarkStart w:id="1145" w:name="pg5021_49606"/>
    </w:p>
    <w:p>
      <w:pPr>
        <w:pStyle w:val="Heading3"/>
        <w:numPr>
          <w:ilvl w:val="2"/>
          <w:numId w:val="1"/>
        </w:numPr>
        <w:rPr/>
      </w:pPr>
      <w:bookmarkStart w:id="1146" w:name="__RefHeading___Toc581174_774463916"/>
      <w:bookmarkStart w:id="1147" w:name="_Toc455"/>
      <w:bookmarkEnd w:id="1145"/>
      <w:bookmarkEnd w:id="1146"/>
      <w:r>
        <w:rPr>
          <w:rtl w:val="true"/>
        </w:rPr>
        <w:t>الدرس</w:t>
      </w:r>
      <w:r>
        <w:rPr/>
        <w:t>29</w:t>
      </w:r>
      <w:r>
        <w:rPr>
          <w:rtl w:val="true"/>
        </w:rPr>
        <w:t xml:space="preserve"> - </w:t>
      </w:r>
      <w:r>
        <w:rPr>
          <w:rtl w:val="true"/>
        </w:rPr>
        <w:t>کتاب القصاص</w:t>
      </w:r>
      <w:bookmarkEnd w:id="1147"/>
    </w:p>
    <w:p>
      <w:pPr>
        <w:pStyle w:val="Heading4"/>
        <w:numPr>
          <w:ilvl w:val="3"/>
          <w:numId w:val="1"/>
        </w:numPr>
        <w:rPr/>
      </w:pPr>
      <w:bookmarkStart w:id="1148" w:name="__RefHeading___Toc581176_774463916"/>
      <w:bookmarkStart w:id="1149" w:name="_Toc456"/>
      <w:bookmarkEnd w:id="1148"/>
      <w:r>
        <w:rPr>
          <w:rtl w:val="true"/>
        </w:rPr>
        <w:t>حقیقة القصاص وأقسامه</w:t>
      </w:r>
      <w:bookmarkEnd w:id="1149"/>
    </w:p>
    <w:p>
      <w:pPr>
        <w:pStyle w:val="Heading5"/>
        <w:numPr>
          <w:ilvl w:val="4"/>
          <w:numId w:val="1"/>
        </w:numPr>
        <w:rPr/>
      </w:pPr>
      <w:bookmarkStart w:id="1150" w:name="__RefHeading___Toc581178_774463916"/>
      <w:bookmarkStart w:id="1151" w:name="_Toc457"/>
      <w:bookmarkEnd w:id="1150"/>
      <w:r>
        <w:rPr>
          <w:rtl w:val="true"/>
        </w:rPr>
        <w:t>اشارة</w:t>
      </w:r>
      <w:bookmarkEnd w:id="1151"/>
    </w:p>
    <w:p>
      <w:pPr>
        <w:pStyle w:val="BookText"/>
        <w:rPr/>
      </w:pPr>
      <w:r>
        <w:rPr>
          <w:rFonts w:ascii="Amiri" w:hAnsi="Amiri" w:eastAsia="Amiri" w:cs="Amiri"/>
          <w:color w:val="111111"/>
          <w:sz w:val="28"/>
          <w:sz w:val="28"/>
          <w:szCs w:val="28"/>
          <w:rtl w:val="true"/>
          <w:lang w:bidi="ar-SA"/>
        </w:rPr>
        <w:t>القصاص وهو الجزاء علی الجنایة بمثلها، مشروع بضرورة الإسلام؛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لَکُمْ فِی الْقِصاصِ حَیاةٌ یا أُولِی الْأَلْبابِ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وأشیر فی الآیة الکریمة إلی حکمة هذا الحکم ردّاً لمن زعم أنّه مخالف للحکمة والإنسانیة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ولایخفی أنّ قتل النفس المحترمة من أعظم الذنوب وحرمته من ضروریات الدین،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تَقْتُلُوا النَّفْسَ الَّتِی حَرَّمَ اللّهُ إِلاّ بِالْحَقِّ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یحرم قتل الإنسان نفسه بلاخلاف؛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تُلْقُوا بِأَیْدِیکُمْ إِلَی التَّهْلُکَةِ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یستفاد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تَقْتُلُوا أَنْفُسَکُمْ إِنَّ اللّهَ کانَ بِکُمْ رَحِیماً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وحرمة قتل الغیر یعمّ کلَّ ذی روح من الإنسان وإن کان حَمْلاً، بل یحرم إسقاط الحمل ولو کان نطفة؛ ففی موثّقة إسحاق بن عمار قال</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لأبی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تخاف الحبل فتشرب الدواء فتلقی ما فی بطنها؟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نطفة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مایُخلق نطفة</w:t>
      </w:r>
      <w:r>
        <w:rPr>
          <w:rFonts w:eastAsia="IRNazanin" w:cs="IRNazanin"/>
          <w:color w:val="111111"/>
          <w:sz w:val="28"/>
          <w:szCs w:val="28"/>
          <w:rtl w:val="true"/>
          <w:lang w:bidi="fa-IR"/>
        </w:rPr>
        <w:t xml:space="preserve">. </w:t>
      </w:r>
      <w:r>
        <w:rPr>
          <w:rStyle w:val="FootnoteAnchor"/>
          <w:rtl w:val="true"/>
        </w:rPr>
        <w:footnoteReference w:id="1082"/>
      </w:r>
      <w:bookmarkStart w:id="1152" w:name="pg5021_49607"/>
    </w:p>
    <w:p>
      <w:pPr>
        <w:pStyle w:val="Heading5"/>
        <w:numPr>
          <w:ilvl w:val="4"/>
          <w:numId w:val="1"/>
        </w:numPr>
        <w:rPr/>
      </w:pPr>
      <w:bookmarkStart w:id="1153" w:name="__RefHeading___Toc581180_774463916"/>
      <w:bookmarkStart w:id="1154" w:name="_Toc458"/>
      <w:bookmarkEnd w:id="1152"/>
      <w:bookmarkEnd w:id="1153"/>
      <w:r>
        <w:rPr/>
        <w:t>1</w:t>
      </w:r>
      <w:r>
        <w:rPr>
          <w:rtl w:val="true"/>
        </w:rPr>
        <w:t xml:space="preserve">- </w:t>
      </w:r>
      <w:r>
        <w:rPr>
          <w:rtl w:val="true"/>
        </w:rPr>
        <w:t>القصاص فی النفس</w:t>
      </w:r>
      <w:bookmarkEnd w:id="1154"/>
    </w:p>
    <w:p>
      <w:pPr>
        <w:pStyle w:val="BookText"/>
        <w:rPr/>
      </w:pPr>
      <w:r>
        <w:rPr>
          <w:rFonts w:ascii="IRNazanin" w:hAnsi="IRNazanin" w:eastAsia="IRNazanin"/>
          <w:color w:val="111111"/>
          <w:sz w:val="28"/>
          <w:sz w:val="28"/>
          <w:szCs w:val="28"/>
          <w:rtl w:val="true"/>
          <w:lang w:bidi="fa-IR"/>
        </w:rPr>
        <w:t>حقّ القصاص یثبت بشروط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یکون القتل عن عمد بلاخلاف؛ ففی صحیح عبدالله بن سنان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مؤمناً متعمّداً، قید منه إلّا أن یرضی أولیاء المقتول أن یقبلوا الدیّة، فإن رضوا بالدیة، وأحب ذلک القاتل فالدیة</w:t>
      </w:r>
      <w:r>
        <w:rPr>
          <w:rFonts w:eastAsia="IRNazanin" w:cs="IRNazanin"/>
          <w:color w:val="111111"/>
          <w:sz w:val="28"/>
          <w:szCs w:val="28"/>
          <w:rtl w:val="true"/>
          <w:lang w:bidi="fa-IR"/>
        </w:rPr>
        <w:t xml:space="preserve">. </w:t>
      </w:r>
      <w:r>
        <w:rPr>
          <w:rStyle w:val="FootnoteAnchor"/>
          <w:rtl w:val="true"/>
        </w:rPr>
        <w:footnoteReference w:id="1083"/>
      </w:r>
    </w:p>
    <w:p>
      <w:pPr>
        <w:pStyle w:val="BookText"/>
        <w:rPr/>
      </w:pPr>
      <w:r>
        <w:rPr>
          <w:rFonts w:ascii="Amiri" w:hAnsi="Amiri" w:eastAsia="Amiri" w:cs="Amiri"/>
          <w:color w:val="111111"/>
          <w:sz w:val="28"/>
          <w:sz w:val="28"/>
          <w:szCs w:val="28"/>
          <w:rtl w:val="true"/>
          <w:lang w:bidi="ar-SA"/>
        </w:rPr>
        <w:t>ولذا لم تجب فی القتل خطأً إلّا الدیة وتحریر الرقبة، کما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قَتَلَ مُؤْمِناً خَطَأً فَتَحْرِیرُ رَقَبَةٍ مُؤْمِنَةٍ وَ دِیَةٌ مُسَلَّمَةٌ إِلی أَهْلِهِ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والعمد کما قالوا یتحقق فی صور ثلاث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قصد القاتل القتل بآلة یتحقق بها القتل غالباً، وهی المتیقن من العمد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قصد القتل بآلة لاتقتل إلاّ نادراً فاتفق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یقصد القتل لکن کانت الآلة قتالة غالباً، کلّ ذلک لصدق القتل عمداً فی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القتل عمداً، وفی مقابله قسمان آخران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الشبیه بالعمد وهو ما کان القاتل قاصداً للفعل المعیّن من دون القتل ولایترتب القتل علیه غالباً، کالضرب تأدیباً، وکإجراء الطبیب عملیة جراحیة لایترتب علیها الموت عادة فاتفق حصوله من دون 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القاتل غیر قاصد للفعل المعیّن فضلاً عن قصد القتل أو کون الآلة قاتلة غالباً، فهو القتل بنحو الخطأ المحض، کمن رمی حیواناً فأصاب انساناً، وحکم القتل العمد هو القصاص دون الأخیرین، کما یأتی إن شاء الله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التساوی فی الدَّین، فلایقتل المسلم بالکافر بلاخلاف؛ وتدل علیه الروایات</w:t>
      </w:r>
    </w:p>
    <w:p>
      <w:pPr>
        <w:pStyle w:val="BookText"/>
        <w:rPr/>
      </w:pPr>
      <w:r>
        <w:rPr>
          <w:rFonts w:ascii="IRNazanin" w:hAnsi="IRNazanin" w:eastAsia="IRNazanin"/>
          <w:color w:val="111111"/>
          <w:sz w:val="28"/>
          <w:sz w:val="28"/>
          <w:szCs w:val="28"/>
          <w:rtl w:val="true"/>
          <w:lang w:bidi="fa-IR"/>
        </w:rPr>
        <w:t xml:space="preserve">منها صحیحة محمد بن قیس عن أبی جعفر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لایقاد مسلم بذمیّ فی القتل ولا فی الجراحات، ولکن یؤخذ من المسلم جنایته للذمی علی قدر دیة الذمی ثمانمأة درهم</w:t>
      </w:r>
      <w:r>
        <w:rPr>
          <w:rFonts w:eastAsia="IRNazanin" w:cs="IRNazanin"/>
          <w:color w:val="111111"/>
          <w:sz w:val="28"/>
          <w:szCs w:val="28"/>
          <w:rtl w:val="true"/>
          <w:lang w:bidi="fa-IR"/>
        </w:rPr>
        <w:t xml:space="preserve">. </w:t>
      </w:r>
      <w:r>
        <w:rPr>
          <w:rStyle w:val="FootnoteAnchor"/>
          <w:rtl w:val="true"/>
        </w:rPr>
        <w:footnoteReference w:id="1084"/>
      </w:r>
    </w:p>
    <w:p>
      <w:pPr>
        <w:pStyle w:val="BookText"/>
        <w:rPr/>
      </w:pPr>
      <w:r>
        <w:rPr>
          <w:rFonts w:ascii="IRNazanin" w:hAnsi="IRNazanin" w:eastAsia="IRNazanin"/>
          <w:color w:val="111111"/>
          <w:sz w:val="28"/>
          <w:sz w:val="28"/>
          <w:szCs w:val="28"/>
          <w:rtl w:val="true"/>
          <w:lang w:bidi="fa-IR"/>
        </w:rPr>
        <w:t>ویتعدّی من الذمی إلی غیره کالحربی والمستأمن؛ بالاولویة، نعم، یعزّر القاتل المسلم بما یراه الحاکم کما هو شأن کل مرتکب للحرام لاسیما قتل النفس المحترمة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لایکون القاتل أباً للمقتول، فلا یقتل الأب بولده بلاخلاف؛ لصحیحة حمران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لایقاد والد بولده ویقتل الولد إذا قتل والده عمداً</w:t>
      </w:r>
      <w:r>
        <w:rPr>
          <w:rFonts w:eastAsia="IRNazanin" w:cs="IRNazanin"/>
          <w:color w:val="111111"/>
          <w:sz w:val="28"/>
          <w:szCs w:val="28"/>
          <w:rtl w:val="true"/>
          <w:lang w:bidi="fa-IR"/>
        </w:rPr>
        <w:t xml:space="preserve">. </w:t>
      </w:r>
      <w:r>
        <w:rPr>
          <w:rStyle w:val="FootnoteAnchor"/>
          <w:rtl w:val="true"/>
        </w:rPr>
        <w:footnoteReference w:id="1085"/>
      </w:r>
    </w:p>
    <w:p>
      <w:pPr>
        <w:pStyle w:val="BookText"/>
        <w:rPr/>
      </w:pPr>
      <w:r>
        <w:rPr>
          <w:rFonts w:ascii="IRNazanin" w:hAnsi="IRNazanin" w:eastAsia="IRNazanin"/>
          <w:color w:val="111111"/>
          <w:sz w:val="28"/>
          <w:sz w:val="28"/>
          <w:szCs w:val="28"/>
          <w:rtl w:val="true"/>
          <w:lang w:bidi="fa-IR"/>
        </w:rPr>
        <w:t>نعم، یعزّر لارتکاب هذا الذنب العظیم، ففی روایة جابر عن أبی جعفر علیه السلام</w:t>
      </w:r>
    </w:p>
    <w:p>
      <w:pPr>
        <w:pStyle w:val="BookText"/>
        <w:rPr/>
      </w:pPr>
      <w:r>
        <w:rPr>
          <w:rFonts w:ascii="IRNazanin" w:hAnsi="IRNazanin" w:eastAsia="IRNazanin"/>
          <w:color w:val="111111"/>
          <w:sz w:val="28"/>
          <w:sz w:val="28"/>
          <w:szCs w:val="28"/>
          <w:rtl w:val="true"/>
          <w:lang w:bidi="fa-IR"/>
        </w:rPr>
        <w:t>فی الرجل یقتل ابنه أو عبده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لایقتل به ولکن یضرب ضرباً شدیداً وینفی عن مسقط رأسه</w:t>
      </w:r>
      <w:r>
        <w:rPr>
          <w:rFonts w:eastAsia="IRNazanin" w:cs="IRNazanin"/>
          <w:color w:val="111111"/>
          <w:sz w:val="28"/>
          <w:szCs w:val="28"/>
          <w:rtl w:val="true"/>
          <w:lang w:bidi="fa-IR"/>
        </w:rPr>
        <w:t xml:space="preserve">. </w:t>
      </w:r>
      <w:r>
        <w:rPr>
          <w:rStyle w:val="FootnoteAnchor"/>
          <w:rtl w:val="true"/>
        </w:rPr>
        <w:footnoteReference w:id="1086"/>
      </w:r>
    </w:p>
    <w:p>
      <w:pPr>
        <w:pStyle w:val="BookText"/>
        <w:rPr/>
      </w:pPr>
      <w:r>
        <w:rPr>
          <w:rFonts w:ascii="IRNazanin" w:hAnsi="IRNazanin" w:eastAsia="IRNazanin"/>
          <w:color w:val="111111"/>
          <w:sz w:val="28"/>
          <w:sz w:val="28"/>
          <w:szCs w:val="28"/>
          <w:rtl w:val="true"/>
          <w:lang w:bidi="fa-IR"/>
        </w:rPr>
        <w:t xml:space="preserve">ویلزمه دفع الدیة؛ لعموم ما دل علی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لایبطل دم امرء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صحیحة عبدالله بن سنان</w:t>
      </w:r>
      <w:r>
        <w:rPr>
          <w:rFonts w:eastAsia="IRNazanin" w:cs="IRNazanin"/>
          <w:color w:val="111111"/>
          <w:sz w:val="28"/>
          <w:szCs w:val="28"/>
          <w:rtl w:val="true"/>
          <w:lang w:bidi="fa-IR"/>
        </w:rPr>
        <w:t xml:space="preserve">. </w:t>
      </w:r>
      <w:r>
        <w:rPr>
          <w:rStyle w:val="FootnoteAnchor"/>
          <w:rtl w:val="true"/>
        </w:rPr>
        <w:footnoteReference w:id="108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البلوغ والعقل، فلا یقتل الصغیر ولا المجنون بلاخلاف؛ 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ولموثّقة إسحاق بن عمار عن جعفر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علیا علیه 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 الصبیان خطأ یحمل علی العاقلة</w:t>
      </w:r>
      <w:r>
        <w:rPr>
          <w:rFonts w:eastAsia="IRNazanin" w:cs="IRNazanin"/>
          <w:color w:val="111111"/>
          <w:sz w:val="28"/>
          <w:szCs w:val="28"/>
          <w:rtl w:val="true"/>
          <w:lang w:bidi="fa-IR"/>
        </w:rPr>
        <w:t xml:space="preserve">. </w:t>
      </w:r>
      <w:r>
        <w:rPr>
          <w:rStyle w:val="FootnoteAnchor"/>
          <w:rtl w:val="true"/>
        </w:rPr>
        <w:footnoteReference w:id="1088"/>
      </w:r>
    </w:p>
    <w:p>
      <w:pPr>
        <w:pStyle w:val="BookText"/>
        <w:rPr/>
      </w:pPr>
      <w:r>
        <w:rPr>
          <w:rFonts w:ascii="IRNazanin" w:hAnsi="IRNazanin" w:eastAsia="IRNazanin"/>
          <w:color w:val="111111"/>
          <w:sz w:val="28"/>
          <w:sz w:val="28"/>
          <w:szCs w:val="28"/>
          <w:rtl w:val="true"/>
          <w:lang w:bidi="fa-IR"/>
        </w:rPr>
        <w:t xml:space="preserve">وفی صحیحة محمد بن مسلم عن أبی جعفر علیه السلام </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أمیرالمؤمنین علیه السلام یجعل جنایة المعتوه علی عاقلته، خطّأً کان أو عمداً</w:t>
      </w:r>
      <w:r>
        <w:rPr>
          <w:rFonts w:eastAsia="IRNazanin" w:cs="IRNazanin"/>
          <w:color w:val="111111"/>
          <w:sz w:val="28"/>
          <w:szCs w:val="28"/>
          <w:rtl w:val="true"/>
          <w:lang w:bidi="fa-IR"/>
        </w:rPr>
        <w:t xml:space="preserve">. </w:t>
      </w:r>
      <w:r>
        <w:rPr>
          <w:rStyle w:val="FootnoteAnchor"/>
          <w:rtl w:val="true"/>
        </w:rPr>
        <w:footnoteReference w:id="1089"/>
      </w:r>
    </w:p>
    <w:p>
      <w:pPr>
        <w:pStyle w:val="BookText"/>
        <w:rPr/>
      </w:pPr>
      <w:r>
        <w:rPr>
          <w:rFonts w:ascii="IRNazanin" w:hAnsi="IRNazanin" w:eastAsia="IRNazanin"/>
          <w:color w:val="111111"/>
          <w:sz w:val="28"/>
          <w:sz w:val="28"/>
          <w:szCs w:val="28"/>
          <w:rtl w:val="true"/>
          <w:lang w:bidi="fa-IR"/>
        </w:rPr>
        <w:t>وسائل إثبات القتل عمداً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یثبت القتل عمداً بأمور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الإقرار ولو مرة واحدة؛ لاطلاق حجیته عند العقلاء، ولصحیحة الفضیل عن أبی عبدالله علیه السلام ، فراجع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البینة، لعموم حجیتّها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یحلف خمسون علی صدق دعوی المدّعی إذا لم یمکن للمدعی علیه إقامة البینة علی دفع الدعوی واتهام القتل عن نفسه وهذا أمر علی خلاف القاعدة، ثبت فی مورد الدم؛ لعدة نصوص، منها صحیحة برید بن معاویة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القسامة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الحقوق کلها، البینة علی المدّعی والیمین علی المدّعی علیه إلاّ فی الدم خاصة فانّ رسول‌الله صلی الله علیه و آله بینما هو بخیبر إذ فقدت الأنصار رجلاً منهم فوجدوه قتیلاً، فقالت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 الیهودی قتل صاحبنا، فقال رسول‌الله صلی الله علیه و آله للطالبین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رجلین عدلین من غیرکم أقده برمّته فإن لم تجدوا شاهدین فأقیموا قسامة خمسین رجلاً أقده برمّته،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ما عندنا شاهدان من غیرنا، وإنّا لنکره أن نقسم علی مالم نره، فوداه رسول‌الله صلی الله علیه و آله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حقن دماء المسلمین بالقسامة لکی إذا رأی الفاجر الفاسق فرصة من عدوة حجزه مخافة القسامة</w:t>
      </w:r>
      <w:r>
        <w:rPr>
          <w:rFonts w:eastAsia="IRNazanin" w:cs="IRNazanin"/>
          <w:color w:val="111111"/>
          <w:sz w:val="28"/>
          <w:szCs w:val="28"/>
          <w:rtl w:val="true"/>
          <w:lang w:bidi="fa-IR"/>
        </w:rPr>
        <w:t xml:space="preserve">.... </w:t>
      </w:r>
      <w:r>
        <w:rPr>
          <w:rStyle w:val="FootnoteAnchor"/>
          <w:rtl w:val="true"/>
        </w:rPr>
        <w:footnoteReference w:id="1090"/>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ویلزم مع ذلک وجود اللوث فی المسألة؛ لتسالم الأصحاب علی ذلک وإن کان النصّ مطلقاً، واللوث أمارة توجب الظن بصدق المدعی؛ کإخبار صبی، أو وجود القاتل عند المقتول مع السلاح الملوّث بالدم ونحو ذلک</w:t>
      </w:r>
      <w:r>
        <w:rPr>
          <w:rFonts w:eastAsia="IRNazanin" w:cs="IRNazanin"/>
          <w:color w:val="111111"/>
          <w:sz w:val="28"/>
          <w:szCs w:val="28"/>
          <w:rtl w:val="true"/>
          <w:lang w:bidi="fa-IR"/>
        </w:rPr>
        <w:t>.</w:t>
      </w:r>
      <w:bookmarkStart w:id="1155" w:name="pg5021_49610"/>
    </w:p>
    <w:p>
      <w:pPr>
        <w:pStyle w:val="Heading3"/>
        <w:numPr>
          <w:ilvl w:val="2"/>
          <w:numId w:val="1"/>
        </w:numPr>
        <w:rPr/>
      </w:pPr>
      <w:bookmarkStart w:id="1156" w:name="__RefHeading___Toc581182_774463916"/>
      <w:bookmarkStart w:id="1157" w:name="_Toc459"/>
      <w:bookmarkEnd w:id="1155"/>
      <w:bookmarkEnd w:id="1156"/>
      <w:r>
        <w:rPr>
          <w:rtl w:val="true"/>
        </w:rPr>
        <w:t>الدرس</w:t>
      </w:r>
      <w:r>
        <w:rPr/>
        <w:t>30</w:t>
      </w:r>
      <w:r>
        <w:rPr>
          <w:rtl w:val="true"/>
        </w:rPr>
        <w:t xml:space="preserve"> - </w:t>
      </w:r>
      <w:r>
        <w:rPr>
          <w:rtl w:val="true"/>
        </w:rPr>
        <w:t xml:space="preserve">کتاب القصاص </w:t>
      </w:r>
      <w:r>
        <w:rPr>
          <w:rtl w:val="true"/>
        </w:rPr>
        <w:t>(</w:t>
      </w:r>
      <w:r>
        <w:rPr/>
        <w:t>2</w:t>
      </w:r>
      <w:r>
        <w:rPr>
          <w:rtl w:val="true"/>
        </w:rPr>
        <w:t>)</w:t>
      </w:r>
      <w:bookmarkEnd w:id="1157"/>
    </w:p>
    <w:p>
      <w:pPr>
        <w:pStyle w:val="Heading4"/>
        <w:numPr>
          <w:ilvl w:val="3"/>
          <w:numId w:val="1"/>
        </w:numPr>
        <w:rPr/>
      </w:pPr>
      <w:bookmarkStart w:id="1158" w:name="__RefHeading___Toc581184_774463916"/>
      <w:bookmarkStart w:id="1159" w:name="_Toc460"/>
      <w:bookmarkEnd w:id="1158"/>
      <w:r>
        <w:rPr>
          <w:rtl w:val="true"/>
        </w:rPr>
        <w:t>من أحکام قصاص النفس</w:t>
      </w:r>
      <w:bookmarkEnd w:id="1159"/>
    </w:p>
    <w:p>
      <w:pPr>
        <w:pStyle w:val="BookText"/>
        <w:rPr/>
      </w:pPr>
      <w:r>
        <w:rPr>
          <w:rFonts w:ascii="IRNazanin" w:hAnsi="IRNazanin" w:eastAsia="IRNazanin"/>
          <w:color w:val="111111"/>
          <w:sz w:val="28"/>
          <w:sz w:val="28"/>
          <w:szCs w:val="28"/>
          <w:rtl w:val="true"/>
          <w:lang w:bidi="fa-IR"/>
        </w:rPr>
        <w:t xml:space="preserve">إذا قتل الرجل المرأة عمداً، اقتص منه بعد ردّ نصف دیته إلی أولیائه بلاخلاف؛ وتدل علیه صحیحة الحلبی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الرجل یقتل المرأة متعمّداً، فأراد أهل المرأة أن یقتلوه،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لهم إذا أدّوا إلی أهله نصف الدیة، وإن قبلوا الدیة فلهم نصف دیة الرجل</w:t>
      </w:r>
      <w:r>
        <w:rPr>
          <w:rFonts w:eastAsia="IRNazanin" w:cs="IRNazanin"/>
          <w:color w:val="111111"/>
          <w:sz w:val="28"/>
          <w:szCs w:val="28"/>
          <w:rtl w:val="true"/>
          <w:lang w:bidi="fa-IR"/>
        </w:rPr>
        <w:t xml:space="preserve">.... </w:t>
      </w:r>
      <w:r>
        <w:rPr>
          <w:rStyle w:val="FootnoteAnchor"/>
          <w:rtl w:val="true"/>
        </w:rPr>
        <w:footnoteReference w:id="1091"/>
      </w:r>
    </w:p>
    <w:p>
      <w:pPr>
        <w:pStyle w:val="BookText"/>
        <w:rPr/>
      </w:pPr>
      <w:r>
        <w:rPr>
          <w:rFonts w:ascii="IRNazanin" w:hAnsi="IRNazanin" w:eastAsia="IRNazanin"/>
          <w:color w:val="111111"/>
          <w:sz w:val="28"/>
          <w:sz w:val="28"/>
          <w:szCs w:val="28"/>
          <w:rtl w:val="true"/>
          <w:lang w:bidi="fa-IR"/>
        </w:rPr>
        <w:t xml:space="preserve">ولایجوز قتل الغیر بالإکراه وإن توعّد بالقتل؛ لحرمة قتل الغیر مطلقاً ولاترتفع بحدیث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الإکراه </w:t>
      </w:r>
      <w:r>
        <w:rPr>
          <w:rStyle w:val="FootnoteAnchor"/>
          <w:rtl w:val="true"/>
        </w:rPr>
        <w:footnoteReference w:id="10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الحدیث امتنان علی مجموع الامّة ولاامتنان فی جواز قتل بعضهم لیحفظ الآخر، ولصحیحة محمد بن مسلم عن أبی جعفر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جعلت التقیة لیحقن بها الدم فاذا بلغت الدم فلیس تقیة</w:t>
      </w:r>
      <w:r>
        <w:rPr>
          <w:rFonts w:eastAsia="IRNazanin" w:cs="IRNazanin"/>
          <w:color w:val="111111"/>
          <w:sz w:val="28"/>
          <w:szCs w:val="28"/>
          <w:rtl w:val="true"/>
          <w:lang w:bidi="fa-IR"/>
        </w:rPr>
        <w:t xml:space="preserve">. </w:t>
      </w:r>
      <w:r>
        <w:rPr>
          <w:rStyle w:val="FootnoteAnchor"/>
          <w:rtl w:val="true"/>
        </w:rPr>
        <w:footnoteReference w:id="1093"/>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والحکم فی القتل العمدی بالأصالة هو القصاص دون التخییر بینه وبین الدیة، إلّا إذا تراضی الطرفان بها علی المشهور؛ أمّا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عَلَیْکُمُ 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bookmarkStart w:id="1160" w:name="pg5021_49611"/>
    </w:p>
    <w:p>
      <w:pPr>
        <w:pStyle w:val="BookText"/>
        <w:rPr/>
      </w:pPr>
      <w:bookmarkEnd w:id="1160"/>
      <w:r>
        <w:rPr>
          <w:rFonts w:ascii="IRNazanin" w:hAnsi="IRNazanin" w:eastAsia="IRNazanin"/>
          <w:color w:val="111111"/>
          <w:sz w:val="28"/>
          <w:sz w:val="28"/>
          <w:szCs w:val="28"/>
          <w:rtl w:val="true"/>
          <w:lang w:bidi="fa-IR"/>
        </w:rPr>
        <w:t>أو للروایات، منها صحیحة عبدالله 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مؤمناً متعمداً قید منه إلا أن یرضی أولیاء المقتول أن یقبلوا الدیة، فإن رضوا بالدیّة وأحبّ ذلک القاتل فالدیة</w:t>
      </w:r>
      <w:r>
        <w:rPr>
          <w:rFonts w:eastAsia="IRNazanin" w:cs="IRNazanin"/>
          <w:color w:val="111111"/>
          <w:sz w:val="28"/>
          <w:szCs w:val="28"/>
          <w:rtl w:val="true"/>
          <w:lang w:bidi="fa-IR"/>
        </w:rPr>
        <w:t xml:space="preserve">. </w:t>
      </w:r>
      <w:r>
        <w:rPr>
          <w:rStyle w:val="FootnoteAnchor"/>
          <w:rtl w:val="true"/>
        </w:rPr>
        <w:footnoteReference w:id="1094"/>
      </w:r>
    </w:p>
    <w:p>
      <w:pPr>
        <w:pStyle w:val="BookText"/>
        <w:rPr/>
      </w:pPr>
      <w:r>
        <w:rPr>
          <w:rFonts w:ascii="IRNazanin" w:hAnsi="IRNazanin" w:eastAsia="IRNazanin"/>
          <w:color w:val="111111"/>
          <w:sz w:val="28"/>
          <w:sz w:val="28"/>
          <w:szCs w:val="28"/>
          <w:rtl w:val="true"/>
          <w:lang w:bidi="fa-IR"/>
        </w:rPr>
        <w:t>ولایجوز علی المشهور المبادرة إلی القصاص من دون الاستئذان من ولّی المسلمین، وإمّا إطلاق أدلة جواز القصاص، فإمّا لیس بصدد البیان من هذه الجهة، أو یلزم تقیید بذلک احتیاطاً فی الدماء وتحرزاً من لزوم الهرج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وحقّ القصاص مختصّ بغیر الزوج والزوجة؛</w:t>
      </w:r>
    </w:p>
    <w:p>
      <w:pPr>
        <w:pStyle w:val="BookText"/>
        <w:rPr/>
      </w:pPr>
      <w:r>
        <w:rPr>
          <w:rFonts w:ascii="IRNazanin" w:hAnsi="IRNazanin" w:eastAsia="IRNazanin"/>
          <w:color w:val="111111"/>
          <w:sz w:val="28"/>
          <w:sz w:val="28"/>
          <w:szCs w:val="28"/>
          <w:rtl w:val="true"/>
          <w:lang w:bidi="fa-IR"/>
        </w:rPr>
        <w:t xml:space="preserve">لموثقة البقباق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للنساء قود أو عفوٌ؟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وذلک للعصبة</w:t>
      </w:r>
      <w:r>
        <w:rPr>
          <w:rFonts w:eastAsia="IRNazanin" w:cs="IRNazanin"/>
          <w:color w:val="111111"/>
          <w:sz w:val="28"/>
          <w:szCs w:val="28"/>
          <w:rtl w:val="true"/>
          <w:lang w:bidi="fa-IR"/>
        </w:rPr>
        <w:t xml:space="preserve">. </w:t>
      </w:r>
      <w:r>
        <w:rPr>
          <w:rStyle w:val="FootnoteAnchor"/>
          <w:rtl w:val="true"/>
        </w:rPr>
        <w:footnoteReference w:id="1095"/>
      </w:r>
    </w:p>
    <w:p>
      <w:pPr>
        <w:pStyle w:val="BookText"/>
        <w:rPr/>
      </w:pPr>
      <w:r>
        <w:rPr>
          <w:rFonts w:ascii="IRNazanin" w:hAnsi="IRNazanin" w:eastAsia="IRNazanin"/>
          <w:color w:val="111111"/>
          <w:sz w:val="28"/>
          <w:sz w:val="28"/>
          <w:szCs w:val="28"/>
          <w:rtl w:val="true"/>
          <w:lang w:bidi="fa-IR"/>
        </w:rPr>
        <w:t>وهم بنوه وقرابته لابیه، وحصر الحق فی العصبة یقتضی عدمه للزوج وللأم والبنت والاخت بل ومن یتقرب بالأم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تعدد الأولیاء فإن اتفقوا علی القصاص أو العفو أو الدیة فهو، وإلّا فعلی المقتص دفع الزائد علی حقه للباقین، علی المشهور؛ وتدل علیه صحیحة أبی ولّاد الحنّاط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عبدالله علیه السلام عن رجل قُتل وله أم وأب وابن، فقال الابن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أرید أن أقتل قاتل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أرید أن أعفو وقالت 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أرید أن آخذ الدیة،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فلیعط الابنُ امّ المقتول السدس من الدیة، ویعطی ورثة القاتل السدس من الدیة حقّ الأب الذی عفاّ ولیقتله</w:t>
      </w:r>
      <w:r>
        <w:rPr>
          <w:rFonts w:eastAsia="IRNazanin" w:cs="IRNazanin"/>
          <w:color w:val="111111"/>
          <w:sz w:val="28"/>
          <w:szCs w:val="28"/>
          <w:rtl w:val="true"/>
          <w:lang w:bidi="fa-IR"/>
        </w:rPr>
        <w:t xml:space="preserve">. </w:t>
      </w:r>
      <w:r>
        <w:rPr>
          <w:rStyle w:val="FootnoteAnchor"/>
          <w:rtl w:val="true"/>
        </w:rPr>
        <w:footnoteReference w:id="1096"/>
      </w:r>
    </w:p>
    <w:p>
      <w:pPr>
        <w:pStyle w:val="Heading4"/>
        <w:numPr>
          <w:ilvl w:val="3"/>
          <w:numId w:val="1"/>
        </w:numPr>
        <w:rPr/>
      </w:pPr>
      <w:bookmarkStart w:id="1161" w:name="__RefHeading___Toc581186_774463916"/>
      <w:bookmarkStart w:id="1162" w:name="_Toc461"/>
      <w:bookmarkEnd w:id="1161"/>
      <w:r>
        <w:rPr/>
        <w:t>2</w:t>
      </w:r>
      <w:r>
        <w:rPr>
          <w:rtl w:val="true"/>
        </w:rPr>
        <w:t xml:space="preserve">- </w:t>
      </w:r>
      <w:r>
        <w:rPr>
          <w:rtl w:val="true"/>
        </w:rPr>
        <w:t>القصاص فی ما دون النفس</w:t>
      </w:r>
      <w:bookmarkEnd w:id="1162"/>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یجوز القصاص فی الأطراف اذا جنی علیها عمداً؛ بضرورة الإسلام ویدلّ علیه</w:t>
      </w:r>
    </w:p>
    <w:p>
      <w:pPr>
        <w:pStyle w:val="BookText"/>
        <w:rPr/>
      </w:pPr>
      <w:r>
        <w:rPr>
          <w:rFonts w:ascii="Amiri" w:hAnsi="Amiri" w:eastAsia="Amiri" w:cs="Amiri"/>
          <w:color w:val="111111"/>
          <w:sz w:val="28"/>
          <w:sz w:val="28"/>
          <w:szCs w:val="28"/>
          <w:rtl w:val="true"/>
          <w:lang w:bidi="ar-SA"/>
        </w:rPr>
        <w:t>إطلاق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لَکُمْ فِی الْقِصاصِ حَیاةٌ، وخصوص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کَتَبْنا عَلَیْهِمْ فِیها أَنَّ النَّفْسَ بِالنَّفْسِ وَ الْعَیْنَ بِالْعَیْنِ وَ الْأَنْفَ بِالْأَنْفِ وَ الْأُذُنَ بِالْأُذُنِ وَ السِّنَّ بِالسِّنِّ وَ الْجُرُوحَ قِصاصٌ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یقال باحتمال اختصاصها لأمّة موسی علیه السلام ؛ لأنّ الأحکام المذکورة واقعة فی التوراة کما نص علیه الکتاب العزیز فلا بدّ لاستمرارها من دلیل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یقال بالشمول مادام لم یتعرّض لها الکتاب بالرّد والنسخ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وإطلاق الحکم فی الآیة والمطلقات وان کان یدل علی عدم اشتراط التساوی فی الذکورة والأنوثة، الا انّ ذلک مقید بما دون الثلث فلو جنی الرجل علی المرأة اقتص منه بشرط ردّ التفاوت فیما إذا بلغت دیّة الجنایة الثلث وما فوقه، وأمّا فی ما دون الثلث فتقتص منه بلا ردّ کما إذا قطع إصبعاً منها؛ ویدل علی ذلک لصحیح الحلبی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فقأ عین امرأة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شاؤا أن یفقأوا عینه ویؤدوا إلیه ربع الدیة، وإن شاءت أن تأخذ ربع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امرأة فقأت عین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 شاء فقأ عینها وإلا أخذ دیة عینه</w:t>
      </w:r>
      <w:r>
        <w:rPr>
          <w:rFonts w:eastAsia="IRNazanin" w:cs="IRNazanin"/>
          <w:color w:val="111111"/>
          <w:sz w:val="28"/>
          <w:szCs w:val="28"/>
          <w:rtl w:val="true"/>
          <w:lang w:bidi="fa-IR"/>
        </w:rPr>
        <w:t xml:space="preserve">. </w:t>
      </w:r>
      <w:r>
        <w:rPr>
          <w:rStyle w:val="FootnoteAnchor"/>
          <w:rtl w:val="true"/>
        </w:rPr>
        <w:footnoteReference w:id="1097"/>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بالنسبة إلی لزوم ردّ التفاوت إذا بلغت الثلث، فلما یأتی فی باب الدیات إن شاء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ویجوز القصاص أیضاً فی الجروح؛ لإطلاق أدلة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لابدّ أن یکون القصاص بمقدار الجرح،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اعْتَدی عَلَیْکُمْ فَاعْتَدُوا عَلَیْهِ بِمِثْلِ مَا اعْتَدی عَلَیْکُمْ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وعلیه فإذا لم یمکن ضبط الجروح تعیّنت الدیة</w:t>
      </w:r>
      <w:r>
        <w:rPr>
          <w:rFonts w:eastAsia="Amiri" w:cs="Amiri" w:ascii="Amiri" w:hAnsi="Amiri"/>
          <w:color w:val="111111"/>
          <w:sz w:val="28"/>
          <w:szCs w:val="28"/>
          <w:rtl w:val="true"/>
          <w:lang w:bidi="ar-SA"/>
        </w:rPr>
        <w:t>.</w:t>
      </w:r>
      <w:bookmarkStart w:id="1163" w:name="pg5021_49613"/>
    </w:p>
    <w:p>
      <w:pPr>
        <w:pStyle w:val="Heading3"/>
        <w:numPr>
          <w:ilvl w:val="2"/>
          <w:numId w:val="1"/>
        </w:numPr>
        <w:rPr/>
      </w:pPr>
      <w:bookmarkStart w:id="1164" w:name="__RefHeading___Toc581188_774463916"/>
      <w:bookmarkStart w:id="1165" w:name="_Toc462"/>
      <w:bookmarkEnd w:id="1163"/>
      <w:bookmarkEnd w:id="1164"/>
      <w:r>
        <w:rPr>
          <w:rtl w:val="true"/>
        </w:rPr>
        <w:t>الدرس</w:t>
      </w:r>
      <w:r>
        <w:rPr/>
        <w:t>31</w:t>
      </w:r>
      <w:r>
        <w:rPr>
          <w:rtl w:val="true"/>
        </w:rPr>
        <w:t xml:space="preserve"> - </w:t>
      </w:r>
      <w:r>
        <w:rPr>
          <w:rtl w:val="true"/>
        </w:rPr>
        <w:t>کتاب الدیات</w:t>
      </w:r>
      <w:bookmarkEnd w:id="1165"/>
    </w:p>
    <w:p>
      <w:pPr>
        <w:pStyle w:val="Heading4"/>
        <w:numPr>
          <w:ilvl w:val="3"/>
          <w:numId w:val="1"/>
        </w:numPr>
        <w:rPr/>
      </w:pPr>
      <w:bookmarkStart w:id="1166" w:name="__RefHeading___Toc581190_774463916"/>
      <w:bookmarkStart w:id="1167" w:name="_Toc463"/>
      <w:bookmarkEnd w:id="1166"/>
      <w:r>
        <w:rPr>
          <w:rtl w:val="true"/>
        </w:rPr>
        <w:t>حقیقة الدیة وأقسامها</w:t>
      </w:r>
      <w:bookmarkEnd w:id="1167"/>
    </w:p>
    <w:p>
      <w:pPr>
        <w:pStyle w:val="Heading5"/>
        <w:numPr>
          <w:ilvl w:val="4"/>
          <w:numId w:val="1"/>
        </w:numPr>
        <w:rPr/>
      </w:pPr>
      <w:bookmarkStart w:id="1168" w:name="__RefHeading___Toc581192_774463916"/>
      <w:bookmarkStart w:id="1169" w:name="_Toc464"/>
      <w:bookmarkEnd w:id="1168"/>
      <w:r>
        <w:rPr>
          <w:rtl w:val="true"/>
        </w:rPr>
        <w:t>اشارة</w:t>
      </w:r>
      <w:bookmarkEnd w:id="1169"/>
    </w:p>
    <w:p>
      <w:pPr>
        <w:pStyle w:val="BookText"/>
        <w:rPr/>
      </w:pPr>
      <w:r>
        <w:rPr>
          <w:rFonts w:ascii="Amiri" w:hAnsi="Amiri" w:eastAsia="Amiri" w:cs="Amiri"/>
          <w:color w:val="111111"/>
          <w:sz w:val="28"/>
          <w:sz w:val="28"/>
          <w:szCs w:val="28"/>
          <w:rtl w:val="true"/>
          <w:lang w:bidi="ar-SA"/>
        </w:rPr>
        <w:t>الدیة غرامة مالیة جعلت علی ارتکاب بعض الجنایات، وهی فی الجملة من ضروریات الإسلام نصّ علیها الکتاب العزیز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قَتَلَ مُؤْمِناً خَطَأً فَتَحْرِیرُ رَقَبَةٍ مُؤْمِنَةٍ وَ دِیَةٌ مُسَلَّمَةٌ إِلی أَهْلِهِ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والروایات الکثیرة کما تأتی الإشارة إلی بعضها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وهی مطلقاً تؤخذ من الجانی إلّا فی الخطأ المحض فإنّها علی العاقلة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مقادیر الدیات</w:t>
      </w:r>
      <w:r>
        <w:rPr>
          <w:rFonts w:eastAsia="IRNazanin" w:cs="IRNazanin"/>
          <w:color w:val="111111"/>
          <w:sz w:val="28"/>
          <w:szCs w:val="28"/>
          <w:rtl w:val="true"/>
          <w:lang w:bidi="fa-IR"/>
        </w:rPr>
        <w:t>:</w:t>
      </w:r>
    </w:p>
    <w:p>
      <w:pPr>
        <w:pStyle w:val="Heading5"/>
        <w:numPr>
          <w:ilvl w:val="4"/>
          <w:numId w:val="1"/>
        </w:numPr>
        <w:rPr/>
      </w:pPr>
      <w:bookmarkStart w:id="1170" w:name="__RefHeading___Toc581194_774463916"/>
      <w:bookmarkStart w:id="1171" w:name="_Toc465"/>
      <w:bookmarkEnd w:id="1170"/>
      <w:r>
        <w:rPr/>
        <w:t>1</w:t>
      </w:r>
      <w:r>
        <w:rPr>
          <w:rtl w:val="true"/>
        </w:rPr>
        <w:t xml:space="preserve">- </w:t>
      </w:r>
      <w:r>
        <w:rPr>
          <w:rtl w:val="true"/>
        </w:rPr>
        <w:t>دیة القتل عمداً</w:t>
      </w:r>
      <w:bookmarkEnd w:id="1171"/>
    </w:p>
    <w:p>
      <w:pPr>
        <w:pStyle w:val="BookText"/>
        <w:rPr/>
      </w:pPr>
      <w:r>
        <w:rPr>
          <w:rFonts w:ascii="IRNazanin" w:hAnsi="IRNazanin" w:eastAsia="IRNazanin"/>
          <w:color w:val="111111"/>
          <w:sz w:val="28"/>
          <w:sz w:val="28"/>
          <w:szCs w:val="28"/>
          <w:rtl w:val="true"/>
          <w:lang w:bidi="fa-IR"/>
        </w:rPr>
        <w:t>وهی إذا تمّ التراضی علیها أحد امور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دینار ذهب، والدینار الشرعی مثقال ذهب بوزن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حمصة، أو عشرة آلاف درهم فضة ویعادل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حمصة، أو ألف شاة، أو مأة من الإبل، أو مأتا بقرة ویدلّ علی هذه الخمسة، صحیحة عبدالرحمن بن الحجّاج فی حدیث عن ابی عبدالله علیه السلام قال</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علی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الدیة ألف دینار، وقیمة الدینار عشرة دراهم، وعشر</w:t>
      </w:r>
      <w:bookmarkStart w:id="1172" w:name="pg5021_49614"/>
    </w:p>
    <w:p>
      <w:pPr>
        <w:pStyle w:val="BookText"/>
        <w:rPr/>
      </w:pPr>
      <w:bookmarkEnd w:id="1172"/>
      <w:r>
        <w:rPr>
          <w:rFonts w:ascii="IRNazanin" w:hAnsi="IRNazanin" w:eastAsia="IRNazanin"/>
          <w:color w:val="111111"/>
          <w:sz w:val="28"/>
          <w:sz w:val="28"/>
          <w:szCs w:val="28"/>
          <w:rtl w:val="true"/>
          <w:lang w:bidi="fa-IR"/>
        </w:rPr>
        <w:t>آلاف لأهل الأمصار، وعلی أهل البوادی مأة من الإبل، ولأهل السواد مأتا بقرة، أو الف شاة</w:t>
      </w:r>
      <w:r>
        <w:rPr>
          <w:rFonts w:eastAsia="IRNazanin" w:cs="IRNazanin"/>
          <w:color w:val="111111"/>
          <w:sz w:val="28"/>
          <w:szCs w:val="28"/>
          <w:rtl w:val="true"/>
          <w:lang w:bidi="fa-IR"/>
        </w:rPr>
        <w:t xml:space="preserve">. </w:t>
      </w:r>
      <w:r>
        <w:rPr>
          <w:rStyle w:val="FootnoteAnchor"/>
          <w:rtl w:val="true"/>
        </w:rPr>
        <w:footnoteReference w:id="1098"/>
      </w:r>
    </w:p>
    <w:p>
      <w:pPr>
        <w:pStyle w:val="BookText"/>
        <w:rPr/>
      </w:pPr>
      <w:r>
        <w:rPr>
          <w:rFonts w:ascii="IRNazanin" w:hAnsi="IRNazanin" w:eastAsia="IRNazanin"/>
          <w:color w:val="111111"/>
          <w:sz w:val="28"/>
          <w:sz w:val="28"/>
          <w:szCs w:val="28"/>
          <w:rtl w:val="true"/>
          <w:lang w:bidi="fa-IR"/>
        </w:rPr>
        <w:t>وزاد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مأتی حلة 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أجد فیه خلافاً معتداً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عن الغنیة وظاهر المسبوط، والسرائر، والتحریر، وغیرها الإجماع علیه</w:t>
      </w:r>
      <w:r>
        <w:rPr>
          <w:rFonts w:eastAsia="IRNazanin" w:cs="IRNazanin"/>
          <w:color w:val="111111"/>
          <w:sz w:val="28"/>
          <w:szCs w:val="28"/>
          <w:rtl w:val="true"/>
          <w:lang w:bidi="fa-IR"/>
        </w:rPr>
        <w:t xml:space="preserve">». </w:t>
      </w:r>
      <w:r>
        <w:rPr>
          <w:rStyle w:val="FootnoteAnchor"/>
          <w:rtl w:val="true"/>
        </w:rPr>
        <w:footnoteReference w:id="1099"/>
      </w:r>
      <w:r>
        <w:rPr>
          <w:rFonts w:ascii="IRNazanin" w:hAnsi="IRNazanin" w:eastAsia="IRNazanin"/>
          <w:color w:val="111111"/>
          <w:sz w:val="28"/>
          <w:sz w:val="28"/>
          <w:szCs w:val="28"/>
          <w:rtl w:val="true"/>
          <w:lang w:bidi="fa-IR"/>
        </w:rPr>
        <w:t>والتخییر بین الأفراد الستة ثابت للجانی دون أولیاء المجنی علیه؛ أمّا لإطلاق الصحیحة، أو بحکم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واستیفاؤها یکون ضمن فترة سنة بلا خلاف، لصحیحة أبی ولّاد عن أبی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علی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تستأدی دیة الخطأ فی ثلاث سنین، وتستأدی دیة العمد فی سنة</w:t>
      </w:r>
      <w:r>
        <w:rPr>
          <w:rFonts w:eastAsia="IRNazanin" w:cs="IRNazanin"/>
          <w:color w:val="111111"/>
          <w:sz w:val="28"/>
          <w:szCs w:val="28"/>
          <w:rtl w:val="true"/>
          <w:lang w:bidi="fa-IR"/>
        </w:rPr>
        <w:t xml:space="preserve">. </w:t>
      </w:r>
      <w:r>
        <w:rPr>
          <w:rStyle w:val="FootnoteAnchor"/>
          <w:rtl w:val="true"/>
        </w:rPr>
        <w:footnoteReference w:id="1100"/>
      </w:r>
    </w:p>
    <w:p>
      <w:pPr>
        <w:pStyle w:val="BookText"/>
        <w:rPr/>
      </w:pPr>
      <w:r>
        <w:rPr>
          <w:rFonts w:ascii="IRNazanin" w:hAnsi="IRNazanin" w:eastAsia="IRNazanin"/>
          <w:color w:val="111111"/>
          <w:sz w:val="28"/>
          <w:sz w:val="28"/>
          <w:szCs w:val="28"/>
          <w:rtl w:val="true"/>
          <w:lang w:bidi="fa-IR"/>
        </w:rPr>
        <w:t>ویجوز التراضی بالأوراق النقدیه المتداولة فی زماننا لأن الحقّ لا یعدوهما، وهل یحق إلزام الجانی بها؟ المناسب هو العدم؛ إذ لا دلیل علی ذلک بعد کونه مخیراً بین أعیان الدیة کما تقدم</w:t>
      </w:r>
      <w:r>
        <w:rPr>
          <w:rFonts w:eastAsia="IRNazanin" w:cs="IRNazanin"/>
          <w:color w:val="111111"/>
          <w:sz w:val="28"/>
          <w:szCs w:val="28"/>
          <w:rtl w:val="true"/>
          <w:lang w:bidi="fa-IR"/>
        </w:rPr>
        <w:t>.</w:t>
      </w:r>
    </w:p>
    <w:p>
      <w:pPr>
        <w:pStyle w:val="Heading5"/>
        <w:numPr>
          <w:ilvl w:val="4"/>
          <w:numId w:val="1"/>
        </w:numPr>
        <w:rPr/>
      </w:pPr>
      <w:bookmarkStart w:id="1173" w:name="__RefHeading___Toc581196_774463916"/>
      <w:bookmarkStart w:id="1174" w:name="_Toc466"/>
      <w:bookmarkEnd w:id="1173"/>
      <w:r>
        <w:rPr/>
        <w:t>2</w:t>
      </w:r>
      <w:r>
        <w:rPr>
          <w:rtl w:val="true"/>
        </w:rPr>
        <w:t xml:space="preserve">- </w:t>
      </w:r>
      <w:r>
        <w:rPr>
          <w:rtl w:val="true"/>
        </w:rPr>
        <w:t>دیة القتل الشبیه بالعمد</w:t>
      </w:r>
      <w:bookmarkEnd w:id="1174"/>
    </w:p>
    <w:p>
      <w:pPr>
        <w:pStyle w:val="BookText"/>
        <w:rPr/>
      </w:pPr>
      <w:r>
        <w:rPr>
          <w:rFonts w:ascii="IRNazanin" w:hAnsi="IRNazanin" w:eastAsia="IRNazanin"/>
          <w:color w:val="111111"/>
          <w:sz w:val="28"/>
          <w:sz w:val="28"/>
          <w:szCs w:val="28"/>
          <w:rtl w:val="true"/>
          <w:lang w:bidi="fa-IR"/>
        </w:rPr>
        <w:t>وهی أحد الأمور المتقدمة مخیراً؛ لإطلاق الصحیح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یعتبر فی الإبل أن تکون أربعون منها من الإبل الحامل التی عمرها بین ست إلی عشر سنوات، وثلاثون منها من الناقة الداخلة فی السنة الرابعة التی تسمی حقّة، وثلاثون منها من الداخلة فی الثالثة التی تسمی بنت لبون، کلّ ذلک؛ لصحیحة عبدالله بن سنان عن الصادق عن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1101"/>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والمشهور أنّ هذه الدیة تستوفی فی سنتین</w:t>
      </w:r>
      <w:r>
        <w:rPr>
          <w:rFonts w:eastAsia="IRNazanin" w:cs="IRNazanin"/>
          <w:color w:val="111111"/>
          <w:sz w:val="28"/>
          <w:szCs w:val="28"/>
          <w:rtl w:val="true"/>
          <w:lang w:bidi="fa-IR"/>
        </w:rPr>
        <w:t xml:space="preserve">. </w:t>
      </w:r>
      <w:r>
        <w:rPr>
          <w:rStyle w:val="FootnoteAnchor"/>
          <w:rtl w:val="true"/>
        </w:rPr>
        <w:footnoteReference w:id="1102"/>
      </w:r>
      <w:bookmarkStart w:id="1175" w:name="pg5021_49615"/>
    </w:p>
    <w:p>
      <w:pPr>
        <w:pStyle w:val="Heading5"/>
        <w:numPr>
          <w:ilvl w:val="4"/>
          <w:numId w:val="1"/>
        </w:numPr>
        <w:rPr/>
      </w:pPr>
      <w:bookmarkStart w:id="1176" w:name="__RefHeading___Toc581198_774463916"/>
      <w:bookmarkStart w:id="1177" w:name="_Toc467"/>
      <w:bookmarkEnd w:id="1175"/>
      <w:bookmarkEnd w:id="1176"/>
      <w:r>
        <w:rPr/>
        <w:t>3</w:t>
      </w:r>
      <w:r>
        <w:rPr>
          <w:rtl w:val="true"/>
        </w:rPr>
        <w:t xml:space="preserve">- </w:t>
      </w:r>
      <w:r>
        <w:rPr>
          <w:rtl w:val="true"/>
        </w:rPr>
        <w:t>دیة القتل خطأ</w:t>
      </w:r>
      <w:bookmarkEnd w:id="1177"/>
    </w:p>
    <w:p>
      <w:pPr>
        <w:pStyle w:val="BookText"/>
        <w:rPr/>
      </w:pPr>
      <w:r>
        <w:rPr>
          <w:rFonts w:ascii="IRNazanin" w:hAnsi="IRNazanin" w:eastAsia="IRNazanin"/>
          <w:color w:val="111111"/>
          <w:sz w:val="28"/>
          <w:sz w:val="28"/>
          <w:szCs w:val="28"/>
          <w:rtl w:val="true"/>
          <w:lang w:bidi="fa-IR"/>
        </w:rPr>
        <w:t>وهی أیضاً أحد الأمور المتقدّمة مع بعض الخصوصیات فی الأبل؛ لصحیحة عبدالله بن سنان عن الصادق علیه السلام فی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والخطأ یکون فیه ثلاثون حقّه، وثلاثة ابنة لبون، وعشرون بنت مخاض، </w:t>
      </w:r>
      <w:r>
        <w:rPr>
          <w:rStyle w:val="FootnoteAnchor"/>
          <w:rtl w:val="true"/>
        </w:rPr>
        <w:footnoteReference w:id="1103"/>
      </w:r>
      <w:r>
        <w:rPr>
          <w:rFonts w:ascii="IRNazanin" w:hAnsi="IRNazanin" w:eastAsia="IRNazanin"/>
          <w:color w:val="111111"/>
          <w:sz w:val="28"/>
          <w:sz w:val="28"/>
          <w:szCs w:val="28"/>
          <w:rtl w:val="true"/>
          <w:lang w:bidi="fa-IR"/>
        </w:rPr>
        <w:t>وعشرون ابن لبون ذکر</w:t>
      </w:r>
      <w:r>
        <w:rPr>
          <w:rFonts w:eastAsia="IRNazanin" w:cs="IRNazanin"/>
          <w:color w:val="111111"/>
          <w:sz w:val="28"/>
          <w:szCs w:val="28"/>
          <w:rtl w:val="true"/>
          <w:lang w:bidi="fa-IR"/>
        </w:rPr>
        <w:t xml:space="preserve">. </w:t>
      </w:r>
      <w:r>
        <w:rPr>
          <w:rStyle w:val="FootnoteAnchor"/>
          <w:rtl w:val="true"/>
        </w:rPr>
        <w:footnoteReference w:id="1104"/>
      </w:r>
    </w:p>
    <w:p>
      <w:pPr>
        <w:pStyle w:val="BookText"/>
        <w:rPr/>
      </w:pPr>
      <w:r>
        <w:rPr>
          <w:rFonts w:ascii="IRNazanin" w:hAnsi="IRNazanin" w:eastAsia="IRNazanin"/>
          <w:color w:val="111111"/>
          <w:sz w:val="28"/>
          <w:sz w:val="28"/>
          <w:szCs w:val="28"/>
          <w:rtl w:val="true"/>
          <w:lang w:bidi="fa-IR"/>
        </w:rPr>
        <w:t>وهی تستوفی فی ثلاث سنوات و تؤخذ من عاقلة الجانی بلا خلاف، لصحیحة الحلبی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سألت أبا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والأعمی جنایته خطأ تلزم عاقلته، یؤخذون بها فی ثلاث سنین فی کلّ سنة نجماً</w:t>
      </w:r>
      <w:r>
        <w:rPr>
          <w:rFonts w:eastAsia="IRNazanin" w:cs="IRNazanin"/>
          <w:color w:val="111111"/>
          <w:sz w:val="28"/>
          <w:szCs w:val="28"/>
          <w:rtl w:val="true"/>
          <w:lang w:bidi="fa-IR"/>
        </w:rPr>
        <w:t xml:space="preserve">.... </w:t>
      </w:r>
      <w:r>
        <w:rPr>
          <w:rStyle w:val="FootnoteAnchor"/>
          <w:rtl w:val="true"/>
        </w:rPr>
        <w:footnoteReference w:id="1105"/>
      </w:r>
    </w:p>
    <w:p>
      <w:pPr>
        <w:pStyle w:val="BookText"/>
        <w:rPr/>
      </w:pPr>
      <w:r>
        <w:rPr>
          <w:rFonts w:ascii="IRNazanin" w:hAnsi="IRNazanin" w:eastAsia="IRNazanin"/>
          <w:color w:val="111111"/>
          <w:sz w:val="28"/>
          <w:sz w:val="28"/>
          <w:szCs w:val="28"/>
          <w:rtl w:val="true"/>
          <w:lang w:bidi="fa-IR"/>
        </w:rPr>
        <w:t>والمراد من العاقلة علی المشهور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العصبة، أی من یتقرّب بالأب، کالإخوة و أولادهم، والعمومة وأولادهم</w:t>
      </w:r>
      <w:r>
        <w:rPr>
          <w:rFonts w:eastAsia="IRNazanin" w:cs="IRNazanin"/>
          <w:color w:val="111111"/>
          <w:sz w:val="28"/>
          <w:szCs w:val="28"/>
          <w:rtl w:val="true"/>
          <w:lang w:bidi="fa-IR"/>
        </w:rPr>
        <w:t xml:space="preserve">. </w:t>
      </w:r>
      <w:r>
        <w:rPr>
          <w:rStyle w:val="FootnoteAnchor"/>
          <w:rtl w:val="true"/>
        </w:rPr>
        <w:footnoteReference w:id="1106"/>
      </w:r>
    </w:p>
    <w:p>
      <w:pPr>
        <w:pStyle w:val="Heading5"/>
        <w:numPr>
          <w:ilvl w:val="4"/>
          <w:numId w:val="1"/>
        </w:numPr>
        <w:rPr/>
      </w:pPr>
      <w:bookmarkStart w:id="1178" w:name="__RefHeading___Toc581200_774463916"/>
      <w:bookmarkStart w:id="1179" w:name="_Toc468"/>
      <w:bookmarkEnd w:id="1178"/>
      <w:r>
        <w:rPr/>
        <w:t>4</w:t>
      </w:r>
      <w:r>
        <w:rPr>
          <w:rtl w:val="true"/>
        </w:rPr>
        <w:t xml:space="preserve">- </w:t>
      </w:r>
      <w:r>
        <w:rPr>
          <w:rtl w:val="true"/>
        </w:rPr>
        <w:t>دیة الجوارح</w:t>
      </w:r>
      <w:bookmarkEnd w:id="1179"/>
    </w:p>
    <w:p>
      <w:pPr>
        <w:pStyle w:val="BookText"/>
        <w:rPr/>
      </w:pPr>
      <w:r>
        <w:rPr>
          <w:rFonts w:ascii="IRNazanin" w:hAnsi="IRNazanin" w:eastAsia="IRNazanin"/>
          <w:color w:val="111111"/>
          <w:sz w:val="28"/>
          <w:sz w:val="28"/>
          <w:szCs w:val="28"/>
          <w:rtl w:val="true"/>
          <w:lang w:bidi="fa-IR"/>
        </w:rPr>
        <w:t>وضابطها کلّ ما کان منه فی الجسد واحد ففیه الدیة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کان فیه اثنان ففی کلّ واحد منهما نصف الدیة؛ لصحیحة عبدالله بن سنان عن أبی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کان فی الجسد منه اثنان ففیه نصف الدیة، مثل الیدین والعینین،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فقئت عینه،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الدیة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فرجل قطعت یده،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نصف الدیة</w:t>
      </w:r>
      <w:r>
        <w:rPr>
          <w:rFonts w:eastAsia="IRNazanin" w:cs="IRNazanin"/>
          <w:color w:val="111111"/>
          <w:sz w:val="28"/>
          <w:szCs w:val="28"/>
          <w:rtl w:val="true"/>
          <w:lang w:bidi="fa-IR"/>
        </w:rPr>
        <w:t xml:space="preserve">.... </w:t>
      </w:r>
      <w:r>
        <w:rPr>
          <w:rStyle w:val="FootnoteAnchor"/>
          <w:rtl w:val="true"/>
        </w:rPr>
        <w:footnoteReference w:id="1107"/>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 یعلم حکم سائر الموارد، کالشفة، والأذن، واللسان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یعلم تفاوت الدیة فی الرجل والمرئة بعد تفاوت دینتهما الکاملة</w:t>
      </w:r>
      <w:r>
        <w:rPr>
          <w:rFonts w:eastAsia="IRNazanin" w:cs="IRNazanin"/>
          <w:color w:val="111111"/>
          <w:sz w:val="28"/>
          <w:szCs w:val="28"/>
          <w:rtl w:val="true"/>
          <w:lang w:bidi="fa-IR"/>
        </w:rPr>
        <w:t>.</w:t>
      </w:r>
      <w:bookmarkStart w:id="1180" w:name="pg5021_49616"/>
    </w:p>
    <w:p>
      <w:pPr>
        <w:pStyle w:val="Heading3"/>
        <w:numPr>
          <w:ilvl w:val="2"/>
          <w:numId w:val="1"/>
        </w:numPr>
        <w:rPr/>
      </w:pPr>
      <w:bookmarkStart w:id="1181" w:name="__RefHeading___Toc581202_774463916"/>
      <w:bookmarkStart w:id="1182" w:name="_Toc469"/>
      <w:bookmarkEnd w:id="1180"/>
      <w:bookmarkEnd w:id="1181"/>
      <w:r>
        <w:rPr>
          <w:rtl w:val="true"/>
        </w:rPr>
        <w:t>الدرس</w:t>
      </w:r>
      <w:r>
        <w:rPr/>
        <w:t>32</w:t>
      </w:r>
      <w:r>
        <w:rPr>
          <w:rtl w:val="true"/>
        </w:rPr>
        <w:t xml:space="preserve"> - </w:t>
      </w:r>
      <w:r>
        <w:rPr>
          <w:rtl w:val="true"/>
        </w:rPr>
        <w:t xml:space="preserve">کتاب الدیات </w:t>
      </w:r>
      <w:r>
        <w:rPr>
          <w:rtl w:val="true"/>
        </w:rPr>
        <w:t>(</w:t>
      </w:r>
      <w:r>
        <w:rPr/>
        <w:t>2</w:t>
      </w:r>
      <w:r>
        <w:rPr>
          <w:rtl w:val="true"/>
        </w:rPr>
        <w:t>)</w:t>
      </w:r>
      <w:bookmarkEnd w:id="1182"/>
    </w:p>
    <w:p>
      <w:pPr>
        <w:pStyle w:val="Heading4"/>
        <w:numPr>
          <w:ilvl w:val="3"/>
          <w:numId w:val="1"/>
        </w:numPr>
        <w:rPr/>
      </w:pPr>
      <w:bookmarkStart w:id="1183" w:name="__RefHeading___Toc581204_774463916"/>
      <w:bookmarkStart w:id="1184" w:name="_Toc470"/>
      <w:bookmarkEnd w:id="1183"/>
      <w:r>
        <w:rPr/>
        <w:t>5</w:t>
      </w:r>
      <w:r>
        <w:rPr>
          <w:rtl w:val="true"/>
        </w:rPr>
        <w:t xml:space="preserve">- </w:t>
      </w:r>
      <w:r>
        <w:rPr>
          <w:rtl w:val="true"/>
        </w:rPr>
        <w:t>دیة الأصابع والضرب</w:t>
      </w:r>
      <w:bookmarkEnd w:id="1184"/>
    </w:p>
    <w:p>
      <w:pPr>
        <w:pStyle w:val="BookText"/>
        <w:rPr/>
      </w:pPr>
      <w:r>
        <w:rPr>
          <w:rFonts w:ascii="IRNazanin" w:hAnsi="IRNazanin" w:eastAsia="IRNazanin"/>
          <w:color w:val="111111"/>
          <w:sz w:val="28"/>
          <w:sz w:val="28"/>
          <w:szCs w:val="28"/>
          <w:rtl w:val="true"/>
          <w:lang w:bidi="fa-IR"/>
        </w:rPr>
        <w:t>فی قطع کلّ واحد من أصابع الید، عُشر دیة الید، وکذلک أصابع الرِجّل علی المشهور لصحیحة عبدالله بن سنان عن أبی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أصابع الیدین والرجلین سواء فی الدیة فی کل إصبع عشرٌ من الإبل</w:t>
      </w:r>
      <w:r>
        <w:rPr>
          <w:rFonts w:eastAsia="IRNazanin" w:cs="IRNazanin"/>
          <w:color w:val="111111"/>
          <w:sz w:val="28"/>
          <w:szCs w:val="28"/>
          <w:rtl w:val="true"/>
          <w:lang w:bidi="fa-IR"/>
        </w:rPr>
        <w:t xml:space="preserve">. </w:t>
      </w:r>
      <w:r>
        <w:rPr>
          <w:rStyle w:val="FootnoteAnchor"/>
          <w:rtl w:val="true"/>
        </w:rPr>
        <w:footnoteReference w:id="1108"/>
      </w:r>
    </w:p>
    <w:p>
      <w:pPr>
        <w:pStyle w:val="BookText"/>
        <w:rPr/>
      </w:pPr>
      <w:r>
        <w:rPr>
          <w:rFonts w:ascii="IRNazanin" w:hAnsi="IRNazanin" w:eastAsia="IRNazanin"/>
          <w:color w:val="111111"/>
          <w:sz w:val="28"/>
          <w:sz w:val="28"/>
          <w:szCs w:val="28"/>
          <w:rtl w:val="true"/>
          <w:lang w:bidi="fa-IR"/>
        </w:rPr>
        <w:t>وأما الضرب فدیتها کما فی موثقة إسحاق بن عمار عن أبی عبدالله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أمیرالمؤمنین علیه السلام فی اللطمة یسوّد أثرها فی الوجه أنّ أرشها ستة دنانیر، فإن لم تسود واخضّرت فإنّ أرشها ثلاثة دنانیر، فإن احمارّت ولم تخضارّ فإنّ أرشها دینار ونصف، وفی البدن نصف ذلک</w:t>
      </w:r>
      <w:r>
        <w:rPr>
          <w:rFonts w:eastAsia="IRNazanin" w:cs="IRNazanin"/>
          <w:color w:val="111111"/>
          <w:sz w:val="28"/>
          <w:szCs w:val="28"/>
          <w:rtl w:val="true"/>
          <w:lang w:bidi="fa-IR"/>
        </w:rPr>
        <w:t xml:space="preserve">. </w:t>
      </w:r>
      <w:r>
        <w:rPr>
          <w:rStyle w:val="FootnoteAnchor"/>
          <w:rtl w:val="true"/>
        </w:rPr>
        <w:footnoteReference w:id="1109"/>
      </w:r>
    </w:p>
    <w:p>
      <w:pPr>
        <w:pStyle w:val="Heading4"/>
        <w:numPr>
          <w:ilvl w:val="3"/>
          <w:numId w:val="1"/>
        </w:numPr>
        <w:rPr/>
      </w:pPr>
      <w:bookmarkStart w:id="1185" w:name="__RefHeading___Toc581206_774463916"/>
      <w:bookmarkStart w:id="1186" w:name="_Toc471"/>
      <w:bookmarkEnd w:id="1185"/>
      <w:r>
        <w:rPr/>
        <w:t>6</w:t>
      </w:r>
      <w:r>
        <w:rPr>
          <w:rtl w:val="true"/>
        </w:rPr>
        <w:t xml:space="preserve">- </w:t>
      </w:r>
      <w:r>
        <w:rPr>
          <w:rtl w:val="true"/>
        </w:rPr>
        <w:t>دیة الحمل</w:t>
      </w:r>
      <w:bookmarkEnd w:id="1186"/>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اسقاط الحمل إذا کان نطفة عشرون دینار، وإذا کان علقة فأربعون دیناراً، وإذا کان مضغة فستون دیناراً، وإذا کان فیه عظم فثمانون دیناراً، وإذا اکتسی لحماً فمأة دینار، وإذا ولجته الروح فألف دینار ان کان ذکراً ونصفها إن کان 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هو</w:t>
      </w:r>
      <w:bookmarkStart w:id="1187" w:name="pg5021_49617"/>
    </w:p>
    <w:p>
      <w:pPr>
        <w:pStyle w:val="BookText"/>
        <w:rPr/>
      </w:pPr>
      <w:bookmarkEnd w:id="1187"/>
      <w:r>
        <w:rPr>
          <w:rFonts w:ascii="IRNazanin" w:hAnsi="IRNazanin" w:eastAsia="IRNazanin"/>
          <w:color w:val="111111"/>
          <w:sz w:val="28"/>
          <w:sz w:val="28"/>
          <w:szCs w:val="28"/>
          <w:rtl w:val="true"/>
          <w:lang w:bidi="fa-IR"/>
        </w:rPr>
        <w:t>المعروف، وتدلّ علیه صحیحة ظریف عن أمیرالمؤمنین علیه السلام فراجع</w:t>
      </w:r>
      <w:r>
        <w:rPr>
          <w:rFonts w:eastAsia="IRNazanin" w:cs="IRNazanin"/>
          <w:color w:val="111111"/>
          <w:sz w:val="28"/>
          <w:szCs w:val="28"/>
          <w:rtl w:val="true"/>
          <w:lang w:bidi="fa-IR"/>
        </w:rPr>
        <w:t xml:space="preserve">. </w:t>
      </w:r>
      <w:r>
        <w:rPr>
          <w:rStyle w:val="FootnoteAnchor"/>
          <w:rtl w:val="true"/>
        </w:rPr>
        <w:footnoteReference w:id="1110"/>
      </w:r>
      <w:r>
        <w:rPr>
          <w:rFonts w:ascii="IRNazanin" w:hAnsi="IRNazanin" w:eastAsia="IRNazanin"/>
          <w:color w:val="111111"/>
          <w:sz w:val="28"/>
          <w:sz w:val="28"/>
          <w:szCs w:val="28"/>
          <w:rtl w:val="true"/>
          <w:lang w:bidi="fa-IR"/>
        </w:rPr>
        <w:t>وإطلاق الصحیحة یقتضی عدم الفرق بین کون المباشر هو الأم نفسها ولو بشرب الدواء أو غیرها، وحینئذ فتدفع إلی الأب کما لا یخفی</w:t>
      </w:r>
      <w:r>
        <w:rPr>
          <w:rFonts w:eastAsia="IRNazanin" w:cs="IRNazanin"/>
          <w:color w:val="111111"/>
          <w:sz w:val="28"/>
          <w:szCs w:val="28"/>
          <w:rtl w:val="true"/>
          <w:lang w:bidi="fa-IR"/>
        </w:rPr>
        <w:t>.</w:t>
      </w:r>
    </w:p>
    <w:p>
      <w:pPr>
        <w:pStyle w:val="Heading4"/>
        <w:numPr>
          <w:ilvl w:val="3"/>
          <w:numId w:val="1"/>
        </w:numPr>
        <w:rPr/>
      </w:pPr>
      <w:bookmarkStart w:id="1188" w:name="__RefHeading___Toc581208_774463916"/>
      <w:bookmarkStart w:id="1189" w:name="_Toc472"/>
      <w:bookmarkEnd w:id="1188"/>
      <w:r>
        <w:rPr>
          <w:rtl w:val="true"/>
        </w:rPr>
        <w:t>من أحکام القتل والدیات</w:t>
      </w:r>
      <w:bookmarkEnd w:id="1189"/>
    </w:p>
    <w:p>
      <w:pPr>
        <w:pStyle w:val="BookText"/>
        <w:rPr/>
      </w:pPr>
      <w:r>
        <w:rPr>
          <w:rFonts w:ascii="IRNazanin" w:hAnsi="IRNazanin" w:eastAsia="IRNazanin"/>
          <w:color w:val="111111"/>
          <w:sz w:val="28"/>
          <w:sz w:val="28"/>
          <w:szCs w:val="28"/>
          <w:rtl w:val="true"/>
          <w:lang w:bidi="fa-IR"/>
        </w:rPr>
        <w:t xml:space="preserve">تجب علی القاتل 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الدیة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الجمع بلا خلاف کما تدل علیه صحیحة عبدالله 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الدم إذا قتل الرجلُ المؤمنَ متعمداً فعلیه ان یمکّن نفسه من أولیائه، فإن قتلوه فقد ادّی ما علیه إذا کان نادماً علی ما کان منه عازماً علی ترک العود، وإن عفا عنه فعلیه أن یعتق رقبة، ویصوم شهرین متتابعین، ویطعم ستین مسکیناً، وأن یندم علی ما کان منه ویعزم علی ترک العود</w:t>
      </w:r>
      <w:r>
        <w:rPr>
          <w:rFonts w:eastAsia="IRNazanin" w:cs="IRNazanin"/>
          <w:color w:val="111111"/>
          <w:sz w:val="28"/>
          <w:szCs w:val="28"/>
          <w:rtl w:val="true"/>
          <w:lang w:bidi="fa-IR"/>
        </w:rPr>
        <w:t xml:space="preserve">.... </w:t>
      </w:r>
      <w:r>
        <w:rPr>
          <w:rStyle w:val="FootnoteAnchor"/>
          <w:rtl w:val="true"/>
        </w:rPr>
        <w:footnoteReference w:id="1111"/>
      </w:r>
    </w:p>
    <w:p>
      <w:pPr>
        <w:pStyle w:val="BookText"/>
        <w:rPr/>
      </w:pPr>
      <w:r>
        <w:rPr>
          <w:rFonts w:ascii="IRNazanin" w:hAnsi="IRNazanin" w:eastAsia="IRNazanin"/>
          <w:color w:val="111111"/>
          <w:sz w:val="28"/>
          <w:sz w:val="28"/>
          <w:szCs w:val="28"/>
          <w:rtl w:val="true"/>
          <w:lang w:bidi="fa-IR"/>
        </w:rPr>
        <w:t>وهذه الکفارة تجب أیضاً فی القتل الشبیه بالعمد والخطأ المحض لکنّها مرتبة؛ لما جاء فی ذیل الصحیحة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قتل خطأ أدّی دیته إلی أولیائه ثمّ أعتق رقبة فإن لم یجد صام شهرین متتابعین، فإن لم یستطع أطعم ستین مسکیناً مداً مداً، وکذلک إذاو هبت له دیة المقتول فالکفارة علیه فیما بینه وبین ربّه لازمة</w:t>
      </w:r>
      <w:r>
        <w:rPr>
          <w:rFonts w:eastAsia="IRNazanin" w:cs="IRNazanin"/>
          <w:color w:val="111111"/>
          <w:sz w:val="28"/>
          <w:szCs w:val="28"/>
          <w:rtl w:val="true"/>
          <w:lang w:bidi="fa-IR"/>
        </w:rPr>
        <w:t xml:space="preserve">. </w:t>
      </w:r>
      <w:r>
        <w:rPr>
          <w:rStyle w:val="FootnoteAnchor"/>
          <w:rtl w:val="true"/>
        </w:rPr>
        <w:footnoteReference w:id="1112"/>
      </w:r>
    </w:p>
    <w:p>
      <w:pPr>
        <w:pStyle w:val="BookText"/>
        <w:rPr/>
      </w:pPr>
      <w:r>
        <w:rPr>
          <w:rFonts w:ascii="IRNazanin" w:hAnsi="IRNazanin" w:eastAsia="IRNazanin"/>
          <w:color w:val="111111"/>
          <w:sz w:val="28"/>
          <w:sz w:val="28"/>
          <w:szCs w:val="28"/>
          <w:rtl w:val="true"/>
          <w:lang w:bidi="fa-IR"/>
        </w:rPr>
        <w:t xml:space="preserve">ودیة المرأة نصف دیة الرجل فی القتل بلا خلاف بین الأصحاب؛ وتدل علیه جملة من الروایات منها صحیحة عبدالله بن مسکان عن أبی عبدالله علیه السلام </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قَتلت المرأة رجلاً قُتلت به، وإذا قتل الرجل المرأة فإن أرادوا القود أدّوا فضل دیة الرجل علی دیة المرأة وأقادوه بها وإن لم یفعلوا قبلوا الدیة</w:t>
      </w:r>
    </w:p>
    <w:p>
      <w:pPr>
        <w:pStyle w:val="BookText"/>
        <w:rPr/>
      </w:pPr>
      <w:r>
        <w:rPr>
          <w:rFonts w:ascii="IRNazanin" w:hAnsi="IRNazanin" w:eastAsia="IRNazanin"/>
          <w:color w:val="111111"/>
          <w:sz w:val="28"/>
          <w:sz w:val="28"/>
          <w:szCs w:val="28"/>
          <w:rtl w:val="true"/>
          <w:lang w:bidi="fa-IR"/>
        </w:rPr>
        <w:t>دیة المرأة کاملة ودیة المرأة نصف دیة الرجل</w:t>
      </w:r>
      <w:r>
        <w:rPr>
          <w:rFonts w:eastAsia="IRNazanin" w:cs="IRNazanin"/>
          <w:color w:val="111111"/>
          <w:sz w:val="28"/>
          <w:szCs w:val="28"/>
          <w:rtl w:val="true"/>
          <w:lang w:bidi="fa-IR"/>
        </w:rPr>
        <w:t xml:space="preserve">. </w:t>
      </w:r>
      <w:r>
        <w:rPr>
          <w:rStyle w:val="FootnoteAnchor"/>
          <w:rtl w:val="true"/>
        </w:rPr>
        <w:footnoteReference w:id="1113"/>
      </w:r>
    </w:p>
    <w:p>
      <w:pPr>
        <w:pStyle w:val="BookText"/>
        <w:rPr/>
      </w:pPr>
      <w:r>
        <w:rPr>
          <w:rFonts w:ascii="IRNazanin" w:hAnsi="IRNazanin" w:eastAsia="IRNazanin"/>
          <w:color w:val="111111"/>
          <w:sz w:val="28"/>
          <w:sz w:val="28"/>
          <w:szCs w:val="28"/>
          <w:rtl w:val="true"/>
          <w:lang w:bidi="fa-IR"/>
        </w:rPr>
        <w:t xml:space="preserve">وامّا فی غیر القتل، فدیتها تساوی دیة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کان له مقدّر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تبلغ الثلث وإلا رجعت إلی نصف دیة الرجل، لجملة من الروایات، منها صحیحة أبان بن تغلب قال</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لأبی عبدالله علیه السلام ما تقول فی رجل قطع إصبعاً من أصابع المرأة، کم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من الإبل،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اثنتین؟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ثلاثاً؟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أربعاً؟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یقطع ثلاثاً فیکون علیه ثلاثون ویقطع أربعاً فیکون علیه 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کان یبلغنا ونحن بالعراق فنبرأ ممن قاله،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جاء به شیطان،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مهلاً یا أبان هذا حکم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المرأة تعاقل </w:t>
      </w:r>
      <w:r>
        <w:rPr>
          <w:rStyle w:val="FootnoteAnchor"/>
          <w:rtl w:val="true"/>
        </w:rPr>
        <w:footnoteReference w:id="1114"/>
      </w:r>
      <w:r>
        <w:rPr>
          <w:rFonts w:ascii="IRNazanin" w:hAnsi="IRNazanin" w:eastAsia="IRNazanin"/>
          <w:color w:val="111111"/>
          <w:sz w:val="28"/>
          <w:sz w:val="28"/>
          <w:szCs w:val="28"/>
          <w:rtl w:val="true"/>
          <w:lang w:bidi="fa-IR"/>
        </w:rPr>
        <w:t>الرجل إلی ثلث الدیة، فإذا بلغت الثلث رجعت إلی النصف، یا أبان إنک أخذتنی بالقیاس، والسنّة إذا قیست محق الدین</w:t>
      </w:r>
      <w:r>
        <w:rPr>
          <w:rFonts w:eastAsia="IRNazanin" w:cs="IRNazanin"/>
          <w:color w:val="111111"/>
          <w:sz w:val="28"/>
          <w:szCs w:val="28"/>
          <w:rtl w:val="true"/>
          <w:lang w:bidi="fa-IR"/>
        </w:rPr>
        <w:t xml:space="preserve">. </w:t>
      </w:r>
      <w:r>
        <w:rPr>
          <w:rStyle w:val="FootnoteAnchor"/>
          <w:rtl w:val="true"/>
        </w:rPr>
        <w:footnoteReference w:id="1115"/>
      </w:r>
      <w:bookmarkStart w:id="1190" w:name="pg5021_49619"/>
    </w:p>
    <w:p>
      <w:pPr>
        <w:pStyle w:val="Heading3"/>
        <w:numPr>
          <w:ilvl w:val="2"/>
          <w:numId w:val="1"/>
        </w:numPr>
        <w:rPr/>
      </w:pPr>
      <w:bookmarkStart w:id="1191" w:name="__RefHeading___Toc581210_774463916"/>
      <w:bookmarkStart w:id="1192" w:name="_Toc473"/>
      <w:bookmarkEnd w:id="1190"/>
      <w:bookmarkEnd w:id="1191"/>
      <w:r>
        <w:rPr>
          <w:rtl w:val="true"/>
        </w:rPr>
        <w:t>الدرس</w:t>
      </w:r>
      <w:r>
        <w:rPr/>
        <w:t>33</w:t>
      </w:r>
      <w:r>
        <w:rPr>
          <w:rtl w:val="true"/>
        </w:rPr>
        <w:t xml:space="preserve"> - </w:t>
      </w:r>
      <w:r>
        <w:rPr>
          <w:rtl w:val="true"/>
        </w:rPr>
        <w:t>کتاب الاجتهاد والتقلید</w:t>
      </w:r>
      <w:bookmarkEnd w:id="1192"/>
    </w:p>
    <w:p>
      <w:pPr>
        <w:pStyle w:val="BookText"/>
        <w:rPr/>
      </w:pPr>
      <w:r>
        <w:rPr>
          <w:rFonts w:ascii="IRNazanin" w:hAnsi="IRNazanin" w:eastAsia="IRNazanin"/>
          <w:color w:val="111111"/>
          <w:sz w:val="28"/>
          <w:sz w:val="28"/>
          <w:szCs w:val="28"/>
          <w:rtl w:val="true"/>
          <w:lang w:bidi="fa-IR"/>
        </w:rPr>
        <w:t>وفیه مسائل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یجب علی کلّ من یحتمل التکلیف الإلزامی فی أمر من أموره سواءً کان عبادة أو غیرها أن یأتی به، أو یکون معذوراً فی مخالفته، والأوّل هو الاحتیاط، والثانی ینحصر فی الاجتهاد والتقلید؛ وهذا الوجوب عقلی، بملاک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الضرر المحتمل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العقاب إذ البراءة العقلیة لا تجری قبل الفحص، والحاصل إنّ الإنسان عبد لله عزوجل لا یملک لنفسه شیئاً کما أنّ الخَلْق کلّه کذلک، فکلّ فعلٍ أو ترک یصدر منه لابد أن یکون مستنداً إلی اذنه ورضاه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یجوز للعامی تقلید العالم الجامع للشرائط، والدلیل علیه السیرة القطعیة بین العقلاء علی رجوع الجاهل إلی العالم فیما لا یعلم، 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الْمُؤْمِنُونَ لِیَنْفِرُوا کَافَّةً فَلَوْ لا نَفَرَ مِنْ کُلِّ فِرْقَةٍ مِنْهُمْ طائِفَةٌ لِیَتَفَقَّهُوا فِی الدِّینِ وَ لِیُنْذِرُوا قَوْمَهُمْ إِذا رَجَعُوا إِلَیْهِمْ لَعَلَّهُمْ یَحْذَرُونَ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والحذر عقیب الإنذار یکون شاملاً عرفاً للتقلید، وقد جعل غایة للإنذار الواجب، فهو واجب، فیکون فتوی الفقیه حجّة یصحّ العمل به، ویدل علی جواز التقلید أیضاً الروایات الکثیرة، منها صحیح أحمد بن إسحاق عن أبی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سألته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أعامل وعمّن آخذ وقولَ من أقبل؟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العمری ثقتی، فما أدّی إلیک عنی فعنّی یؤدی، وما قال لک عنی فعنی یقول فاسمع له وأطع فإنه الثقة المأمون،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 أبا محمد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 علیه السلام عن مثل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العمری وابنه ثقتان، فما أدّیا إلیک عنّی فعنّی یؤدیان، وما قالا لک فعنّی یقولان فاسمع لهما وأطعهما فإنهما الثقتان المأمرنان</w:t>
      </w:r>
      <w:r>
        <w:rPr>
          <w:rFonts w:eastAsia="IRNazanin" w:cs="IRNazanin"/>
          <w:color w:val="111111"/>
          <w:sz w:val="28"/>
          <w:szCs w:val="28"/>
          <w:rtl w:val="true"/>
          <w:lang w:bidi="fa-IR"/>
        </w:rPr>
        <w:t xml:space="preserve">.... </w:t>
      </w:r>
      <w:r>
        <w:rPr>
          <w:rStyle w:val="FootnoteAnchor"/>
          <w:rtl w:val="true"/>
        </w:rPr>
        <w:footnoteReference w:id="1116"/>
      </w:r>
    </w:p>
    <w:p>
      <w:pPr>
        <w:pStyle w:val="BookText"/>
        <w:rPr/>
      </w:pPr>
      <w:r>
        <w:rPr>
          <w:rFonts w:ascii="IRNazanin" w:hAnsi="IRNazanin" w:eastAsia="IRNazanin"/>
          <w:color w:val="111111"/>
          <w:sz w:val="28"/>
          <w:sz w:val="28"/>
          <w:szCs w:val="28"/>
          <w:rtl w:val="true"/>
          <w:lang w:bidi="fa-IR"/>
        </w:rPr>
        <w:t>ومنها ما رواه عبد العزیز بن المهتدی، والحسن‌بن علی‌بن یقطین جمیعاً عن الرضا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أکاد أصل إلیک أسألک عن کلّ ما احتاج إلیه من معالم دینی، أفیونس بن عبدالرحمن ثقة آخذ عنه ما احتاج إلیه من معالم دینی؟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117"/>
      </w:r>
    </w:p>
    <w:p>
      <w:pPr>
        <w:pStyle w:val="BookText"/>
        <w:rPr/>
      </w:pPr>
      <w:r>
        <w:rPr>
          <w:rFonts w:ascii="IRNazanin" w:hAnsi="IRNazanin" w:eastAsia="IRNazanin"/>
          <w:color w:val="111111"/>
          <w:sz w:val="28"/>
          <w:sz w:val="28"/>
          <w:szCs w:val="28"/>
          <w:rtl w:val="true"/>
          <w:lang w:bidi="fa-IR"/>
        </w:rPr>
        <w:t>إلی غیر ذلک من الروایات الکثیرة الآمرة بالرجوع إلی آحاد الرواة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حاجة إلی التقلید فی الضروریات، کوجوب الصلاة، وکذا فی الیقینیات، إذ التقلید هو رجوع الجاهل إلی العالم، ففی مورد العلم لا مجال للتقلید کما هو واضح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العامی بلا تقلید ولا احتیاط باطل، بمعنی عدم جواز الاجتزاء به عقلاً إذ هو بعد العمل یحتمل عدم الامتثال ومعه یحکّم عقله بتحصیل المؤمِّن کما کان کذلک قبل العمل، إلا أن یعلم بمطابقته للواقع وهو نادر أو لفتوی من یجب علیه تقلیده، فیکون قد عمل بالحجة وبعبارة أخری لابدّ له أن یطلب مؤمِّناً فإن کان العلم فهو والا انحصرت فی التقلید، فإن طابق عمله رأی من یجب علیه تقلیده فهو وإلّا فلابد من إعادته تحصیلاً للعلم وهو الاحتیاط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یجوز للعامی ترک الاجتهاد والتقلید والعمل بالاحتیاط؛ لأنّ به یحصل العلم بالامتثال، بشرط أن یعرف موارد الاحتیاط وإلاّ لم یکن احتیاطاً ای موجباً للعلم بالامتثال، فلا یحصل الأمن</w:t>
      </w:r>
      <w:r>
        <w:rPr>
          <w:rFonts w:eastAsia="IRNazanin" w:cs="IRNazanin"/>
          <w:color w:val="111111"/>
          <w:sz w:val="28"/>
          <w:szCs w:val="28"/>
          <w:rtl w:val="true"/>
          <w:lang w:bidi="fa-IR"/>
        </w:rPr>
        <w:t>.</w:t>
      </w:r>
      <w:bookmarkStart w:id="1193" w:name="pg5021_49621"/>
    </w:p>
    <w:p>
      <w:pPr>
        <w:pStyle w:val="Heading3"/>
        <w:numPr>
          <w:ilvl w:val="2"/>
          <w:numId w:val="1"/>
        </w:numPr>
        <w:rPr/>
      </w:pPr>
      <w:bookmarkStart w:id="1194" w:name="__RefHeading___Toc581212_774463916"/>
      <w:bookmarkStart w:id="1195" w:name="_Toc474"/>
      <w:bookmarkEnd w:id="1193"/>
      <w:bookmarkEnd w:id="1194"/>
      <w:r>
        <w:rPr>
          <w:rtl w:val="true"/>
        </w:rPr>
        <w:t>الدرس</w:t>
      </w:r>
      <w:r>
        <w:rPr/>
        <w:t>34</w:t>
      </w:r>
      <w:r>
        <w:rPr>
          <w:rtl w:val="true"/>
        </w:rPr>
        <w:t>-</w:t>
      </w:r>
      <w:r>
        <w:rPr>
          <w:rtl w:val="true"/>
        </w:rPr>
        <w:t xml:space="preserve">کتاب الاجتهاد والتقلید </w:t>
      </w:r>
      <w:r>
        <w:rPr>
          <w:rtl w:val="true"/>
        </w:rPr>
        <w:t>(</w:t>
      </w:r>
      <w:r>
        <w:rPr/>
        <w:t>2</w:t>
      </w:r>
      <w:r>
        <w:rPr>
          <w:rtl w:val="true"/>
        </w:rPr>
        <w:t>)</w:t>
      </w:r>
      <w:bookmarkEnd w:id="1195"/>
    </w:p>
    <w:p>
      <w:pPr>
        <w:pStyle w:val="Heading4"/>
        <w:numPr>
          <w:ilvl w:val="3"/>
          <w:numId w:val="1"/>
        </w:numPr>
        <w:rPr/>
      </w:pPr>
      <w:bookmarkStart w:id="1196" w:name="__RefHeading___Toc581214_774463916"/>
      <w:bookmarkStart w:id="1197" w:name="_Toc475"/>
      <w:bookmarkEnd w:id="1196"/>
      <w:r>
        <w:rPr>
          <w:rtl w:val="true"/>
        </w:rPr>
        <w:t>شرائط مرجع التقلید</w:t>
      </w:r>
      <w:bookmarkEnd w:id="1197"/>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یشترط فیه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لعدم السیرة العقلائیة علی الرجوع إلی المجنون وینصرف عنه الأدلة اللفظیة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البلوغ، ولا دلیل علیه إلا الاجماع لو تمّ کما فی المستمسک، </w:t>
      </w:r>
      <w:r>
        <w:rPr>
          <w:rStyle w:val="FootnoteAnchor"/>
          <w:rtl w:val="true"/>
        </w:rPr>
        <w:footnoteReference w:id="111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وربما کان غیر البالغ حائزاً مرتبة النبوة أو الإمامة فکیف، لا یصلح أن یحوز منصب الفتوی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19"/>
      </w:r>
      <w:r>
        <w:rPr>
          <w:rFonts w:ascii="IRNazanin" w:hAnsi="IRNazanin" w:eastAsia="IRNazanin"/>
          <w:color w:val="111111"/>
          <w:sz w:val="28"/>
          <w:sz w:val="28"/>
          <w:szCs w:val="28"/>
          <w:rtl w:val="true"/>
          <w:lang w:bidi="fa-IR"/>
        </w:rPr>
        <w:t>والسیرة العقلائیة تشمل غیر البالغ کالبالغ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فلا یصحّ تقلید الکافر وإن استنبط عن طریق الحقّ؛ لما هو معلوم من حال الکافر عند الشارع وعدم ارتضائه بذلک المنصب الجلیل له، بل هو وهن للإسلام والمسلمین کما هو واضح، وعدم السیرة العقلائیة علی الاعتماد علی المخالف فی مثل هذه الامور</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بمعنی کونه معتقداً لمذهب الحق، والکلام فیه هو الکلام فیما تقدّم بل المخالف فاسق وظالم، ولا یجوز الاعتماد علیه ولا الرکون إلیه؛ قال الله تبارک</w:t>
      </w:r>
    </w:p>
    <w:p>
      <w:pPr>
        <w:pStyle w:val="BookText"/>
        <w:rPr/>
      </w:pPr>
      <w:r>
        <w:rPr>
          <w:rFonts w:ascii="Amiri" w:hAnsi="Amiri" w:eastAsia="Amiri" w:cs="Amiri"/>
          <w:color w:val="111111"/>
          <w:sz w:val="28"/>
          <w:sz w:val="28"/>
          <w:szCs w:val="28"/>
          <w:rtl w:val="true"/>
          <w:lang w:bidi="ar-SA"/>
        </w:rPr>
        <w:t>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تَرْکَنُوا إِلَی الَّذِینَ ظَلَمُوا فَتَمَسَّکُمُ النّارُ</w:t>
      </w:r>
      <w:r>
        <w:rPr>
          <w:rFonts w:eastAsia="Amiri" w:cs="Amiri" w:ascii="Amiri" w:hAnsi="Amiri"/>
          <w:color w:val="111111"/>
          <w:sz w:val="28"/>
          <w:szCs w:val="28"/>
          <w:rtl w:val="true"/>
          <w:lang w:bidi="ar-SA"/>
        </w:rPr>
        <w:t xml:space="preserve">... . </w:t>
      </w:r>
      <w:r>
        <w:rPr>
          <w:rStyle w:val="FootnoteAnchor"/>
          <w:rtl w:val="true"/>
        </w:rPr>
        <w:footnoteReference w:id="1120"/>
      </w:r>
    </w:p>
    <w:p>
      <w:pPr>
        <w:pStyle w:val="BookText"/>
        <w:rPr/>
      </w:pPr>
      <w:r>
        <w:rPr>
          <w:rFonts w:ascii="IRNazanin" w:hAnsi="IRNazanin" w:eastAsia="IRNazanin"/>
          <w:color w:val="111111"/>
          <w:sz w:val="28"/>
          <w:sz w:val="28"/>
          <w:szCs w:val="28"/>
          <w:rtl w:val="true"/>
          <w:lang w:bidi="fa-IR"/>
        </w:rPr>
        <w:t>هذا مضافاً إلی بعض الروایات الناهیه عن الرجوع إلیهم، لاحظ ما رواه علی بن سوید السائی،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إلیّ أبوالحسن علیه السلام وهو فی 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ذکرت یا علیّ، ممن تأخذ معالم دینک، لا تأخذنّ معالم دینک عن غیر شیعتنا</w:t>
      </w:r>
      <w:r>
        <w:rPr>
          <w:rFonts w:eastAsia="IRNazanin" w:cs="IRNazanin"/>
          <w:color w:val="111111"/>
          <w:sz w:val="28"/>
          <w:szCs w:val="28"/>
          <w:rtl w:val="true"/>
          <w:lang w:bidi="fa-IR"/>
        </w:rPr>
        <w:t xml:space="preserve">.... </w:t>
      </w:r>
      <w:r>
        <w:rPr>
          <w:rStyle w:val="FootnoteAnchor"/>
          <w:rtl w:val="true"/>
        </w:rPr>
        <w:footnoteReference w:id="1121"/>
      </w:r>
    </w:p>
    <w:p>
      <w:pPr>
        <w:pStyle w:val="BookText"/>
        <w:rPr/>
      </w:pPr>
      <w:r>
        <w:rPr>
          <w:rFonts w:ascii="IRNazanin" w:hAnsi="IRNazanin" w:eastAsia="IRNazanin"/>
          <w:color w:val="111111"/>
          <w:sz w:val="28"/>
          <w:sz w:val="28"/>
          <w:szCs w:val="28"/>
          <w:rtl w:val="true"/>
          <w:lang w:bidi="fa-IR"/>
        </w:rPr>
        <w:t>هذا مضافاً إلی الإجماع المحکی، قال فی المستمسک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حکی علیه إجماع السلف الصالح والخلف</w:t>
      </w:r>
      <w:r>
        <w:rPr>
          <w:rFonts w:eastAsia="IRNazanin" w:cs="IRNazanin"/>
          <w:color w:val="111111"/>
          <w:sz w:val="28"/>
          <w:szCs w:val="28"/>
          <w:rtl w:val="true"/>
          <w:lang w:bidi="fa-IR"/>
        </w:rPr>
        <w:t xml:space="preserve">». </w:t>
      </w:r>
      <w:r>
        <w:rPr>
          <w:rStyle w:val="FootnoteAnchor"/>
          <w:rtl w:val="true"/>
        </w:rPr>
        <w:footnoteReference w:id="1122"/>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المستمسک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علیه دلیل ظاهر غیر دعوی انصراف الإطلاقات إلی الرجل واختصاص بعضها به، لکن لوسلّم فلیس بحیث یصلح رادعاً عن بناء العقلاء وکانّه لذلک أفتی بعض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بجواز تقلید الأنثی والخنثی</w:t>
      </w:r>
      <w:r>
        <w:rPr>
          <w:rFonts w:eastAsia="IRNazanin" w:cs="IRNazanin"/>
          <w:color w:val="111111"/>
          <w:sz w:val="28"/>
          <w:szCs w:val="28"/>
          <w:rtl w:val="true"/>
          <w:lang w:bidi="fa-IR"/>
        </w:rPr>
        <w:t xml:space="preserve">. </w:t>
      </w:r>
      <w:r>
        <w:rPr>
          <w:rStyle w:val="FootnoteAnchor"/>
          <w:rtl w:val="true"/>
        </w:rPr>
        <w:footnoteReference w:id="1123"/>
      </w:r>
      <w:r>
        <w:rPr>
          <w:rFonts w:ascii="IRNazanin" w:hAnsi="IRNazanin" w:eastAsia="IRNazanin"/>
          <w:color w:val="111111"/>
          <w:sz w:val="28"/>
          <w:sz w:val="28"/>
          <w:szCs w:val="28"/>
          <w:rtl w:val="true"/>
          <w:lang w:bidi="fa-IR"/>
        </w:rPr>
        <w:t>وأمّا ما ذکره بعض الأجلاء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فهم من مذاق الشرع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اللازم علی المرأة الاستتار، ولم یرضَ الشارع تصدّی المرأة للأمور العامة وإدارتها، وهذا رادع عن 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تأمل إذ کما یجب علی المرأة الرجوع إلی الرجل المجتهد لأخذ معالم دینها مع کراهة الاختلاط، فلیکن کذلک فی رجوع الرجل إلیها، ولا ربط لتصدّی الأمور العامة مع المرجعیة العقلائیة لإمکان کمال التستر والعمل بآرائها المحفوظة فی الرسائل العملیة وغیرها لا سیما إذا کان المراجع امرأة أو ماتت المجتهدة وقلنا بجواز البقاء علی تقلید المیت، والحاصل، الإعراض عن السیرة العقلائیة لا سیما فی الرجوع إلی الأعلم، بمثل هذا الوجه مشکل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واعتبارها هو المعروف عند الأصحاب بل هو إجماع کما قیل </w:t>
      </w:r>
      <w:r>
        <w:rPr>
          <w:rStyle w:val="FootnoteAnchor"/>
          <w:rtl w:val="true"/>
        </w:rPr>
        <w:footnoteReference w:id="1124"/>
      </w:r>
      <w:r>
        <w:rPr>
          <w:rFonts w:ascii="IRNazanin" w:hAnsi="IRNazanin" w:eastAsia="IRNazanin"/>
          <w:color w:val="111111"/>
          <w:sz w:val="28"/>
          <w:sz w:val="28"/>
          <w:szCs w:val="28"/>
          <w:rtl w:val="true"/>
          <w:lang w:bidi="fa-IR"/>
        </w:rPr>
        <w:t>ویؤیده فحوی عدم جواز إمامة الجماعة للفاسق وما دل علی الاجتناب عن الفاسق من العلماء وهو کثیر، منها مارواه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أمیرالمومنین علیه السلام فی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فاتقوا الفاسق من العلماء، والجاهل من المتعبدین</w:t>
      </w:r>
      <w:r>
        <w:rPr>
          <w:rFonts w:eastAsia="IRNazanin" w:cs="IRNazanin"/>
          <w:color w:val="111111"/>
          <w:sz w:val="28"/>
          <w:szCs w:val="28"/>
          <w:rtl w:val="true"/>
          <w:lang w:bidi="fa-IR"/>
        </w:rPr>
        <w:t xml:space="preserve">. </w:t>
      </w:r>
      <w:r>
        <w:rPr>
          <w:rStyle w:val="FootnoteAnchor"/>
          <w:rtl w:val="true"/>
        </w:rPr>
        <w:footnoteReference w:id="1125"/>
      </w:r>
    </w:p>
    <w:p>
      <w:pPr>
        <w:pStyle w:val="BookText"/>
        <w:rPr/>
      </w:pPr>
      <w:r>
        <w:rPr>
          <w:rFonts w:ascii="IRNazanin" w:hAnsi="IRNazanin" w:eastAsia="IRNazanin"/>
          <w:color w:val="111111"/>
          <w:sz w:val="28"/>
          <w:sz w:val="28"/>
          <w:szCs w:val="28"/>
          <w:rtl w:val="true"/>
          <w:lang w:bidi="fa-IR"/>
        </w:rPr>
        <w:t xml:space="preserve">وما رواه فی قرب الاسناد عنه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إیاکم والجهال من المتعبّدین، والفجار من العلماء؛ فإنّهم فتنة کل مفتون</w:t>
      </w:r>
      <w:r>
        <w:rPr>
          <w:rFonts w:eastAsia="IRNazanin" w:cs="IRNazanin"/>
          <w:color w:val="111111"/>
          <w:sz w:val="28"/>
          <w:szCs w:val="28"/>
          <w:rtl w:val="true"/>
          <w:lang w:bidi="fa-IR"/>
        </w:rPr>
        <w:t xml:space="preserve">. </w:t>
      </w:r>
      <w:r>
        <w:rPr>
          <w:rStyle w:val="FootnoteAnchor"/>
          <w:rtl w:val="true"/>
        </w:rPr>
        <w:footnoteReference w:id="1126"/>
      </w:r>
    </w:p>
    <w:p>
      <w:pPr>
        <w:pStyle w:val="BookText"/>
        <w:rPr/>
      </w:pPr>
      <w:r>
        <w:rPr>
          <w:rFonts w:ascii="IRNazanin" w:hAnsi="IRNazanin" w:eastAsia="IRNazanin"/>
          <w:color w:val="111111"/>
          <w:sz w:val="28"/>
          <w:sz w:val="28"/>
          <w:szCs w:val="28"/>
          <w:rtl w:val="true"/>
          <w:lang w:bidi="fa-IR"/>
        </w:rPr>
        <w:t xml:space="preserve">ومنها المروی عن الصادق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رأیتم العالم محبّاً للدنیا فاتّهموه علی دینکم، فانّ کلّ محبّ یحوط ما احبّ</w:t>
      </w:r>
      <w:r>
        <w:rPr>
          <w:rFonts w:eastAsia="Amiri" w:cs="Amiri" w:ascii="Amiri" w:hAnsi="Amiri"/>
          <w:color w:val="111111"/>
          <w:sz w:val="28"/>
          <w:szCs w:val="28"/>
          <w:rtl w:val="true"/>
          <w:lang w:bidi="ar-SA"/>
        </w:rPr>
        <w:t xml:space="preserve">. </w:t>
      </w:r>
      <w:r>
        <w:rPr>
          <w:rStyle w:val="FootnoteAnchor"/>
          <w:rtl w:val="true"/>
        </w:rPr>
        <w:footnoteReference w:id="1127"/>
      </w:r>
    </w:p>
    <w:p>
      <w:pPr>
        <w:pStyle w:val="BookText"/>
        <w:rPr/>
      </w:pPr>
      <w:r>
        <w:rPr>
          <w:rFonts w:ascii="IRNazanin" w:hAnsi="IRNazanin" w:eastAsia="IRNazanin"/>
          <w:color w:val="111111"/>
          <w:sz w:val="28"/>
          <w:sz w:val="28"/>
          <w:szCs w:val="28"/>
          <w:rtl w:val="true"/>
          <w:lang w:bidi="fa-IR"/>
        </w:rPr>
        <w:t>بل فی الحدیث القدسی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لاتجعل بینی وبینک عالِماً مفتونا بالدنیا؛ فیصدّک عن طریق محبّتی، فانّ أولئک قطّاع طریق عبادی المریدین، انّ أدنی ما أنا صانع بهم أن أنزع حلاوة مناجاتی من قلوبهم</w:t>
      </w:r>
      <w:r>
        <w:rPr>
          <w:rFonts w:eastAsia="IRNazanin" w:cs="IRNazanin"/>
          <w:color w:val="111111"/>
          <w:sz w:val="28"/>
          <w:szCs w:val="28"/>
          <w:rtl w:val="true"/>
          <w:lang w:bidi="fa-IR"/>
        </w:rPr>
        <w:t xml:space="preserve">. </w:t>
      </w:r>
      <w:r>
        <w:rPr>
          <w:rStyle w:val="FootnoteAnchor"/>
          <w:rtl w:val="true"/>
        </w:rPr>
        <w:footnoteReference w:id="1128"/>
      </w:r>
    </w:p>
    <w:p>
      <w:pPr>
        <w:pStyle w:val="BookText"/>
        <w:rPr/>
      </w:pPr>
      <w:r>
        <w:rPr>
          <w:rFonts w:ascii="Amiri" w:hAnsi="Amiri" w:eastAsia="Amiri" w:cs="Amiri"/>
          <w:color w:val="111111"/>
          <w:sz w:val="28"/>
          <w:sz w:val="28"/>
          <w:szCs w:val="28"/>
          <w:rtl w:val="true"/>
          <w:lang w:bidi="ar-SA"/>
        </w:rPr>
        <w:t>وما دلّ علی النهی عن الرجوع إلی الظالمین،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تَرْکَنُوا إِلَی الَّذِینَ ظَلَمُوا فَتَمَسَّکُمُ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یمکن أن یدّعی القطع بأن الشارع لا یرضی بمرجعیة الفاسق لأنّها وهن علی الإسلام والمسلمین وإن کان ثقة، فهل تجد فی نفسک رضا الشارع بمرجعیة العامة لمن یشرب الخمر؟</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المستمسک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المترکز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المتشرعة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قدح المعصیة فی هذا المنصب</w:t>
      </w:r>
    </w:p>
    <w:p>
      <w:pPr>
        <w:pStyle w:val="BookText"/>
        <w:rPr/>
      </w:pPr>
      <w:r>
        <w:rPr>
          <w:rFonts w:ascii="IRNazanin" w:hAnsi="IRNazanin" w:eastAsia="IRNazanin"/>
          <w:color w:val="111111"/>
          <w:sz w:val="28"/>
          <w:sz w:val="28"/>
          <w:szCs w:val="28"/>
          <w:rtl w:val="true"/>
          <w:lang w:bidi="fa-IR"/>
        </w:rPr>
        <w:t xml:space="preserve">علی نحو لا تجدی عندهم التوبة والندم، فالعدالة المعتبرة مرتبة عالیة لاتزاحم ولاتغلب، والإنصاف أنّه یصعب جداً بقاء العدالة للمرجع العام فی الفتوی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یتفق ذلک فی کل عصر لواحد أو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تکن بمرتبة قویة عالیة ذات مراقبة ومحاسبة، فإن ذلک مزلّة الأقدام ومخطرة الرجال العظام، ومنه سبحانه نستمد الاعتصام</w:t>
      </w:r>
      <w:r>
        <w:rPr>
          <w:rFonts w:eastAsia="IRNazanin" w:cs="IRNazanin"/>
          <w:color w:val="111111"/>
          <w:sz w:val="28"/>
          <w:szCs w:val="28"/>
          <w:rtl w:val="true"/>
          <w:lang w:bidi="fa-IR"/>
        </w:rPr>
        <w:t xml:space="preserve">» </w:t>
      </w:r>
      <w:r>
        <w:rPr>
          <w:rStyle w:val="FootnoteAnchor"/>
          <w:rtl w:val="true"/>
        </w:rPr>
        <w:footnoteReference w:id="1129"/>
      </w:r>
      <w:r>
        <w:rPr>
          <w:rFonts w:ascii="IRNazanin" w:hAnsi="IRNazanin" w:eastAsia="IRNazanin"/>
          <w:color w:val="111111"/>
          <w:sz w:val="28"/>
          <w:sz w:val="28"/>
          <w:szCs w:val="28"/>
          <w:rtl w:val="true"/>
          <w:lang w:bidi="fa-IR"/>
        </w:rPr>
        <w:t>بل ربما یکون مرجعیة الفاسق فضلاً عن المخالف أو الکافر ترویجاً لباطلهم ومن الأمر بالمنکر والنهی عن المعروف عملاً الذی هو أقوی من القول؛ ولذا صرّح بعضهم بتحریم الأمر بالمعروف مع ترک الآمر له لتلک النکتة</w:t>
      </w:r>
      <w:r>
        <w:rPr>
          <w:rFonts w:eastAsia="IRNazanin" w:cs="IRNazanin"/>
          <w:color w:val="111111"/>
          <w:sz w:val="28"/>
          <w:szCs w:val="28"/>
          <w:rtl w:val="true"/>
          <w:lang w:bidi="fa-IR"/>
        </w:rPr>
        <w:t xml:space="preserve">. </w:t>
      </w:r>
      <w:r>
        <w:rPr>
          <w:rStyle w:val="FootnoteAnchor"/>
          <w:rtl w:val="true"/>
        </w:rPr>
        <w:footnoteReference w:id="1130"/>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الوثاقة، بمعنی کون المرجع مأموناً ثقة، وهذا الشرط معتبر عند العقلاء قطعاً، فلا یعتمدون علی العالم الخائن أو غیر المعتمد، نعم، مع اعتبار العدالة یکون هذا الشرط مستدرکاً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طهارة المولد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 اعتبارها إلاجماع کما عن الروضة، </w:t>
      </w:r>
      <w:r>
        <w:rPr>
          <w:rStyle w:val="FootnoteAnchor"/>
          <w:rtl w:val="true"/>
        </w:rPr>
        <w:footnoteReference w:id="1131"/>
      </w:r>
      <w:r>
        <w:rPr>
          <w:rFonts w:ascii="IRNazanin" w:hAnsi="IRNazanin" w:eastAsia="IRNazanin"/>
          <w:color w:val="111111"/>
          <w:sz w:val="28"/>
          <w:sz w:val="28"/>
          <w:szCs w:val="28"/>
          <w:rtl w:val="true"/>
          <w:lang w:bidi="fa-IR"/>
        </w:rPr>
        <w:t>ویؤیده فحوی اشتراطها فی إمام الجماعة، والشاهد مضافاً إلی لزوم الوهن من عدمها کما لا یخفی</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الاجتهاد، واعتباره واضح، إذ مع عدمه یکون من رجوع الجاهل إلی مثله، وهل یشترط فیه الاجتهاد المطلق المدعی علیه الوفاق أو الإجماع؛ </w:t>
      </w:r>
      <w:r>
        <w:rPr>
          <w:rStyle w:val="FootnoteAnchor"/>
          <w:rtl w:val="true"/>
        </w:rPr>
        <w:footnoteReference w:id="1132"/>
      </w:r>
      <w:r>
        <w:rPr>
          <w:rFonts w:ascii="IRNazanin" w:hAnsi="IRNazanin" w:eastAsia="IRNazanin"/>
          <w:color w:val="111111"/>
          <w:sz w:val="28"/>
          <w:sz w:val="28"/>
          <w:szCs w:val="28"/>
          <w:rtl w:val="true"/>
          <w:lang w:bidi="fa-IR"/>
        </w:rPr>
        <w:t>بأن تکون له الملکة الموجبة للقدرة علی استنباط جمیع الأحکام، أو یکفی التجزی الذی بمعنی القدرة علی استنباط بعضها، إذ المسائل ذو مراتب من حیث المدارک وصعوبة مقدمات الاستنباط وسهولتها، ولا یخفی أنّ بناء العقلاء یکون علی الرجوع إلی العالم مطلقاً بل لا وجه لاشتراط إلاطلاق بعد کون الملاک هو الخبرویة فی المسألة، بل لعلّ</w:t>
      </w:r>
    </w:p>
    <w:p>
      <w:pPr>
        <w:pStyle w:val="BookText"/>
        <w:rPr/>
      </w:pPr>
      <w:r>
        <w:rPr>
          <w:rFonts w:ascii="IRNazanin" w:hAnsi="IRNazanin" w:eastAsia="IRNazanin"/>
          <w:color w:val="111111"/>
          <w:sz w:val="28"/>
          <w:sz w:val="28"/>
          <w:szCs w:val="28"/>
          <w:rtl w:val="true"/>
          <w:lang w:bidi="fa-IR"/>
        </w:rPr>
        <w:t>الاجتهاد المطلق یکون متعسّراً الیوم بعد احتیاج الاستنباط فی کثیر من الموضوعات إلی مقدمات زائدة مختصة کما نشاهد ذلک فی العلوم الرائجة فی عصرنا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یؤید ما ذکر بمشهورة أبی خدیجه عن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إیاکم أن یحاکم بعضکم بعضاً إلی أهل الجور، ولکن انظروا إی رجل منکم یعلم شیئاً من قضائنا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قضایانا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فاجعلوه بینکم فإنّی قد جعلته قاضیاً فتحاکموا إلیه</w:t>
      </w:r>
      <w:r>
        <w:rPr>
          <w:rFonts w:eastAsia="IRNazanin" w:cs="IRNazanin"/>
          <w:color w:val="111111"/>
          <w:sz w:val="28"/>
          <w:szCs w:val="28"/>
          <w:rtl w:val="true"/>
          <w:lang w:bidi="fa-IR"/>
        </w:rPr>
        <w:t xml:space="preserve">. </w:t>
      </w:r>
      <w:r>
        <w:rPr>
          <w:rStyle w:val="FootnoteAnchor"/>
          <w:rtl w:val="true"/>
        </w:rPr>
        <w:footnoteReference w:id="1133"/>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المستمسک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وسندها لا یخلو من اعتبار، و کونها فی القضاء لا یمنع من الاستدلال بها فی المقام؛ لأنّ منصب القضاء منصب للفتوی ولا عکس، فما دلّ علی عدم اعتبار شیءٍ فی القاضی یدل علی عدم اعتباره فی المفتی</w:t>
      </w:r>
      <w:r>
        <w:rPr>
          <w:rFonts w:eastAsia="IRNazanin" w:cs="IRNazanin"/>
          <w:color w:val="111111"/>
          <w:sz w:val="28"/>
          <w:szCs w:val="28"/>
          <w:rtl w:val="true"/>
          <w:lang w:bidi="fa-IR"/>
        </w:rPr>
        <w:t xml:space="preserve">». </w:t>
      </w:r>
      <w:r>
        <w:rPr>
          <w:rStyle w:val="FootnoteAnchor"/>
          <w:rtl w:val="true"/>
        </w:rPr>
        <w:footnoteReference w:id="1134"/>
      </w:r>
      <w:bookmarkStart w:id="1198" w:name="pg5021_49626"/>
    </w:p>
    <w:p>
      <w:pPr>
        <w:pStyle w:val="Heading3"/>
        <w:numPr>
          <w:ilvl w:val="2"/>
          <w:numId w:val="1"/>
        </w:numPr>
        <w:rPr/>
      </w:pPr>
      <w:bookmarkStart w:id="1199" w:name="__RefHeading___Toc581216_774463916"/>
      <w:bookmarkStart w:id="1200" w:name="_Toc476"/>
      <w:bookmarkEnd w:id="1198"/>
      <w:bookmarkEnd w:id="1199"/>
      <w:r>
        <w:rPr>
          <w:rtl w:val="true"/>
        </w:rPr>
        <w:t>الدرس</w:t>
      </w:r>
      <w:r>
        <w:rPr/>
        <w:t>35</w:t>
      </w:r>
      <w:r>
        <w:rPr>
          <w:rtl w:val="true"/>
        </w:rPr>
        <w:t xml:space="preserve"> - </w:t>
      </w:r>
      <w:r>
        <w:rPr>
          <w:rtl w:val="true"/>
        </w:rPr>
        <w:t xml:space="preserve">کتاب الاجتهاد والتقلید </w:t>
      </w:r>
      <w:r>
        <w:rPr>
          <w:rtl w:val="true"/>
        </w:rPr>
        <w:t>(</w:t>
      </w:r>
      <w:r>
        <w:rPr/>
        <w:t>3</w:t>
      </w:r>
      <w:r>
        <w:rPr>
          <w:rtl w:val="true"/>
        </w:rPr>
        <w:t>)</w:t>
      </w:r>
      <w:bookmarkEnd w:id="1200"/>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تقلید المیت ابتداءً، إجماعاً إلّا عن جماعة من علمائنا الأخباریین، قال فی المستمسک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تأمّل فی صحة النسبة أی إلی الجماعة</w:t>
      </w:r>
      <w:r>
        <w:rPr>
          <w:rFonts w:eastAsia="IRNazanin" w:cs="IRNazanin"/>
          <w:color w:val="111111"/>
          <w:sz w:val="28"/>
          <w:szCs w:val="28"/>
          <w:rtl w:val="true"/>
          <w:lang w:bidi="fa-IR"/>
        </w:rPr>
        <w:t xml:space="preserve">» </w:t>
      </w:r>
      <w:r>
        <w:rPr>
          <w:rStyle w:val="FootnoteAnchor"/>
          <w:rtl w:val="true"/>
        </w:rPr>
        <w:footnoteReference w:id="1135"/>
      </w:r>
      <w:r>
        <w:rPr>
          <w:rFonts w:ascii="IRNazanin" w:hAnsi="IRNazanin" w:eastAsia="IRNazanin"/>
          <w:color w:val="111111"/>
          <w:sz w:val="28"/>
          <w:sz w:val="28"/>
          <w:szCs w:val="28"/>
          <w:rtl w:val="true"/>
          <w:lang w:bidi="fa-IR"/>
        </w:rPr>
        <w:t xml:space="preserve">وکیفما کان لم یتحقق الإجماع بل المحکی عن صاحب القوانین أیضاً جوازه، والسیرة العقلائیة قائمة علی الرجوع إلی المتخصصین بلا فرق فی ذلک بین الأحیاء والأموات، وقد أنکر بعض المعاصرین تحقق السیرة مع تساوی المیت والحیّ فی الفضیلة وإن اعترف بها إذا کان المیّت أعلم، </w:t>
      </w:r>
      <w:r>
        <w:rPr>
          <w:rStyle w:val="FootnoteAnchor"/>
          <w:rtl w:val="true"/>
        </w:rPr>
        <w:footnoteReference w:id="1136"/>
      </w:r>
      <w:r>
        <w:rPr>
          <w:rFonts w:ascii="IRNazanin" w:hAnsi="IRNazanin" w:eastAsia="IRNazanin"/>
          <w:color w:val="111111"/>
          <w:sz w:val="28"/>
          <w:sz w:val="28"/>
          <w:szCs w:val="28"/>
          <w:rtl w:val="true"/>
          <w:lang w:bidi="fa-IR"/>
        </w:rPr>
        <w:t>ولکنّه محلّ تأمل جداً وکیفما کان فالمهم هو الصورة الثانیة، 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مردوعة وإلاّ یلزم حصر المرجع فی شخص واحد فی الأعصار بأجمعها؛ لأن أعلم علمائنا من الأموات والأحیاء شخص واحد لا محالة وهو مما لا یمکن الالتزام به لأنه خلاف الضرورة من مذهب الشیعة، ولا یسوغ هذا عندهم بوجه لتکون الأئمة ثلاثة عشر</w:t>
      </w:r>
      <w:r>
        <w:rPr>
          <w:rFonts w:eastAsia="IRNazanin" w:cs="IRNazanin"/>
          <w:color w:val="111111"/>
          <w:sz w:val="28"/>
          <w:szCs w:val="28"/>
          <w:rtl w:val="true"/>
          <w:lang w:bidi="fa-IR"/>
        </w:rPr>
        <w:t xml:space="preserve">. </w:t>
      </w:r>
      <w:r>
        <w:rPr>
          <w:rStyle w:val="FootnoteAnchor"/>
          <w:rtl w:val="true"/>
        </w:rPr>
        <w:footnoteReference w:id="1137"/>
      </w:r>
      <w:r>
        <w:rPr>
          <w:rFonts w:ascii="IRNazanin" w:hAnsi="IRNazanin" w:eastAsia="IRNazanin"/>
          <w:color w:val="111111"/>
          <w:sz w:val="28"/>
          <w:sz w:val="28"/>
          <w:szCs w:val="28"/>
          <w:rtl w:val="true"/>
          <w:lang w:bidi="fa-IR"/>
        </w:rPr>
        <w:t>وفیه أنه لو تحقق الفرض أی إذا عَلِم شخص أعلمیة فقیه من جمیع الفقهاء، فأیِّ مانع من الرجوع إلیه، وکذا إذا کان معلوماً عند جمیع الأعصار الماضیة، إذ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یبقی المجتهدون وهم لا یقلدونه قطعاً، فلیکن هذا هو الفارق بینه</w:t>
      </w:r>
    </w:p>
    <w:p>
      <w:pPr>
        <w:pStyle w:val="BookText"/>
        <w:rPr/>
      </w:pPr>
      <w:r>
        <w:rPr>
          <w:rFonts w:ascii="IRNazanin" w:hAnsi="IRNazanin" w:eastAsia="IRNazanin"/>
          <w:color w:val="111111"/>
          <w:sz w:val="28"/>
          <w:sz w:val="28"/>
          <w:szCs w:val="28"/>
          <w:rtl w:val="true"/>
          <w:lang w:bidi="fa-IR"/>
        </w:rPr>
        <w:t>وبین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حدوث الأعلم منه فی المستقبل، فبهذا یفترق أمره عن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أعلمیة فقیه فی جمیع الأعصار الماضیة والحال والمستقبله سیکون الفارق بینه وبین الإمام علیه السلام احتمال خطأه دونه علیه السلام ، وأنّه تابع له علیه السلام ومستنبط من کلامه علیه السلام وأمّا محض التبعیة والتقلید لواحد فلا محذور فیه کما هو کذلک فی کلّ 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لزوم تقلید الأعلم محلّ خلاف، وکثیر من الأصحاب لا یلتزمون به فلا یجب عندهم تقلید ذلک الأعلم، أضف الی ذلک جمیعاً أن اتحاد المرجع أمر حسن جداً ولا استنکار فیه أصلاً وله فوائد لا تستقل ولاتستهان بها کما لا تخفی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یبق إلا الإجماع الذی حکاه غیر واحد من الأعاظم والأکابر، قال فی المستمسک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ولعلّ هذا المقدار کاف فی رفع الید عن بناء العقلاء علی وجوب الرجوع إلی الأفضل</w:t>
      </w:r>
      <w:r>
        <w:rPr>
          <w:rFonts w:eastAsia="IRNazanin" w:cs="IRNazanin"/>
          <w:color w:val="111111"/>
          <w:sz w:val="28"/>
          <w:szCs w:val="28"/>
          <w:rtl w:val="true"/>
          <w:lang w:bidi="fa-IR"/>
        </w:rPr>
        <w:t xml:space="preserve">...». </w:t>
      </w:r>
      <w:r>
        <w:rPr>
          <w:rStyle w:val="FootnoteAnchor"/>
          <w:rtl w:val="true"/>
        </w:rPr>
        <w:footnoteReference w:id="1138"/>
      </w:r>
    </w:p>
    <w:p>
      <w:pPr>
        <w:pStyle w:val="BookText"/>
        <w:rPr/>
      </w:pPr>
      <w:r>
        <w:rPr>
          <w:rFonts w:ascii="IRNazanin" w:hAnsi="IRNazanin" w:eastAsia="IRNazanin"/>
          <w:color w:val="111111"/>
          <w:sz w:val="28"/>
          <w:sz w:val="28"/>
          <w:szCs w:val="28"/>
          <w:rtl w:val="true"/>
          <w:lang w:bidi="fa-IR"/>
        </w:rPr>
        <w:t>هذا فی تقلید المیت الأعلم ابتداءً، أما بقاءً، فمقتضی السیرة جوازه، وکذلک ما دلّ علی قبول قول المنذِر والأشخاص اللذین أمر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بالسماع منهم حیث لم یقید اعتبار قولهم بکونهم أحیاءً والعرف لایری خصوصیة لحیاة اهل الخبرة قطعاً</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الاعلمیة، کما هو المشهور، بل عن المحقق الثانی الإجماع علیه وعن ظاهر السید فی 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من المسلّمات عند الشیعة، </w:t>
      </w:r>
      <w:r>
        <w:rPr>
          <w:rStyle w:val="FootnoteAnchor"/>
          <w:rtl w:val="true"/>
        </w:rPr>
        <w:footnoteReference w:id="1139"/>
      </w:r>
      <w:r>
        <w:rPr>
          <w:rFonts w:ascii="IRNazanin" w:hAnsi="IRNazanin" w:eastAsia="IRNazanin"/>
          <w:color w:val="111111"/>
          <w:sz w:val="28"/>
          <w:sz w:val="28"/>
          <w:szCs w:val="28"/>
          <w:rtl w:val="true"/>
          <w:lang w:bidi="fa-IR"/>
        </w:rPr>
        <w:t>وعن جماعة ممن تأخّر عن الشهید الثانی جواز الرجوع إلی غیر الأعلم ویدلّ علی الأوّل السیرة العقلائیة الدالة علی الرجوع إلی الأعلم عند اختلاف أهل الخبرة کما أنّ مقتضی الأصل عند دوران الأمر بین التعیین والتخییر أیضاً کذلک؛ إذ حجیة فتوی الأعلم معلومة علی أیّ حال دون غیره، وقد یستدل للثانی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بإطلاق أدلة التقلید، کآیة النفر والروایات، حیث</w:t>
      </w:r>
    </w:p>
    <w:p>
      <w:pPr>
        <w:pStyle w:val="BookText"/>
        <w:rPr/>
      </w:pPr>
      <w:r>
        <w:rPr>
          <w:rFonts w:ascii="IRNazanin" w:hAnsi="IRNazanin" w:eastAsia="IRNazanin"/>
          <w:color w:val="111111"/>
          <w:sz w:val="28"/>
          <w:sz w:val="28"/>
          <w:szCs w:val="28"/>
          <w:rtl w:val="true"/>
          <w:lang w:bidi="fa-IR"/>
        </w:rPr>
        <w:t>یقتضی جواز العمل بقول الفقیه وإن کان فتواه مخالفاً لغیره مطلقاً، 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باستقرار سیرة الشیعة فی عصر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الأخذ بفتاوی العلماء المعاصرین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العلم باختلاف مراتبهم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بلزوم العسر فی الرجوع إلی الأعلم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وأجیب عن الأوّل بأنّ الاطلاقات لا تشمل صورة الاختلاف کما هو محل الکلام إذ حجیتهما معاً غیر معقول وحجیة أحدهما معیّناً ترجیح بلا مرجّح ومخیراً لا دلیل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الثانی بأنّ ثبوت السیرة علی الرجوع إلی المفضول فی فرض العلم بالاختلاف وإمکان الرجوع إلی الأعلم غیر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الثالث بأن محل البحث، ما إذا أمکن الرجوع إلی الأعلم من دون عسر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عرف الأعلم ولکن لم یعلم الاختلاف بینهما فی الفتوی، یجوز له الرجوع إلی المفضول؛ لإطلاق دلیل حجیّة فتوی الفقیه مطلقاً، وللسیرة، العقلائیة ولأنّهم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أرجعوا الناس إلی الرواة مع 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أعلم، والاختلاف کان محتملاً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إذا علم الاختلاف ولم یعرف الأعلم منهما وجب الفحص عنه؛ لأنّ الحجّة خصوص قول الأعلم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والحمد لله أوّلاً وآخراً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قم المقدسه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الثامن من شهر ربیع الثانی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1388/1/15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النجفی الیزدی</w:t>
      </w:r>
      <w:r>
        <w:rPr>
          <w:rFonts w:eastAsia="IRNazanin" w:cs="IRNazanin"/>
          <w:color w:val="111111"/>
          <w:sz w:val="28"/>
          <w:szCs w:val="28"/>
          <w:rtl w:val="true"/>
          <w:lang w:bidi="fa-IR"/>
        </w:rPr>
        <w:t>.</w:t>
      </w:r>
      <w:bookmarkStart w:id="1201" w:name="pg5021_49630"/>
    </w:p>
    <w:p>
      <w:pPr>
        <w:pStyle w:val="Heading2"/>
        <w:numPr>
          <w:ilvl w:val="1"/>
          <w:numId w:val="1"/>
        </w:numPr>
        <w:rPr/>
      </w:pPr>
      <w:bookmarkStart w:id="1202" w:name="__RefHeading___Toc581218_774463916"/>
      <w:bookmarkStart w:id="1203" w:name="_Toc477"/>
      <w:bookmarkEnd w:id="1201"/>
      <w:bookmarkEnd w:id="1202"/>
      <w:r>
        <w:rPr>
          <w:rtl w:val="true"/>
        </w:rPr>
        <w:t>فهرس المنابع</w:t>
      </w:r>
      <w:bookmarkEnd w:id="1203"/>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البلاغة، ابن أبی الحدید، عبدالحمید بن هبة الله بن أبی الحدید، المدائنی المعتزلی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أبوالفضل إبراهیم، دارإحیاء الکتب العربیة، عیسی البابی وشرکاؤة، ط</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1189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الصحیفة السجّادیة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الأثیر، عزّالدین، محمد بن محمد الشیبانی، المعروف بابن الأثیر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الکامل فی التاریخ، دار صادر للطباعه والنشر، بیروت،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شهاب الدین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فتح الباری بشرح صحیح البخاری، دارالمعرفة، بیروت، ط</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حزم، علی‌بن أحمد بن سعید بن حزم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أحمد محمد شاکر، دارالفکر،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حنبل، 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مسند أحمد بن حنبل، دار 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زهرة، السید حمزة بن علی بن زهرة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غنیة النزوع إلی علمی الأُصول والفروع،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البهادری، ط منشورات مؤسسة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قدامة، عبدالله بن أحمدبن قدامة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المغنی،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من العلماء، دار الکتاب العربی،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منظور، محمدبن مکرّم‌بن علی، المعروف بابن منظور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 العرب،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دارإحیاءالتراث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أبوداوود، سلیمان بن الأشعث السجستانی الأزدی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سنن أبی داوود،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محیی الدین عبدالحمید، دار إحیاء السنّة النبویة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الإحسائی، الشّیخ محمّدبن علی‌بن إبراهیم، المعروف بابن أبی جمهور الإحسائی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عوالی اللآلی،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العراقی، قم، 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 أمین، المصری، فجرالإسلام، دارالکتب العربیة، بیروت،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الأردبیلی، أحمدبن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الفائدة والبرهان فی شرح إرشاد الأذهان، مؤسسة النشر الإسلامی، التابعة لجامعة المدرسین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الأشتیانی، محمد حسن‌بن جعفر الأشتیانی، کتاب القضاء، دارالهجرة، طهران،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الآملی، الشیخ محمد تقی، المکاسب والبیع، تقریرات أبحاث المیرزا النائینی، مؤسسة النشر الإسلامی، التابعة لجامعة المدرسین، قم،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الأنصاری، الشیخ مرتضی‌بن محمد 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المکاسب، انتشارات إسماعیلیان، ط قم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کتاب النکاح، لجنة إحیاء تراث الشیخ الأنصاری، قم،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الإیروانی، الشیخ باقربن محمدتقی، دروس تمهیدیة فی القواعد الرجالیة، انتشارات مدین، قم، ط</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البحرانی، السید هاشم‌بن السید سلیمان التوبلی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معالم الزلفی، طهران، ط</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البحرانی، الشیخ یوسف‌بن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الحدائق الناضرة فی أحکام العترة الطاهرة،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تقی الإیروانی، دارالکتب الإسلامیة، النجف الأشرف،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البخاری، محمدبن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صحیح البخاری، دارالفکر، بیروت،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البراقی، السید حسین‌بن أحمد البراقی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الکوفه، تحقیق، ماجدبن أحمد العطیه، انتشارات المکتبة الحیدریة، قم، 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البیهقی، أحمدبن الحسین‌بن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السنن الکبری،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عبدالقادر عطا، دارالکتب العلمیة،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الجزیری، عبدالرحمن، الفقه علی المذاهب الأربعة،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تحت إشراف و زارة الأوقاف بمصر، دار إحیاء التراث العربی، بیروت،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الجصّاص، أحمدبن علی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أحکام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 محمد علی شاهین، دارالکتب العلمیه، بیروت 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الحر العاملی، محمد بن الحسن 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وسائل الشیعة إلی تحصیل الشریعة، المکتبة الإسلامیة، طهران،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الحکیم، السید محسن الطباطبائی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المناسک،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القاضی الطباطبائی، مؤسسة المنار، قم، ط</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مستمسک العروة الوثقی، دارإحیاء التراث العزی، بیروت،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الحلبی، السید حمزة بن علی بن زهرة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غنیة النزوع، مؤسسة الإمام الصادق علیه السلام ، قم،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الحلّی، المحقّق، الشیخ نجم الدین، أبوالقاسم، جعفربن الحسن‌بن یحیی‌بن سعید الهذلی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المعتبر فی شرح المختصر، منشورات سید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شرائع الإسلام فی مسائل 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البقال، 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الآداب، النجف،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الخطیب البغدادی، أبو بکر أحمدبن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بغداد،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عبدالقادر عطا، دارالکتب العلمیة، بیروت، 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1417</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الخوانساری، موسی‌بن محمد النجفی، منیة الطالب فی شرح المکاسب، تقریراً لبحث المیرزا النائینی، مؤسسة النشر الإسلامی، قم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الخوئی، السید أبوالقاسم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مستند العروة الوثقی، مؤسسة إحیاء آثار الإمام الخوئی، قم، 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الدارمی، أبومحمد، عبدالله‌بن عبدالرحمن الدارمی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سنن الدارمی،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دیب البغا، بیروت دارالعلم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الذهبی، أبوعبدالله، محمدبن أحمدبن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تذکرة الحفّاظ، دار إحیاء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میزان الاعتدال،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البجاوی، دارالمعرفة، بیروت، 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الرازی، محمدبن عمر الفخرالرازی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التفسیر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دارالکتب العلمیة، بیروت، ط</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رشید رضا، محمد رشید علی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القرآن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دارالمعرفة، بیروت ط</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الزبیدی، محمدبن مرتضی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تاج العروس من جواهر القاموس،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عبدالستار أحمد خرّاج،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دارالهدایة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الشهرستانی، محمدبن عبدالکریم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الملل و النحل،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سید گیلانی، دارالمعرفة،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الشهید الثانی، زین الدین‌بن علی‌بن أحمد الجبعی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الروضة البهیة فی شرح اللمعة الدمشقیة، دارالهادی للمطبوعات، بیروت، قم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مسالک الأفهام إلی تنقیح شرائع الإسلام، مؤسسة المعارف الإسلامیة، 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تمهید القواعد الأصولیة والعربیة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الصّدر، الشهید السید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دروس فی علم الأصول،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اللبنانی، و دارالکتاب المصری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مصر، 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الصدوق، أبوجعفر محمدبن علی‌بن الحسین‌بن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لایحضره الفقیه،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غفاری قم، مؤسسة النشر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الطباطبائی، السید علی‌بن 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ریاض المسائل فی بیان أحکام الشرع بالدلائل، مؤسسة النشر الإسلامی التابعة لجامعة المدرسین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الطبری، أبوجعفر محمدبن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الطبری، تصحیح و 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نخبة من العلماء، مؤسسة الأعلمی للمطبوعات بیروت، ط</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الطریحی، الشیخ فخر الدین الطریحی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البحرین، دار مرتضوی، طهران، ط</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الطوسی، أبوجعفر محمدبن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الخلاف،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الخراسانی، وجواد الشهرستانی، طبع 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المعارف الإسلامیة، 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الطوسی، أبوجعفر محمدبن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المبسوط،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الرضویة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ط</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العدة فی أصول الفقه،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الأنصاری القمی، مطبعة ستارة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النهایة فی مجرّد الفقه والفتاوی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قدس 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تهذیب الأحکام فی شرح المقنعة، بیروت، دارالتعارف، 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فهرست کتب الشیعة وأصولهم، تحقیق وتقدیم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عبدالعزیز الطباطبائی،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الإحیاء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العاملی، السید محمدبن علی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مدارک الأحکام فی شرح شرائع الإسلام، ط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العاملی، الشّهید الأوّل، شمس الدین أبوعبدالله، محمد جمال الدین‌بن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الدّروس الشّرعیة، مؤسسة النّشر الاسلامی،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القواعد والفوائد فی الفقه والأصول والعربیة،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السید عبد الهادی الحکیم،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اللعمة الدّمشقیة، انتشارات علمیة، قم الطّبعة الثّانیة،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العاملی، الشیخ جمال الدین، الحسن‌بن زین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معالم الدین وملاذ المجتهدین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منذر الحکیم، ط مؤسسة الفقه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العاملی، الشّیخ محمّدبن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الشهیر بالحرّ العاملی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وسائل الشّیعة إلی تحصیل الشّریعة، طبعة المکتبة الإسلامیة، طهران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العلامّة الحلّی، الحسن‌بن یوسف المطهّر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تذکرة الفقهاء، منشورات المکتبة الرضویة لإحیاء الآثار الجعفریة،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العینی، بدرالدین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عمدة القاری فی شرح صحیح البخاری، بیروت، دارإحیاء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الغروی، المیرزا علی التبریزی الغروی، التنقیح فی شرح العروة الوثقی، تقریراً لبحث السید أبی القاسم الخوئی،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دارالهادی للمطبوعات قم، ط</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الفاضل الهندی، محمد بن الحسن بن محمد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اللثام عن قواعد الأحکام،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قم، 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الفراهیدی، الخلیل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مهدی المخزومی، قم، دارالهجرة، 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الفیروز آبادی، مجدالدین، محمدبن یعقوت </w:t>
      </w:r>
      <w:r>
        <w:rPr>
          <w:rFonts w:eastAsia="IRNazanin" w:cs="IRNazanin"/>
          <w:color w:val="111111"/>
          <w:sz w:val="28"/>
          <w:szCs w:val="28"/>
          <w:rtl w:val="true"/>
          <w:lang w:bidi="fa-IR"/>
        </w:rPr>
        <w:t>(</w:t>
      </w:r>
      <w:r>
        <w:rPr>
          <w:rFonts w:eastAsia="IRNazanin" w:cs="IRNazanin"/>
          <w:color w:val="111111"/>
          <w:sz w:val="28"/>
          <w:szCs w:val="28"/>
          <w:lang w:bidi="fa-IR"/>
        </w:rPr>
        <w:t>817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القاموس المحیط، بیروت، دارالفکر، 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الفیومی، أحمدبن محمد، المقری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المصباح المنیر، دارالکتب العلمیة، بیروت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القرطبی، محمدبن أحمد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الجامع الأحکام القرآن، دار إحیاء التراث العربی، بیروت، ط</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الکاشانی، محمد محسن‌بن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الشهیر بالفیض الکاشانی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الوافی،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 الدین الحسینی الأصفهانی، مکتبة الإمام أمیر المؤمنین علیه السلام ، أصفهان، 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الکرکی، الشیخ عبدالعالی بن الحسین، المعروف بالمحقق الکرکی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 المقاصد فی شرح القواعد،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 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الکشی، أبوعمر محمدبن عمربن محمدبن عبدالعزیز الکشی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نحو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معرفة الرجال،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الناقلین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تلخیص و 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حسن مصطفوی،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مشهد،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الکلینی، أبوجعفر محمدبن یعقوب‌بن إسحاق الرازی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الکافی، طبعة الآخوندی، النجف،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المتّقی الهندی، علاء الدّین علی المتّقی‌بن حسام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کنزالعمال فی سنن الأقوال والأفعال، مؤسسة الرسالة، بیروت،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المفید، أبوعبدالله، محمدبن النعمان العکبری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الأمالی،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استاد ولی، وعلی أکبر الغفاری، قم، مؤسسة النشر الإسلامی، ط</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النجاشی، أبوالعباس أحمدبن علی‌بن أحمد النجاشی الأسدی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الرجال، الشهیر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موسی الشبیری الزنجانی، مؤسسة النشر</w:t>
      </w:r>
    </w:p>
    <w:p>
      <w:pPr>
        <w:pStyle w:val="BookText"/>
        <w:rPr/>
      </w:pPr>
      <w:r>
        <w:rPr>
          <w:rFonts w:ascii="IRNazanin" w:hAnsi="IRNazanin" w:eastAsia="IRNazanin"/>
          <w:color w:val="111111"/>
          <w:sz w:val="28"/>
          <w:sz w:val="28"/>
          <w:szCs w:val="28"/>
          <w:rtl w:val="true"/>
          <w:lang w:bidi="fa-IR"/>
        </w:rPr>
        <w:t xml:space="preserve">الإسلامی التابعة لجامعة المدرسین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النّجفی، الشّیخ محمّد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جواهر الکلام فی شرح شرائع الإسلام، دارالکتب الإسلامیة، طهران،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النراقی، الشیخ أحمدبن محمد مهدی النراقی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عوائد الأیام،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الأبحاث والدراسات الإسلامیة، مکتب الإعلام الإسلامی،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النسائی، أحمدبن شعیب‌النسائی، سنن النسائی، دارالفکر، بیروت،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النّوری، میرزا حسین‌بن محمد تقی النوری الطبرسی، الشهیر بالمحدّث النوری،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مستدرک الوسائل ومستنبط المسائل،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النیسابوری، أبوعبدالله، محمدبن عبدالله الحاکم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المستدرک علی الصحیحین،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عبدالقادر عطا، بیروت، دارالکتب العلمیة، 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النیسابوری، مسلم‌بن الحجّاج القشیری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مسلم،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عبدالباقی، القاهرة، دارالحدیث، 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الهمدانی، محمدرضابن محمد هادی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مصباح الفقیه، منشورات مکتیة الصدر،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حجریة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الهیثمی، شهاب الدین، أحمدبن حجر الهیثمی، الصواعق المحرقة، المطبعة الیمنیة بمصر، ط</w:t>
      </w:r>
      <w:r>
        <w:rPr>
          <w:rFonts w:ascii="IRNazanin" w:hAnsi="IRNazanin" w:eastAsia="IRNazanin"/>
          <w:color w:val="111111"/>
          <w:sz w:val="28"/>
          <w:sz w:val="28"/>
          <w:szCs w:val="28"/>
          <w:lang w:bidi="fa-IR"/>
        </w:rPr>
        <w:t>‌</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الواقدی، محمدبن سعد الواقدی الزهری، الطبقات الکبری، دارصادر، بیروت،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الیزدی، السّید کاظم الطّباطبائی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العروة الوثقی، مؤسسة الأعلمی للمطبوعات، بیروت، الطبعة الأولی</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تکملة العروة 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العروة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الحیدری، طهران،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من أبواب الوضوء،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335/75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319/16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صلی الله علیه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أنس، أکثر من الطهور یزید الله فی عمرک، وإن استطعت أن تکون باللیل والنهار علی طهارة فافعل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الوضوء،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الوضوء،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کغسل لیالی الإفراد من شهر رمضان، وتمام لیالی العشر الأخیرة السابع والعشرین، وغسل یومی الفطر والأضحی، ویوم الترویة، وعرفة والأوّل والوسط والآخر من رجب، ویوم المبعث من رجب، وغسل یوم الغدیر، والنصف من شعبان والسابع عشر من ربیع الأول، والغسل للدخول إلی المشاهد المشرّفة للنبی والائمة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وفی الروایة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غسل یده قبل الطعام وبعده عاش فی سعة وعوفی من بلوة جسده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356/63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السواک،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ألاخلاق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آداب الحمام،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نواقض الوضوء،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177/73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آداب الحمام،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من أبواب الوضوء، ح</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من أبواب النجاسات،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من أبواب الماء المطلق،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أبواب أحکام الخلوة،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من أبواب الوضوء،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من أبواب مقدمة العبادات،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من أبواب الوضوء،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 أبواب نواقض الوضوء،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أبواب الوضوء،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أبواب نواقض الوضوء،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من أبواب الخلل،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من أبواب الجنابة،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من أبواب الوضوء،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من أحکام الخلوة،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من أبواب الجنابة،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من أبواب الحیض،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 أبواب العدد،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من أبواب الحیض،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من أبواب الحیض،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أبواب استحاضة،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 أبواب النفاس،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أبواب الاستحاضة،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أبواب غسل المیّت،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من أبواب الاحتضار،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من أبواب غسل المیّت،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صلاة الجنازة،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صلاة الجنازة،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من أبواب النجاسات،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أبواب غسل المیّت،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من أبواب التیمّم،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المستمسک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من أبواب النجاسات،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أبواب التیمّم،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أبواب التیمّم،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من أبواب الوضوء،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من أبواب النجاسات،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ما یکتسب به،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من أبواب الذبائح،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من أبواب النجاسات،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الأشربة المحرّمة،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من أبواب الماء المضاف،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من أبواب النجاسات،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 أبواب الماء المطلق،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من أبواب النجاسات،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أبواب الأسفار،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 أبواب النجاسات،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من أبواب النجاسات،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من أبواب الأشربة المحرّمة،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من أبواب النجاسات،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أعداد الفرائض ونوافلها،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 أبواب المواقیت،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من أبواب المواقیت،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من أبواب القبلة،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من أبواب النجاسات،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المستمسک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لباس المصلّی،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الأذان والإقامة،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 أبواب تکبیرة الإحرام،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من أبواب الخلل واقع فی الصلاة،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 أبواب القیام،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أبواب القراءة فی الصلاة،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من أبواب القراءة فی الصلاة،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أبواب المزار؛ مستدرک الوسائل،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من أبواب القراءة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حکاه عنه فی نیل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قراءة القرآن،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أفعال الصلاة،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صلاة الجماعة،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من أبواب الرکوع،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 أبواب ما یسجد علیه،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 باب الصلاة علی الخمرة، ح</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الحیض، باب الاضطجاع مع الحائض فی لحاف واحد،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 أبواب السجود،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أبواب ما یسجد علیه،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من أبواب السجود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من أبواب ما یسجد علیه،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مستمسک العروة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 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نیل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من أبواب التشهد،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نیل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من أبواب التشهد،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نیل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من أبواب الذکر،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من أبواب الذکر،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حکاه عنه فی المستمسک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نیل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أبواب الذکر،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کصحیح زرارة عن أبی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صلّ علی النبی صلی الله علیه و آله کلّما ذکرته أو ذکره ذاکر عندک، فی أذان أو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من أبواب الأذان والأقامة،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أبواب التسلیم،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من أبواب القراءة فی الصلاة،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 أبواب أفعال الصلاة،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أبواب القنوت،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أبواب التعقیب،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أبواب سجدتی الشکر،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من أبواب المواقیت،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من أبواب الخلل الواقع فی الصلاة،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من أبواب قواطع الصلاة،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المستمسک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قواطع الصلاة،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قواطع الصلاة،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،صلاة المسافر،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،صلاة المسافر،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وکریّ کغنیّ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 المشی، وکأن المراد به من یکری نفسه للمشی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والإشتقان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أمین البیدر أو البرید، کما عن 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صلاة المسافر،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صلاة الجماعة،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نافلة شهر رمضان،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صلاة الجماعة،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التراویح تفاعل من الراحة، لأنّ المصلّی یستریح بعد کلّ أربع رکع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نیل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 الصلاة بعد ارتفاع النهار برکعتین أو أکثر، وقالت العامة باستحبابها</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نافلة شهر رمضان،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نیل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نافلة شهر رمضان،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صلاة الجماعة،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مهذب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صلاة الجماعة،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صلاة الجماعة،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صلاة الجماعة،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 باب</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صلاة الجماعة،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ولیس المراد التعجیل والتخفیف غیر المتعارف بحیث یضعف المأمومون أو بعضهم لاسیّما الضعفاء منهم عن اللحوق ویجعلهم فی تعب، کما هو واضح</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صلاة الجمعة،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،صلاة ا لجمعة،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ما یمسک عنه الصائم،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الصوم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آداب الصائم،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مقدمة العبادات،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من یصحّ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أبواب ما یمسک عنه الصائم،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 الاعتکاف،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من الاعتکاف،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ما تجب فیه الزکاة،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مقدمّات الحدود،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مقدمّة العبادات،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من تجب علیه الزکاة،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والتأنیث هنا لاتباع النصّ بتأویل الدابة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زکاة الأنعام،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الأنعام،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زکاة الأنعام،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زکاة الذهب والفضّة،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 أبواب المستحقّین للزکاة،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زکاة الفطرة،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ما یجب فیه الخمس،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أواخر، باب غزوة خیبر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باب قول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نورث ما ترکناه صدقة من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فی أواخر کتاب الجهاد؛ ومسند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شرف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المحدثون بطرق کلّها صحیحة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ما یجب فیه الخمس،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160/2</w:t>
      </w:r>
      <w:r>
        <w:rPr>
          <w:rFonts w:ascii="IRNazanin" w:hAnsi="IRNazanin" w:eastAsia="IRNazanin"/>
          <w:b w:val="false"/>
          <w:b w:val="false"/>
          <w:bCs w:val="false"/>
          <w:i w:val="false"/>
          <w:i w:val="false"/>
          <w:iCs w:val="false"/>
          <w:color w:val="333333"/>
          <w:sz w:val="20"/>
          <w:sz w:val="20"/>
          <w:szCs w:val="20"/>
          <w:rtl w:val="true"/>
        </w:rPr>
        <w:t>، ومن أراد مزید الاطّلاع فی مبحث الخمس، سیّما مفاد الآیة الکریمة وموارد وجوبه عند الفریقین فلیراجع کتاب الخمس، لآیة الله النوری الهمدانی دام ظلّه العالی</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یجب فیه الخمس،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ما یجب فیه الخمس،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ما یجب فیه الخمس،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المراد هو أبوالحسن الثالث الإمام الهادی علیه السلام ظاهراً</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قسمة الخمس،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وجوب الحجّ وشرائطه،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وجوب الحجّ،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وجوب الحجّ،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یختلف القِران والإفراد فی الکیفیة عن التمتع الاّ فی بعض الامور الجانبیة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أقسام الحج،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الکنز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293/8</w:t>
      </w:r>
      <w:r>
        <w:rPr>
          <w:rFonts w:ascii="IRNazanin" w:hAnsi="IRNazanin" w:eastAsia="IRNazanin"/>
          <w:b w:val="false"/>
          <w:b w:val="false"/>
          <w:bCs w:val="false"/>
          <w:i w:val="false"/>
          <w:i w:val="false"/>
          <w:iCs w:val="false"/>
          <w:color w:val="333333"/>
          <w:sz w:val="20"/>
          <w:sz w:val="20"/>
          <w:szCs w:val="20"/>
          <w:rtl w:val="true"/>
        </w:rPr>
        <w:t>؛ وذکره الرازی فی تفسیره والقوشچی فی شرح التجرید وزاد حیّ علی خیر العمل، علی ما حکاه فی دلائل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ما حکاه عنهم فی دلائل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أقسام الحج،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وذات عرق هی آخر واد العقیق إلی جهة المغرب، بینها وبین مکّة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فرسخاً وعُسفان منطقة بینها وبین مکّة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فرسخاً</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المواقیت،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الإحرام،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الإحرام،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ولعلّ التردید من الراوی بعد اتّحاد معنی اللفظین ظاهراً</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تروک الإحرام،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تروک الإحرام،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أبویوسف هو تلمیذ أبی حنیفة وهو أوّل من لقب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قاضی القضاة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تروک الإحرام،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أبواب الطواف،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مقدمات الطواف،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زیارة البیت،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الطواف،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الطواف،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الطواف،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السعی،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التقصیر،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أقسام الحجّ،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إحرام الحجّ والوقوف بعرفة،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الوقوف بالمشعر،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الروضة البهیة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الوقوف بالمشعر،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رمی جمرة العقبة،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أبواب الذبح،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حکاه عنه فی تفصیل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أبواب الحلق والتقصیر،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زیارة البیت،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العود إلی منی،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أبواب المزار،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جهاد العدوّ،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ثمّ لو قلنا بالعدم فإنّما نقوله فی الجهاد بمعنی الحرب والقتال دون سائر أنواعه من الجهاد بالمال وسائر الإمکانات؛ لترویج الدین والدفاع عن الإسلام والمسلمین</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جهاد العدوّ،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بمعنی إمکان ذلک ولو بتمهید المقدّمات وإعداد العدّة؛ والعدّة لقوله تعال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أَعِدُّوا لَهُمْ مَا اسْتَطَعْتُمْ مِنْ 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فیجب علی المسلمین السعی فی ذلک ومن أهمّها الاتحاد بینهم فی مقابل‌أعدائهم</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تحریر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424/1</w:t>
      </w:r>
      <w:r>
        <w:rPr>
          <w:rFonts w:ascii="IRNazanin" w:hAnsi="IRNazanin" w:eastAsia="IRNazanin"/>
          <w:b w:val="false"/>
          <w:b w:val="false"/>
          <w:bCs w:val="false"/>
          <w:i w:val="false"/>
          <w:i w:val="false"/>
          <w:iCs w:val="false"/>
          <w:color w:val="333333"/>
          <w:sz w:val="20"/>
          <w:sz w:val="20"/>
          <w:szCs w:val="20"/>
          <w:rtl w:val="true"/>
        </w:rPr>
        <w:t>، کتاب الأمر بالمعروف والنهی عن المنکر</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الأمر بالمعروف والنهی عن المنکر،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الأمر بالمعروف والنهی عن المنکر،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مقدمات العبادات،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الحجر،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الحجر،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القصاص فی النفس،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الخلل فی الصلاة،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245/13</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عقد البیع</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207/14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من ابواب عقد النکاح واولیاء العقد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مایکتسب،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حکاه فی المکاسب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ممن الفقهاء</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330/12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من آداب التجارة،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263/12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عقد البیع وشروطه،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عقد البیع،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282/4</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المقنعه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آداب التجارة،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نقلاً عن إیضاح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أبواب الخیار،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355/12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أبواب الخیار،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موانع الارث،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356/12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أبواب الخیار،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ومفاد الروایات بل بعض الآیات وإن کان وجوب الوفاء به وحرمة مخالفته إلّا أنّ المشهور لم یلتزموا بها</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423/12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أبواب الربا،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أبواب الصرف،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أبواب الربا،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451/12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 أبواب الصرف،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أبواب السلف،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أحکام العقود،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أبواب السلف،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مبانی منهاج الصالحین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من ابواب الخیار</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من ابواب الخیار،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مبانی منهاج الصالحین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من أبواب الصلح،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من أبواب الدین والقرض،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من أحکام العقود،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من أبواب الصلح،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 ابواب الاجارة،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المشهور أنّ الإجارة المعاطاتیه جائزة إلاّ إذا تصرّف أحدهما فیما انتقل إلیه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آداب التجارة،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منهاج الصالحین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باب الاجارة،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 أحکام الودیعة،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باب احکام المزارعة،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باب احکام المزارعة والمساقاة،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باب احکام المزارعة والمساقاة،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أبواب الشرکة،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بناء علی شموله لشرط النتیجة أیضاً، بل یحتمل عدم صحته مطلقاً، لأن الشرط لا یکون مشرّعاً جواهر</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مبانی 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الشرکة،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181/13</w:t>
      </w:r>
      <w:r>
        <w:rPr>
          <w:rFonts w:ascii="IRNazanin" w:hAnsi="IRNazanin" w:eastAsia="IRNazanin"/>
          <w:b w:val="false"/>
          <w:b w:val="false"/>
          <w:bCs w:val="false"/>
          <w:i w:val="false"/>
          <w:i w:val="false"/>
          <w:iCs w:val="false"/>
          <w:color w:val="333333"/>
          <w:sz w:val="20"/>
          <w:sz w:val="20"/>
          <w:szCs w:val="20"/>
          <w:rtl w:val="true"/>
        </w:rPr>
        <w:t>، أحکام المضاربة،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340/26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أحکام المضاربة،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من أحکام المضاربة،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أحکام الودیعة،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340/26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من أحکام الودیعة،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 أحکام المضاربة،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 أحکام العاریة،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 أبواب الجعالة</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أبواب الجعالة،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 أحکام الضمان،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إذا کان فی ذلک إهانة للمضمون عنه، حرم تکلیفاً</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 احکام الصلح،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215/26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فی أحکام الصلح،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216/26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من أحکام الصلح،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448/12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فی أبواب الربا،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ملحقات العروة الوثقی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302/27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285/13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أحکام الوکالة،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ملحقات العروة الوثقی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منهاج الصالحین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الوکالة</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387/27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فی ابواب مقدمة العبادات،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392/27</w:t>
      </w:r>
      <w:r>
        <w:rPr>
          <w:rFonts w:ascii="IRNazanin" w:hAnsi="IRNazanin" w:eastAsia="IRNazanin"/>
          <w:b w:val="false"/>
          <w:b w:val="false"/>
          <w:bCs w:val="false"/>
          <w:i w:val="false"/>
          <w:i w:val="false"/>
          <w:iCs w:val="false"/>
          <w:color w:val="333333"/>
          <w:sz w:val="20"/>
          <w:sz w:val="20"/>
          <w:szCs w:val="20"/>
          <w:rtl w:val="true"/>
        </w:rPr>
        <w:t>؛ والنصّی المروی عن أمیرالمؤمنین علیه السلام ، ذکره، ابن أبی الحدید، فی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429/27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آداب التجارة،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 أحکام الرهن،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229/25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من أبواب الرهن،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 احکام الهبات،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338/13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من أحکام الهبات،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منهاج الصالحین؛ کتاب الهبة</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341/13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من أحکام الهبات،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ابواب الدین،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من ابواب الدین،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478/12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من أبواب الصرف،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من أبواب الدین،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من أبواب الدین،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مقدمات النکاح،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466/14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من أبواب العقد،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من أبواب عقد النکاح،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من ابواب مقدمات النکاح،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من ابواب عقد النکاح،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مقدمات الطلاق،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أبواب ما یکتسب به،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من أبواب عقد النکاح،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مستند العروة الوثقی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247/2</w:t>
      </w:r>
      <w:r>
        <w:rPr>
          <w:rFonts w:ascii="IRNazanin" w:hAnsi="IRNazanin" w:eastAsia="IRNazanin"/>
          <w:b w:val="false"/>
          <w:b w:val="false"/>
          <w:bCs w:val="false"/>
          <w:i w:val="false"/>
          <w:i w:val="false"/>
          <w:iCs w:val="false"/>
          <w:color w:val="333333"/>
          <w:sz w:val="20"/>
          <w:sz w:val="20"/>
          <w:szCs w:val="20"/>
          <w:rtl w:val="true"/>
        </w:rPr>
        <w:t>، کتاب النکاح</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عقد النکاح،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المستمسک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487/14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525/14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المستمسک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w:t>
      </w:r>
      <w:r>
        <w:rPr>
          <w:rFonts w:ascii="IRNazanin" w:hAnsi="IRNazanin" w:eastAsia="IRNazanin"/>
          <w:b w:val="false"/>
          <w:b w:val="false"/>
          <w:bCs w:val="false"/>
          <w:i w:val="false"/>
          <w:i w:val="false"/>
          <w:iCs w:val="false"/>
          <w:color w:val="333333"/>
          <w:sz w:val="20"/>
          <w:sz w:val="20"/>
          <w:szCs w:val="20"/>
          <w:rtl w:val="true"/>
        </w:rPr>
        <w:t>، أحکام الخلوة،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تفسیر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مقدمات النکاح</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من أبواب مقدمات النکاح،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مقدمات النکاح،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کتاب‌النکاح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الانصاری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مقدمات النکاح،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مقدمات النکاح،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آداب الحمام،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آداب الحمام،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مقدمات النکاح،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غسل المیت،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موثقة زید بن علی</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مقدمات النکاح،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مایحرم بالمصاهرة،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ما یحرم بالرضاع،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352/14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ما یحرم بالمصاهرة،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349/29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375/14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مایحرم بالمصاهرة،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تفصیل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کتاب النکاح</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341/14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المصاهرة،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ما یحرم بالمصاهرة،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مستند العروة الوثقی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280/1</w:t>
      </w:r>
      <w:r>
        <w:rPr>
          <w:rFonts w:ascii="IRNazanin" w:hAnsi="IRNazanin" w:eastAsia="IRNazanin"/>
          <w:b w:val="false"/>
          <w:b w:val="false"/>
          <w:bCs w:val="false"/>
          <w:i w:val="false"/>
          <w:i w:val="false"/>
          <w:iCs w:val="false"/>
          <w:color w:val="333333"/>
          <w:sz w:val="20"/>
          <w:sz w:val="20"/>
          <w:szCs w:val="20"/>
          <w:rtl w:val="true"/>
        </w:rPr>
        <w:t>،کتاب النکاح؛ المستمسک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ما یحرم بالرضاع،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307/14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بالرضاع،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306/14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بالرضاع،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ما یحرم بالرضاع،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302/14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بالرضاع،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302/14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ما یحرم بالرضاع،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ما یحرم بالرضاع،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292/14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تفصیل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298/14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290/14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ما یحرم بالرضاع،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وکانت تعمل بفتواها، فعن موطّأمالک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کانت عایشه تأمر اختها، وبنات أخیها أن یرضعن من أحبّت أن یدخل علیها من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عایشه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234/3</w:t>
      </w:r>
      <w:r>
        <w:rPr>
          <w:rFonts w:ascii="IRNazanin" w:hAnsi="IRNazanin" w:eastAsia="IRNazanin"/>
          <w:b w:val="false"/>
          <w:b w:val="false"/>
          <w:bCs w:val="false"/>
          <w:i w:val="false"/>
          <w:i w:val="false"/>
          <w:iCs w:val="false"/>
          <w:color w:val="333333"/>
          <w:sz w:val="20"/>
          <w:sz w:val="20"/>
          <w:szCs w:val="20"/>
          <w:rtl w:val="true"/>
        </w:rPr>
        <w:t>، وقد أرسلت سالم بن عبدالله بن عمر عند اختها أم کلثوم زوجة عبدالله ابن ربیعه لترضعها؛ ولذا کان یترددّ إلیها لیسمع منها الحدیث،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ما یحرم بالرضاع،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کتاب النکاح</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ما یحرم بالرضاع،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289/14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مستند العروة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النکاح؛ والمستمسک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125/14</w:t>
      </w:r>
      <w:r>
        <w:rPr>
          <w:rFonts w:ascii="IRNazanin" w:hAnsi="IRNazanin" w:eastAsia="IRNazanin"/>
          <w:b w:val="false"/>
          <w:b w:val="false"/>
          <w:bCs w:val="false"/>
          <w:i w:val="false"/>
          <w:i w:val="false"/>
          <w:iCs w:val="false"/>
          <w:color w:val="333333"/>
          <w:sz w:val="20"/>
          <w:sz w:val="20"/>
          <w:szCs w:val="20"/>
          <w:rtl w:val="true"/>
        </w:rPr>
        <w:t>؛ وتفصیل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کتاب النکاح</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مایحرم بالمصاهرة،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446/14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 ابواب العقد،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ما یحرم باستیفاء العدد،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تفصیل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کتاب النکاح،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427/14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ما یحرم بالکفر،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نکاح العبید،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مایحرم بالمصاهرة،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تروک الاحرام،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378/14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مایحرم بالمصاهرة،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378/14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بالمصاهرة،ح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المستدرک للحاکم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305/2</w:t>
      </w:r>
      <w:r>
        <w:rPr>
          <w:rFonts w:ascii="IRNazanin" w:hAnsi="IRNazanin" w:eastAsia="IRNazanin"/>
          <w:b w:val="false"/>
          <w:b w:val="false"/>
          <w:bCs w:val="false"/>
          <w:i w:val="false"/>
          <w:i w:val="false"/>
          <w:iCs w:val="false"/>
          <w:color w:val="333333"/>
          <w:sz w:val="20"/>
          <w:sz w:val="20"/>
          <w:szCs w:val="20"/>
          <w:rtl w:val="true"/>
        </w:rPr>
        <w:t>؛ الدر المنشور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؛أحکام القرآن، ابن عربی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389/1</w:t>
      </w:r>
      <w:r>
        <w:rPr>
          <w:rFonts w:ascii="IRNazanin" w:hAnsi="IRNazanin" w:eastAsia="IRNazanin"/>
          <w:b w:val="false"/>
          <w:b w:val="false"/>
          <w:bCs w:val="false"/>
          <w:i w:val="false"/>
          <w:i w:val="false"/>
          <w:iCs w:val="false"/>
          <w:color w:val="333333"/>
          <w:sz w:val="20"/>
          <w:sz w:val="20"/>
          <w:szCs w:val="20"/>
          <w:rtl w:val="true"/>
        </w:rPr>
        <w:t>؛الزواج الموقت من وجهة الفریقین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الجامع لاحکام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احکام القرآن الجصاص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338/1</w:t>
      </w:r>
      <w:r>
        <w:rPr>
          <w:rFonts w:ascii="IRNazanin" w:hAnsi="IRNazanin" w:eastAsia="IRNazanin"/>
          <w:b w:val="false"/>
          <w:b w:val="false"/>
          <w:bCs w:val="false"/>
          <w:i w:val="false"/>
          <w:i w:val="false"/>
          <w:iCs w:val="false"/>
          <w:color w:val="333333"/>
          <w:sz w:val="20"/>
          <w:sz w:val="20"/>
          <w:szCs w:val="20"/>
          <w:rtl w:val="true"/>
        </w:rPr>
        <w:t>؛ اصول سرخسی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الجامع لاحکام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392/2</w:t>
      </w:r>
      <w:r>
        <w:rPr>
          <w:rFonts w:ascii="IRNazanin" w:hAnsi="IRNazanin" w:eastAsia="IRNazanin"/>
          <w:b w:val="false"/>
          <w:b w:val="false"/>
          <w:bCs w:val="false"/>
          <w:i w:val="false"/>
          <w:i w:val="false"/>
          <w:iCs w:val="false"/>
          <w:color w:val="333333"/>
          <w:sz w:val="20"/>
          <w:sz w:val="20"/>
          <w:szCs w:val="20"/>
          <w:rtl w:val="true"/>
        </w:rPr>
        <w:t>؛ علل الدار قطنی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202/14</w:t>
      </w:r>
      <w:r>
        <w:rPr>
          <w:rFonts w:ascii="IRNazanin" w:hAnsi="IRNazanin" w:eastAsia="IRNazanin"/>
          <w:b w:val="false"/>
          <w:b w:val="false"/>
          <w:bCs w:val="false"/>
          <w:i w:val="false"/>
          <w:i w:val="false"/>
          <w:iCs w:val="false"/>
          <w:color w:val="333333"/>
          <w:sz w:val="20"/>
          <w:sz w:val="20"/>
          <w:szCs w:val="20"/>
          <w:rtl w:val="true"/>
        </w:rPr>
        <w:t>؛ 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214/31</w:t>
      </w:r>
      <w:r>
        <w:rPr>
          <w:rFonts w:ascii="IRNazanin" w:hAnsi="IRNazanin" w:eastAsia="IRNazanin"/>
          <w:b w:val="false"/>
          <w:b w:val="false"/>
          <w:bCs w:val="false"/>
          <w:i w:val="false"/>
          <w:i w:val="false"/>
          <w:iCs w:val="false"/>
          <w:color w:val="333333"/>
          <w:sz w:val="20"/>
          <w:sz w:val="20"/>
          <w:szCs w:val="20"/>
          <w:rtl w:val="true"/>
        </w:rPr>
        <w:t>؛ تذکرة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الاستذکار، لابن عبد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مثالب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437/14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ابواب المتعه،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نقله القوشجی فی شرحه علی تجرید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من دون تعلیق علیه؛ الدروس التمهیدیة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النکاح، الزواج الموقت</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465/14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من أبواب المتعة،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406/15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 أبواب العدد،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484/15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568/14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نکاح العبید،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وصحیح مسلم، کتاب الرضاع،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الولد للفراش</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488/14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من أبواب المتعه،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تفصیل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کتاب النکاح،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266/15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أبواب مقدمات الطلاق،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لعله فی فرض عدم زوال العقل یشکل کامل أو حالة المجنون الأدواری کما نبه علیه فی 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مقدّمات الطلاق،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 ابواب العدد،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عدة المسترابة</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295/15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مقدمات الطلاق،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الفقه علی المذاهب الاربعة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مقدّمات الطلاق،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الاربعة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303/4</w:t>
      </w:r>
      <w:r>
        <w:rPr>
          <w:rFonts w:ascii="IRNazanin" w:hAnsi="IRNazanin" w:eastAsia="IRNazanin"/>
          <w:b w:val="false"/>
          <w:b w:val="false"/>
          <w:bCs w:val="false"/>
          <w:i w:val="false"/>
          <w:i w:val="false"/>
          <w:iCs w:val="false"/>
          <w:color w:val="333333"/>
          <w:sz w:val="20"/>
          <w:sz w:val="20"/>
          <w:szCs w:val="20"/>
          <w:rtl w:val="true"/>
        </w:rPr>
        <w:t>؛ دروس تمهیدیة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الطلاق</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417/15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من أبواب العدد،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من الخلع والمباراة،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من أبواب أقسام الطلاق،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والعسیلة أشارة إلی لذّة الجماع</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 أقسام الطلاق،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405/15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 أبواب العدد،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418/15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أبواب العدد،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حدّ المرتد،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455/15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من أبواب العدد،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الحدّ بمعنی المنع</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من أبواب المهور،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 أبواب العدد،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346/14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ما یحرم بالمصاهرة،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455/15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من أبواب العدد،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 باب الخلع،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495/15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کتاب الخلع والمباراة،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أحادیث الباب</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491/15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کتاب الخلع والمباراة،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500/15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کتاب الخلع والمباراة،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516/15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کتاب الظهار،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کتاب الإیلاء،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601/15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من أبواب اللعان،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568/14</w:t>
      </w:r>
      <w:r>
        <w:rPr>
          <w:rFonts w:ascii="IRNazanin" w:hAnsi="IRNazanin" w:eastAsia="IRNazanin"/>
          <w:b w:val="false"/>
          <w:b w:val="false"/>
          <w:bCs w:val="false"/>
          <w:i w:val="false"/>
          <w:i w:val="false"/>
          <w:iCs w:val="false"/>
          <w:color w:val="333333"/>
          <w:sz w:val="20"/>
          <w:sz w:val="20"/>
          <w:szCs w:val="20"/>
          <w:rtl w:val="true"/>
        </w:rPr>
        <w:t>، ابواب نکاح العبید،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من ابواب اللعان،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من أبواب الإیمان،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من أبواب الأیمان،ح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جهاد النفس،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الأیمان،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أبواب النذر،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365/35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ابواب النذر،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575/15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من أبواب الکفارات،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576/15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من أبواب الکفارات،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206/16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من أبواب النذر،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319/17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من أبواب الشفعه،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266/37</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320/17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من أبواب الشفعه،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272/37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326/37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 أبواب الشفعة،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352/13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أحکام الوصایا،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411/13</w:t>
      </w:r>
      <w:r>
        <w:rPr>
          <w:rFonts w:ascii="IRNazanin" w:hAnsi="IRNazanin" w:eastAsia="IRNazanin"/>
          <w:b w:val="false"/>
          <w:b w:val="false"/>
          <w:bCs w:val="false"/>
          <w:i w:val="false"/>
          <w:i w:val="false"/>
          <w:iCs w:val="false"/>
          <w:color w:val="333333"/>
          <w:sz w:val="20"/>
          <w:sz w:val="20"/>
          <w:szCs w:val="20"/>
          <w:rtl w:val="true"/>
        </w:rPr>
        <w:t>، من أبواب أحکام الوصایا،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409/13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من أحکام الوصایا،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صفات القاضی،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276/28</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من أحکام الوصایا،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ما یکتسب به،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367/13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من أحکام الوصایا،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454/13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فی أحکام الوصایا،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292/13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أحکام الوقوف،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المقصود لم تقع خصومة بینه وبینهم لیجبروه من خلالها علی القبض</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298/13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 احکام الوقوف،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ملحقات العروة الوثقی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تحریر الوسیله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328/13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من أحکام السکنی والحبس،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134/28</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327/13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فی أحکام السکنی،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225/6</w:t>
      </w:r>
      <w:r>
        <w:rPr>
          <w:rFonts w:ascii="IRNazanin" w:hAnsi="IRNazanin" w:eastAsia="IRNazanin"/>
          <w:b w:val="false"/>
          <w:b w:val="false"/>
          <w:bCs w:val="false"/>
          <w:i w:val="false"/>
          <w:i w:val="false"/>
          <w:iCs w:val="false"/>
          <w:color w:val="333333"/>
          <w:sz w:val="20"/>
          <w:sz w:val="20"/>
          <w:szCs w:val="20"/>
          <w:rtl w:val="true"/>
        </w:rPr>
        <w:t>، أبواب الصدقة</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33/13</w:t>
      </w:r>
      <w:r>
        <w:rPr>
          <w:rFonts w:ascii="IRNazanin" w:hAnsi="IRNazanin" w:eastAsia="IRNazanin"/>
          <w:b w:val="false"/>
          <w:b w:val="false"/>
          <w:bCs w:val="false"/>
          <w:i w:val="false"/>
          <w:i w:val="false"/>
          <w:iCs w:val="false"/>
          <w:color w:val="333333"/>
          <w:sz w:val="20"/>
          <w:sz w:val="20"/>
          <w:szCs w:val="20"/>
          <w:rtl w:val="true"/>
        </w:rPr>
        <w:t>، فی أحکام الوقوف والصدقات،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ملحقات العروة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منهاج الصالحین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فی أحکام الوقوف والصدقات،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من أبواب الصدقه،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من أبواب الصدقة،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رسالة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أبواب صفات القاضی،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من آداب القضاء،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صفات القاضی،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ما یکتسب به</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مبانی تکملة المنهاج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صفات القاضی،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صفات القاضی،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کیفیة الحکم،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376/40</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مبانی تکمله المنهاج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تفصیل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القضاء</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مقدّمات الحدود،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کیفیة الحکم،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الشهادات،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کیفیة الحکم،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ما یکتسب به،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کیفیة الحکم،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تحریر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القضاء</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تفصیل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کتاب القضاء</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أبواب الشهادات،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مبانی تکلمة المنهاج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أبواب الشهادات،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صحیحه محمد بن قیس</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أبواب الوصایا،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ابواب الشهادات،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ابواب الشهادات،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الحلف الشدید</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أبواب الشهادات،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387/7</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أبواب الشهادات،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من ابواب الشهادات،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من أبواب الحیض</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من أبواب کیفیة الحکم،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حد الزنا،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من أبواب الشهادات،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الإقرار</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365/17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من ابواب اللقطه،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352/17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 أبواب اللقطة،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مقدمات الطواف،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من أبواب اللقطه،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408/16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الأطعمة المحرمة،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397/16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393/16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الاطعمة المحرمة،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الیحمور حیوان شبیه بالابل وقیل غیره</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320/16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الأطعمة المحرمة،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170/16</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346/16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الاطعمة المحرّمة،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وصفیف الطائر بسطه لجناحیه حالة طیرانه ودفیفه تحریکه لهما</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القانصة للطیر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تجتمع فیها الاجسام الصلبة ویعبر عنها فی الفارسیة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سنگدان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والحوصلة للطیر کالمعدة لغیره والصیصة فهی شوکة خلف رجل الطائر خارجة عن قدمه بمنزلة الابهام للانسان</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419/16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من ابواب الأطعمة المحرّمة،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نکاح البهائم،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وهی شیء، صفر یستخرج من بطن الجدی الراضع قبل أن یأکل فیعصر فی صوف فیغلظ ویستعمل کخمرة للجبن ویعبّر عنه فی الفارسیة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بنیر مایه</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الأطعمة المحرّمة،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34/24</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 أبواب الذبائح،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 ابواب الذبائح،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36/24</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والاول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القشر الظاهر من القصبة، والثانی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الحادّ</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307/16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أبواب الذبائح،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267/16</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من أبواب الذبائح،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الوضع المنخفض فی اعلی الصدر متصلاً بالعنق</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من أبواب الذبائح،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من أبواب الذبائح،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من أبواب الصید،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مدرّب علی الاصطیاد</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259/16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من أبواب الصید،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 أبواب الصید،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شاطئ النهر</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من أبواب الذبائح،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لباس المصلی،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453/16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من أبواب الأطعمة المحرّمة،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؛والفیء بمعنی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والإیجاف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 السریع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والرکاب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أبواب الأنفال،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أبواب الأنفال،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أبواب الأنفال،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قطائع الملوک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الأراضی التی اقتطعها الملوک لأنفسهم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وصفایاهم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الأموال المنقولة النفیسة لهم غیر الأرض</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ابواب الانفال</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أبواب الأنفال،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أبواب الأنفال،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547/17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 أبواب ولاء ضمان الجریرة والإمامة</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أبواب إحیاء الموات،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وللسبب فردان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الزوجیه، والآخر الولاء، وهی علی ثلاثة أنحاء، مترتبة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ولاء العتق، ثمّ ولاء ضامن الجریرة، ثمّ ولاء الإمامة، والتفصیل موکول إلی المطولات</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ذیل الآیة الکریمة</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517/17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 أبواب میراث الأزواج،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أبواب موانع الإرث</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390/17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من أبواب موانع الإرث،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من أبواب میراث ولد الملاغته وما أشبهه،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459/17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من أبواب میراث الأبوین والأولاد،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دروس تمهیدیه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550/2</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423/17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من أبواب موجبات الإرث،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قدامی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423/17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من أابواب موجبات الإرث،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431/17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من أبواب موجبات الإرث</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463/17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میراث الأبوین والأولاد،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449/17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میراث الأبوین والأولاد،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479/17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میراث الأخوة والأجداد،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497/17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میراث الاخوة والاجداد،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میراث الاعمام والاخوال،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154/39</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154/39</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152/39</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مبانی منهاج الصالحین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846/10</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498/17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میراث الإخوة والأجداد،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میراث الأعمام والأخوال،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موجبات الارث،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میراث الأعمام والأخوال،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511/17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میراث الأزواج،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80/29</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الخلاف، والسرائر، 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207/39</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میراث الازواج،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208/39</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أبواب الجنابة،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حدّ الزنا،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حدّ الزنا،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حدّ الزنا،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موثّقه إسحاق،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حدّ الزنا،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مقدمات الحدود،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تروک الإحرام،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حدّ القذف،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حدّ الزنا،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وفی 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دهداء</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حدّ اللائط،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مبانی تکملة المنهاج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الحدود،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حد اللواط،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أبواب حدّ اللّواط،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مقدّمات الحدود،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مبانی تکملة المنهاج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391/1</w:t>
      </w:r>
      <w:r>
        <w:rPr>
          <w:rFonts w:ascii="IRNazanin" w:hAnsi="IRNazanin" w:eastAsia="IRNazanin"/>
          <w:b w:val="false"/>
          <w:b w:val="false"/>
          <w:bCs w:val="false"/>
          <w:i w:val="false"/>
          <w:i w:val="false"/>
          <w:iCs w:val="false"/>
          <w:color w:val="333333"/>
          <w:sz w:val="20"/>
          <w:sz w:val="20"/>
          <w:szCs w:val="20"/>
          <w:rtl w:val="true"/>
        </w:rPr>
        <w:t>، الحدود</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باب حدّ اللواط،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154/41</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حدّ الزنا،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مبانی تکملة المنهاج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w:t>
      </w:r>
      <w:r>
        <w:rPr>
          <w:rFonts w:ascii="IRNazanin" w:hAnsi="IRNazanin" w:eastAsia="IRNazanin"/>
          <w:b w:val="false"/>
          <w:b w:val="false"/>
          <w:bCs w:val="false"/>
          <w:i w:val="false"/>
          <w:i w:val="false"/>
          <w:iCs w:val="false"/>
          <w:color w:val="333333"/>
          <w:sz w:val="20"/>
          <w:sz w:val="20"/>
          <w:szCs w:val="20"/>
          <w:rtl w:val="true"/>
        </w:rPr>
        <w:t>،الحدود</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دلک المرأة فرجها بفرج اخری</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حدّ السحق،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حد القذف،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295/11</w:t>
      </w:r>
      <w:r>
        <w:rPr>
          <w:rFonts w:ascii="IRNazanin" w:hAnsi="IRNazanin" w:eastAsia="IRNazanin"/>
          <w:b w:val="false"/>
          <w:b w:val="false"/>
          <w:bCs w:val="false"/>
          <w:i w:val="false"/>
          <w:i w:val="false"/>
          <w:iCs w:val="false"/>
          <w:color w:val="333333"/>
          <w:sz w:val="20"/>
          <w:sz w:val="20"/>
          <w:szCs w:val="20"/>
          <w:rtl w:val="true"/>
        </w:rPr>
        <w:t>، جهاد النفس، باب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مقدمات الحدود،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حدّ القذف،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حدّ المرتد،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حدّ القذف،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حدّ المسکر،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حدّ السرقة،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535/41</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419/18</w:t>
      </w:r>
      <w:r>
        <w:rPr>
          <w:rFonts w:ascii="IRNazanin" w:hAnsi="IRNazanin" w:eastAsia="IRNazanin"/>
          <w:b w:val="false"/>
          <w:b w:val="false"/>
          <w:bCs w:val="false"/>
          <w:i w:val="false"/>
          <w:i w:val="false"/>
          <w:iCs w:val="false"/>
          <w:color w:val="333333"/>
          <w:sz w:val="20"/>
          <w:sz w:val="20"/>
          <w:szCs w:val="20"/>
          <w:rtl w:val="true"/>
        </w:rPr>
        <w:t>، حد السرقة،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509/18</w:t>
      </w:r>
      <w:r>
        <w:rPr>
          <w:rFonts w:ascii="IRNazanin" w:hAnsi="IRNazanin" w:eastAsia="IRNazanin"/>
          <w:b w:val="false"/>
          <w:b w:val="false"/>
          <w:bCs w:val="false"/>
          <w:i w:val="false"/>
          <w:i w:val="false"/>
          <w:iCs w:val="false"/>
          <w:color w:val="333333"/>
          <w:sz w:val="20"/>
          <w:sz w:val="20"/>
          <w:szCs w:val="20"/>
          <w:rtl w:val="true"/>
        </w:rPr>
        <w:t>، والأرحیة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رحی</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482/18</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503/18</w:t>
      </w:r>
      <w:r>
        <w:rPr>
          <w:rFonts w:ascii="IRNazanin" w:hAnsi="IRNazanin" w:eastAsia="IRNazanin"/>
          <w:b w:val="false"/>
          <w:b w:val="false"/>
          <w:bCs w:val="false"/>
          <w:i w:val="false"/>
          <w:i w:val="false"/>
          <w:iCs w:val="false"/>
          <w:color w:val="333333"/>
          <w:sz w:val="20"/>
          <w:sz w:val="20"/>
          <w:szCs w:val="20"/>
          <w:rtl w:val="true"/>
        </w:rPr>
        <w:t>، حدّ السرقه،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مایکتسب به،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العدو، باب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القصاص فی النفس،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من أبواب القصاص فی النفس،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من أبواب العاقلة،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من أبواب دعوی القتل،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من أبواب القصاص،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من أبواب جهاد النفس،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من أبواب الامر والنهی،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من أبواب قصاص النفس،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موجبات الإرث،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من أبواب القصاص فی النفس،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 أبواب قصاص الطرف،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دیات النفس،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دیات النفس،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 الناقة التی دخلت فی الثانیة</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دیات النفس،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العاقله،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415/43</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دیات الأعضاء،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دیات الشجاج والجراح،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دیات الأعضاء،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579/15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کفارات</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القصاص فی النفس،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تساویه فی العقل بمعنی الدیة</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دیات الاعضاء،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صفات القاضی،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مستمسک العروة الوثقی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القاضی،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المستمسک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المستمسک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المستمسک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المستمسک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صفات القاضی،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المستمسک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التنقیح فی شرح العروة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المستمسک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image" Target="media/image2.jpeg"/><Relationship Id="rId519" Type="http://schemas.openxmlformats.org/officeDocument/2006/relationships/image" Target="media/image2.jpeg"/><Relationship Id="rId520" Type="http://schemas.openxmlformats.org/officeDocument/2006/relationships/footer" Target="footer513.xml"/><Relationship Id="rId521" Type="http://schemas.openxmlformats.org/officeDocument/2006/relationships/footnotes" Target="footnotes.xml"/><Relationship Id="rId522" Type="http://schemas.openxmlformats.org/officeDocument/2006/relationships/numbering" Target="numbering.xml"/><Relationship Id="rId523" Type="http://schemas.openxmlformats.org/officeDocument/2006/relationships/fontTable" Target="fontTable.xml"/><Relationship Id="rId524" Type="http://schemas.openxmlformats.org/officeDocument/2006/relationships/settings" Target="settings.xml"/><Relationship Id="rId5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526</Pages>
  <Words>52572</Words>
  <Characters>231032</Characters>
  <CharactersWithSpaces>281126</CharactersWithSpaces>
  <Paragraphs>2479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2026-08-18T22:32:56Z</dcterms:created>
  <dc:creator>ghaemiyeh.com</dc:creator>
  <dc:description/>
  <dc:language>en-US</dc:language>
  <cp:lastModifiedBy/>
  <dcterms:modified xsi:type="dcterms:W3CDTF">2026-08-19T02:03:13Z</dcterms:modified>
  <cp:revision>1</cp:revision>
  <dc:subject/>
  <dc:title>دراسات تمهیدیه فی فقه الامامیه</dc:title>
</cp:coreProperties>
</file>

<file path=docProps/custom.xml><?xml version="1.0" encoding="utf-8"?>
<Properties xmlns="http://schemas.openxmlformats.org/officeDocument/2006/custom-properties" xmlns:vt="http://schemas.openxmlformats.org/officeDocument/2006/docPropsVTypes"/>
</file>