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67</w:t>
      </w:r>
      <w:r>
        <w:rPr>
          <w:rtl w:val="true"/>
        </w:rPr>
        <w:t xml:space="preserve"> </w:t>
      </w:r>
      <w:r>
        <w:rPr>
          <w:rtl w:val="true"/>
        </w:rPr>
        <w:t>دوراهی های من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90314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290316_203518539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290318_2035185390">
            <w:r>
              <w:rPr>
                <w:webHidden/>
                <w:rStyle w:val="IndexLink"/>
                <w:rtl w:val="true"/>
              </w:rPr>
              <w:t>دوراهی‌های من</w:t>
            </w:r>
            <w:r>
              <w:rPr>
                <w:rStyle w:val="IndexLink"/>
                <w:rtl w:val="true"/>
              </w:rPr>
              <w:tab/>
            </w:r>
            <w:r>
              <w:rPr>
                <w:rStyle w:val="IndexLink"/>
              </w:rPr>
              <w:t>8</w:t>
            </w:r>
          </w:hyperlink>
        </w:p>
        <w:p>
          <w:pPr>
            <w:pStyle w:val="Contents2"/>
            <w:tabs>
              <w:tab w:val="clear" w:pos="8743"/>
              <w:tab w:val="right" w:pos="9026" w:leader="dot"/>
            </w:tabs>
            <w:rPr/>
          </w:pPr>
          <w:hyperlink w:anchor="__RefHeading___Toc3290320_2035185390">
            <w:r>
              <w:rPr>
                <w:webHidden/>
                <w:rStyle w:val="IndexLink"/>
                <w:rtl w:val="true"/>
              </w:rPr>
              <w:t>درآمدی بر مسئلۀ جبر و اختیار</w:t>
            </w:r>
            <w:r>
              <w:rPr>
                <w:rStyle w:val="IndexLink"/>
                <w:rtl w:val="true"/>
              </w:rPr>
              <w:tab/>
            </w:r>
            <w:r>
              <w:rPr>
                <w:rStyle w:val="IndexLink"/>
              </w:rPr>
              <w:t>8</w:t>
            </w:r>
          </w:hyperlink>
        </w:p>
        <w:p>
          <w:pPr>
            <w:pStyle w:val="Contents2"/>
            <w:tabs>
              <w:tab w:val="clear" w:pos="8743"/>
              <w:tab w:val="right" w:pos="9026" w:leader="dot"/>
            </w:tabs>
            <w:rPr/>
          </w:pPr>
          <w:hyperlink w:anchor="__RefHeading___Toc3290322_2035185390">
            <w:r>
              <w:rPr>
                <w:webHidden/>
                <w:rStyle w:val="IndexLink"/>
                <w:rtl w:val="true"/>
              </w:rPr>
              <w:t>درآمد</w:t>
            </w:r>
            <w:r>
              <w:rPr>
                <w:rStyle w:val="IndexLink"/>
                <w:rtl w:val="true"/>
              </w:rPr>
              <w:tab/>
            </w:r>
            <w:r>
              <w:rPr>
                <w:rStyle w:val="IndexLink"/>
              </w:rPr>
              <w:t>9</w:t>
            </w:r>
          </w:hyperlink>
        </w:p>
        <w:p>
          <w:pPr>
            <w:pStyle w:val="Contents2"/>
            <w:tabs>
              <w:tab w:val="clear" w:pos="8743"/>
              <w:tab w:val="right" w:pos="9026" w:leader="dot"/>
            </w:tabs>
            <w:rPr/>
          </w:pPr>
          <w:hyperlink w:anchor="__RefHeading___Toc3290324_2035185390">
            <w:r>
              <w:rPr>
                <w:webHidden/>
                <w:rStyle w:val="IndexLink"/>
              </w:rPr>
              <w:t>1</w:t>
            </w:r>
            <w:r>
              <w:rPr>
                <w:rStyle w:val="IndexLink"/>
                <w:rtl w:val="true"/>
              </w:rPr>
              <w:t>.</w:t>
            </w:r>
            <w:r>
              <w:rPr>
                <w:rStyle w:val="IndexLink"/>
                <w:rtl w:val="true"/>
              </w:rPr>
              <w:t>طرح مسئله</w:t>
            </w:r>
            <w:r>
              <w:rPr>
                <w:rStyle w:val="IndexLink"/>
                <w:rtl w:val="true"/>
              </w:rPr>
              <w:tab/>
            </w:r>
            <w:r>
              <w:rPr>
                <w:rStyle w:val="IndexLink"/>
              </w:rPr>
              <w:t>12</w:t>
            </w:r>
          </w:hyperlink>
        </w:p>
        <w:p>
          <w:pPr>
            <w:pStyle w:val="Contents3"/>
            <w:tabs>
              <w:tab w:val="clear" w:pos="8459"/>
              <w:tab w:val="right" w:pos="9026" w:leader="dot"/>
            </w:tabs>
            <w:rPr/>
          </w:pPr>
          <w:hyperlink w:anchor="__RefHeading___Toc3290326_2035185390">
            <w:r>
              <w:rPr>
                <w:webHidden/>
                <w:rStyle w:val="IndexLink"/>
                <w:rtl w:val="true"/>
              </w:rPr>
              <w:t>مقدمه</w:t>
            </w:r>
            <w:r>
              <w:rPr>
                <w:rStyle w:val="IndexLink"/>
                <w:rtl w:val="true"/>
              </w:rPr>
              <w:tab/>
            </w:r>
            <w:r>
              <w:rPr>
                <w:rStyle w:val="IndexLink"/>
              </w:rPr>
              <w:t>12</w:t>
            </w:r>
          </w:hyperlink>
        </w:p>
        <w:p>
          <w:pPr>
            <w:pStyle w:val="Contents3"/>
            <w:tabs>
              <w:tab w:val="clear" w:pos="8459"/>
              <w:tab w:val="right" w:pos="9026" w:leader="dot"/>
            </w:tabs>
            <w:rPr/>
          </w:pPr>
          <w:hyperlink w:anchor="__RefHeading___Toc3290328_2035185390">
            <w:r>
              <w:rPr>
                <w:webHidden/>
                <w:rStyle w:val="IndexLink"/>
                <w:rtl w:val="true"/>
              </w:rPr>
              <w:t>سیر کلّی بحث</w:t>
            </w:r>
            <w:r>
              <w:rPr>
                <w:rStyle w:val="IndexLink"/>
                <w:rtl w:val="true"/>
              </w:rPr>
              <w:tab/>
            </w:r>
            <w:r>
              <w:rPr>
                <w:rStyle w:val="IndexLink"/>
              </w:rPr>
              <w:t>15</w:t>
            </w:r>
          </w:hyperlink>
        </w:p>
        <w:p>
          <w:pPr>
            <w:pStyle w:val="Contents3"/>
            <w:tabs>
              <w:tab w:val="clear" w:pos="8459"/>
              <w:tab w:val="right" w:pos="9026" w:leader="dot"/>
            </w:tabs>
            <w:rPr/>
          </w:pPr>
          <w:hyperlink w:anchor="__RefHeading___Toc3290330_2035185390">
            <w:r>
              <w:rPr>
                <w:webHidden/>
                <w:rStyle w:val="IndexLink"/>
                <w:rtl w:val="true"/>
              </w:rPr>
              <w:t>بحث در ثمرۀ عملی</w:t>
            </w:r>
            <w:r>
              <w:rPr>
                <w:rStyle w:val="IndexLink"/>
                <w:rtl w:val="true"/>
              </w:rPr>
              <w:tab/>
            </w:r>
            <w:r>
              <w:rPr>
                <w:rStyle w:val="IndexLink"/>
              </w:rPr>
              <w:t>19</w:t>
            </w:r>
          </w:hyperlink>
        </w:p>
        <w:p>
          <w:pPr>
            <w:pStyle w:val="Contents3"/>
            <w:tabs>
              <w:tab w:val="clear" w:pos="8459"/>
              <w:tab w:val="right" w:pos="9026" w:leader="dot"/>
            </w:tabs>
            <w:rPr/>
          </w:pPr>
          <w:hyperlink w:anchor="__RefHeading___Toc3290332_2035185390">
            <w:r>
              <w:rPr>
                <w:webHidden/>
                <w:rStyle w:val="IndexLink"/>
                <w:rtl w:val="true"/>
              </w:rPr>
              <w:t>برای مطالعۀ بیشتر</w:t>
            </w:r>
            <w:r>
              <w:rPr>
                <w:rStyle w:val="IndexLink"/>
                <w:rtl w:val="true"/>
              </w:rPr>
              <w:tab/>
            </w:r>
            <w:r>
              <w:rPr>
                <w:rStyle w:val="IndexLink"/>
              </w:rPr>
              <w:t>22</w:t>
            </w:r>
          </w:hyperlink>
        </w:p>
        <w:p>
          <w:pPr>
            <w:pStyle w:val="Contents3"/>
            <w:tabs>
              <w:tab w:val="clear" w:pos="8459"/>
              <w:tab w:val="right" w:pos="9026" w:leader="dot"/>
            </w:tabs>
            <w:rPr/>
          </w:pPr>
          <w:hyperlink w:anchor="__RefHeading___Toc3290334_2035185390">
            <w:r>
              <w:rPr>
                <w:webHidden/>
                <w:rStyle w:val="IndexLink"/>
                <w:rtl w:val="true"/>
              </w:rPr>
              <w:t>جمع‌بندی ثمرۀ عملی</w:t>
            </w:r>
            <w:r>
              <w:rPr>
                <w:rStyle w:val="IndexLink"/>
                <w:rtl w:val="true"/>
              </w:rPr>
              <w:tab/>
            </w:r>
            <w:r>
              <w:rPr>
                <w:rStyle w:val="IndexLink"/>
              </w:rPr>
              <w:t>24</w:t>
            </w:r>
          </w:hyperlink>
        </w:p>
        <w:p>
          <w:pPr>
            <w:pStyle w:val="Contents3"/>
            <w:tabs>
              <w:tab w:val="clear" w:pos="8459"/>
              <w:tab w:val="right" w:pos="9026" w:leader="dot"/>
            </w:tabs>
            <w:rPr/>
          </w:pPr>
          <w:hyperlink w:anchor="__RefHeading___Toc3290336_2035185390">
            <w:r>
              <w:rPr>
                <w:webHidden/>
                <w:rStyle w:val="IndexLink"/>
                <w:rtl w:val="true"/>
              </w:rPr>
              <w:t>بحث در تعارض نظری</w:t>
            </w:r>
            <w:r>
              <w:rPr>
                <w:rStyle w:val="IndexLink"/>
                <w:rtl w:val="true"/>
              </w:rPr>
              <w:tab/>
            </w:r>
            <w:r>
              <w:rPr>
                <w:rStyle w:val="IndexLink"/>
              </w:rPr>
              <w:t>26</w:t>
            </w:r>
          </w:hyperlink>
        </w:p>
        <w:p>
          <w:pPr>
            <w:pStyle w:val="Contents2"/>
            <w:tabs>
              <w:tab w:val="clear" w:pos="8743"/>
              <w:tab w:val="right" w:pos="9026" w:leader="dot"/>
            </w:tabs>
            <w:rPr/>
          </w:pPr>
          <w:hyperlink w:anchor="__RefHeading___Toc3290338_2035185390">
            <w:r>
              <w:rPr>
                <w:webHidden/>
                <w:rStyle w:val="IndexLink"/>
              </w:rPr>
              <w:t>2</w:t>
            </w:r>
            <w:r>
              <w:rPr>
                <w:rStyle w:val="IndexLink"/>
                <w:rtl w:val="true"/>
              </w:rPr>
              <w:t>.</w:t>
            </w:r>
            <w:r>
              <w:rPr>
                <w:rStyle w:val="IndexLink"/>
                <w:rtl w:val="true"/>
              </w:rPr>
              <w:t>حوزۀ جهان‌شناسی</w:t>
            </w:r>
            <w:r>
              <w:rPr>
                <w:rStyle w:val="IndexLink"/>
                <w:rtl w:val="true"/>
              </w:rPr>
              <w:tab/>
            </w:r>
            <w:r>
              <w:rPr>
                <w:rStyle w:val="IndexLink"/>
              </w:rPr>
              <w:t>30</w:t>
            </w:r>
          </w:hyperlink>
        </w:p>
        <w:p>
          <w:pPr>
            <w:pStyle w:val="Contents3"/>
            <w:tabs>
              <w:tab w:val="clear" w:pos="8459"/>
              <w:tab w:val="right" w:pos="9026" w:leader="dot"/>
            </w:tabs>
            <w:rPr/>
          </w:pPr>
          <w:hyperlink w:anchor="__RefHeading___Toc3290340_2035185390">
            <w:r>
              <w:rPr>
                <w:webHidden/>
                <w:rStyle w:val="IndexLink"/>
                <w:rtl w:val="true"/>
              </w:rPr>
              <w:t>مقدمه</w:t>
            </w:r>
            <w:r>
              <w:rPr>
                <w:rStyle w:val="IndexLink"/>
                <w:rtl w:val="true"/>
              </w:rPr>
              <w:tab/>
            </w:r>
            <w:r>
              <w:rPr>
                <w:rStyle w:val="IndexLink"/>
              </w:rPr>
              <w:t>30</w:t>
            </w:r>
          </w:hyperlink>
        </w:p>
        <w:p>
          <w:pPr>
            <w:pStyle w:val="Contents3"/>
            <w:tabs>
              <w:tab w:val="clear" w:pos="8459"/>
              <w:tab w:val="right" w:pos="9026" w:leader="dot"/>
            </w:tabs>
            <w:rPr/>
          </w:pPr>
          <w:hyperlink w:anchor="__RefHeading___Toc3290342_2035185390">
            <w:r>
              <w:rPr>
                <w:webHidden/>
                <w:rStyle w:val="IndexLink"/>
                <w:rtl w:val="true"/>
              </w:rPr>
              <w:t>برای مطالعۀ بیشتر</w:t>
            </w:r>
            <w:r>
              <w:rPr>
                <w:rStyle w:val="IndexLink"/>
                <w:rtl w:val="true"/>
              </w:rPr>
              <w:tab/>
            </w:r>
            <w:r>
              <w:rPr>
                <w:rStyle w:val="IndexLink"/>
              </w:rPr>
              <w:t>33</w:t>
            </w:r>
          </w:hyperlink>
        </w:p>
        <w:p>
          <w:pPr>
            <w:pStyle w:val="Contents2"/>
            <w:tabs>
              <w:tab w:val="clear" w:pos="8743"/>
              <w:tab w:val="right" w:pos="9026" w:leader="dot"/>
            </w:tabs>
            <w:rPr/>
          </w:pPr>
          <w:hyperlink w:anchor="__RefHeading___Toc3290344_2035185390">
            <w:r>
              <w:rPr>
                <w:webHidden/>
                <w:rStyle w:val="IndexLink"/>
              </w:rPr>
              <w:t>3</w:t>
            </w:r>
            <w:r>
              <w:rPr>
                <w:rStyle w:val="IndexLink"/>
                <w:rtl w:val="true"/>
              </w:rPr>
              <w:t>.</w:t>
            </w:r>
            <w:r>
              <w:rPr>
                <w:rStyle w:val="IndexLink"/>
                <w:rtl w:val="true"/>
              </w:rPr>
              <w:t>حوزۀ خدا‌شناسی</w:t>
            </w:r>
            <w:r>
              <w:rPr>
                <w:rStyle w:val="IndexLink"/>
                <w:rtl w:val="true"/>
              </w:rPr>
              <w:tab/>
            </w:r>
            <w:r>
              <w:rPr>
                <w:rStyle w:val="IndexLink"/>
              </w:rPr>
              <w:t>36</w:t>
            </w:r>
          </w:hyperlink>
        </w:p>
        <w:p>
          <w:pPr>
            <w:pStyle w:val="Contents3"/>
            <w:tabs>
              <w:tab w:val="clear" w:pos="8459"/>
              <w:tab w:val="right" w:pos="9026" w:leader="dot"/>
            </w:tabs>
            <w:rPr/>
          </w:pPr>
          <w:hyperlink w:anchor="__RefHeading___Toc3290346_2035185390">
            <w:r>
              <w:rPr>
                <w:webHidden/>
                <w:rStyle w:val="IndexLink"/>
                <w:rtl w:val="true"/>
              </w:rPr>
              <w:t>مقدمه</w:t>
            </w:r>
            <w:r>
              <w:rPr>
                <w:rStyle w:val="IndexLink"/>
                <w:rtl w:val="true"/>
              </w:rPr>
              <w:tab/>
            </w:r>
            <w:r>
              <w:rPr>
                <w:rStyle w:val="IndexLink"/>
              </w:rPr>
              <w:t>36</w:t>
            </w:r>
          </w:hyperlink>
        </w:p>
        <w:p>
          <w:pPr>
            <w:pStyle w:val="Contents3"/>
            <w:tabs>
              <w:tab w:val="clear" w:pos="8459"/>
              <w:tab w:val="right" w:pos="9026" w:leader="dot"/>
            </w:tabs>
            <w:rPr/>
          </w:pPr>
          <w:hyperlink w:anchor="__RefHeading___Toc3290348_2035185390">
            <w:r>
              <w:rPr>
                <w:webHidden/>
                <w:rStyle w:val="IndexLink"/>
                <w:rtl w:val="true"/>
              </w:rPr>
              <w:t>برای مطالعۀ بیشتر</w:t>
            </w:r>
            <w:r>
              <w:rPr>
                <w:rStyle w:val="IndexLink"/>
                <w:rtl w:val="true"/>
              </w:rPr>
              <w:tab/>
            </w:r>
            <w:r>
              <w:rPr>
                <w:rStyle w:val="IndexLink"/>
              </w:rPr>
              <w:t>40</w:t>
            </w:r>
          </w:hyperlink>
        </w:p>
        <w:p>
          <w:pPr>
            <w:pStyle w:val="Contents2"/>
            <w:tabs>
              <w:tab w:val="clear" w:pos="8743"/>
              <w:tab w:val="right" w:pos="9026" w:leader="dot"/>
            </w:tabs>
            <w:rPr/>
          </w:pPr>
          <w:hyperlink w:anchor="__RefHeading___Toc3290350_2035185390">
            <w:r>
              <w:rPr>
                <w:webHidden/>
                <w:rStyle w:val="IndexLink"/>
              </w:rPr>
              <w:t>3</w:t>
            </w:r>
            <w:r>
              <w:rPr>
                <w:rStyle w:val="IndexLink"/>
                <w:rtl w:val="true"/>
              </w:rPr>
              <w:t>.</w:t>
            </w:r>
            <w:r>
              <w:rPr>
                <w:rStyle w:val="IndexLink"/>
                <w:rtl w:val="true"/>
              </w:rPr>
              <w:t>حوزۀ انسان‌شناسی</w:t>
            </w:r>
            <w:r>
              <w:rPr>
                <w:rStyle w:val="IndexLink"/>
                <w:rtl w:val="true"/>
              </w:rPr>
              <w:tab/>
            </w:r>
            <w:r>
              <w:rPr>
                <w:rStyle w:val="IndexLink"/>
              </w:rPr>
              <w:t>46</w:t>
            </w:r>
          </w:hyperlink>
        </w:p>
        <w:p>
          <w:pPr>
            <w:pStyle w:val="Contents3"/>
            <w:tabs>
              <w:tab w:val="clear" w:pos="8459"/>
              <w:tab w:val="right" w:pos="9026" w:leader="dot"/>
            </w:tabs>
            <w:rPr/>
          </w:pPr>
          <w:hyperlink w:anchor="__RefHeading___Toc3290352_2035185390">
            <w:r>
              <w:rPr>
                <w:webHidden/>
                <w:rStyle w:val="IndexLink"/>
                <w:rtl w:val="true"/>
              </w:rPr>
              <w:t>مقدمه</w:t>
            </w:r>
            <w:r>
              <w:rPr>
                <w:rStyle w:val="IndexLink"/>
                <w:rtl w:val="true"/>
              </w:rPr>
              <w:tab/>
            </w:r>
            <w:r>
              <w:rPr>
                <w:rStyle w:val="IndexLink"/>
              </w:rPr>
              <w:t>46</w:t>
            </w:r>
          </w:hyperlink>
        </w:p>
        <w:p>
          <w:pPr>
            <w:pStyle w:val="Contents3"/>
            <w:tabs>
              <w:tab w:val="clear" w:pos="8459"/>
              <w:tab w:val="right" w:pos="9026" w:leader="dot"/>
            </w:tabs>
            <w:rPr/>
          </w:pPr>
          <w:hyperlink w:anchor="__RefHeading___Toc3290354_2035185390">
            <w:r>
              <w:rPr>
                <w:webHidden/>
                <w:rStyle w:val="IndexLink"/>
                <w:rtl w:val="true"/>
              </w:rPr>
              <w:t>برای مطالعۀ بیشتر</w:t>
            </w:r>
            <w:r>
              <w:rPr>
                <w:rStyle w:val="IndexLink"/>
                <w:rtl w:val="true"/>
              </w:rPr>
              <w:tab/>
            </w:r>
            <w:r>
              <w:rPr>
                <w:rStyle w:val="IndexLink"/>
              </w:rPr>
              <w:t>54</w:t>
            </w:r>
          </w:hyperlink>
        </w:p>
        <w:p>
          <w:pPr>
            <w:pStyle w:val="Contents2"/>
            <w:tabs>
              <w:tab w:val="clear" w:pos="8743"/>
              <w:tab w:val="right" w:pos="9026" w:leader="dot"/>
            </w:tabs>
            <w:rPr/>
          </w:pPr>
          <w:hyperlink w:anchor="__RefHeading___Toc3290356_2035185390">
            <w:r>
              <w:rPr>
                <w:webHidden/>
                <w:rStyle w:val="IndexLink"/>
                <w:rtl w:val="true"/>
              </w:rPr>
              <w:t>جمع‌بندی بحث تعارض نظری</w:t>
            </w:r>
            <w:r>
              <w:rPr>
                <w:rStyle w:val="IndexLink"/>
                <w:rtl w:val="true"/>
              </w:rPr>
              <w:tab/>
            </w:r>
            <w:r>
              <w:rPr>
                <w:rStyle w:val="IndexLink"/>
              </w:rPr>
              <w:t>58</w:t>
            </w:r>
          </w:hyperlink>
        </w:p>
        <w:p>
          <w:pPr>
            <w:pStyle w:val="Contents3"/>
            <w:tabs>
              <w:tab w:val="clear" w:pos="8459"/>
              <w:tab w:val="right" w:pos="9026" w:leader="dot"/>
            </w:tabs>
            <w:rPr/>
          </w:pPr>
          <w:hyperlink w:anchor="__RefHeading___Toc3290358_2035185390">
            <w:r>
              <w:rPr>
                <w:webHidden/>
                <w:rStyle w:val="IndexLink"/>
                <w:rtl w:val="true"/>
              </w:rPr>
              <w:t>مقدمه</w:t>
            </w:r>
            <w:r>
              <w:rPr>
                <w:rStyle w:val="IndexLink"/>
                <w:rtl w:val="true"/>
              </w:rPr>
              <w:tab/>
            </w:r>
            <w:r>
              <w:rPr>
                <w:rStyle w:val="IndexLink"/>
              </w:rPr>
              <w:t>58</w:t>
            </w:r>
          </w:hyperlink>
        </w:p>
        <w:p>
          <w:pPr>
            <w:pStyle w:val="Contents3"/>
            <w:tabs>
              <w:tab w:val="clear" w:pos="8459"/>
              <w:tab w:val="right" w:pos="9026" w:leader="dot"/>
            </w:tabs>
            <w:rPr/>
          </w:pPr>
          <w:hyperlink w:anchor="__RefHeading___Toc3290360_2035185390">
            <w:r>
              <w:rPr>
                <w:webHidden/>
                <w:rStyle w:val="IndexLink"/>
                <w:rtl w:val="true"/>
              </w:rPr>
              <w:t>برای مطالعه بیشتر</w:t>
            </w:r>
            <w:r>
              <w:rPr>
                <w:rStyle w:val="IndexLink"/>
                <w:rtl w:val="true"/>
              </w:rPr>
              <w:tab/>
            </w:r>
            <w:r>
              <w:rPr>
                <w:rStyle w:val="IndexLink"/>
              </w:rPr>
              <w:t>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12_43882"/>
      <w:bookmarkStart w:id="1" w:name="pg4912_43882"/>
      <w:bookmarkEnd w:id="1"/>
    </w:p>
    <w:p>
      <w:pPr>
        <w:pStyle w:val="Heading2"/>
        <w:numPr>
          <w:ilvl w:val="1"/>
          <w:numId w:val="1"/>
        </w:numPr>
        <w:rPr/>
      </w:pPr>
      <w:bookmarkStart w:id="2" w:name="pg4912_43882"/>
      <w:bookmarkStart w:id="3" w:name="__RefHeading___Toc3290314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سوزنچی، حسین،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دوراهی‌های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درآمدی بر مساله جبر و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سوزنچی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رهنما؛ </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6543</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 اختیار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و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۲۱۹</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۲۸۲۷۳۳۶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90316_20351853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4" o:detectmouseclick="t"/>
                <v:stroke color="#3465a4" joinstyle="round" endcap="flat"/>
                <w10:wrap type="none"/>
              </v:shape>
            </w:pict>
          </mc:Fallback>
        </mc:AlternateContent>
      </w:r>
      <w:bookmarkStart w:id="7" w:name="pg4912_43886"/>
    </w:p>
    <w:p>
      <w:pPr>
        <w:pStyle w:val="Heading2"/>
        <w:numPr>
          <w:ilvl w:val="1"/>
          <w:numId w:val="1"/>
        </w:numPr>
        <w:rPr/>
      </w:pPr>
      <w:bookmarkStart w:id="8" w:name="__RefHeading___Toc3290318_2035185390"/>
      <w:bookmarkStart w:id="9" w:name="_Toc3"/>
      <w:bookmarkEnd w:id="7"/>
      <w:bookmarkEnd w:id="8"/>
      <w:r>
        <w:rPr>
          <w:rtl w:val="true"/>
        </w:rPr>
        <w:t>دوراهی‌های من</w:t>
      </w:r>
      <w:bookmarkEnd w:id="9"/>
    </w:p>
    <w:p>
      <w:pPr>
        <w:pStyle w:val="Heading2"/>
        <w:numPr>
          <w:ilvl w:val="1"/>
          <w:numId w:val="1"/>
        </w:numPr>
        <w:rPr/>
      </w:pPr>
      <w:bookmarkStart w:id="10" w:name="__RefHeading___Toc3290320_2035185390"/>
      <w:bookmarkStart w:id="11" w:name="_Toc4"/>
      <w:bookmarkEnd w:id="10"/>
      <w:r>
        <w:rPr>
          <w:rtl w:val="true"/>
        </w:rPr>
        <w:t>درآمدی بر مسئلۀ جبر و اختیار</w:t>
      </w:r>
      <w:bookmarkEnd w:id="11"/>
    </w:p>
    <w:p>
      <w:pPr>
        <w:pStyle w:val="BookText"/>
        <w:rPr/>
      </w:pPr>
      <w:r>
        <w:rPr>
          <w:rFonts w:ascii="IRNazanin" w:hAnsi="IRNazanin" w:eastAsia="IRNazanin"/>
          <w:color w:val="111111"/>
          <w:sz w:val="28"/>
          <w:sz w:val="28"/>
          <w:szCs w:val="28"/>
          <w:rtl w:val="true"/>
          <w:lang w:bidi="fa-IR"/>
        </w:rPr>
        <w:t>پرسش‌هایی که با خواندن این مقاله، به پاسخ‌های آن خواهید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آیا من در مقابل کارهایم مسئولم؟</w:t>
      </w:r>
    </w:p>
    <w:p>
      <w:pPr>
        <w:pStyle w:val="BookText"/>
        <w:rPr/>
      </w:pPr>
      <w:r>
        <w:rPr>
          <w:rFonts w:ascii="IRNazanin" w:hAnsi="IRNazanin" w:eastAsia="IRNazanin"/>
          <w:color w:val="111111"/>
          <w:sz w:val="28"/>
          <w:sz w:val="28"/>
          <w:szCs w:val="28"/>
          <w:rtl w:val="true"/>
          <w:lang w:bidi="fa-IR"/>
        </w:rPr>
        <w:t>؟ اگر خدا می‌خواهد من این کارها را کنم، پس چرا من جزا می‌بینم؟</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انسان در طول ارادۀ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 ثمرۀ بحث جبر و اختیار در زندگی من چیست؟</w:t>
      </w:r>
    </w:p>
    <w:p>
      <w:pPr>
        <w:pStyle w:val="BookText"/>
        <w:rPr/>
      </w:pPr>
      <w:r>
        <w:rPr>
          <w:rFonts w:ascii="IRNazanin" w:hAnsi="IRNazanin" w:eastAsia="IRNazanin"/>
          <w:color w:val="111111"/>
          <w:sz w:val="28"/>
          <w:sz w:val="28"/>
          <w:szCs w:val="28"/>
          <w:rtl w:val="true"/>
          <w:lang w:bidi="fa-IR"/>
        </w:rPr>
        <w:t>؟ قضا و قدر الهی چه نقشی در صورت‌پذیرفتن اَعمال من دارد؟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آیا واقعاً می‌توان از اختیار دفاع کرد؟</w:t>
      </w:r>
      <w:bookmarkStart w:id="12" w:name="pg4912_43887"/>
    </w:p>
    <w:p>
      <w:pPr>
        <w:pStyle w:val="Heading2"/>
        <w:numPr>
          <w:ilvl w:val="1"/>
          <w:numId w:val="1"/>
        </w:numPr>
        <w:rPr/>
      </w:pPr>
      <w:bookmarkStart w:id="13" w:name="__RefHeading___Toc3290322_2035185390"/>
      <w:bookmarkStart w:id="14" w:name="_Toc5"/>
      <w:bookmarkEnd w:id="12"/>
      <w:bookmarkEnd w:id="13"/>
      <w:r>
        <w:rPr>
          <w:rtl w:val="true"/>
        </w:rPr>
        <w:t>درآمد</w:t>
      </w:r>
      <w:bookmarkEnd w:id="14"/>
    </w:p>
    <w:p>
      <w:pPr>
        <w:pStyle w:val="BookText"/>
        <w:rPr/>
      </w:pPr>
      <w:r>
        <w:rPr>
          <w:rFonts w:ascii="IRNazanin" w:hAnsi="IRNazanin" w:eastAsia="IRNazanin"/>
          <w:color w:val="111111"/>
          <w:sz w:val="28"/>
          <w:sz w:val="28"/>
          <w:szCs w:val="28"/>
          <w:rtl w:val="true"/>
          <w:lang w:bidi="fa-IR"/>
        </w:rPr>
        <w:t>آیا ما واقعاً اختیار داریم؟ مگر نه این است که خداوند، همۀ امور عالم را پیش از انجام آن‌ها می‌داند؟ پس اگر خداوند می‌داند من چه‌کار خواهم کرد، امکان ندارد غیر از آن کار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همه‌چیز را از قبل می‌داند و هیچ‌چیز از ارادۀ خدا خارج نیست و امکان ندارد کاری خلاف علم خداوند انجام شود، چه جایی برای اختیار انسان باقی می‌ماند؟ اگر قضا و قدر الهی بر جهان حکم‌فرماست و سرنوشت هر موجودی از قبل مقدر شده است چگونه می‌توان سخن از اختیار به‌میان آورد؟</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من هر تصمیمی که می‌گیرم تحت تأثیر امور خارج از خود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 خانواده‌ای خوب، امکانات تربیتی و دوستانی خوب باشد، تحت تأثیر آن‌ها کارهای خوب انجام می‌دهد و کسی که از همۀ این‌ها محروم بوده و به‌جای آن در محیط فاسدی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می‌کرده است، تحت تأثیر آن‌ها مرتکب کارهای زشت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کارهای خوب و بد ما، تحت تأثیر محیط پیرامون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پس چرا ما را به‌سبب کارهایمان مؤاخذه می‌کنند؟ اگر نظام علیّت در عالم برقرار است و هر عمل ما تحت تأثیر محیط پیرامونی و سلسله‌ای از عوامل خارجی است، چرا ما را به‌خاطر کارهایی که در انجام‌دادن آن‌ها اختیار نداشته‌ایم، به بهشت یا جهنم می‌برند؟</w: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0" o:detectmouseclick="t"/>
                <v:stroke color="#3465a4" joinstyle="round" endcap="flat"/>
                <w10:wrap type="none"/>
              </v:shape>
            </w:pict>
          </mc:Fallback>
        </mc:AlternateContent>
      </w:r>
      <w:bookmarkStart w:id="15" w:name="pg4912_43890"/>
    </w:p>
    <w:p>
      <w:pPr>
        <w:pStyle w:val="Heading2"/>
        <w:numPr>
          <w:ilvl w:val="1"/>
          <w:numId w:val="1"/>
        </w:numPr>
        <w:rPr/>
      </w:pPr>
      <w:bookmarkStart w:id="16" w:name="__RefHeading___Toc3290324_2035185390"/>
      <w:bookmarkStart w:id="17" w:name="_Toc6"/>
      <w:bookmarkEnd w:id="15"/>
      <w:bookmarkEnd w:id="16"/>
      <w:r>
        <w:rPr/>
        <w:t>1</w:t>
      </w:r>
      <w:r>
        <w:rPr>
          <w:rtl w:val="true"/>
        </w:rPr>
        <w:t>.</w:t>
      </w:r>
      <w:r>
        <w:rPr>
          <w:rtl w:val="true"/>
        </w:rPr>
        <w:t>طرح مسئله</w:t>
      </w:r>
      <w:bookmarkEnd w:id="17"/>
    </w:p>
    <w:p>
      <w:pPr>
        <w:pStyle w:val="Heading3"/>
        <w:numPr>
          <w:ilvl w:val="2"/>
          <w:numId w:val="1"/>
        </w:numPr>
        <w:rPr/>
      </w:pPr>
      <w:bookmarkStart w:id="18" w:name="__RefHeading___Toc3290326_2035185390"/>
      <w:bookmarkStart w:id="19" w:name="_Toc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جبر و اختیار را شاید بتوان از قدیمی‌ترین پرسش‌های انسان متفکر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هر انسانی که تا اندازه‌ای به بلوغ فکری می‌رسد، این مسئله برایش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کنار این مسئله بی‌اعتنا می‌گذرند و برخی دیگر سعی می‌کنند با وقت‌گذاشتن و اندیشیدن، حقیقت را به‌چنگ آورند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به‌نظر می‌رسد یکی از علل اصلی دشواری مسئله این است که به چند حوزه از حوزه‌های متفاوت معرفت مربوط می‌شود و ذهن آدمی هنوز تکلیف مسئله را در یک حوزه مشخص نکرده، به سراغ حوزه‌ای دیگر می‌رود؛ در حالی‌که اگر مسئلۀ مربوط به هر حوزه درست درک شود، می‌توان با تعقلِ مناسب، کل مشکل را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قصد داریم با چنین روشی به حل این مسئله بپردازیم و البته حق این است که اذعان کنیم اسلوب کلّی این نحوۀ پاسخ‌دادن را بیش از هر کسی مدیون استاد شهید مرتضی مطهری</w:t>
      </w:r>
      <w:r>
        <w:rPr>
          <w:rStyle w:val="FootnoteAnchor"/>
          <w:rtl w:val="true"/>
        </w:rPr>
        <w:footnoteReference w:id="2"/>
      </w:r>
      <w:r>
        <w:rPr>
          <w:rFonts w:ascii="IRNazanin" w:hAnsi="IRNazanin" w:eastAsia="IRNazanin"/>
          <w:color w:val="111111"/>
          <w:sz w:val="28"/>
          <w:sz w:val="28"/>
          <w:szCs w:val="28"/>
          <w:rtl w:val="true"/>
          <w:lang w:bidi="fa-IR"/>
        </w:rPr>
        <w:t>و مرحوم علامه طباطبایی</w:t>
      </w:r>
      <w:r>
        <w:rPr>
          <w:rStyle w:val="FootnoteAnchor"/>
          <w:rtl w:val="true"/>
        </w:rPr>
        <w:footnoteReference w:id="3"/>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به بحث، تذکر این نکته لازم است که همواره مسئلۀ جبر و اختیار، از دشوارترین مسائل فکری شمرده می‌شده است و خواننده نباید انتظار پاسخی ساده و سطحی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درعین‌حال، در متن حاضر برای ساده‌سازی کار، دو اقدام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با جداکردنِ حوزه‌های بحث و پیش‌بردن گام به‌گام، زمینه برای تفکیک بحث‌ها و فهم بهتر استدلال‌ها برای مخاطب آماده شده و دوم اینکه هر حوزه‌ای از حوزه‌های بحث در دو سطح،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سطحی ساده و غیرتخصصی و سپس در سطح تخصصی؛ زیرا ازآنجاکه ذهن برخی مخاطبان، در همین حد قانع نمی‌شود و دنبال پاسخ‌های عمیق‌تر و دقیق تر است، مطلب تخصصی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مطالعۀ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مطالعۀ این بحث، به خوانندگان محترم دو توصیه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اگر با خواندن قسمت اول بحث قانع شدند، بهتر است مستقیماً به سراغ مبحث بعدی بروند و از خواندن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مطالعۀ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کنند تا ذهن آن‌ها به‌سبب پیچیدگی و دشواری</w:t>
      </w:r>
      <w:bookmarkStart w:id="20" w:name="pg4912_43893"/>
    </w:p>
    <w:p>
      <w:pPr>
        <w:pStyle w:val="BookText"/>
        <w:rPr/>
      </w:pPr>
      <w:bookmarkEnd w:id="20"/>
      <w:r>
        <w:rPr>
          <w:rFonts w:ascii="IRNazanin" w:hAnsi="IRNazanin" w:eastAsia="IRNazanin"/>
          <w:color w:val="111111"/>
          <w:sz w:val="28"/>
          <w:sz w:val="28"/>
          <w:szCs w:val="28"/>
          <w:rtl w:val="true"/>
          <w:lang w:bidi="fa-IR"/>
        </w:rPr>
        <w:t>بحث، آشفته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صورتی که در قسمت اول قانع نشدند، به‌سراغ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مطالعۀ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به‌هرحال این بحث، دشوار و نیازمند تفکر جدی است و این‌گونه بحث‌ها غالباً نیازمند تکرار مطالعه و تفکر است و با مطالعۀ روزنامه‌ای، مطلب چندانی دست‌گیر انسان نمی‌شود؛ ازاین‌رو توصیه می‌کنیم پس از یک‌بار مطالعه و به‌دست‌آوردن حال‌وهوای کلّی بحث، بار دیگر با دقت و حوصلۀ بیشتری آن‌را مطالعه کنند تا فهمی درست از مطلب در ذهن شکل بگیرد</w:t>
      </w:r>
      <w:r>
        <w:rPr>
          <w:rFonts w:eastAsia="IRNazanin" w:cs="IRNazanin"/>
          <w:color w:val="111111"/>
          <w:sz w:val="28"/>
          <w:szCs w:val="28"/>
          <w:rtl w:val="true"/>
          <w:lang w:bidi="fa-IR"/>
        </w:rPr>
        <w:t>.</w:t>
      </w:r>
    </w:p>
    <w:p>
      <w:pPr>
        <w:pStyle w:val="Heading3"/>
        <w:numPr>
          <w:ilvl w:val="2"/>
          <w:numId w:val="1"/>
        </w:numPr>
        <w:rPr/>
      </w:pPr>
      <w:bookmarkStart w:id="21" w:name="__RefHeading___Toc3290328_2035185390"/>
      <w:bookmarkStart w:id="22" w:name="_Toc8"/>
      <w:bookmarkEnd w:id="21"/>
      <w:r>
        <w:rPr>
          <w:rtl w:val="true"/>
        </w:rPr>
        <w:t>سیر کلّی بحث</w:t>
      </w:r>
      <w:bookmarkEnd w:id="2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به‌نظر می‌رسد ابتدا سه بحث مستقل، در سه حوزه از حوزه‌های اندیشه، مطرح بوده است که هیچ‌یک به‌خودیِ خود مشکلی ندارد؛ اما کنارِ هم گذاشتن آن‌ها موجب پیداشدن</w:t>
      </w:r>
    </w:p>
    <w:p>
      <w:pPr>
        <w:pStyle w:val="BookText"/>
        <w:rPr/>
      </w:pPr>
      <w:r>
        <w:rPr>
          <w:rFonts w:ascii="IRNazanin" w:hAnsi="IRNazanin" w:eastAsia="IRNazanin"/>
          <w:color w:val="111111"/>
          <w:sz w:val="28"/>
          <w:sz w:val="28"/>
          <w:szCs w:val="28"/>
          <w:rtl w:val="true"/>
          <w:lang w:bidi="fa-IR"/>
        </w:rPr>
        <w:t>مشکلی نظری می‌شود و اگر این مشکل را بر برخی دیگر از حوزه‌های اندیشه عرضه کنیم، مشکلی عملی نیز پیدا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حوزه از دانش که به‌خودیِ خود مشکل ندارند، از این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حوزۀ جهان‌شناسی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نظام علیّت و رابطۀ ضروری بین علت و معلول برقرار است؛ یعنی همۀ وقایع عالم، تحت نظام علیّت رخ می‌دهند و هر حادثه‌ای حتماً علتی دارد؛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حوزۀ خداشناسی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ارادۀ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همۀ امور عالم، حتی پیش از وقوعشان علم دارد و خارج از ارادۀ خدا، اراده‌ای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هیچ‌چیزی از دایرۀ علم و ارادۀ خداوند خارج نیست؛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حوزۀ انسان‌شناسی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به‌نحو درونی و وجدانی درمی‌یابد که اختیار دارد؛ یعنی در بین دوراهی‌هایی که پیش روی او قرار می‌گیرد، خودش تصمیم می‌گیرد که کدام راه</w:t>
      </w:r>
    </w:p>
    <w:p>
      <w:pPr>
        <w:pStyle w:val="BookText"/>
        <w:rPr/>
      </w:pPr>
      <w:r>
        <w:rPr>
          <w:rFonts w:ascii="IRNazanin" w:hAnsi="IRNazanin" w:eastAsia="IRNazanin"/>
          <w:color w:val="111111"/>
          <w:sz w:val="28"/>
          <w:sz w:val="28"/>
          <w:szCs w:val="28"/>
          <w:rtl w:val="true"/>
          <w:lang w:bidi="fa-IR"/>
        </w:rPr>
        <w:t>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مطلب، هر یک در حوزۀ خود با ادلۀ کافی اثبات می‌شوند و هر یک به‌خودیِ خود مشکلی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وقتی پیش می‌آید که این سه بحث با هم مقایسه شوند؛ به‌این‌معنا که لازمۀ دو مطلب اول ظاهراً این است که براساس نظام علیّت و عالم ما‌سِوَی‌الله، اختیار بی‌معناست؛ در حالی‌که در مطلب سوم بیان می‌شود که واقعاً اختیار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این مسئله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اختیار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مسئله‌ای نظری است؛ اما وقتی این تعارض نظری مطرح شود و اختیار، زیر سؤال رود، بحث به دو حوزۀ دیگر هم کشیده می‌شود که ظاهراً ثمرۀ عملی 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حوزۀ علمِ اخلاق و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مجبور هستم، پس مسئول کارهایم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کاری که دلم بخواهد، می‌توانم انجام دهم و هر کاری هم که بکنم، حق مؤاخذه‌کردن</w:t>
      </w:r>
    </w:p>
    <w:p>
      <w:pPr>
        <w:pStyle w:val="BookText"/>
        <w:rPr/>
      </w:pPr>
      <w:r>
        <w:rPr>
          <w:rFonts w:ascii="IRNazanin" w:hAnsi="IRNazanin" w:eastAsia="IRNazanin"/>
          <w:color w:val="111111"/>
          <w:sz w:val="28"/>
          <w:sz w:val="28"/>
          <w:szCs w:val="28"/>
          <w:rtl w:val="true"/>
          <w:lang w:bidi="fa-IR"/>
        </w:rPr>
        <w:t>مرا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حوزۀ عدل الهی و معاد‌شناسی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مجبور هستم، پس مسئول کارهایم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کاری می‌توانم بکنم و اینکه مرا در آن دنیا به‌دلیل اَعمال بدم مجازات کنند، ناعادلانه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باید گفت که نه پذیرش جبر، این ثمرات را در پی دارد و نه آن تعارض، حل‌ناشدنی است؛ یعنی اولاً این ثمرات عملی از گذر روان‌شناختی</w:t>
      </w:r>
      <w:r>
        <w:rPr>
          <w:rStyle w:val="FootnoteAnchor"/>
          <w:rtl w:val="true"/>
        </w:rPr>
        <w:footnoteReference w:id="4"/>
      </w:r>
      <w:r>
        <w:rPr>
          <w:rFonts w:ascii="IRNazanin" w:hAnsi="IRNazanin" w:eastAsia="IRNazanin"/>
          <w:color w:val="111111"/>
          <w:sz w:val="28"/>
          <w:sz w:val="28"/>
          <w:szCs w:val="28"/>
          <w:rtl w:val="true"/>
          <w:lang w:bidi="fa-IR"/>
        </w:rPr>
        <w:t>حاصل شده‌اند، نه از استدلالی</w:t>
      </w:r>
      <w:bookmarkStart w:id="23" w:name="pg4912_43897"/>
    </w:p>
    <w:p>
      <w:pPr>
        <w:pStyle w:val="BookText"/>
        <w:rPr/>
      </w:pPr>
      <w:bookmarkEnd w:id="23"/>
      <w:r>
        <w:rPr>
          <w:rFonts w:ascii="IRNazanin" w:hAnsi="IRNazanin" w:eastAsia="IRNazanin"/>
          <w:color w:val="111111"/>
          <w:sz w:val="28"/>
          <w:sz w:val="28"/>
          <w:szCs w:val="28"/>
          <w:rtl w:val="true"/>
          <w:lang w:bidi="fa-IR"/>
        </w:rPr>
        <w:t>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آن تعارض هم تعارضی ظاهری است و با دقت‌نظر در محتوای سه حوزۀ اول، می‌توان هم اختیار را قبول کرد و هم علم خدا و علیّت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ما ابتدا نشان می‌دهیم که حتی اگر کسی نتواند آن تعارض نظری را حل کند، به‌طور منطقی نمی‌تواند این ثمرات عملی را نتیجه‌گیری کند و به‌تعبیر دیگر، این‌ها واقعاً ثمرات عملی جبر نیستند؛ سپس به سراغ آن سه حوزۀ اول می‌رویم و نشان می‌دهیم که آن تعارض نظری را می‌توان حل کرد</w:t>
      </w:r>
      <w:r>
        <w:rPr>
          <w:rFonts w:eastAsia="IRNazanin" w:cs="IRNazanin"/>
          <w:color w:val="111111"/>
          <w:sz w:val="28"/>
          <w:szCs w:val="28"/>
          <w:rtl w:val="true"/>
          <w:lang w:bidi="fa-IR"/>
        </w:rPr>
        <w:t>.</w:t>
      </w:r>
    </w:p>
    <w:p>
      <w:pPr>
        <w:pStyle w:val="Heading3"/>
        <w:numPr>
          <w:ilvl w:val="2"/>
          <w:numId w:val="1"/>
        </w:numPr>
        <w:rPr/>
      </w:pPr>
      <w:bookmarkStart w:id="24" w:name="__RefHeading___Toc3290330_2035185390"/>
      <w:bookmarkStart w:id="25" w:name="_Toc9"/>
      <w:bookmarkEnd w:id="24"/>
      <w:r>
        <w:rPr>
          <w:rtl w:val="true"/>
        </w:rPr>
        <w:t>بحث در ثمرۀ عملی</w:t>
      </w:r>
      <w:bookmarkEnd w:id="2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با استناد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اختیار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بگیریم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می‌توانیم هر کاری دلمان خواست انجام دهیم و حق مؤاخذه‌کردنِ ما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درحالی‌که پیش‌فرض مخفی و نهفته در همین نتیجه، پذیرش اختیار است و این تناقض‌گویی است؛ یعنی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p>
    <w:p>
      <w:pPr>
        <w:pStyle w:val="BookText"/>
        <w:rPr/>
      </w:pP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داریم هر کاری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اینکه جبر زمانی معنا دارد که پیشِ روی انسان تنها یک گزینه مطرح باشد و راه دیگری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نتیجه‌گیری فوق، فرض شده که دو حالت در مقابل انسان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می‌توانیم کاری را انجام دهیم یا انجام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دو صورت، حق مؤاخذه‌کردن ما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همان جملۀ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می‌توانیم کاری را انجام دهیم یا انجام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 نتیجۀ بحث، اختیار را پذیرفته‌ایم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قرار بود طرفدار جبر باشیم و براساس جبر</w:t>
      </w:r>
    </w:p>
    <w:p>
      <w:pPr>
        <w:pStyle w:val="BookText"/>
        <w:rPr/>
      </w:pPr>
      <w:r>
        <w:rPr>
          <w:rFonts w:ascii="IRNazanin" w:hAnsi="IRNazanin" w:eastAsia="IRNazanin"/>
          <w:color w:val="111111"/>
          <w:sz w:val="28"/>
          <w:sz w:val="28"/>
          <w:szCs w:val="28"/>
          <w:rtl w:val="true"/>
          <w:lang w:bidi="fa-IR"/>
        </w:rPr>
        <w:t>نتیجه‌گیری کنیم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یک‌بار دیگر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نتیجه‌ای که غالباً می‌گیرند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اختیار نداریم و مجبوریم، پس هر کاری خواستیم بکنیم؛ چون مسئولیتی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نتیجه‌گیری متناقضی است؛ زیرا مبنای این نتیجه‌گیری، پذیرش اختیار است، نه پذیرش جبر؛ چنان‌که صریحاً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کاری خواستیم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4" o:detectmouseclick="t"/>
                <v:stroke color="#3465a4" joinstyle="round" endcap="flat"/>
                <w10:wrap type="none"/>
              </v:shape>
            </w:pict>
          </mc:Fallback>
        </mc:AlternateContent>
      </w:r>
      <w:bookmarkStart w:id="26" w:name="pg4912_43900"/>
    </w:p>
    <w:p>
      <w:pPr>
        <w:pStyle w:val="Heading3"/>
        <w:numPr>
          <w:ilvl w:val="2"/>
          <w:numId w:val="1"/>
        </w:numPr>
        <w:rPr/>
      </w:pPr>
      <w:bookmarkStart w:id="27" w:name="__RefHeading___Toc3290332_2035185390"/>
      <w:bookmarkStart w:id="28" w:name="_Toc10"/>
      <w:bookmarkEnd w:id="26"/>
      <w:bookmarkEnd w:id="27"/>
      <w:r>
        <w:rPr>
          <w:rtl w:val="true"/>
        </w:rPr>
        <w:t>برای مطالعۀ بیشتر</w:t>
      </w:r>
      <w:bookmarkEnd w:id="28"/>
    </w:p>
    <w:p>
      <w:pPr>
        <w:pStyle w:val="BookText"/>
        <w:rPr/>
      </w:pPr>
      <w:r>
        <w:rPr>
          <w:rFonts w:ascii="IRNazanin" w:hAnsi="IRNazanin" w:eastAsia="IRNazanin"/>
          <w:color w:val="111111"/>
          <w:sz w:val="28"/>
          <w:sz w:val="28"/>
          <w:szCs w:val="28"/>
          <w:rtl w:val="true"/>
          <w:lang w:bidi="fa-IR"/>
        </w:rPr>
        <w:t>شاید کسی بگوید اِشکالی که شما گرفتید، اِشکالی لفظی است و ما با تغییر جمله، مطلب را به‌گونه‌ای بیان می‌کنیم که این اِشکال وارد نباشد؛ مثلاّ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مجبور هستم، پس مسئول کارهایم نیستم؛ بنابراین حق مؤاخذه‌کردن مرا ندارند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این جملات را هرگونه تغییر دهیم، باز زمانی نتیجه‌گیری ممکن می‌شود که اختیار را، اگرچه به‌طور ناخودآگاه،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جمله‌بندی ما هرطور که باشد مبتنی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می‌تواند مؤاخذه شود و می‌تواند مؤاخذه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اول، حقّش نیست؛ بلکه امر دوم حقّش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درحالی‌که اگر جبر برقرار باشد، هیچ‌گاه راه دومی پیشِ روی انسان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به‌تعبیر دیگر، اگر جبر برقرار باشد، بر هر کاری فقط یک ثمره مترتب است که اگر آن کار رخ دهد، حتماً و جبراً آن ثمره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انتظار داشته باشیم که آن کار رخ دهد، اما آن ثمره را در پی نداشته باشد، نشان می‌دهد که واقعاً جبری‌بودن</w:t>
      </w:r>
    </w:p>
    <w:p>
      <w:pPr>
        <w:pStyle w:val="BookText"/>
        <w:rPr/>
      </w:pPr>
      <w:r>
        <w:rPr>
          <w:rFonts w:ascii="IRNazanin" w:hAnsi="IRNazanin" w:eastAsia="IRNazanin"/>
          <w:color w:val="111111"/>
          <w:sz w:val="28"/>
          <w:sz w:val="28"/>
          <w:szCs w:val="28"/>
          <w:rtl w:val="true"/>
          <w:lang w:bidi="fa-IR"/>
        </w:rPr>
        <w:t>مطلب را نپذیرفته‌ایم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مثالی می‌توان مطلب را روشن‌تر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شیشه‌ای از ارتفاع بلندی رها شود و به زمین بخورد و بشکند، معنی ندارد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من نبود که وقتی به زمین خوردم، شکسته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سخنش بی‌معنی است؟ زیرا لازمۀ رهاشدن شیشه از ارتفاع و برخورد آن با زمین، جبراً و قطعاً شکسته‌شدن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نباید رها شود، یا اگر رها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رهاشدنش اختیاری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جز شکسته‌شدن ندارد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هم اگر، بر فرض، مجبور آفریده شده بود،</w:t>
      </w:r>
      <w:r>
        <w:rPr>
          <w:rStyle w:val="FootnoteAnchor"/>
          <w:rtl w:val="true"/>
        </w:rPr>
        <w:footnoteReference w:id="5"/>
      </w:r>
      <w:r>
        <w:rPr>
          <w:rFonts w:ascii="IRNazanin" w:hAnsi="IRNazanin" w:eastAsia="IRNazanin"/>
          <w:color w:val="111111"/>
          <w:sz w:val="28"/>
          <w:sz w:val="28"/>
          <w:szCs w:val="28"/>
          <w:rtl w:val="true"/>
          <w:lang w:bidi="fa-IR"/>
        </w:rPr>
        <w:t>یا اساساً نباید از ابتدا چنین آفریده می‌شد یا وقتی که چنین آفریده شده متناسب با عملش جزا می‌بیند؛ هرچند در عملش مجبور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عملی در عالَم، ثمره و جزایی در پی دارد و در مسئلۀ آخرت، این امر واضح‌تر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مثل این است که به‌زور، در گلوی کسی</w:t>
      </w:r>
      <w:bookmarkStart w:id="29" w:name="pg4912_43902"/>
    </w:p>
    <w:p>
      <w:pPr>
        <w:pStyle w:val="BookText"/>
        <w:rPr/>
      </w:pPr>
      <w:bookmarkEnd w:id="29"/>
      <w:r>
        <w:rPr>
          <w:rFonts w:ascii="IRNazanin" w:hAnsi="IRNazanin" w:eastAsia="IRNazanin"/>
          <w:color w:val="111111"/>
          <w:sz w:val="28"/>
          <w:sz w:val="28"/>
          <w:szCs w:val="28"/>
          <w:rtl w:val="true"/>
          <w:lang w:bidi="fa-IR"/>
        </w:rPr>
        <w:t>سرب داغ بریزند و او به این کار اعتراض نکند؛ بلکه اعتراضش به این باشد که چون من مظلومم، این سرب نباید گلویم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به اینکه چرا سرب داغ می‌ریزند، اعتراضی نظری است؛ یعنی اعتراض است به اینکه چرا نظام عالَم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 این سؤال، همان بحث نظری است که در ادامه، توضیح خواهیم داد که آیا واقعاً نظام عالم این‌گونه است یا نه؟ به‌تعبیر دیگر، می‌توان سؤال کرد که آیا واقعا ما این‌گونه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شده‌ایم؟ و اگر پاسخ مثبت است، چرا این‌گونه است؟ اما اینکه از مجبور آفریده‌شدن خود نتیجۀ عملی بگیریم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حالا که این‌طور است، هرکاری دلم خواست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نتیجه منطقاً درست نیست؛ زیرا این نتیجه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است، نه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pStyle w:val="Heading3"/>
        <w:numPr>
          <w:ilvl w:val="2"/>
          <w:numId w:val="1"/>
        </w:numPr>
        <w:rPr/>
      </w:pPr>
      <w:bookmarkStart w:id="30" w:name="__RefHeading___Toc3290334_2035185390"/>
      <w:bookmarkStart w:id="31" w:name="_Toc11"/>
      <w:bookmarkEnd w:id="30"/>
      <w:r>
        <w:rPr>
          <w:rtl w:val="true"/>
        </w:rPr>
        <w:t>جمع‌بندی ثمرۀ عملی</w:t>
      </w:r>
      <w:bookmarkEnd w:id="31"/>
    </w:p>
    <w:p>
      <w:pPr>
        <w:pStyle w:val="BookText"/>
        <w:rPr/>
      </w:pPr>
      <w:r>
        <w:rPr>
          <w:rFonts w:ascii="IRNazanin" w:hAnsi="IRNazanin" w:eastAsia="IRNazanin"/>
          <w:color w:val="111111"/>
          <w:sz w:val="28"/>
          <w:sz w:val="28"/>
          <w:szCs w:val="28"/>
          <w:rtl w:val="true"/>
          <w:lang w:bidi="fa-IR"/>
        </w:rPr>
        <w:t>نتیجۀ بحث در ثمرۀ عملی، این است که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چون ذاتاً مختار است، نمی‌تواند مختارانه نیاندیشد؛ بنابراین، حتی وقتی به</w:t>
      </w:r>
    </w:p>
    <w:p>
      <w:pPr>
        <w:pStyle w:val="BookText"/>
        <w:rPr/>
      </w:pPr>
      <w:r>
        <w:rPr>
          <w:rFonts w:ascii="IRNazanin" w:hAnsi="IRNazanin" w:eastAsia="IRNazanin"/>
          <w:color w:val="111111"/>
          <w:sz w:val="28"/>
          <w:sz w:val="28"/>
          <w:szCs w:val="28"/>
          <w:rtl w:val="true"/>
          <w:lang w:bidi="fa-IR"/>
        </w:rPr>
        <w:t>خیالش خطور می‌کند که مجبور است، باز هم هنگام نتیجه‌گیریِ عملی، مسئله را در فضای اختیار مطرح می‌کند و نتیجه می‌گیرد؛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جبر، به‌طورمنطقی نتیجۀ عملی ندارد و هر ثمرۀ عملی که برایش قائل می‌شوند، از گذری روان‌شناختی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ساده‌تر، اگر اثبات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مجبوریم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منطقاً نتیجه نمی‌شود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کاری دلمان خواست انجام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حالت، هرچند به‌طور منطقی جایی برای نتیجه‌گیری عملی وجود ندارد، با این اعتقاد زندگی‌کردن بر انسان سخت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احساساتش مضطرب می‌شود و هم عقلش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احساساتش مضطرب است؛ زیرا مجبوربودن را دوست ندارد و عقلش در پیچ‌وتاب است و دچار تعارضی شده است که راه خلاصی از آن‌را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دوباره تذکر می‌دهیم همین که بر او سخت می‌آید، دلیل بر اختیارداشتن اوست؛ زیرا درک می‌کند که این 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آن چیزی است که وجداناً در درون خود می‌یابد</w:t>
      </w:r>
      <w:r>
        <w:rPr>
          <w:rFonts w:eastAsia="IRNazanin" w:cs="IRNazanin"/>
          <w:color w:val="111111"/>
          <w:sz w:val="28"/>
          <w:szCs w:val="28"/>
          <w:rtl w:val="true"/>
          <w:lang w:bidi="fa-IR"/>
        </w:rPr>
        <w:t>.</w:t>
      </w:r>
      <w:bookmarkStart w:id="32" w:name="pg4912_43904"/>
    </w:p>
    <w:p>
      <w:pPr>
        <w:pStyle w:val="BookText"/>
        <w:rPr/>
      </w:pPr>
      <w:bookmarkEnd w:id="32"/>
      <w:r>
        <w:rPr>
          <w:rFonts w:ascii="IRNazanin" w:hAnsi="IRNazanin" w:eastAsia="IRNazanin"/>
          <w:color w:val="111111"/>
          <w:sz w:val="28"/>
          <w:sz w:val="28"/>
          <w:szCs w:val="28"/>
          <w:rtl w:val="true"/>
          <w:lang w:bidi="fa-IR"/>
        </w:rPr>
        <w:t>همۀ این‌ها نشان می‌دهد که اگر کسی طرفدار جبر شد، به‌طور منطقی دچار خطای معرفتی شده است؛ زیرا گویی تناقض را قبول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را به‌عنوان امری وجدانی و بدیهی پذیرفته است؛ درحالی‌که با ادلۀ دیگر، ظاهراً جبر را هم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این تعارض را در مقام بحث نظری حل کرد</w:t>
      </w:r>
      <w:r>
        <w:rPr>
          <w:rFonts w:eastAsia="IRNazanin" w:cs="IRNazanin"/>
          <w:color w:val="111111"/>
          <w:sz w:val="28"/>
          <w:szCs w:val="28"/>
          <w:rtl w:val="true"/>
          <w:lang w:bidi="fa-IR"/>
        </w:rPr>
        <w:t>.</w:t>
      </w:r>
    </w:p>
    <w:p>
      <w:pPr>
        <w:pStyle w:val="Heading3"/>
        <w:numPr>
          <w:ilvl w:val="2"/>
          <w:numId w:val="1"/>
        </w:numPr>
        <w:rPr/>
      </w:pPr>
      <w:bookmarkStart w:id="33" w:name="__RefHeading___Toc3290336_2035185390"/>
      <w:bookmarkStart w:id="34" w:name="_Toc12"/>
      <w:bookmarkEnd w:id="33"/>
      <w:r>
        <w:rPr>
          <w:rtl w:val="true"/>
        </w:rPr>
        <w:t>بحث در تعارض نظری</w:t>
      </w:r>
      <w:bookmarkEnd w:id="34"/>
    </w:p>
    <w:p>
      <w:pPr>
        <w:pStyle w:val="BookText"/>
        <w:rPr/>
      </w:pPr>
      <w:r>
        <w:rPr>
          <w:rFonts w:ascii="IRNazanin" w:hAnsi="IRNazanin" w:eastAsia="IRNazanin"/>
          <w:color w:val="111111"/>
          <w:sz w:val="28"/>
          <w:sz w:val="28"/>
          <w:szCs w:val="28"/>
          <w:rtl w:val="true"/>
          <w:lang w:bidi="fa-IR"/>
        </w:rPr>
        <w:t>تعارض نظری در جایی رخ می‌دهد که هم استدلال‌هایی برای پذیرش مطلب مطرح شده باشد و هم استدلال‌هایی برای 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با تعارضی نظری مواجه می‌شویم، به‌صورت منطقی دو حالت پیشِ روی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استدلال‌ها نامعتبرند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استدلال‌های قبول مطلب یا استدلال‌های رد مطلب</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حل‌هایی که در طرف اول تعارض خدشه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آن‌ها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نفی علیت و ضرورت علّی و معلولی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راه‌حل هیوم و پیروانش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نفی خدا برای بازکردن راه آزادی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راه‌حل اگزیستانسیالیسم‌های الحادی، خصوصاًسارتر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قبول استثنا در قاعدۀ علیّت، درخصوص ارادۀ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کانت درباب ارادۀ آزاد از 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راه‌حل‌هایی که در طرف دوم این تعارض خدشه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آن‌ها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نفی صریح اختیار و پذیرش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راه‌حل مالبِرانش و پیروانش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تأویل اختیار به امری که منطقاً غیر از اختیار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نظریۀ کسب در اشاعره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ظاهری است و با درک محتوای عمیق هر دو دستۀ استدلال‌ها، معلوم می‌شود که واقعاً تعارضی در کار نیست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انسان مجبور است تسلیم تعارض شود و یکی از طرفین بحث را رد کند که نتواند تعارض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 نشان داد که آنچه به اسم تعارض مطرح شده،</w:t>
      </w:r>
    </w:p>
    <w:p>
      <w:pPr>
        <w:pStyle w:val="BookText"/>
        <w:rPr/>
      </w:pPr>
      <w:r>
        <w:rPr>
          <w:rFonts w:ascii="IRNazanin" w:hAnsi="IRNazanin" w:eastAsia="IRNazanin"/>
          <w:color w:val="111111"/>
          <w:sz w:val="28"/>
          <w:sz w:val="28"/>
          <w:szCs w:val="28"/>
          <w:rtl w:val="true"/>
          <w:lang w:bidi="fa-IR"/>
        </w:rPr>
        <w:t xml:space="preserve">صرفاً ناشی از نداشتن دقت کافی در استدلال‌ها بوده است، آنگاه دیگر نیازی به کنارگذاشتن یکی از طرفین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کنارگذاشتن خدا و علیّت یا کنارگذاشتن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این واقعیتی است که می‌توان در مسئلۀ حاضر نشان داد؛ خصوصاً تمام راه‌حل‌هایی که به انکار یکی از این طرفین دست زده‌اند، با مشکلات بیشتری مواجه شده‌اند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سعی می‌شود با ساده‌سازی مبانی عمیقی که در حکمت متعالیه، درباب هریک از حوزه‌های بحث فوق وجود دارد، فهم دقیق‌تر و عمیق‌تری از آن مسائل ارائه شود تا معلوم شود که حقیقتاً تعارضی در کار نیست و سه حوزۀ بحثی که در ابتدا مطرح شد، کاملاً جمع‌پذیرند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44" o:detectmouseclick="t"/>
                <v:stroke color="#3465a4" joinstyle="round" endcap="flat"/>
                <w10:wrap type="none"/>
              </v:shape>
            </w:pict>
          </mc:Fallback>
        </mc:AlternateContent>
      </w:r>
      <w:bookmarkStart w:id="35" w:name="pg4912_43908"/>
    </w:p>
    <w:p>
      <w:pPr>
        <w:pStyle w:val="Heading2"/>
        <w:numPr>
          <w:ilvl w:val="1"/>
          <w:numId w:val="1"/>
        </w:numPr>
        <w:rPr/>
      </w:pPr>
      <w:bookmarkStart w:id="36" w:name="__RefHeading___Toc3290338_2035185390"/>
      <w:bookmarkStart w:id="37" w:name="_Toc13"/>
      <w:bookmarkEnd w:id="35"/>
      <w:bookmarkEnd w:id="36"/>
      <w:r>
        <w:rPr/>
        <w:t>2</w:t>
      </w:r>
      <w:r>
        <w:rPr>
          <w:rtl w:val="true"/>
        </w:rPr>
        <w:t>.</w:t>
      </w:r>
      <w:r>
        <w:rPr>
          <w:rtl w:val="true"/>
        </w:rPr>
        <w:t>حوزۀ جهان‌شناسی</w:t>
      </w:r>
      <w:bookmarkEnd w:id="37"/>
    </w:p>
    <w:p>
      <w:pPr>
        <w:pStyle w:val="Heading3"/>
        <w:numPr>
          <w:ilvl w:val="2"/>
          <w:numId w:val="1"/>
        </w:numPr>
        <w:rPr/>
      </w:pPr>
      <w:bookmarkStart w:id="38" w:name="__RefHeading___Toc3290340_2035185390"/>
      <w:bookmarkStart w:id="39" w:name="_Toc14"/>
      <w:bookmarkEnd w:id="38"/>
      <w:r>
        <w:rPr>
          <w:rtl w:val="true"/>
        </w:rPr>
        <w:t>مقدمه</w:t>
      </w:r>
      <w:bookmarkEnd w:id="39"/>
    </w:p>
    <w:p>
      <w:pPr>
        <w:pStyle w:val="BookText"/>
        <w:rPr/>
      </w:pPr>
      <w:r>
        <w:rPr>
          <w:rFonts w:ascii="IRNazanin" w:hAnsi="IRNazanin" w:eastAsia="IRNazanin"/>
          <w:color w:val="111111"/>
          <w:sz w:val="28"/>
          <w:sz w:val="28"/>
          <w:szCs w:val="28"/>
          <w:rtl w:val="true"/>
          <w:lang w:bidi="fa-IR"/>
        </w:rPr>
        <w:t>تصویر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6"/>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مسئلۀ ما در حوزۀ جهان‌شناسی این بود که در عالَم، نظام علیّت برقرار است و هر حادثه‌ای حتماً علتی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در اینجا باید نشان دهیم این است که پذیرش اراده و اختیار</w:t>
      </w:r>
      <w:r>
        <w:rPr>
          <w:rStyle w:val="FootnoteAnchor"/>
          <w:rtl w:val="true"/>
        </w:rPr>
        <w:footnoteReference w:id="8"/>
      </w:r>
      <w:r>
        <w:rPr>
          <w:rFonts w:ascii="IRNazanin" w:hAnsi="IRNazanin" w:eastAsia="IRNazanin"/>
          <w:color w:val="111111"/>
          <w:sz w:val="28"/>
          <w:sz w:val="28"/>
          <w:szCs w:val="28"/>
          <w:rtl w:val="true"/>
          <w:lang w:bidi="fa-IR"/>
        </w:rPr>
        <w:t>نیز تنها درصورت پذیرش علیّت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منکر علیّت یا طرفدار استثنا در علیّت شود، نه‌تنها جایی برای بحثِ اختیار باز نمی‌کند، بلکه عملاً آن‌را غیرممکن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نکتۀ بسیار مهمی در تفکر است که گاهی انسان می‌خواهد مسئله‌ای را حل کند و برای حلّ آن، روشی را پیش می‌گیرد که ظاهراً مسئله را حل کرده، اما واقعاً مشکل را مضاعف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برای پذیرش اراده، منکر علیّت یا طرفدار استثنا در علیّت می‌شود، عملاً چنین راهی را پیموده است؛ زیرا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ارادۀ ما ربطی به کاری که از ما سر می‌زند دارد یا خیر؟ کسی‌که طرفدار اختیار است،</w:t>
      </w:r>
    </w:p>
    <w:p>
      <w:pPr>
        <w:pStyle w:val="BookText"/>
        <w:rPr/>
      </w:pPr>
      <w:r>
        <w:rPr>
          <w:rFonts w:ascii="IRNazanin" w:hAnsi="IRNazanin" w:eastAsia="IRNazanin"/>
          <w:color w:val="111111"/>
          <w:sz w:val="28"/>
          <w:sz w:val="28"/>
          <w:szCs w:val="28"/>
          <w:rtl w:val="true"/>
          <w:lang w:bidi="fa-IR"/>
        </w:rPr>
        <w:t xml:space="preserve">معتقد است که کارهای ما تحت ارادۀ ما انجام می‌شود و به‌تعبیر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ما، علت کاری است که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اگر علیّت انکار شود، چگونه می‌توان ارادۀ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دانست؛ بلکه در این صورت، کار و فعل ما تصادفی و بدون هیچ ارتباطی با ارادۀ ما رخ می‌دهد</w:t>
      </w:r>
      <w:r>
        <w:rPr>
          <w:rFonts w:eastAsia="IRNazanin" w:cs="IRNazanin"/>
          <w:color w:val="111111"/>
          <w:sz w:val="28"/>
          <w:szCs w:val="28"/>
          <w:rtl w:val="true"/>
          <w:lang w:bidi="fa-IR"/>
        </w:rPr>
        <w:t>.</w:t>
      </w:r>
      <w:r>
        <w:rPr>
          <w:rStyle w:val="FootnoteAnchor"/>
          <w:rtl w:val="true"/>
        </w:rPr>
        <w:footnoteReference w:id="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برای پذیرش اراده، نمی‌توان منکر اصل علیّت شد، یا اراده را به‌عنوان استثنایی در نظام علیّت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در بحث علیّت یک مسئله باقی مانده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که اختیار ما تحت تأثیر علل خارجی شکل بگیرد و درعین‌حال واقعاً اختیار باشد؟ ازآنجاکه این مطلب بیشتر به فهم معنای اختیار برمی‌گردد، بحث آن‌را به محور انسان‌شناسی موکول می‌کنیم</w:t>
      </w:r>
      <w:r>
        <w:rPr>
          <w:rFonts w:eastAsia="IRNazanin" w:cs="IRNazanin"/>
          <w:color w:val="111111"/>
          <w:sz w:val="28"/>
          <w:szCs w:val="28"/>
          <w:rtl w:val="true"/>
          <w:lang w:bidi="fa-IR"/>
        </w:rPr>
        <w:t>.</w:t>
      </w:r>
      <w:bookmarkStart w:id="40" w:name="pg4912_43911"/>
    </w:p>
    <w:p>
      <w:pPr>
        <w:pStyle w:val="Heading3"/>
        <w:numPr>
          <w:ilvl w:val="2"/>
          <w:numId w:val="1"/>
        </w:numPr>
        <w:rPr/>
      </w:pPr>
      <w:bookmarkStart w:id="41" w:name="__RefHeading___Toc3290342_2035185390"/>
      <w:bookmarkStart w:id="42" w:name="_Toc15"/>
      <w:bookmarkEnd w:id="40"/>
      <w:bookmarkEnd w:id="41"/>
      <w:r>
        <w:rPr>
          <w:rtl w:val="true"/>
        </w:rPr>
        <w:t>برای مطالعۀ بیشتر</w:t>
      </w:r>
      <w:bookmarkEnd w:id="42"/>
    </w:p>
    <w:p>
      <w:pPr>
        <w:pStyle w:val="BookText"/>
        <w:rPr/>
      </w:pPr>
      <w:r>
        <w:rPr>
          <w:rFonts w:ascii="IRNazanin" w:hAnsi="IRNazanin" w:eastAsia="IRNazanin"/>
          <w:color w:val="111111"/>
          <w:sz w:val="28"/>
          <w:sz w:val="28"/>
          <w:szCs w:val="28"/>
          <w:rtl w:val="true"/>
          <w:lang w:bidi="fa-IR"/>
        </w:rPr>
        <w:t>پاسخ فوق اصطلاحاً پاسخی نقضی بود؛ یعنی نشان می‌داد که اگر کسی بخواهد اختیار را بپذیرد، به‌طور منطقی نمی‌تواند منکر علیّت شود و با انکار علیّت، جایی برای اختیار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مطلب پاسخی حلّی هم دارد که معلوم شود واقعاً چرا چنین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علیّت، قانون حاکم بر کل نظام عالم است؛ بنابراین اختیار، تنها در درون نظام علیّت است که معنا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حلّی مسئله در گرو توجه به این است که روال نظام علیّت در عالم مجرد</w:t>
      </w:r>
      <w:r>
        <w:rPr>
          <w:rStyle w:val="FootnoteAnchor"/>
          <w:rtl w:val="true"/>
        </w:rPr>
        <w:footnoteReference w:id="10"/>
      </w:r>
      <w:r>
        <w:rPr>
          <w:rFonts w:ascii="IRNazanin" w:hAnsi="IRNazanin" w:eastAsia="IRNazanin"/>
          <w:color w:val="111111"/>
          <w:sz w:val="28"/>
          <w:sz w:val="28"/>
          <w:szCs w:val="28"/>
          <w:rtl w:val="true"/>
          <w:lang w:bidi="fa-IR"/>
        </w:rPr>
        <w:t>و عالم مادی اندکی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مجرد چیزی است که بیش از یک راه در برابرش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فقط به یک حالت می‌تواند تحقق یابد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اما نظام مادی، نظامی است که دوراهی‌ها در آن تحقق پیدا می‌کنند و لذا ممکن است</w:t>
      </w:r>
    </w:p>
    <w:p>
      <w:pPr>
        <w:pStyle w:val="BookText"/>
        <w:rPr/>
      </w:pPr>
      <w:r>
        <w:rPr>
          <w:rFonts w:ascii="IRNazanin" w:hAnsi="IRNazanin" w:eastAsia="IRNazanin"/>
          <w:color w:val="111111"/>
          <w:sz w:val="28"/>
          <w:sz w:val="28"/>
          <w:szCs w:val="28"/>
          <w:rtl w:val="true"/>
          <w:lang w:bidi="fa-IR"/>
        </w:rPr>
        <w:t>یک امر، از دو راه متفاوت محقق شود؛ مثلاً گرم‌شدن اتاق ممکن است از طریق گرمای خورشید باشد یا از طریق بخاری؛ پس نکتۀ مهمی که در بحث جهان‌شناسی باید به آن توجه کرد این است که نظام مادی، نظامی است که دوراهی‌های متفاوتی در آن وجود دارند و به‌دلیل وجود این دوراهی‌ها، فرض اختیار در آن ممکن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بیشتر، در مبحث انسان‌شناسی خواهد آمد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خوب است در اینجا اضافه کنیم این است که قضا و قدر الهی دقیقاً همین نظام علیّت است که در عالم برقرار شده است، نه اینکه قضا و قدر امری جدای از علیّت باشد؛ ازاین‌رو اشکالاتی را که درباب اختیار، از حیث مسئلۀ قضا و قدر مطرح می‌شود، در همین محور می‌توان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 و قدر بر همۀ افعال ما حاکم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ما در نظام علیّت به‌سر می‌بریم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کاری خارج از این نظام نمی‌توانیم انجام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کاری نمی‌توانیم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خارج از این نظام علیّت یا همان نظام</w:t>
      </w:r>
    </w:p>
    <w:p>
      <w:pPr>
        <w:pStyle w:val="BookText"/>
        <w:rPr/>
      </w:pPr>
      <w:r>
        <w:rPr>
          <w:rFonts w:ascii="IRNazanin" w:hAnsi="IRNazanin" w:eastAsia="IRNazanin"/>
          <w:color w:val="111111"/>
          <w:sz w:val="28"/>
          <w:sz w:val="28"/>
          <w:szCs w:val="28"/>
          <w:rtl w:val="true"/>
          <w:lang w:bidi="fa-IR"/>
        </w:rPr>
        <w:t>قضا و قدر، هیچ کاری نمی‌توانیم انجام دهیم؛ اما در درون این نظام، کاملاً مختاریم که از این سلسله‌قوانین یا سلسلۀ دیگر تبعیت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گرم‌کردن اتاق منطقاً نیاز به علت دارد و ما نمی‌توانیم بدون هیچ علتی اتاق را گرم کنیم؛ اما اختیار داریم که برای گرم‌کردن آن، از بخاری یا شوفاژ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بر این باور است که مفهوم قضا و قدرِ حتمی و غیرحتمی هم که در احادیث آمده است، ناظر به همین تفاوت امور مجرد و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مجردات چون نمی‌توانند بیشتر از یک‌گونه تحقق داشته باشند، قضا و قدرشان حتمی است؛ اما مادیات چون می‌توانند تحت علت‌های متفاوت قرار گیرند، قضا و قدرشان غیرحتمی است</w:t>
      </w:r>
      <w:r>
        <w:rPr>
          <w:rFonts w:eastAsia="IRNazanin" w:cs="IRNazanin"/>
          <w:color w:val="111111"/>
          <w:sz w:val="28"/>
          <w:szCs w:val="28"/>
          <w:rtl w:val="true"/>
          <w:lang w:bidi="fa-IR"/>
        </w:rPr>
        <w:t>.</w:t>
      </w:r>
      <w:r>
        <w:rPr>
          <w:rStyle w:val="FootnoteAnchor"/>
          <w:rtl w:val="true"/>
        </w:rPr>
        <w:footnoteReference w:id="12"/>
      </w:r>
      <w:bookmarkStart w:id="43" w:name="pg4912_43914"/>
    </w:p>
    <w:p>
      <w:pPr>
        <w:pStyle w:val="Heading2"/>
        <w:numPr>
          <w:ilvl w:val="1"/>
          <w:numId w:val="1"/>
        </w:numPr>
        <w:rPr/>
      </w:pPr>
      <w:bookmarkStart w:id="44" w:name="__RefHeading___Toc3290344_2035185390"/>
      <w:bookmarkStart w:id="45" w:name="_Toc16"/>
      <w:bookmarkEnd w:id="43"/>
      <w:bookmarkEnd w:id="44"/>
      <w:r>
        <w:rPr/>
        <w:t>3</w:t>
      </w:r>
      <w:r>
        <w:rPr>
          <w:rtl w:val="true"/>
        </w:rPr>
        <w:t>.</w:t>
      </w:r>
      <w:r>
        <w:rPr>
          <w:rtl w:val="true"/>
        </w:rPr>
        <w:t>حوزۀ خدا‌شناسی</w:t>
      </w:r>
      <w:bookmarkEnd w:id="45"/>
    </w:p>
    <w:p>
      <w:pPr>
        <w:pStyle w:val="Heading3"/>
        <w:numPr>
          <w:ilvl w:val="2"/>
          <w:numId w:val="1"/>
        </w:numPr>
        <w:rPr/>
      </w:pPr>
      <w:bookmarkStart w:id="46" w:name="__RefHeading___Toc3290346_2035185390"/>
      <w:bookmarkStart w:id="47" w:name="_Toc17"/>
      <w:bookmarkEnd w:id="46"/>
      <w:r>
        <w:rPr>
          <w:rtl w:val="true"/>
        </w:rPr>
        <w:t>مقدمه</w:t>
      </w:r>
      <w:bookmarkEnd w:id="47"/>
    </w:p>
    <w:p>
      <w:pPr>
        <w:pStyle w:val="BookText"/>
        <w:rPr/>
      </w:pPr>
      <w:r>
        <w:rPr>
          <w:rFonts w:ascii="IRNazanin" w:hAnsi="IRNazanin" w:eastAsia="IRNazanin"/>
          <w:color w:val="111111"/>
          <w:sz w:val="28"/>
          <w:sz w:val="28"/>
          <w:szCs w:val="28"/>
          <w:rtl w:val="true"/>
          <w:lang w:bidi="fa-IR"/>
        </w:rPr>
        <w:t>تصویر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4"/>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اِشکالی که در این حوزه مطرح بود این است که اگر خدا از قبل می‌داند من چه کار می‌کنم، پس نمی‌توانم کار دیگری انجام دهم و مجبور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اِشکال با دقت‌کردن دربارۀ مفهوم علم خداوند، حل‌شدنی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بعد از انجام کار ما، از آن‌ها باخبر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علم خدا موجب مجبورشدن ما می‌شود؟ قطعاً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توضیحی که در اینجا می‌دهیم این است که چون علم خداوند زمانمند نیست، برای همین برای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آن‌گونه که برای ما رخ می‌دهد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قبل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بعداً خواهد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همان‌طور که دومی منجر به جبر نمی‌شود، اوّلی هم مستلزم جبر نیست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مطلب اینکه وقتی گفته می‌شود خداوند متعال همه‌چیز را از قبل می‌داند، منظور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زمانی نیست؛ زیرا خداوند موجودی زمانمند نیست؛ بلکه فوق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همۀ حوادث حال و آینده و گذشته یک‌جا نزد خدا حاضر است و اینکه مثلاً</w:t>
      </w:r>
    </w:p>
    <w:p>
      <w:pPr>
        <w:pStyle w:val="BookText"/>
        <w:rPr/>
      </w:pPr>
      <w:r>
        <w:rPr>
          <w:rFonts w:ascii="IRNazanin" w:hAnsi="IRNazanin" w:eastAsia="IRNazanin"/>
          <w:color w:val="111111"/>
          <w:sz w:val="28"/>
          <w:sz w:val="28"/>
          <w:szCs w:val="28"/>
          <w:rtl w:val="true"/>
          <w:lang w:bidi="fa-IR"/>
        </w:rPr>
        <w:t xml:space="preserve">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 که فردا چه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سخنی است متناسب با وضعیت خودمان که درون زمان واقعیم، وگرنه برای خدا الان و فردا یکسان حاضر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اینکه رابطۀ موجود زمانمند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موجود فوق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معلوم شود، می‌توان از تمثیل زیر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حالت خوشحالی، احساس می‌کند زمان زود می‌گذرد؛ ولی وقتی دچار غم و اندوه است، احساس می‌کند زمان کُند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را در نظر بگیرید که مدت معیّنی، مثلاً یک ساعت در محلی ایستاده‌اند؛ یکی به‌دلیل شدت خوشحالی احساس می‌کند بیش از یک دقیقه نگذشته است و دیگری به‌سبب شدت ناراحتی احساس می‌کند ده ساعت است که منتظر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که احساس این‌ها امری واقعی باشد، آنگاه می‌توان کم‌کم تصوری از رابطۀ امور زمانمند و بی‌زمان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دقیقه برای نفر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ساعت برای نفر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چون هر دو، در همان مدت معیّن، در یک محل بوده‌اند، همۀ وقایعی که در آن مدت</w:t>
      </w:r>
    </w:p>
    <w:p>
      <w:pPr>
        <w:pStyle w:val="BookText"/>
        <w:rPr/>
      </w:pPr>
      <w:r>
        <w:rPr>
          <w:rFonts w:ascii="IRNazanin" w:hAnsi="IRNazanin" w:eastAsia="IRNazanin"/>
          <w:color w:val="111111"/>
          <w:sz w:val="28"/>
          <w:sz w:val="28"/>
          <w:szCs w:val="28"/>
          <w:rtl w:val="true"/>
          <w:lang w:bidi="fa-IR"/>
        </w:rPr>
        <w:t>در آن محل رخ داده با هم مشاهده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این‌گونه نیست که چون نفر اول زمانی را به‌اندازۀ یک دقیقه احساس کرده است، برخی از وقایعِ آن مدتِ مشترک را ندیده باشد یا نفر دوم وقایع بیشتری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زمانِ احساس‌شده توسط نفر اول، یک ثانیه بود و توسط نفر دوم، هزار ساعت، باز همین رابطه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زمان نفر اول به حد صفر برسد و زمان نفر دوم به حد بی‌نهایت، آنگاه دیروز و امروز و فردای نفر دوم، برای نفر اول یک‌جا و در آنِ واحد حاضر خواهد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خدا به کارهای ما نیز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برای ما دیروز و امروز و فردا دارد؛ اما برای خدا همۀ وقایع، در آنِ واحد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خدا از قَبل می‌داند، مثل این است که بگوییم خدا بعداً می‌داند و همان‌طور که بعداً دانستن موجب جبر نمی‌شود، از قبل</w:t>
      </w:r>
      <w:bookmarkStart w:id="48" w:name="pg4912_43918"/>
    </w:p>
    <w:p>
      <w:pPr>
        <w:pStyle w:val="BookText"/>
        <w:rPr/>
      </w:pPr>
      <w:bookmarkEnd w:id="48"/>
      <w:r>
        <w:rPr>
          <w:rFonts w:ascii="IRNazanin" w:hAnsi="IRNazanin" w:eastAsia="IRNazanin"/>
          <w:color w:val="111111"/>
          <w:sz w:val="28"/>
          <w:sz w:val="28"/>
          <w:szCs w:val="28"/>
          <w:rtl w:val="true"/>
          <w:lang w:bidi="fa-IR"/>
        </w:rPr>
        <w:t>دانستن هم موجب جبر نمی‌شود؛ با توجه به اینکه قبل و بعدی برای خدا در کار نیست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شاید کسی بگوید اگر چنین است، پس چرا ما و حتی قرآن کریم دربارۀ خدا با عبارات زمانی صحبت می‌کنیم؟ پاسخ این است که این مشکل از زبان ماست که نمی‌توانیم جملات غیرزمانی به‌کار ببریم؛ چراکه هر جمله‌ای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هر فعلی به‌ناچار یا ماضی است یا مضارع یا مستقبل</w:t>
      </w:r>
      <w:r>
        <w:rPr>
          <w:rFonts w:eastAsia="IRNazanin" w:cs="IRNazanin"/>
          <w:color w:val="111111"/>
          <w:sz w:val="28"/>
          <w:szCs w:val="28"/>
          <w:rtl w:val="true"/>
          <w:lang w:bidi="fa-IR"/>
        </w:rPr>
        <w:t>.</w:t>
      </w:r>
    </w:p>
    <w:p>
      <w:pPr>
        <w:pStyle w:val="Heading3"/>
        <w:numPr>
          <w:ilvl w:val="2"/>
          <w:numId w:val="1"/>
        </w:numPr>
        <w:rPr/>
      </w:pPr>
      <w:bookmarkStart w:id="49" w:name="__RefHeading___Toc3290348_2035185390"/>
      <w:bookmarkStart w:id="50" w:name="_Toc18"/>
      <w:bookmarkEnd w:id="49"/>
      <w:r>
        <w:rPr>
          <w:rtl w:val="true"/>
        </w:rPr>
        <w:t>برای مطالعۀ بیشتر</w:t>
      </w:r>
      <w:bookmarkEnd w:id="50"/>
    </w:p>
    <w:p>
      <w:pPr>
        <w:pStyle w:val="BookText"/>
        <w:rPr/>
      </w:pPr>
      <w:r>
        <w:rPr>
          <w:rFonts w:ascii="IRNazanin" w:hAnsi="IRNazanin" w:eastAsia="IRNazanin"/>
          <w:color w:val="111111"/>
          <w:sz w:val="28"/>
          <w:sz w:val="28"/>
          <w:szCs w:val="28"/>
          <w:rtl w:val="true"/>
          <w:lang w:bidi="fa-IR"/>
        </w:rPr>
        <w:t>برای فهم عمیق‌ترِ مطلب در حوزۀ بحث خداشناسی، به چند نکته می‌توان اشاره کرد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اول توضیحی درباره رابطۀ امور زمانمند و بی‌زمان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نظریۀ نسبیت انیشتین در فیزیک یا حرکت جوهری ملاصدرا در فلسفه آشنا باشند، این مطلب را ساده‌تر خواهند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عمومی</w:t>
      </w:r>
    </w:p>
    <w:p>
      <w:pPr>
        <w:pStyle w:val="BookText"/>
        <w:rPr/>
      </w:pPr>
      <w:r>
        <w:rPr>
          <w:rFonts w:ascii="IRNazanin" w:hAnsi="IRNazanin" w:eastAsia="IRNazanin"/>
          <w:color w:val="111111"/>
          <w:sz w:val="28"/>
          <w:sz w:val="28"/>
          <w:szCs w:val="28"/>
          <w:rtl w:val="true"/>
          <w:lang w:bidi="fa-IR"/>
        </w:rPr>
        <w:t>ما این است که زمان، امری مستقل از ماست و همۀ ما در یک زمانِ مطلق واقع شده‌ایم که وارد آن می‌شویم و با مرگ از آن خارج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که برخی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قدر زمان زود یا دیر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مجازی است؛ اما انیشتین در فیزیک و ملاصدرا در فلسفه، هر کدام از منظری، نشان داده‌اند که زمانِ مطلق وجود ندارد و زمانِ هر موجودی، به فراخور وجودِ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به‌تعبیر انیشتین، زمان بُعد چهارم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براین‌اساس، زودگذشتن یا دیرگذشتن که در مثال قبل مطرح شد، امری واقعی و نه فقط احساسی شخصی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ثمرۀ این نکته آن است که معلوم شود مثالِ مطرح‌شده فقط یک تشبیه نیست، بلکه بیانِ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موجودی که جایگاه و موقعیتش فرازمانی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همۀ حوادثی که برای موجوداتِ زمانمند به‌تدریج می‌گذرد، در آنِ واحد حاضر است؛ یعنی دیروز و امروز و فردای این، نزد او با هم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منظرِ این موجودِ زمانمند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موجودِ فرازمانی، فردا را الان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علم او تأثیری در رخ‌دادن یا ندادن آن وقایع داشته 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دوم این است که خداوند، نه‌تنها علمِ قبل‌الأشیاء دارد، بلکه علمِ خدا، علمِ فعلی است نه علمِ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انفعالی</w:t>
      </w:r>
      <w:r>
        <w:rPr>
          <w:rStyle w:val="FootnoteAnchor"/>
          <w:rtl w:val="true"/>
        </w:rPr>
        <w:footnoteReference w:id="14"/>
      </w:r>
      <w:r>
        <w:rPr>
          <w:rFonts w:ascii="IRNazanin" w:hAnsi="IRNazanin" w:eastAsia="IRNazanin"/>
          <w:color w:val="111111"/>
          <w:sz w:val="28"/>
          <w:sz w:val="28"/>
          <w:szCs w:val="28"/>
          <w:rtl w:val="true"/>
          <w:lang w:bidi="fa-IR"/>
        </w:rPr>
        <w:t>و با ارادۀ او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ابتدا مطلبی را تصور کند، بعد اراده و تصمیم به انجام‌دادن آن بگیرد؛ بلکه علم خدا به اشیا، عین ارادۀ او دربارۀ اشیاست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ظاهر، شبهه را قوی‌تر می‌کند؛ اما دقتِ عمیق نشان می‌دهد که هیچ اِشکالی درکار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فعلی‌بودنِ علم خدا ناشی از این است که علم خدا علم حضوری است، نه 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خدا عین معلوم است و خودِ معلوم نزد خدا حاضر است نه تصور آن</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اگر این مطلب را درست بفهمیم، آنگاه می‌فهمیم که من هر کاری انجام دهم، همان کارِ من، عین علم</w:t>
      </w:r>
    </w:p>
    <w:p>
      <w:pPr>
        <w:pStyle w:val="BookText"/>
        <w:rPr/>
      </w:pPr>
      <w:r>
        <w:rPr>
          <w:rFonts w:ascii="IRNazanin" w:hAnsi="IRNazanin" w:eastAsia="IRNazanin"/>
          <w:color w:val="111111"/>
          <w:sz w:val="28"/>
          <w:sz w:val="28"/>
          <w:szCs w:val="28"/>
          <w:rtl w:val="true"/>
          <w:lang w:bidi="fa-IR"/>
        </w:rPr>
        <w:t xml:space="preserve">خدا به آن کار است؛ نه اینکه مثلاً خدا مدتی قبل از آن کار، 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بعد، من آن کار را انجام دهم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در ابتدا شاید این شبهه را ایجاد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علم خدا علم حضوری است و خدا قبل از کارهای ما تصویری ذهنی از آن ندارد، پس خدا قبل از کارهای ما علم به کارهای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غیرِ زمانمندبودن خدا توجه کنیم، نه‌تنها این شبهه رفع می‌شود بلکه اصل بحث بهتر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 به افعال من، همان افعال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هر کاری انجام دهم، همان علم خداست و لذا معنا ندارد که علم خدا موجب مجبورشدن 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چون خداوند موجودی فوق‌زمانی است، عمل دیروز و امروز و فردای من، هر سه، با هم نزد خداوند حاضر است و لذا ما که در زمان، صحبت می‌کنیم و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امروز می‌داند که فردا چه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متناسب با حال خودمان صحبت کرده‌ایم، نه متناسب با 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 به کارهای ما، خودِ همان کارهای ماست؛ منتها در مرتبۀ خداییِ خدا، امروز و فردایی در کار نیست؛ اما در مرتبۀ ما، زمان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که در زمان واقع شده‌ایم و دیروز و فردای خود را از هم جدا می‌کنیم و می‌گوییم به دیروز</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داریم و به فردا علم نداریم، ناخودآگاه، گمان می‌کنیم که خدا هم، دیروز و فردای ما برایش متفاوت است و تعجب می‌کنیم که چگونه خدا به فردای ما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فوق‌زمان‌بودن خدا را درست تصور کنیم، آنگاه درمی‌یابیم که همان‌گونه که آگاهی خدا از دیروزِ ما موجب هیچ جبری در زندگی ما نمی‌شود، آگاهی خدا از فردای ما هم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5"/>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66" o:detectmouseclick="t"/>
                <v:stroke color="#3465a4" joinstyle="round" endcap="flat"/>
                <w10:wrap type="none"/>
              </v:shape>
            </w:pict>
          </mc:Fallback>
        </mc:AlternateContent>
      </w:r>
      <w:bookmarkStart w:id="51" w:name="pg4912_43924"/>
    </w:p>
    <w:p>
      <w:pPr>
        <w:pStyle w:val="Heading2"/>
        <w:numPr>
          <w:ilvl w:val="1"/>
          <w:numId w:val="1"/>
        </w:numPr>
        <w:rPr/>
      </w:pPr>
      <w:bookmarkStart w:id="52" w:name="__RefHeading___Toc3290350_2035185390"/>
      <w:bookmarkStart w:id="53" w:name="_Toc19"/>
      <w:bookmarkEnd w:id="51"/>
      <w:bookmarkEnd w:id="52"/>
      <w:r>
        <w:rPr/>
        <w:t>3</w:t>
      </w:r>
      <w:r>
        <w:rPr>
          <w:rtl w:val="true"/>
        </w:rPr>
        <w:t>.</w:t>
      </w:r>
      <w:r>
        <w:rPr>
          <w:rtl w:val="true"/>
        </w:rPr>
        <w:t>حوزۀ انسان‌شناسی</w:t>
      </w:r>
      <w:bookmarkEnd w:id="53"/>
    </w:p>
    <w:p>
      <w:pPr>
        <w:pStyle w:val="Heading3"/>
        <w:numPr>
          <w:ilvl w:val="2"/>
          <w:numId w:val="1"/>
        </w:numPr>
        <w:rPr/>
      </w:pPr>
      <w:bookmarkStart w:id="54" w:name="__RefHeading___Toc3290352_2035185390"/>
      <w:bookmarkStart w:id="55" w:name="_Toc20"/>
      <w:bookmarkEnd w:id="54"/>
      <w:r>
        <w:rPr>
          <w:rtl w:val="true"/>
        </w:rPr>
        <w:t>مقدمه</w:t>
      </w:r>
      <w:bookmarkEnd w:id="55"/>
    </w:p>
    <w:p>
      <w:pPr>
        <w:pStyle w:val="BookText"/>
        <w:rPr/>
      </w:pPr>
      <w:r>
        <w:rPr>
          <w:rFonts w:ascii="IRNazanin" w:hAnsi="IRNazanin" w:eastAsia="IRNazanin"/>
          <w:color w:val="111111"/>
          <w:sz w:val="28"/>
          <w:sz w:val="28"/>
          <w:szCs w:val="28"/>
          <w:rtl w:val="true"/>
          <w:lang w:bidi="fa-IR"/>
        </w:rPr>
        <w:t>تصویر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8"/>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مسئلۀ ما در حوزۀ انسان‌شناسی این بود که انسان به‌نحو درونی می‌یابد که در مقابل دوراهی‌ها قرار می‌گیرد و خودش است که یکی را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همین مبنای اختیار را به‌درستی شرح داد تا معلوم شود که چنین اختیاری نه با علم خدا ناسازگار است و نه با نظام علیّت و 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مطلب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خودِ اختیار از سایر امور تأثیر بپذیرد، منافاتی با اختیاری‌بودن افعال ندارد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درجۀ اول، باید تصوری از اختیار داشته باشیم که خودِ آن تصور، متناقض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پارادوکسیکال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یعنی تصوری نباشد که خودش خودش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ابتدا تصور غلط را بررسی کنیم تا سپس به تصور درست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می‌پندارند که خودِ اختیار، اختیاری است و فکر می‌کنند اگر اجباری باشد با خود اختیار ناسازگار است و غالباً می‌پندارند باید از هیچ چیزی تأثیر نپذیرد تا واقعاً اختیار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ببینیم آیا این تلقی درست است؟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همگان قبول داریم که آن اختیاری که درصدد اثباتش هستیم، اراده‌ای است که حادث</w:t>
      </w:r>
      <w:r>
        <w:rPr>
          <w:rStyle w:val="FootnoteAnchor"/>
          <w:rtl w:val="true"/>
        </w:rPr>
        <w:footnoteReference w:id="16"/>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قبلاً تصمیم به انجام‌دادن کاری نگرفته باشم و الان تصمیم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اگر همۀ تصمیمات از ابتدای تولدم در ذات من گذاشته شده باشند، دیگر اصلاً اراده‌کردن من معنا نخواهد داشت؛ زیرا من اراده نمی‌کنم، بلکه فرد دیگری همۀ این اراده‌ها را هنگام تولدم در من گذاشته است؛ پس اراده‌کردن امری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می‌دانیم که هر امر حادثی، علتی بیرون از خود دارد که آن علت موجب شده تا این امری که قبلاً وجود نداشته است، الان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به‌تعبیر دیگر، هر حادثی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برای اینکه اراده باشد، باید معلول باشد؛ یعنی امری دیگر باید در پیدایش آن تأثیر بگذارد، وگرنه اگر از ازل در ذات من وجود داشته باشد، دیگر اراده‌کردن بی‌معنا خواهد بود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پس این تلقی، تلقیِ غلطی است که می‌توان ارادۀ انسانی را به‌عنوان امری غیرمتأثر از همه چیز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تصورِ صحیحِ اراده چیست؟ برای رسیدن به تصورِ صحیح از اراده، باید به دو نکته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اراده امری ناظر به آینده است، نه ناظر به گذشته؛ ثانیاً، اراده با جبر درونی منافات ندارد، بلکه فقط با جبر بیرونی ممکن است منافات داشته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 اینکه اولاً وقتی مفهوم اراده را بررسی می‌کنیم، درمی‌یابیم که اراده همیشه نسبت به آینده معنی‌دار است؛ نه نسبت به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نمی‌گوید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اراده می‌کنم که دیروز به گردش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چنین سخنی بگوید، سخن او بی‌معناست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مفهوم اراده همواره در مقایسه با آینده شکل می‌گیرد و به بیان دیگر، اراده‌کردن در</w:t>
      </w:r>
    </w:p>
    <w:p>
      <w:pPr>
        <w:pStyle w:val="BookText"/>
        <w:rPr/>
      </w:pPr>
      <w:r>
        <w:rPr>
          <w:rFonts w:ascii="IRNazanin" w:hAnsi="IRNazanin" w:eastAsia="IRNazanin"/>
          <w:color w:val="111111"/>
          <w:sz w:val="28"/>
          <w:sz w:val="28"/>
          <w:szCs w:val="28"/>
          <w:rtl w:val="true"/>
          <w:lang w:bidi="fa-IR"/>
        </w:rPr>
        <w:t>مقابل دو‌راهی‌هایی که هنوز واقع نشده‌اند،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مفهوم اراده را با ماقبلش تعریف کنیم، اولین خطای جدی را در شناخت اراده مرتکب شده‌ایم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ثانیاً اراده با هرگونه ضرورت و جبری منافات ندارد؛ بلکه فقط با جبر بیرونی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تصمیم می‌گیرم که به گردش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 گفت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 و این کار را بر خود الزام کرده است، پس دیگر کارش ارادی نیست؟ اگر کسی با فکر و اندیشه‌اش تصمیم بگیرد، آیا چون فکرش را دخالت داده است موجب می‌شود این کارش از ارادۀ او خارج باشد؟ فرض کنیم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میل دارم به گردش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چون میل و خواسته‌اش او را به گردش‌رفتن وادار کرده است، آیا کار او از اختیاری‌بودن خارج می‌شود؟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است که اگر قرار باشد اراده حتی از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و اندیشۀ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p>
    <w:p>
      <w:pPr>
        <w:pStyle w:val="BookText"/>
        <w:rPr/>
      </w:pPr>
      <w:r>
        <w:rPr>
          <w:rFonts w:ascii="IRNazanin" w:hAnsi="IRNazanin" w:eastAsia="IRNazanin"/>
          <w:color w:val="111111"/>
          <w:sz w:val="28"/>
          <w:sz w:val="28"/>
          <w:szCs w:val="28"/>
          <w:rtl w:val="true"/>
          <w:lang w:bidi="fa-IR"/>
        </w:rPr>
        <w:t>آزاد و رها باشد، دیگر اصلاً اختیارداشتنِ من معنی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دخالتِ هیچ کدام از این‌ها، به غیر ارادی‌بودن عمل ما منجر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ما کاری را غیرارادی می‌نامیم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اجبارگر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مستقل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کسی با واسطۀ من، امری را بر من تحمیل کند، نمی‌توان آن‌را حقیقتاً اجبار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 مطلب، به این دو مثال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تفنگی را در دست من می‌گذارد و باوجود مقاومت من، دستم را به طرف شخص دیگری می‌گیرد، انگشت مرا روی ماشه حرکت می‌دهد، تیر شلیک می‌شود و شخص سومی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واقعاً جبر معنا دارد و واقعاً من هیچ‌گونه مقصر نیستم؛ زیرا اصلاً کشتن او به اختیار و ارادۀ من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دادگاه هم نمی‌توانند مرا مقصر بدانند و در قیامت نیز مؤاخذه‌ای برای من در کار نخواهد 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قدرتمندی به من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تفنگ را بردار و فلانی را بکش؛ وگرنه</w:t>
      </w:r>
    </w:p>
    <w:p>
      <w:pPr>
        <w:pStyle w:val="BookText"/>
        <w:rPr/>
      </w:pPr>
      <w:r>
        <w:rPr>
          <w:rFonts w:ascii="IRNazanin" w:hAnsi="IRNazanin" w:eastAsia="IRNazanin"/>
          <w:color w:val="111111"/>
          <w:sz w:val="28"/>
          <w:sz w:val="28"/>
          <w:szCs w:val="28"/>
          <w:rtl w:val="true"/>
          <w:lang w:bidi="fa-IR"/>
        </w:rPr>
        <w:t>تو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درست است که تحمیلی صورت گرفته است؛ اما به جبر منجر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او مرا مخیّر کرده است بین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سوم را نکشم و خودم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سوم را بکشم و زنده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من آن شخص سوم را کشتم، کاملاً بی‌تقصیر نیستم؛ زیرا با ارادۀ خود، او را کشته‌ام، هرچند هنگام اراده‌کردن محذوراتی هم پیشِ روی من بوده است که شاید موجب تخفیف در مجازات 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درست دقت کنیم، می‌بینیم زمانی واقعاً جبر است که اَعمال من کاملاً مستقل از من و تصمیم‌گیریِ من رخ داده باشد؛ اما اگر عملی با دخالت اراده و انتخاب من رخ دهد، هرچند انتخاب بین کشته‌شدن و زنده‌ماندن باشد، این عمل از ارادی‌بودن خارج نمی‌شود؛ هرچند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تحت تأثیر خارج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معلوم می‌شود تأثیر خارج بر آدمی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عامل خارجی به‌نحوی وارد می‌شود که من و اندیشه و گرایش مرا در اجرای کار، حذف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جبر واقعی است، اما ربطی به بحث ما ندارد؛ زیرا در چنین مواقعی واقعاً ما انجام‌دهندۀ واقعی آن کار نیستیم و لذا کسی انسان را مقصر نمی‌داند و در قیامت هم مؤاخذه‌ای رخ نمی‌دهد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گاهی آن کار از طریق من و با گذر از اندیشه و گرایش من واقع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چون خود من و انتخاب من مدخلیّت داشته، آن عمل را ارادی محسوب می‌کنند و درخور مؤاخذه می‌دانند و البته واضح است که هر مقدار دایرۀ آزادی‌های من برای تصمیم‌گیری متفاوت باشد، ارزش عمل تفاوت می‌کند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این همان مطلبی است که</w:t>
      </w:r>
      <w:bookmarkStart w:id="56" w:name="pg4912_43932"/>
    </w:p>
    <w:p>
      <w:pPr>
        <w:pStyle w:val="BookText"/>
        <w:rPr/>
      </w:pPr>
      <w:bookmarkEnd w:id="56"/>
      <w:r>
        <w:rPr>
          <w:rFonts w:ascii="IRNazanin" w:hAnsi="IRNazanin" w:eastAsia="IRNazanin"/>
          <w:color w:val="111111"/>
          <w:sz w:val="28"/>
          <w:sz w:val="28"/>
          <w:szCs w:val="28"/>
          <w:rtl w:val="true"/>
          <w:lang w:bidi="fa-IR"/>
        </w:rPr>
        <w:t>در محور جهان‌شناسی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در عالم مادی، قضا و قدر غیرحتمی است؛ یعنی دوراهی‌های متفاوتی پیشِ روی ماست و ما را به‌نحوی ساخته‌اند که بتوانیم از میان دوراهی‌ها انتخاب کنیم و این‌گونه ساخته‌شدن، یعنی اختیارداشتن</w:t>
      </w:r>
      <w:r>
        <w:rPr>
          <w:rFonts w:eastAsia="IRNazanin" w:cs="IRNazanin"/>
          <w:color w:val="111111"/>
          <w:sz w:val="28"/>
          <w:szCs w:val="28"/>
          <w:rtl w:val="true"/>
          <w:lang w:bidi="fa-IR"/>
        </w:rPr>
        <w:t>.</w:t>
      </w:r>
    </w:p>
    <w:p>
      <w:pPr>
        <w:pStyle w:val="Heading3"/>
        <w:numPr>
          <w:ilvl w:val="2"/>
          <w:numId w:val="1"/>
        </w:numPr>
        <w:rPr/>
      </w:pPr>
      <w:bookmarkStart w:id="57" w:name="__RefHeading___Toc3290354_2035185390"/>
      <w:bookmarkStart w:id="58" w:name="_Toc21"/>
      <w:bookmarkEnd w:id="57"/>
      <w:r>
        <w:rPr>
          <w:rtl w:val="true"/>
        </w:rPr>
        <w:t>برای مطالعۀ بیشتر</w:t>
      </w:r>
      <w:bookmarkEnd w:id="58"/>
    </w:p>
    <w:p>
      <w:pPr>
        <w:pStyle w:val="BookText"/>
        <w:rPr/>
      </w:pPr>
      <w:r>
        <w:rPr>
          <w:rFonts w:ascii="IRNazanin" w:hAnsi="IRNazanin" w:eastAsia="IRNazanin"/>
          <w:color w:val="111111"/>
          <w:sz w:val="28"/>
          <w:sz w:val="28"/>
          <w:szCs w:val="28"/>
          <w:rtl w:val="true"/>
          <w:lang w:bidi="fa-IR"/>
        </w:rPr>
        <w:t xml:space="preserve">در بحث فوق، معلوم شد که ارادۀ من تحت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می‌کند و این جبر درونی، اصلاً جبر نیست؛ بلکه عین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واقعاً چگونه توانسته‌ایم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تأثیر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کنیم؟ برای درک این مطلب باید به دو نکته توجه کرد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اول این است که چرا اگر ارادۀ من حادث باشد، حتماً نیازمند علتی بیرون از خود است؟ در تعابیر فلسفی، اثبات می‌کنند که هر حادثی ممکن‌الوجود</w:t>
      </w:r>
      <w:r>
        <w:rPr>
          <w:rStyle w:val="FootnoteAnchor"/>
          <w:rtl w:val="true"/>
        </w:rPr>
        <w:footnoteReference w:id="21"/>
      </w:r>
      <w:r>
        <w:rPr>
          <w:rFonts w:ascii="IRNazanin" w:hAnsi="IRNazanin" w:eastAsia="IRNazanin"/>
          <w:color w:val="111111"/>
          <w:sz w:val="28"/>
          <w:sz w:val="28"/>
          <w:szCs w:val="28"/>
          <w:rtl w:val="true"/>
          <w:lang w:bidi="fa-IR"/>
        </w:rPr>
        <w:t>است و ممکن‌الوجود برای موجودشدن نیازمند علت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ممکن‌الوجود موجودی است که در مرتبۀ ذاتِ خود، می‌توانسته موجود باشد و می‌توانسته معدوم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به‌خودیِ خود، نه اقتضای وجود داشته است و نه اقتضای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الان موجود شده است، علتی باعث به‌وجودآمدن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واجب‌الوجود چیزی است که در ذات خود اقتضای وجود دارد و لذا وجود، عین ذاتش است و نمی‌تواند موجود نباشد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امری حادث است، معلوم است که زمانی بوده که این امر وجود نداشته است؛ یعنی لااقل در یک زمان وجودنداشتن برایش ممکن گردیده، پس واجب‌الوجود نیست و اگر الان موجود است، وجودش از غیر است، نه از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حادث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اراده در زمانی نبوده و الان پیدا شده است، پس امری ممکن‌الوجود است و نیازمند علتی که او را موجود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ارادۀ ما قطعاً تحت تأثیر عللی باید باشد تا بتواند</w:t>
      </w:r>
    </w:p>
    <w:p>
      <w:pPr>
        <w:pStyle w:val="BookText"/>
        <w:rPr/>
      </w:pPr>
      <w:r>
        <w:rPr>
          <w:rFonts w:ascii="IRNazanin" w:hAnsi="IRNazanin" w:eastAsia="IRNazanin"/>
          <w:color w:val="111111"/>
          <w:sz w:val="28"/>
          <w:sz w:val="28"/>
          <w:szCs w:val="28"/>
          <w:rtl w:val="true"/>
          <w:lang w:bidi="fa-IR"/>
        </w:rPr>
        <w:t>در عالم محقَق 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دوم تفکیک ابعاد فعلی و انفعالی وجود من و درواقع شناسایی عاملی است که بر ارادۀ من تأثیر می‌گذارد؛ اما این تأثیر، اراده را از اراده‌بودن خارج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کنیم، تمامی ابعاد وجودی ما را به دو دسته می‌توان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انفعالی و ابعاد فعلی</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یعنی وجود ما به‌نحوی است که از برخی جهات، از سایر امور تأثیر می‌پذیریم و از برخی جهات، در سایر امور تأثیر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اما حیثیت تأثیرگذارِ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فعلی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حیثیت تأثیرپذیر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انفعالی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نباید احکام این دو را با هم خِلط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تأثرات عاطفی، مانند خوشحال یا ناراحت‌شدن، مربوط به بُعد انفعالی من است و اراده، مربوط به بُعد فعلی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وجود من که وجودی واحد است، در آگاهی و امور عاطفی از خارج از من تأثیر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تأثیر، از کانال اندیشه و احساسات من گذر کرد، در درون من تبدیل به تصمیم می‌شود</w:t>
      </w:r>
    </w:p>
    <w:p>
      <w:pPr>
        <w:pStyle w:val="BookText"/>
        <w:rPr/>
      </w:pPr>
      <w:r>
        <w:rPr>
          <w:rFonts w:ascii="IRNazanin" w:hAnsi="IRNazanin" w:eastAsia="IRNazanin"/>
          <w:color w:val="111111"/>
          <w:sz w:val="28"/>
          <w:sz w:val="28"/>
          <w:szCs w:val="28"/>
          <w:rtl w:val="true"/>
          <w:lang w:bidi="fa-IR"/>
        </w:rPr>
        <w:t>و این تصمیم در قالب اراده از من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در بحث فوق، تحت عنوان جبر درونی از آن یاد کردیم و توضیح دادیم که جبر درونی جبر نیست، بلکه اصلاً ارادۀ همین جبر از درون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افراد گمان می‌کنند تأثیرپذیریِ انسان با اختیارداشتن او منافات دارد، درواقع، بین حیثیت انفعالی و حیثیت فعلیِ آدمی خِلط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تأثیر می‌پذیرد، حیثیات انفعالی ما، مثل علم و احساسات است؛ نه ارادۀ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حیثیتی از وجود من است که در خارج تأثیر می‌گذارد و موجب صدور کاری از من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در بحث فوق گفتیم که اولاً اراده، چون مربوط به بُعد فعلی من است، اساساً ناظر به بَعد است، نه ناظر به قبل؛ ثانیاً جبر و تصمیمی که از درون من به من دستور داده شود، حقیقتاً جبر نیست، بلکه عین اختیار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است که در مثال کشتن یک نفر که در متن اشاره شد، اگر شلیک گلوله از کانال فکر و ارادۀ من گذر کند، کاری اختیاری و مؤاخذه‌کردنی خواهد بود؛ اما اگر از کانال فکر و ارادۀ من نگذرد، بلکه فقط دستانِ من به‌عنوان وسیله‌ای، عامل کشیده‌شدن ماشۀ تفنگ باشند، دیگر آن کار، اختیاری محسوب نمی‌شود و کسی مرا در آن زمینه مؤاخذه نمی‌کند</w:t>
      </w:r>
      <w:r>
        <w:rPr>
          <w:rFonts w:eastAsia="IRNazanin" w:cs="IRNazanin"/>
          <w:color w:val="111111"/>
          <w:sz w:val="28"/>
          <w:szCs w:val="28"/>
          <w:rtl w:val="true"/>
          <w:lang w:bidi="fa-IR"/>
        </w:rPr>
        <w:t>.</w:t>
      </w:r>
      <w:bookmarkStart w:id="59" w:name="pg4912_43936"/>
    </w:p>
    <w:p>
      <w:pPr>
        <w:pStyle w:val="Heading2"/>
        <w:numPr>
          <w:ilvl w:val="1"/>
          <w:numId w:val="1"/>
        </w:numPr>
        <w:rPr/>
      </w:pPr>
      <w:bookmarkStart w:id="60" w:name="__RefHeading___Toc3290356_2035185390"/>
      <w:bookmarkStart w:id="61" w:name="_Toc22"/>
      <w:bookmarkEnd w:id="59"/>
      <w:bookmarkEnd w:id="60"/>
      <w:r>
        <w:rPr>
          <w:rtl w:val="true"/>
        </w:rPr>
        <w:t>جمع‌بندی بحث تعارض نظری</w:t>
      </w:r>
      <w:bookmarkEnd w:id="61"/>
    </w:p>
    <w:p>
      <w:pPr>
        <w:pStyle w:val="Heading3"/>
        <w:numPr>
          <w:ilvl w:val="2"/>
          <w:numId w:val="1"/>
        </w:numPr>
        <w:rPr/>
      </w:pPr>
      <w:bookmarkStart w:id="62" w:name="__RefHeading___Toc3290358_2035185390"/>
      <w:bookmarkStart w:id="63" w:name="_Toc23"/>
      <w:bookmarkEnd w:id="62"/>
      <w:r>
        <w:rPr>
          <w:rtl w:val="true"/>
        </w:rPr>
        <w:t>مقدمه</w:t>
      </w:r>
      <w:bookmarkEnd w:id="63"/>
    </w:p>
    <w:p>
      <w:pPr>
        <w:pStyle w:val="BookText"/>
        <w:rPr/>
      </w:pPr>
      <w:r>
        <w:rPr>
          <w:rFonts w:ascii="IRNazanin" w:hAnsi="IRNazanin" w:eastAsia="IRNazanin"/>
          <w:color w:val="111111"/>
          <w:sz w:val="28"/>
          <w:sz w:val="28"/>
          <w:szCs w:val="28"/>
          <w:rtl w:val="true"/>
          <w:lang w:bidi="fa-IR"/>
        </w:rPr>
        <w:t>شبهۀ جبر، ناشی از درک‌نکردن همه‌جانبه و دقیق مفهوم علیّت و مفهوم علم و ارادۀ خداوند از سویی و مفهوم اختیار از سوی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گذشت، با دقت نظر دربارۀ این سه مفهوم، معلوم شد که بین علیّت و علم و ارادۀ خدا هیچ منافاتی با اختیار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علیّت توضیح دادیم که اساساً اگر علیّت را منکر شویم، خودِ اراده نیز زیر سؤال می‌رود؛ زیرا طرفداران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ما را بر کارهای ما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نفی علیّت، نفی تأثیرگذاری و لذا نفی ارتباط بین ارادۀ ما و کار ما را در پی خواهد داشت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علم و ارادۀ خداوند معلوم شد که اشتباه در این بوده است که خداوند، مانند ما انسان‌ها، موجودی زمانمند تصور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شود که خدا فوق زمان است، معلوم می‌شود که قبل و بَعد، برای خدا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علم خدا بعد از وقوع</w:t>
      </w:r>
    </w:p>
    <w:p>
      <w:pPr>
        <w:pStyle w:val="BookText"/>
        <w:rPr/>
      </w:pPr>
      <w:r>
        <w:rPr>
          <w:rFonts w:ascii="IRNazanin" w:hAnsi="IRNazanin" w:eastAsia="IRNazanin"/>
          <w:color w:val="111111"/>
          <w:sz w:val="28"/>
          <w:sz w:val="28"/>
          <w:szCs w:val="28"/>
          <w:rtl w:val="true"/>
          <w:lang w:bidi="fa-IR"/>
        </w:rPr>
        <w:t>تصویر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8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حوادث، موجب اجباری‌شدن آن‌ها نمی‌شود، در مورد قبل از حادثه هم همان‌طور است؛ خصوصاً اگر مفهوم علم حضوری و علم فعلی هم دربارۀ خدا درست درک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مفهوم اختیار آشکار شد که اختیار، بُعدی از وجود آدمی است که ناظر به مابَعد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 حیثیت تأثیرگذاری وجود 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ناظر به ماقبل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حیثیت تأثیرپذیری وجود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تصور علل تأثیرگذار بر اختیار به‌عنوان علل خارجی، تصور نادرستی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انسان فقط از درون انسان دستور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دادیم که جبر از درون، جبر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درون انسان، ابعادی ناظر به قبل دارد؛ مانند آگاهی و تأثرات عاطفی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حیثیت انفعالی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زاویۀ این ابعاد، از بیرونِ خود تأثیر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اراده، ربطی به این بُعد از وجود ما ندارد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موجودی بس 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دنیا و عالم ماده زندگی می‌کند، دوراهی‌هایی در پیش روی اوست و چون دارای شناخت و احساسات است، از دریچۀ اگاهی‌ها و احساساتش</w:t>
      </w:r>
      <w:bookmarkStart w:id="64" w:name="pg4912_43939"/>
    </w:p>
    <w:p>
      <w:pPr>
        <w:pStyle w:val="BookText"/>
        <w:rPr/>
      </w:pPr>
      <w:bookmarkEnd w:id="64"/>
      <w:r>
        <w:rPr>
          <w:rFonts w:ascii="IRNazanin" w:hAnsi="IRNazanin" w:eastAsia="IRNazanin"/>
          <w:color w:val="111111"/>
          <w:sz w:val="28"/>
          <w:sz w:val="28"/>
          <w:szCs w:val="28"/>
          <w:rtl w:val="true"/>
          <w:lang w:bidi="fa-IR"/>
        </w:rPr>
        <w:t>از خارج تأثیر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آگاهی‌ها و احساسات، دوراهی‌های پیشِ روی او را نمی‌بندد و بازبودن این دوراهی‌ها، بار انتخاب را بر دوش خود او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با توجه به این آگاهی‌ها و آن تأثرات احساسی، از درون خویش تصمیم می‌گیرد که کدام راه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آگاهی‌ها و تأثرات، تمایل او را به ترجیح یا دوری از یک راه، زیاد و کم می‌کند، اما هیچ‌گاه راه را بر وی نمی‌بندد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ویژگی عمیق اختیار در وجود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طرف دیگر، این موجود زمانمند، مخلوقِ خدای فوقِ زمان است و ازآنجاکه با توجه به غیرزمانمندبودن خدا، فعل و ارادۀ انسان در طول فعل و ارادۀ خداوند است، نه پس از آن، چیزی از ناحیۀ علم خدا نیز بر او تحمیل نمی‌شود</w:t>
      </w:r>
      <w:r>
        <w:rPr>
          <w:rFonts w:eastAsia="IRNazanin" w:cs="IRNazanin"/>
          <w:color w:val="111111"/>
          <w:sz w:val="28"/>
          <w:szCs w:val="28"/>
          <w:rtl w:val="true"/>
          <w:lang w:bidi="fa-IR"/>
        </w:rPr>
        <w:t>.</w:t>
      </w:r>
    </w:p>
    <w:p>
      <w:pPr>
        <w:pStyle w:val="Heading3"/>
        <w:numPr>
          <w:ilvl w:val="2"/>
          <w:numId w:val="1"/>
        </w:numPr>
        <w:rPr/>
      </w:pPr>
      <w:bookmarkStart w:id="65" w:name="__RefHeading___Toc3290360_2035185390"/>
      <w:bookmarkStart w:id="66" w:name="_Toc24"/>
      <w:bookmarkEnd w:id="65"/>
      <w:r>
        <w:rPr>
          <w:rtl w:val="true"/>
        </w:rPr>
        <w:t>برای مطالعه بیشتر</w:t>
      </w:r>
      <w:bookmarkEnd w:id="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و سرنوشت، مرتضی مطهری،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 و اختیار، جعفر سبحانی،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امام صادق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المیزان، علامه طباطبائی،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88"/>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9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92"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این کتاب‌ها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و سرنوشت؛ پاورقی‌های اصول فلسفه و روش رئالیسم،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همچنین کتاب عدل الهی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کتاب‌های اصول فلسفه و روش رئالیسم،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نیز تفسیرالمیزان، ج</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تفکیک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لازمۀ منطقی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سخن و آنچه بر اثر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گذر روان‌شناختی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سخن حاصل می‌شود، تفکیک بسیار مهمی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لازمۀ منطقی یعنی مطلبی به‌صورت منطقی و موجّه از مطلبی استنباط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استنباط‌ها و نتیجه‌گیری‌های انسان همیشه براساس علم و منطق نیستند؛ بلکه بسیار می‌شود که تحت تأثیر احساسات و گرایش‌ها و بی‌دقتی‌های منطقی نتیجه‌ای گرفته می‌شود که منطقاً موجّه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اگر فردی روحانی اَعمال ناشایستی مرتکب شود، منطقاً می‌توان نتیجه گرفت که او آدم بدی است؛ اما برخی علاوه بر این نتیجۀ منطقی، این نتیجه را هم می‌گیرند که اسلام دین بدی است؛ درحالی‌که عمل یک نفر را به حساب مکتب او گذاشتن، منطقاً صحیح نیست؛ چراکه ممکن است او منافقانه تظاهر به آن مکتب کند و لذا چنین اظهار نظری صرفاً از گذری روان‌شناختی حاصل شده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کنید که این بحث‌ها نشان می‌دهد که خودِ این فرض، فرض محالی است؛ شاهدش هم این است که حتی وقتی این فرض را برای انسان مطرح می‌کنیم، ناخودآگاه دوباره براساس اختیار بحث را ادامه می‌دهیم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عذاب‌های اخروی، تجلی باطنی همین اَعمال دنیوی هستند، نه جزاهای قراردادی؛ لذا حتماً آثار عمل را با خود خواهند داشت؛ اگر ثمره و باطن مالِ یتیم خوردن،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آتش‌خوردن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آنگاه وقتی پرده‌ها کنار رود، حتماً آتش‌خوردن را درک می‌کند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کسانی که برای حل این مسئله اقدام کرده‌اند، این راه را در پیش گرفته‌اند؛ یعنی یکی از مباحث مطرح‌شده در دو طرف نزاع را زیر سؤال برده و انکار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یک طرف تعارض را مسئلۀ حوزه‌های جهان‌شناسی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برقراربودن نظام علیّت در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خداشناسی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ارادۀ خدا و علم قبل‌الأشیاء خدا به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بدانیم و طرف دیگر را مسئلۀ انسان‌شناختی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اختیار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راه‌حل‌های دستۀ اول را می‌توان چنین طبقه‌بندی کرد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دو مفهوم اختیار و اراده، تفاوت فلسفی دقیقی وجود دارد که در اینجا از آن صرف نظر کرده و در کتاب حاضر، این دو واژه را به یک معنا به‌کار برده‌ایم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به‌تعبیر شهید مطهری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فرقی می‌کند که انسان از ناحیۀ عامل خاصی مجبور و مُکرَه باشد که برخلاف خواست و میل خود عمل کند یا اینکه خودِ عمل از قانون علیّت آزاد باشد و با هیچ عاملی ازجمله خودِ بشر بستگی نداشته باشد و خودبه‌خود واقع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و سرنوشت، ص</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به‌اشیا و امور غیرمادی، مانند خدا و فرشتگان، در اصطلاح، موجودات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مجرد یعنی امری که ماده ندارد و ماده به‌لحاظ فلسفی،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قابلیت‌داشتن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بالقوه‌بودن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کنید که ماده در فلسفه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قابلیت 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ماده در فیزیک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جسمانی‌بودن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چیزی ماده نداشته باشد، قابلیت هم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قابلیت‌داشتن است که موجب می‌شود دوراهی‌ها در برابر چیزی پیدا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دانۀ سیب قابلیت درختِ سیب شدن را دارد؛ پس یک دوراهی در برابرش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درخت سیب شود و ممکن است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امر مجرد هرچه دارد، به‌صورت فعلیت محض است و لذا هیچ دوراهی در مقابلش متصور نیست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و سرنوشت، ص</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تا</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خوب است در اینجا تذکر دهیم که ما دربارۀ خدا غالباً با زبانی که مربوط به امور انسانی و زمانمند است صحبت می‌کنیم؛ چون برای ما، الان غیر از فرداست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الان می‌داند که فردا چه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علت اینکه او الان می‌داند فردا چه می‌شود، این نیست که الان تصوری از فردا دارد؛ بلکه این است که الان و فردا برای خدا فرقی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قبلیّتِ علم خدا، قبلیّت رُتبی و ذاتی است، نه زمانی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تقدم وجود خدا بر وجود ما هم، تقدم ذاتی است؛ نه اینکه خدا در زمانی قبل از ما وجود داشته است و بر خدا هم زمان بگذرد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فوق زمان و خالق زمان است و چون خالق زمان است، خودش موجودی زمانمند نیست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آگاهی‌های ما عموماً انفعالی‌اند، یعنی از خارج تأثیر می‌پذیرند و شکل می‌گیرند؛ اما خدا از هیچ امری تأثیر نمی‌پذیرد، زیرا تأثیرپذیری با واجب‌الوجودبودن ناسازگار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علم خدا از نوع انفعال نیست، بلکه علم فعلی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علم، مستلزم آن است که ارادۀ خدا در جهان بر همه چیز حاکم باشد که اصطلاحاً این مطلب را تحت عنوان توحید اَفعالی یاد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در این مبنا، معلوم می‌شود که نه فقط علم خدا، بلکه ارادۀ خدا مقدم بر ارادۀ ماست و دقت در این مطلب، مفهوم این سخن را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ارادۀ ما در طول ارادۀ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معلوم می‌سازد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حضوری جایی است که فرقی بین علم و معلوم نیست؛ مثلاً انسان هنگامی که می‌ترسد، از ترس خویش علم و آگاهی دارد؛ اما این علم غیر از تصور ذهنی ترس است، بلکه خودِ ترسیدن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خود ترسیدن، در هنگام ترسیدن، هم معلوم ماست و هم علم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خدا به عالم نیز چنین است؛ یعنی چنین نیست که خدا تصویری از عالم در ذهنش داشته باشد، بلکه خودِ عالم، مرتبه‌ای از علم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ازباب تشبیه و تمثیل، وقتی شما چیزی را در ذهن خود تصور می‌کنید، مثلاً اسب شاخ‌دار، وجود این تصویر در ذهن شما عین علم شما به آن چیز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اطلاع‌پیداکردن از آن، نیاز ندارید که دوباره تصویری از آن بسازید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مثال فقط برای تفهیم مسئلۀ علم حضوری بود؛ نه اینکه خدا ذهن داشته باشد و ما در ذهن خدا باشیم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حادث یعنی چیزی که قبلاً وجود نداشته و بعداً پدید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حادث، قدیم است؛ یعنی چیزی که از ازل وجود داشته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قبلاً گفتیم که استثنا در علیت یا انکار علیت هم چاره‌ساز نیست؛ زیرا اگر علیت نباشد، ربط اراده با افعال و کارهای ما نیز نقض می‌شود و دیگر من فعلِ ارادی منسوب به خودم نخواهم داشت؛ زیرا نمی‌توان گفت من علت افعالم هستم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اشکالات، ناشی از این هستند که برخی می‌پندارند تعریفِ اختیار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امری که از تأثیر هرگونه علتی رهاست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به‌طوری که غالباً در زبان انگلیسی، اختیار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ارادۀ آزاد از 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می‌کنند، در حالی‌که حقیقتِ اراده، امری ناظر به مابَعد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کنید در جایی که خودِ عمل، مثل شلیک‌کردن، را شخص دیگری هرچند با استفاده از انگشت من انجام داده است، این کار را اصلاً کار من به حساب نمی‌آورند تا بحث شود که آیا ارادی بود یا غیرارادی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قطعاً فرق است بین اینکه من صرفاً از روی خوشایند خودم کسی را بکُشم، یا بین کشته‌شدن و زنده‌ماندن مخیّر شوم و او را بکشم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چیزی عقلاً از دو حال خارج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می‌تواند موجود باشد یا نمی‌تواند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نمی‌تواند موجود باشد، اصطلاحاً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ممتنع‌الوجود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آنچه می‌تواند موجود باشد، باز از دو حال خارج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می‌تواند موجود نباشد، یا نمی‌تواند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چیزی را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می‌تواند موجود باشد و هم می‌تواند موجود نباشد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ممکن‌الوجود می‌گویند و چیزی را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می‌تواند موجود باشد، اما نمی‌تواند موجود نباشد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واجب‌الوجود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ابعاد فعلی، یعنی ابعادی از ما که به تأثیرگذاری ما بر دیگران مربوط می‌شود؛ و ابعاد انفعالی یعنی ابعادی از ما که به تأثیرپذیری ما از دیگران مربوط می‌شود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footer" Target="footer12.xml"/><Relationship Id="rId28" Type="http://schemas.openxmlformats.org/officeDocument/2006/relationships/footer" Target="footer13.xml"/><Relationship Id="rId29" Type="http://schemas.openxmlformats.org/officeDocument/2006/relationships/footer" Target="footer14.xml"/><Relationship Id="rId30" Type="http://schemas.openxmlformats.org/officeDocument/2006/relationships/footer" Target="footer15.xml"/><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image" Target="media/image8.jpeg"/><Relationship Id="rId34" Type="http://schemas.openxmlformats.org/officeDocument/2006/relationships/image" Target="media/image8.jpeg"/><Relationship Id="rId35" Type="http://schemas.openxmlformats.org/officeDocument/2006/relationships/footer" Target="footer18.xml"/><Relationship Id="rId36" Type="http://schemas.openxmlformats.org/officeDocument/2006/relationships/footer" Target="footer19.xml"/><Relationship Id="rId37" Type="http://schemas.openxmlformats.org/officeDocument/2006/relationships/footer" Target="footer20.xml"/><Relationship Id="rId38" Type="http://schemas.openxmlformats.org/officeDocument/2006/relationships/footer" Target="footer21.xml"/><Relationship Id="rId39" Type="http://schemas.openxmlformats.org/officeDocument/2006/relationships/footer" Target="footer22.xml"/><Relationship Id="rId40" Type="http://schemas.openxmlformats.org/officeDocument/2006/relationships/footer" Target="footer23.xml"/><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image" Target="media/image9.jpeg"/><Relationship Id="rId44" Type="http://schemas.openxmlformats.org/officeDocument/2006/relationships/image" Target="media/image9.jpeg"/><Relationship Id="rId45" Type="http://schemas.openxmlformats.org/officeDocument/2006/relationships/footer" Target="footer26.xml"/><Relationship Id="rId46" Type="http://schemas.openxmlformats.org/officeDocument/2006/relationships/image" Target="media/image10.jpeg"/><Relationship Id="rId47" Type="http://schemas.openxmlformats.org/officeDocument/2006/relationships/image" Target="media/image10.jpeg"/><Relationship Id="rId48" Type="http://schemas.openxmlformats.org/officeDocument/2006/relationships/footer" Target="footer27.xml"/><Relationship Id="rId49" Type="http://schemas.openxmlformats.org/officeDocument/2006/relationships/footer" Target="footer28.xml"/><Relationship Id="rId50" Type="http://schemas.openxmlformats.org/officeDocument/2006/relationships/footer" Target="footer29.xml"/><Relationship Id="rId51" Type="http://schemas.openxmlformats.org/officeDocument/2006/relationships/footer" Target="footer30.xml"/><Relationship Id="rId52" Type="http://schemas.openxmlformats.org/officeDocument/2006/relationships/footer" Target="footer31.xml"/><Relationship Id="rId53" Type="http://schemas.openxmlformats.org/officeDocument/2006/relationships/footer" Target="footer32.xml"/><Relationship Id="rId54" Type="http://schemas.openxmlformats.org/officeDocument/2006/relationships/image" Target="media/image11.jpeg"/><Relationship Id="rId55" Type="http://schemas.openxmlformats.org/officeDocument/2006/relationships/image" Target="media/image11.jpeg"/><Relationship Id="rId56" Type="http://schemas.openxmlformats.org/officeDocument/2006/relationships/footer" Target="footer33.xml"/><Relationship Id="rId57" Type="http://schemas.openxmlformats.org/officeDocument/2006/relationships/footer" Target="footer34.xml"/><Relationship Id="rId58" Type="http://schemas.openxmlformats.org/officeDocument/2006/relationships/footer" Target="footer35.xml"/><Relationship Id="rId59" Type="http://schemas.openxmlformats.org/officeDocument/2006/relationships/footer" Target="footer36.xml"/><Relationship Id="rId60" Type="http://schemas.openxmlformats.org/officeDocument/2006/relationships/footer" Target="footer37.xml"/><Relationship Id="rId61" Type="http://schemas.openxmlformats.org/officeDocument/2006/relationships/footer" Target="footer38.xml"/><Relationship Id="rId62" Type="http://schemas.openxmlformats.org/officeDocument/2006/relationships/footer" Target="footer39.xml"/><Relationship Id="rId63" Type="http://schemas.openxmlformats.org/officeDocument/2006/relationships/footer" Target="footer40.xml"/><Relationship Id="rId64" Type="http://schemas.openxmlformats.org/officeDocument/2006/relationships/footer" Target="footer41.xml"/><Relationship Id="rId65" Type="http://schemas.openxmlformats.org/officeDocument/2006/relationships/image" Target="media/image12.jpeg"/><Relationship Id="rId66" Type="http://schemas.openxmlformats.org/officeDocument/2006/relationships/image" Target="media/image12.jpeg"/><Relationship Id="rId67" Type="http://schemas.openxmlformats.org/officeDocument/2006/relationships/footer" Target="footer42.xml"/><Relationship Id="rId68" Type="http://schemas.openxmlformats.org/officeDocument/2006/relationships/image" Target="media/image13.jpeg"/><Relationship Id="rId69" Type="http://schemas.openxmlformats.org/officeDocument/2006/relationships/image" Target="media/image13.jpeg"/><Relationship Id="rId70" Type="http://schemas.openxmlformats.org/officeDocument/2006/relationships/footer" Target="footer43.xml"/><Relationship Id="rId71" Type="http://schemas.openxmlformats.org/officeDocument/2006/relationships/footer" Target="footer44.xml"/><Relationship Id="rId72" Type="http://schemas.openxmlformats.org/officeDocument/2006/relationships/footer" Target="footer45.xml"/><Relationship Id="rId73" Type="http://schemas.openxmlformats.org/officeDocument/2006/relationships/footer" Target="footer46.xml"/><Relationship Id="rId74" Type="http://schemas.openxmlformats.org/officeDocument/2006/relationships/footer" Target="footer47.xml"/><Relationship Id="rId75" Type="http://schemas.openxmlformats.org/officeDocument/2006/relationships/footer" Target="footer48.xml"/><Relationship Id="rId76" Type="http://schemas.openxmlformats.org/officeDocument/2006/relationships/footer" Target="footer49.xml"/><Relationship Id="rId77" Type="http://schemas.openxmlformats.org/officeDocument/2006/relationships/footer" Target="footer50.xml"/><Relationship Id="rId78" Type="http://schemas.openxmlformats.org/officeDocument/2006/relationships/footer" Target="footer51.xml"/><Relationship Id="rId79" Type="http://schemas.openxmlformats.org/officeDocument/2006/relationships/footer" Target="footer52.xml"/><Relationship Id="rId80" Type="http://schemas.openxmlformats.org/officeDocument/2006/relationships/footer" Target="footer53.xml"/><Relationship Id="rId81" Type="http://schemas.openxmlformats.org/officeDocument/2006/relationships/footer" Target="footer54.xml"/><Relationship Id="rId82" Type="http://schemas.openxmlformats.org/officeDocument/2006/relationships/footer" Target="footer55.xml"/><Relationship Id="rId83" Type="http://schemas.openxmlformats.org/officeDocument/2006/relationships/image" Target="media/image14.jpeg"/><Relationship Id="rId84" Type="http://schemas.openxmlformats.org/officeDocument/2006/relationships/image" Target="media/image14.jpeg"/><Relationship Id="rId85" Type="http://schemas.openxmlformats.org/officeDocument/2006/relationships/footer" Target="footer56.xml"/><Relationship Id="rId86" Type="http://schemas.openxmlformats.org/officeDocument/2006/relationships/footer" Target="footer57.xml"/><Relationship Id="rId87" Type="http://schemas.openxmlformats.org/officeDocument/2006/relationships/footer" Target="footer58.xml"/><Relationship Id="rId88" Type="http://schemas.openxmlformats.org/officeDocument/2006/relationships/image" Target="media/image15.jpeg"/><Relationship Id="rId89" Type="http://schemas.openxmlformats.org/officeDocument/2006/relationships/image" Target="media/image15.jpeg"/><Relationship Id="rId90" Type="http://schemas.openxmlformats.org/officeDocument/2006/relationships/footer" Target="footer59.xml"/><Relationship Id="rId91" Type="http://schemas.openxmlformats.org/officeDocument/2006/relationships/image" Target="media/image16.jpeg"/><Relationship Id="rId92" Type="http://schemas.openxmlformats.org/officeDocument/2006/relationships/image" Target="media/image16.jpeg"/><Relationship Id="rId93" Type="http://schemas.openxmlformats.org/officeDocument/2006/relationships/footer" Target="footer60.xml"/><Relationship Id="rId94" Type="http://schemas.openxmlformats.org/officeDocument/2006/relationships/image" Target="media/image2.jpeg"/><Relationship Id="rId95" Type="http://schemas.openxmlformats.org/officeDocument/2006/relationships/image" Target="media/image2.jpeg"/><Relationship Id="rId96" Type="http://schemas.openxmlformats.org/officeDocument/2006/relationships/footer" Target="footer61.xml"/><Relationship Id="rId97" Type="http://schemas.openxmlformats.org/officeDocument/2006/relationships/footnotes" Target="footnotes.xml"/><Relationship Id="rId98" Type="http://schemas.openxmlformats.org/officeDocument/2006/relationships/numbering" Target="numbering.xml"/><Relationship Id="rId99" Type="http://schemas.openxmlformats.org/officeDocument/2006/relationships/fontTable" Target="fontTable.xml"/><Relationship Id="rId100" Type="http://schemas.openxmlformats.org/officeDocument/2006/relationships/settings" Target="settings.xml"/><Relationship Id="rId1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Pages>
  <Words>7562</Words>
  <Characters>30465</Characters>
  <CharactersWithSpaces>37773</CharactersWithSpaces>
  <Paragraphs>315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2026-08-18T21:45:23Z</dcterms:created>
  <dc:creator>ghaemiyeh.com</dc:creator>
  <dc:description/>
  <dc:language>en-US</dc:language>
  <cp:lastModifiedBy/>
  <dcterms:modified xsi:type="dcterms:W3CDTF">2026-08-19T01:15:26Z</dcterms:modified>
  <cp:revision>1</cp:revision>
  <dc:subject/>
  <dc:title>رهنما 67 دوراهی های من</dc:title>
</cp:coreProperties>
</file>

<file path=docProps/custom.xml><?xml version="1.0" encoding="utf-8"?>
<Properties xmlns="http://schemas.openxmlformats.org/officeDocument/2006/custom-properties" xmlns:vt="http://schemas.openxmlformats.org/officeDocument/2006/docPropsVTypes"/>
</file>