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61</w:t>
      </w:r>
      <w:r>
        <w:rPr>
          <w:rtl w:val="true"/>
        </w:rPr>
        <w:t xml:space="preserve"> </w:t>
      </w:r>
      <w:r>
        <w:rPr>
          <w:rtl w:val="true"/>
        </w:rPr>
        <w:t>پاکت در بسته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393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33933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33935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233937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233939_2035185390">
            <w:r>
              <w:rPr>
                <w:webHidden/>
                <w:rStyle w:val="IndexLink"/>
                <w:rtl w:val="true"/>
              </w:rPr>
              <w:t>نشانۀ علم غیب</w:t>
            </w:r>
            <w:r>
              <w:rPr>
                <w:rStyle w:val="IndexLink"/>
                <w:rtl w:val="true"/>
              </w:rPr>
              <w:tab/>
            </w:r>
            <w:r>
              <w:rPr>
                <w:rStyle w:val="IndexLink"/>
              </w:rPr>
              <w:t>12</w:t>
            </w:r>
          </w:hyperlink>
        </w:p>
        <w:p>
          <w:pPr>
            <w:pStyle w:val="Contents2"/>
            <w:tabs>
              <w:tab w:val="clear" w:pos="8743"/>
              <w:tab w:val="right" w:pos="9026" w:leader="dot"/>
            </w:tabs>
            <w:rPr/>
          </w:pPr>
          <w:hyperlink w:anchor="__RefHeading___Toc3233941_2035185390">
            <w:r>
              <w:rPr>
                <w:webHidden/>
                <w:rStyle w:val="IndexLink"/>
                <w:rtl w:val="true"/>
              </w:rPr>
              <w:t>اما ماجرای دیگر</w:t>
            </w:r>
            <w:r>
              <w:rPr>
                <w:rStyle w:val="IndexLink"/>
                <w:rtl w:val="true"/>
              </w:rPr>
              <w:t>...</w:t>
              <w:tab/>
            </w:r>
            <w:r>
              <w:rPr>
                <w:rStyle w:val="IndexLink"/>
              </w:rPr>
              <w:t>13</w:t>
            </w:r>
          </w:hyperlink>
        </w:p>
        <w:p>
          <w:pPr>
            <w:pStyle w:val="Contents2"/>
            <w:tabs>
              <w:tab w:val="clear" w:pos="8743"/>
              <w:tab w:val="right" w:pos="9026" w:leader="dot"/>
            </w:tabs>
            <w:rPr/>
          </w:pPr>
          <w:hyperlink w:anchor="__RefHeading___Toc3233943_2035185390">
            <w:r>
              <w:rPr>
                <w:webHidden/>
                <w:rStyle w:val="IndexLink"/>
                <w:rtl w:val="true"/>
              </w:rPr>
              <w:t>بنیان علم غیب</w:t>
            </w:r>
            <w:r>
              <w:rPr>
                <w:rStyle w:val="IndexLink"/>
                <w:rtl w:val="true"/>
              </w:rPr>
              <w:tab/>
            </w:r>
            <w:r>
              <w:rPr>
                <w:rStyle w:val="IndexLink"/>
              </w:rPr>
              <w:t>18</w:t>
            </w:r>
          </w:hyperlink>
        </w:p>
        <w:p>
          <w:pPr>
            <w:pStyle w:val="Contents2"/>
            <w:tabs>
              <w:tab w:val="clear" w:pos="8743"/>
              <w:tab w:val="right" w:pos="9026" w:leader="dot"/>
            </w:tabs>
            <w:rPr/>
          </w:pPr>
          <w:hyperlink w:anchor="__RefHeading___Toc3233945_2035185390">
            <w:r>
              <w:rPr>
                <w:webHidden/>
                <w:rStyle w:val="IndexLink"/>
                <w:rtl w:val="true"/>
              </w:rPr>
              <w:t>خاستگاه علم غیب</w:t>
            </w:r>
            <w:r>
              <w:rPr>
                <w:rStyle w:val="IndexLink"/>
                <w:rtl w:val="true"/>
              </w:rPr>
              <w:tab/>
            </w:r>
            <w:r>
              <w:rPr>
                <w:rStyle w:val="IndexLink"/>
              </w:rPr>
              <w:t>24</w:t>
            </w:r>
          </w:hyperlink>
        </w:p>
        <w:p>
          <w:pPr>
            <w:pStyle w:val="Contents2"/>
            <w:tabs>
              <w:tab w:val="clear" w:pos="8743"/>
              <w:tab w:val="right" w:pos="9026" w:leader="dot"/>
            </w:tabs>
            <w:rPr/>
          </w:pPr>
          <w:hyperlink w:anchor="__RefHeading___Toc3233947_2035185390">
            <w:r>
              <w:rPr>
                <w:webHidden/>
                <w:rStyle w:val="IndexLink"/>
                <w:rtl w:val="true"/>
              </w:rPr>
              <w:t>مرز علم غیب</w:t>
            </w:r>
            <w:r>
              <w:rPr>
                <w:rStyle w:val="IndexLink"/>
                <w:rtl w:val="true"/>
              </w:rPr>
              <w:tab/>
            </w:r>
            <w:r>
              <w:rPr>
                <w:rStyle w:val="IndexLink"/>
              </w:rPr>
              <w:t>27</w:t>
            </w:r>
          </w:hyperlink>
        </w:p>
        <w:p>
          <w:pPr>
            <w:pStyle w:val="Contents2"/>
            <w:tabs>
              <w:tab w:val="clear" w:pos="8743"/>
              <w:tab w:val="right" w:pos="9026" w:leader="dot"/>
            </w:tabs>
            <w:rPr/>
          </w:pPr>
          <w:hyperlink w:anchor="__RefHeading___Toc3233949_2035185390">
            <w:r>
              <w:rPr>
                <w:webHidden/>
                <w:rStyle w:val="IndexLink"/>
                <w:rtl w:val="true"/>
              </w:rPr>
              <w:t>برای مطالعه بیشتر</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6_57898"/>
      <w:bookmarkStart w:id="1" w:name="pg4896_57898"/>
      <w:bookmarkEnd w:id="1"/>
    </w:p>
    <w:p>
      <w:pPr>
        <w:pStyle w:val="Heading2"/>
        <w:numPr>
          <w:ilvl w:val="1"/>
          <w:numId w:val="1"/>
        </w:numPr>
        <w:rPr/>
      </w:pPr>
      <w:bookmarkStart w:id="2" w:name="pg4896_57898"/>
      <w:bookmarkStart w:id="3" w:name="__RefHeading___Toc323393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دربسته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محمدباقر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۲۸۲۸۳۹۳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3933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96_57902"/>
    </w:p>
    <w:p>
      <w:pPr>
        <w:pStyle w:val="Heading2"/>
        <w:numPr>
          <w:ilvl w:val="1"/>
          <w:numId w:val="1"/>
        </w:numPr>
        <w:rPr/>
      </w:pPr>
      <w:bookmarkStart w:id="8" w:name="__RefHeading___Toc3233935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 xml:space="preserve">پاکت در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علم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دغدغۀ این نوشتار پاسخ‌گویی به پرسش‌های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اگر فقط خدا عالم غیب است، چرا به علم غیبی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گستره و مرز علم پیامبر 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ابزار آگاهی و خاستگاه دانش ایشان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باوجود داشتن علم به گذشته و حال و آینده، درافتادن ائمه به مصائب جانکاهی مانند نوشیدن زهر و شهادت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توجیهی برمی‌تابد؟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96_57904"/>
    </w:p>
    <w:p>
      <w:pPr>
        <w:pStyle w:val="Heading2"/>
        <w:numPr>
          <w:ilvl w:val="1"/>
          <w:numId w:val="1"/>
        </w:numPr>
        <w:rPr/>
      </w:pPr>
      <w:bookmarkStart w:id="11" w:name="__RefHeading___Toc3233937_2035185390"/>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امامت، در بیان،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امور دینی و دینوی، پاسداری دین و رهبری امت است؛ از‌این‌رو، می‌توان امامت را تداوم نبوت در دوران خاتمیت نامید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فرهنگ شیعه، امامت و رهبری انسان‌ها چه در بُعد معنوی و الهی و چه در بُعد اجتماعی، عالی‌ترین درجه و مقامی است که خداوند  به انسانی واگذار می‌کند و مدالی که به این نام بر سینۀ کسی می‌چسباند، عالی‌ترین مدال‌هاست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فردی که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او می‌نشیند و زمام هدایت مردم را به‌سمت سعادت به‌دست می‌گیرد، باید ویژگی‌ها و شروط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دارابودن مقام عصمت و عهده‌داریِ منصب امامت ازسوی خدا باید داناتر و عالم‌تر از همه</w:t>
      </w:r>
    </w:p>
    <w:p>
      <w:pPr>
        <w:pStyle w:val="BookText"/>
        <w:rPr/>
      </w:pPr>
      <w:r>
        <w:rPr>
          <w:rFonts w:ascii="IRNazanin" w:hAnsi="IRNazanin" w:eastAsia="IRNazanin"/>
          <w:color w:val="111111"/>
          <w:sz w:val="28"/>
          <w:sz w:val="28"/>
          <w:szCs w:val="28"/>
          <w:rtl w:val="true"/>
          <w:lang w:bidi="fa-IR"/>
        </w:rPr>
        <w:t>باشد؛ یعنی برخودار از علم الهی و آگاه به تمام معارف و احکام شریعت</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جایگاهی که ازسوی خداوند  عهده‌دار آن‌اند، داناترین و عالم‌ترین افراد به حقایق دینی‌اند؛ ازاین‌رو، علم آنان، ویژگی اساسی و منحصربه‌فردی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وجود برخی پرسش‌ها درباب بی‌کرانگیِ علم امام و برخورداری ایشان از علم غیب و شناخت مرزها و همچنین علل استفاده یا عدم‌استفاده از آن، نکاتی به اختصار بیان می‌کنیم</w:t>
      </w:r>
      <w:r>
        <w:rPr>
          <w:rFonts w:eastAsia="IRNazanin" w:cs="IRNazanin"/>
          <w:color w:val="111111"/>
          <w:sz w:val="28"/>
          <w:szCs w:val="28"/>
          <w:rtl w:val="true"/>
          <w:lang w:bidi="fa-IR"/>
        </w:rPr>
        <w:t>.</w:t>
      </w:r>
      <w:bookmarkStart w:id="13" w:name="pg4896_57906"/>
    </w:p>
    <w:p>
      <w:pPr>
        <w:pStyle w:val="Heading2"/>
        <w:numPr>
          <w:ilvl w:val="1"/>
          <w:numId w:val="1"/>
        </w:numPr>
        <w:rPr/>
      </w:pPr>
      <w:bookmarkStart w:id="14" w:name="__RefHeading___Toc3233939_2035185390"/>
      <w:bookmarkStart w:id="15" w:name="_Toc5"/>
      <w:bookmarkEnd w:id="13"/>
      <w:bookmarkEnd w:id="14"/>
      <w:r>
        <w:rPr>
          <w:rtl w:val="true"/>
        </w:rPr>
        <w:t>نشانۀ علم غیب</w:t>
      </w:r>
      <w:bookmarkEnd w:id="15"/>
    </w:p>
    <w:p>
      <w:pPr>
        <w:pStyle w:val="BookText"/>
        <w:rPr/>
      </w:pPr>
      <w:r>
        <w:rPr>
          <w:rFonts w:ascii="IRNazanin" w:hAnsi="IRNazanin" w:eastAsia="IRNazanin"/>
          <w:color w:val="111111"/>
          <w:sz w:val="28"/>
          <w:sz w:val="28"/>
          <w:szCs w:val="28"/>
          <w:rtl w:val="true"/>
          <w:lang w:bidi="fa-IR"/>
        </w:rPr>
        <w:t>با چند نفر از یاران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نزد امام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خواستیم بازگردیم، امام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رفتند و من خدمت امام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داشتم؛ به‌عرض رساندم و 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 یا نزد ما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 بمان، می‌مانم و اگر بفرمایید برو،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 این هم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برخاستند و به اطاق خود رفتند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احمد‌بن‌محمد‌بن‌ابی‌نصر بزنطی که از دعوت ویژۀ امام در پوست خود نمی‌گنجید، خرسند از این لطف ویژه، سر به سجده گذاشت؛ او ادامۀ ماجرا را این‌گونه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شوق به سجده افتادم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حجت خدا و وارث علوم پیامبران، در میان ما چند نفر که خدمتش شرفیاب شدیم، تا این‌حد به من محبت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bookmarkStart w:id="16" w:name="pg4896_57907"/>
    </w:p>
    <w:p>
      <w:pPr>
        <w:pStyle w:val="BookText"/>
        <w:rPr/>
      </w:pPr>
      <w:bookmarkEnd w:id="16"/>
      <w:r>
        <w:rPr>
          <w:rFonts w:ascii="IRNazanin" w:hAnsi="IRNazanin" w:eastAsia="IRNazanin"/>
          <w:color w:val="111111"/>
          <w:sz w:val="28"/>
          <w:sz w:val="28"/>
          <w:szCs w:val="28"/>
          <w:rtl w:val="true"/>
          <w:lang w:bidi="fa-IR"/>
        </w:rPr>
        <w:t>در سجده بودم که متوجه شدم امام به اطاق من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گرفتند و فشردند و فرمودند که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صعصعة بن‌صوحان رفت و چون خواست برخیزد، به صعصعه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به عیادت تو آمده‌ام، به برادران خود افتخار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من باعث نشود که خود را از آنان برتر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پرهیزکار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تواضع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رفعت میبخشد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نیمه رسیده بود و احمد‌بن‌محمد تنها بود و در فکرِ بی‌کرانگیِ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چشم برهم نهاد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233941_2035185390"/>
      <w:bookmarkStart w:id="18" w:name="_Toc6"/>
      <w:bookmarkEnd w:id="17"/>
      <w:r>
        <w:rPr>
          <w:rtl w:val="true"/>
        </w:rPr>
        <w:t>اما ماجرای دیگر</w:t>
      </w:r>
      <w:r>
        <w:rPr>
          <w:rtl w:val="true"/>
        </w:rPr>
        <w:t>...</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ابی‌حبیب بناجی اهل مروْ بود و شیفتۀ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والاگوهرِ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 که بی‌درنگ در بیداری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به‌فاصلۀ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خوابش نشان از بی‌کرانگیِ علم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از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در بناج، در مسجدی فرود آمد که هر سال، حجاج در آن مسجد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نزد او رفتم و سلام کردم و پیشِ روی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طبقی یافتم که از برگ خرمای مدینه بافته شده بود و در آن طبق، خرمای صیحانی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خرما مشتی برداشتند و به من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خواب را چنین تعبیر کردم که به‌عدد هر خرما، یک سال زندگانی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بیست روز گذشت، در زمینی که زارعان، آن‌را برای کشت آماده می‌کردند، ایستاده بودم که کسی نزد من آمد و مرا خبر داد به آمدنِ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و نزول آن بزرگوار 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نزد او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به‌خدمت آن حضرت</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آن‌جناب در موضعی نشسته‌اند که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مبارکش، تخته حصیری گسترده بود؛ مثل آن حصیری که زیرِ پای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طبقی قرار داشت که از برگ خرما بافته شده و حاوی خرمای صیحانی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جناب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مرا نزد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آن خرما به من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 را شماره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به‌قدر عدد خرمایی بود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من عطا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یابن‌رسول‌اللّه، بیشتر از این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زیاده از این به تو عطا فرمود، ما هم زیاده از این به تو عطا می‌کردیم</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نمونه، نشانی از علم غیب علی‌بن‌موسی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دانشی الهی که شرط امامت است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بدان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8" o:detectmouseclick="t"/>
                <v:stroke color="#3465a4" joinstyle="round" endcap="flat"/>
                <w10:wrap type="none"/>
              </v:shape>
            </w:pict>
          </mc:Fallback>
        </mc:AlternateContent>
      </w:r>
      <w:bookmarkStart w:id="19" w:name="pg4896_57912"/>
    </w:p>
    <w:p>
      <w:pPr>
        <w:pStyle w:val="Heading2"/>
        <w:numPr>
          <w:ilvl w:val="1"/>
          <w:numId w:val="1"/>
        </w:numPr>
        <w:rPr/>
      </w:pPr>
      <w:bookmarkStart w:id="20" w:name="__RefHeading___Toc3233943_2035185390"/>
      <w:bookmarkStart w:id="21" w:name="_Toc7"/>
      <w:bookmarkEnd w:id="19"/>
      <w:bookmarkEnd w:id="20"/>
      <w:r>
        <w:rPr>
          <w:rtl w:val="true"/>
        </w:rPr>
        <w:t>بنیان علم غیب</w:t>
      </w:r>
      <w:bookmarkEnd w:id="21"/>
    </w:p>
    <w:p>
      <w:pPr>
        <w:pStyle w:val="BookText"/>
        <w:rPr/>
      </w:pPr>
      <w:r>
        <w:rPr>
          <w:rFonts w:ascii="IRNazanin" w:hAnsi="IRNazanin" w:eastAsia="IRNazanin"/>
          <w:color w:val="111111"/>
          <w:sz w:val="28"/>
          <w:sz w:val="28"/>
          <w:szCs w:val="28"/>
          <w:rtl w:val="true"/>
          <w:lang w:bidi="fa-IR"/>
        </w:rPr>
        <w:t>به‌راستی، علم بی‌کرانه و غیبی امام از کجا ریشه می‌گیرد و به کدام سرچشمه متصل است؟ مگر خدا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هرکه در آسمان‌ها و زمین است، جز خدا، غیب را نمی شناسد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در آیه‌ای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کلام الهی، با دانش امام چه تناسبی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این نکته توجه کرد که در کنار آیات یادشده، آیات دیگری هست که پرده از علم غیبِ برخی از اولیای برگزیدۀ خدا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غیب اوست و هیچ‌کس را بر اسرار غیبش آگاه نمی سازد؛ مگر رسولانی که آنان را شایسته و پسندیده بداند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آیاتِ بخش نخست، از علم غیبِ ذاتی خدا خبر می‌دهد و آیات بخش دوم، از علم غیب افاضی و وحیانی؛ یعنی غیرخدا تنها به تعلیم و اذن الهی می‌توانند به علم غیب دست یابند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با اخبار غیبی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تاب نیاورد و با گستاخی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شعلۀ شبهۀ او را فرو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 پس، رسول خدا از کسانی است که علم غیب را می‌داند و ما هم ورثۀ آن رسول می‌باشیم و اخبار آینده را تا روز قیامت می‌دانیم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دربارۀ گستره و ریشۀ علم غیب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چند نکته، شناخت ما را از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می‌بخشد و به معرفت ما می‌افزاید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ارادۀ امام تابع علم و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آنان، به تعلیم الهی، از علوم غیبی آگاه بودند و این علم نیز همچون سایر کمالات، از طرف خداوند  به آنان اعطا شده است، الهی است؛ بنابراین، می‌توان گفت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اهل بیت معصوم را به دانش خدا متصل می‌دانست</w:t>
      </w:r>
      <w:r>
        <w:rPr>
          <w:rStyle w:val="FootnoteAnchor"/>
          <w:rtl w:val="true"/>
        </w:rPr>
        <w:footnoteReference w:id="12"/>
      </w:r>
      <w:r>
        <w:rPr>
          <w:rFonts w:ascii="IRNazanin" w:hAnsi="IRNazanin" w:eastAsia="IRNazanin"/>
          <w:color w:val="111111"/>
          <w:sz w:val="28"/>
          <w:sz w:val="28"/>
          <w:szCs w:val="28"/>
          <w:rtl w:val="true"/>
          <w:lang w:bidi="fa-IR"/>
        </w:rPr>
        <w:t>ودر پایان نبرد جَمل، از برخی حوادث آینده خبر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علمی است که از دارندۀ علم آموخته‌ام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آینۀ تمام‌نمای عالم هستی است؛ یعنی علم گذشته و حال و آینده را شامل می‌شود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ازاین‌رو، همگان اذعان داشتند هر پرسشی که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پاسخ آن‌را می‌دانست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دشمن نیز اعتراف به علم بی‌کران ایشان داشت و مأمون،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معدن علم توصیف می‌کرد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علم پیامبران اولو‌العزم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 علم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هم علم پیامبران را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همچنین، خداوند  علم امامان را همچون علم پیامبر اکرم،</w:t>
      </w:r>
    </w:p>
    <w:p>
      <w:pPr>
        <w:pStyle w:val="BookText"/>
        <w:rPr/>
      </w:pPr>
      <w:r>
        <w:rPr>
          <w:rFonts w:ascii="IRNazanin" w:hAnsi="IRNazanin" w:eastAsia="IRNazanin"/>
          <w:color w:val="111111"/>
          <w:sz w:val="28"/>
          <w:sz w:val="28"/>
          <w:szCs w:val="28"/>
          <w:rtl w:val="true"/>
          <w:lang w:bidi="fa-IR"/>
        </w:rPr>
        <w:t>از علم پیامبران الهی بیشتر قرار داده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حضرت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قسم، آنچه انبیا و رُسل می‌دانند،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نُزَادُ مَا لَمْ تُزَدِ الأَنْبِیاءُ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از آنچه انبیا داشتند، داریم</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علم را به‌سوی امامان گشوده است و آنان با اشاراتِ عالم غیب و سروش فرشتگان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احکام الهی و شریعت، از آنان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گسترۀ علوم غیبی امامان یاد می‌شود، می‌توان به علم‌الکتاب، شرایع آسمانی، گذشته و آینده، اسرار درونی و آشنایی با زبان همۀ مخلوقات،</w:t>
      </w:r>
    </w:p>
    <w:p>
      <w:pPr>
        <w:pStyle w:val="BookText"/>
        <w:rPr/>
      </w:pPr>
      <w:r>
        <w:rPr>
          <w:rFonts w:ascii="IRNazanin" w:hAnsi="IRNazanin" w:eastAsia="IRNazanin"/>
          <w:color w:val="111111"/>
          <w:sz w:val="28"/>
          <w:sz w:val="28"/>
          <w:szCs w:val="28"/>
          <w:rtl w:val="true"/>
          <w:lang w:bidi="fa-IR"/>
        </w:rPr>
        <w:t>حتی حیوانات، اشاره کرد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عالمان اهل سنت نیز بر علم غیب امام اعتراف کرده اند؛ به جز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اعتراف ابن عربی اشاره کرد؛ او علم لدنی و اسرار سر الهی را برای امثال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عربی، الفتوحات،ج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bookmarkStart w:id="22" w:name="pg4896_57918"/>
    </w:p>
    <w:p>
      <w:pPr>
        <w:pStyle w:val="Heading2"/>
        <w:numPr>
          <w:ilvl w:val="1"/>
          <w:numId w:val="1"/>
        </w:numPr>
        <w:rPr/>
      </w:pPr>
      <w:bookmarkStart w:id="23" w:name="__RefHeading___Toc3233945_2035185390"/>
      <w:bookmarkStart w:id="24" w:name="_Toc8"/>
      <w:bookmarkEnd w:id="22"/>
      <w:bookmarkEnd w:id="23"/>
      <w:r>
        <w:rPr>
          <w:rtl w:val="true"/>
        </w:rPr>
        <w:t>خاستگاه علم غیب</w:t>
      </w:r>
      <w:bookmarkEnd w:id="24"/>
    </w:p>
    <w:p>
      <w:pPr>
        <w:pStyle w:val="BookText"/>
        <w:rPr/>
      </w:pPr>
      <w:r>
        <w:rPr>
          <w:rFonts w:ascii="IRNazanin" w:hAnsi="IRNazanin" w:eastAsia="IRNazanin"/>
          <w:color w:val="111111"/>
          <w:sz w:val="28"/>
          <w:sz w:val="28"/>
          <w:szCs w:val="28"/>
          <w:rtl w:val="true"/>
          <w:lang w:bidi="fa-IR"/>
        </w:rPr>
        <w:t>منابع علم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آنان علوم و آگاهی‌های فراوان و نیز خطاناپذیری می‌بخشد تا بتوانند مأموریت الهی خود را به‌خوبی انجام دهند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دربارۀ خاستگاه علوم غیبی امامان، این امور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وحی بسته شد، اما راه الهام برای پیشوایان معصوم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محدث‌اند و صدای فرشته را می‌شنوند</w:t>
      </w:r>
      <w:r>
        <w:rPr>
          <w:rStyle w:val="FootnoteAnchor"/>
          <w:rtl w:val="true"/>
        </w:rPr>
        <w:footnoteReference w:id="22"/>
      </w:r>
      <w:r>
        <w:rPr>
          <w:rFonts w:ascii="IRNazanin" w:hAnsi="IRNazanin" w:eastAsia="IRNazanin"/>
          <w:color w:val="111111"/>
          <w:sz w:val="28"/>
          <w:sz w:val="28"/>
          <w:szCs w:val="28"/>
          <w:rtl w:val="true"/>
          <w:lang w:bidi="fa-IR"/>
        </w:rPr>
        <w:t>و همچنین با روح الهی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روح الهی را دریابد، از رویدادهای گذشته و آینده و آنچه در دل مردمان زمین و آسمان است،آگاه می‌شود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به‌فرمودۀ امام‌صادق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هروقت اراده کند چیزی را بداند، خدا او را مطلع می‌کند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فرمایشی از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حال و حاضر ائمه از سنخ الهام و بهترین علم ائمه دانسته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از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تمامی معارف اسلام را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و پس از او نیز این علوم نسل‌به‌نسل به امام بعدی منتقل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معجزۀ الهی دارای ظاهر و باطنی است و درک و تفسیر و تأویل آن، تمییز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ظاهر از باطن و نیز محکم از متشابه، تنها از امام معصوم ساخته است؛ به‌فرمودۀ امیر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قرآن دانش آینده است و حدیث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شما را درمان است و راه سامان‌دادن کارتان در آن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نکته بسیار مهم است که منابع آسمانی و غیبیِ دیگری به‌عنوان خاستگاه علوم امامان مطرح است که گواه تنوع و 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گستردگیِ منابع فرابشری است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دربارۀ اهل‌بیت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چیزی یاد ندهید؛ چراکه آنان از شما عالم‌ترند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bookmarkStart w:id="25" w:name="pg4896_57921"/>
    </w:p>
    <w:p>
      <w:pPr>
        <w:pStyle w:val="Heading2"/>
        <w:numPr>
          <w:ilvl w:val="1"/>
          <w:numId w:val="1"/>
        </w:numPr>
        <w:rPr/>
      </w:pPr>
      <w:bookmarkStart w:id="26" w:name="__RefHeading___Toc3233947_2035185390"/>
      <w:bookmarkStart w:id="27" w:name="_Toc9"/>
      <w:bookmarkEnd w:id="25"/>
      <w:bookmarkEnd w:id="26"/>
      <w:r>
        <w:rPr>
          <w:rtl w:val="true"/>
        </w:rPr>
        <w:t>مرز علم غیب</w:t>
      </w:r>
      <w:bookmarkEnd w:id="27"/>
    </w:p>
    <w:p>
      <w:pPr>
        <w:pStyle w:val="BookText"/>
        <w:rPr/>
      </w:pPr>
      <w:r>
        <w:rPr>
          <w:rFonts w:ascii="IRNazanin" w:hAnsi="IRNazanin" w:eastAsia="IRNazanin"/>
          <w:color w:val="111111"/>
          <w:sz w:val="28"/>
          <w:sz w:val="28"/>
          <w:szCs w:val="28"/>
          <w:rtl w:val="true"/>
          <w:lang w:bidi="fa-IR"/>
        </w:rPr>
        <w:t>باوجود علم غیب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آنان انگور یا خرما یا دیگر اشیای مسموم را تناول می‌کردند و به شهادت می‌رسیدند؟ دربارۀ شناخت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خود، خوردن سم توسط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کشته‌شدن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می‌دانستند انگوری که جلویشان گذاشته‌اند مسموم است، چه پاسخی وجود دارد؟</w:t>
      </w:r>
    </w:p>
    <w:p>
      <w:pPr>
        <w:pStyle w:val="BookText"/>
        <w:rPr/>
      </w:pPr>
      <w:r>
        <w:rPr>
          <w:rFonts w:ascii="IRNazanin" w:hAnsi="IRNazanin" w:eastAsia="IRNazanin"/>
          <w:color w:val="111111"/>
          <w:sz w:val="28"/>
          <w:sz w:val="28"/>
          <w:szCs w:val="28"/>
          <w:rtl w:val="true"/>
          <w:lang w:bidi="fa-IR"/>
        </w:rPr>
        <w:t>در پاسخ، دقت به نکات زیر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پیامبران 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از راه عادی برای آنان فراهم می‌آید که در این‌گونه دانش‌ها، با دیگر مردم تفاوت چندانی ندارند؛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برای آنان از راه‌های ماوراءطبیعی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که به آن، علم لدنی یا علم غیب می‌گویند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عادی و فردی و امور اجتماعی، موظف به استفاده از علم عادی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در این‌گونه مسائل، از شیوه‌های معمولی، تحقیق و کسب آگاهی کرده و براساس آن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مسئله نیز آن است که آنان، الگوی بشریت‌اند و اگر در مسیر زندگی و حرکت‌های اجتماعی، راهی غیر از این بپویند، دیگر جنبۀ اسوه‌بودن خود را از دست خواهند داد و دوستداران و پیروان به‌بهانۀ آنکه آنان با علم لدنی عمل می‌کرده‌اند، از حرکت‌های سازنده و انقلابی و اِصلاحی باز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دائمی براساس علم غیب، موجب اختلال در امور است؛ زیرا ارادۀ غالب خدا  به جریان امور، براساس علم عادی بشری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بیماری خود و اطرافیانشان از علم غیب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ممنوعیت روی‌آوری به نجوم یا تسخیر جن برای کشف غیرعادی حوادث آینده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نیز همین اختلال در امور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براساس علم غیب، در برخی مواقع با حکمت نصب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در این صورت، جنبۀ اسوه و الگوبودنِ خود را از دست خواهند داد و سایر افراد بشر از وظایف فردی و اجتماعی خود به این بهانه، یعنی ناآگاهی از علم غیب، شانه خالی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برطبق علومی بوده که از مسیرهای عادی برای آنان پیدا می‌شده است؛ مثلاً 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خوب می‌شناختند و می‌دانستند که آنان ایمان واقعی ندارند؛ ولی با آنان هرگز به شیوه‌ای مشابه با نحوۀ رفتار با کفار برخورد نمی‌کردند و ازنظر معاشرت و ازدواج و دیگر احکام، با آنان به‌مانند سایر مسلمانان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در مسند قضاوت و حل‌وفصل مشکلات مردم می‌نشستند،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مطابق قوانین قضایی اسلام حکم کرده و از علوم غیرعادی خود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میوه یا غذایی را تناول می‌کردند که پیش روی آنان بود و مانعی از خوردن آن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گاهی به امر واقعی تعلق می‌گیرد که حتمی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چیزهایی که 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ازطریق غیبی می‌دانند، همان چیزی است که حتماً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آگاهی، چیزی نیست که با آن بتوان تغییری ایجاد کرد و سرنوشت چیزی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ما وظیفه نداشتند در تمامی امور طبق علومی عمل کنند که از راه‌های غیرعادی برای آنان حاصل می‌شد؛ به عبارتی چنین علم لدنی موضع امام را در برابر تکالیف خود که حتمی الوقوع است تغییر نمی دهد؛ اساسا قضای حتمی خداوند مثل شهادت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 از آن جهت که حتمی الوقوع است متعلق اراده و قصد انسانی قرار نمی گیرد </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وظیفۀ آنان این بود که نخست، نظام تکوینی این عالم را مراعات کنند و سپس، چون سایر مردم با این پیش‌آمدها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 دیگر، بدیهی است که سرانجام هر انسانی مرگ است و هیچ آفریده‌ای در این جهان عمر ابدی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خوردن میوۀ زهرآلود توسط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اجبار بوده است و امام از شیوۀ شهادت خود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اباصلت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ملاقات با مأمون، هنگام برگشتن، عبا را روی سرم دیدید، بدانید که مأمون کار خودش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آگاهی، گزینۀ دیگری فراروی خود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اموری که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به خواست خداوند متعال  بستگی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لایسبقونه بالقول و هم بامره یعلمون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برای 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نیست؛ بلکه شأنی است و هرگاه اراده کنند و بخواهند چیزی را بدانند، خداوند  آنان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به‌فرمودۀ حضرت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وقتی بخواهد چیزی را بداند، خداوند او را آگاه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امام اگر بخواهد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برای او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 علم غیب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پاکتی دربسته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کرد که برای آگاهی از محتوا می‌تواند آن‌را بگشاید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bookmarkStart w:id="28" w:name="pg4896_57928"/>
    </w:p>
    <w:p>
      <w:pPr>
        <w:pStyle w:val="Heading2"/>
        <w:numPr>
          <w:ilvl w:val="1"/>
          <w:numId w:val="1"/>
        </w:numPr>
        <w:rPr/>
      </w:pPr>
      <w:bookmarkStart w:id="29" w:name="__RefHeading___Toc3233949_2035185390"/>
      <w:bookmarkStart w:id="30" w:name="_Toc10"/>
      <w:bookmarkEnd w:id="28"/>
      <w:bookmarkEnd w:id="29"/>
      <w:r>
        <w:rPr>
          <w:rtl w:val="true"/>
        </w:rPr>
        <w:t>برای مطالعه بیشتر</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دین،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مکارم شیرازی، ج</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محمد حسن قدردان قراملکی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مجموعۀ آثار،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امامت در بینش اسلامی،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محمد‌بن‌عمر کَشّی، رجال کشی،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إعلام الوری،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راوندی، الخرایج و الجرایح،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شیخ 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علی‌بن‌عیسی اربلی، کشف الغمه،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ابن‌حجر، الصواعق المحرقه،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شبلنجی،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یعْلَمُ مَنْ فِی السَّماواتِ وَ الْأَرْضِ الْغَیبَ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 مَفاتِحُ الْغَیبِ لا یعْلَمُها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اینکه علم غیب را از خود نفی می‌کنند، این است که علم غیب را جز ازطریق وحی و الهام نمی‌دانند؛ اما ازطریق وحی و الهام نمی‌توان نفی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عمدۀ معجزات پیامبران و اوصیا اطلاع و اخبار از مسائل غیبی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خود نیز آنان را در این آیه استثنا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 انا اهل البیت من علم الله علمنا و بحکم الله حکمنا و من قول صادق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قبیلۀ بنی‌کلب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اُعطِیتَ یا امیرالمومنین علم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هو علم الغیب و انما هو تعلم من ذی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باب انّ الائمه علم ما کان و ما یکون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تحف العقول، ص</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خَلَقَ أُولِی الْعَزْمِ مِنَ الرُّسُلِ وَ فَضَّلَهُمْ بِالْعِلْمِ وَ أَوْرَثَنَا عِلْمَهُمْ وَ فَضَّلَنَا عَلَیهِمْ فِی عِلْمِهِمْ وَ 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یعْلَمُوا وَ عَلَّمَنَا عِلْمَ الرَّسُولِ وَعِلْمَهُمْ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تأکید بر عالم‌تربودن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انبیای الهی، به عبداللَّه‌بن‌ولید دلیل آن‌را چنین بیان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نمی‌گویند علی دارای علم پیامبر است؛ پس با آنان در این زمینه این‌گونه استدلال کن که خداوند  دربارۀ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کَتَبْنا لَهُ فِی الأَلْواحِ مِنْ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تمام مسائل را به او نیاموخته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دربارۀ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جِینا بِکَ عَلی هولاءِ شَهِیداً وَنَزَّلْنا عَلَیکَ الْکِتابَ تِبْیاناً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محمد‌بن‌حسن‌بن‌فروخ صفار، بصائر الدرجات،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امام‌علی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مقالۀ حسن یوسفیان،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پیام قرآن، ج</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اختصاص،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امامان از فرشتگان البته به‌معنای همسانی با پیامبران در دریافت وحی تشریعی نیست؛ بلکه ارتباطی است همچون خضر و مریم که مطابق ظاهر آیات الهی، با فرشتگان ارتباط داشتند و حقایقی از عالم غیب دریافت می‌کردند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أَرَادَ أَنْ یعْلَمَ الشَّی‌ءَ أَعْلَمَهُ اللَّهُ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حارث‌بن‌مغیرۀ نضری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اگر سؤالی از امام بشود و پاسخش را ندانند، از کجا 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قلبش القا می‌شود یا به‌گوشش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فِیهِ عِلْمَ مَا یأْتِی وَ الْحَدِیثَ عَنِ الْمَاضِی وَ دَوَاءَ دَایکُمْ وَ نَظْمَ مَا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لاتعلموهم فهم اعلم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معارف دین،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شاد، در محضر علامه طباطبایی،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image" Target="media/image8.jpeg"/><Relationship Id="rId39" Type="http://schemas.openxmlformats.org/officeDocument/2006/relationships/image" Target="media/image8.jpeg"/><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image" Target="media/image9.jpeg"/><Relationship Id="rId47" Type="http://schemas.openxmlformats.org/officeDocument/2006/relationships/image" Target="media/image9.jpeg"/><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32.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3097</Words>
  <Characters>12734</Characters>
  <CharactersWithSpaces>15667</CharactersWithSpaces>
  <Paragraphs>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2026-08-18T21:42:43Z</dcterms:created>
  <dc:creator>ghaemiyeh.com</dc:creator>
  <dc:description/>
  <dc:language>en-US</dc:language>
  <cp:lastModifiedBy/>
  <dcterms:modified xsi:type="dcterms:W3CDTF">2026-08-19T01:12:46Z</dcterms:modified>
  <cp:revision>1</cp:revision>
  <dc:subject/>
  <dc:title>رهنما 61 پاکت در بسته</dc:title>
</cp:coreProperties>
</file>

<file path=docProps/custom.xml><?xml version="1.0" encoding="utf-8"?>
<Properties xmlns="http://schemas.openxmlformats.org/officeDocument/2006/custom-properties" xmlns:vt="http://schemas.openxmlformats.org/officeDocument/2006/docPropsVTypes"/>
</file>