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51</w:t>
      </w:r>
      <w:r>
        <w:rPr>
          <w:rtl w:val="true"/>
        </w:rPr>
        <w:t xml:space="preserve"> </w:t>
      </w:r>
      <w:r>
        <w:rPr>
          <w:rtl w:val="true"/>
        </w:rPr>
        <w:t>رجعت چیستی و چرایی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2481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02483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02485_2035185390">
            <w:r>
              <w:rPr>
                <w:webHidden/>
                <w:rStyle w:val="IndexLink"/>
                <w:rtl w:val="true"/>
              </w:rPr>
              <w:t>رجعت چیستی و چرایی</w:t>
            </w:r>
            <w:r>
              <w:rPr>
                <w:rStyle w:val="IndexLink"/>
                <w:rtl w:val="true"/>
              </w:rPr>
              <w:tab/>
            </w:r>
            <w:r>
              <w:rPr>
                <w:rStyle w:val="IndexLink"/>
              </w:rPr>
              <w:t>8</w:t>
            </w:r>
          </w:hyperlink>
        </w:p>
        <w:p>
          <w:pPr>
            <w:pStyle w:val="Contents2"/>
            <w:tabs>
              <w:tab w:val="clear" w:pos="8743"/>
              <w:tab w:val="right" w:pos="9026" w:leader="dot"/>
            </w:tabs>
            <w:rPr/>
          </w:pPr>
          <w:hyperlink w:anchor="__RefHeading___Toc3102487_2035185390">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3102489_2035185390">
            <w:r>
              <w:rPr>
                <w:webHidden/>
                <w:rStyle w:val="IndexLink"/>
                <w:rtl w:val="true"/>
              </w:rPr>
              <w:t xml:space="preserve">معنای رجعت </w:t>
            </w:r>
            <w:r>
              <w:rPr>
                <w:rStyle w:val="IndexLink"/>
                <w:rtl w:val="true"/>
              </w:rPr>
              <w:t>(</w:t>
            </w:r>
            <w:r>
              <w:rPr>
                <w:rStyle w:val="IndexLink"/>
              </w:rPr>
              <w:t>1</w:t>
            </w:r>
            <w:r>
              <w:rPr>
                <w:rStyle w:val="IndexLink"/>
                <w:rtl w:val="true"/>
              </w:rPr>
              <w:t xml:space="preserve">. </w:t>
            </w:r>
            <w:r>
              <w:rPr>
                <w:rStyle w:val="IndexLink"/>
                <w:rtl w:val="true"/>
              </w:rPr>
              <w:t xml:space="preserve">منظور از رجعت چیست؟ </w:t>
            </w:r>
            <w:r>
              <w:rPr>
                <w:rStyle w:val="IndexLink"/>
                <w:rtl w:val="true"/>
              </w:rPr>
              <w:t>)</w:t>
              <w:tab/>
            </w:r>
            <w:r>
              <w:rPr>
                <w:rStyle w:val="IndexLink"/>
              </w:rPr>
              <w:t>10</w:t>
            </w:r>
          </w:hyperlink>
        </w:p>
        <w:p>
          <w:pPr>
            <w:pStyle w:val="Contents2"/>
            <w:tabs>
              <w:tab w:val="clear" w:pos="8743"/>
              <w:tab w:val="right" w:pos="9026" w:leader="dot"/>
            </w:tabs>
            <w:rPr/>
          </w:pPr>
          <w:hyperlink w:anchor="__RefHeading___Toc3102491_2035185390">
            <w:r>
              <w:rPr>
                <w:webHidden/>
                <w:rStyle w:val="IndexLink"/>
                <w:rtl w:val="true"/>
              </w:rPr>
              <w:t xml:space="preserve">چراییِ رجعت </w:t>
            </w:r>
            <w:r>
              <w:rPr>
                <w:rStyle w:val="IndexLink"/>
                <w:rtl w:val="true"/>
              </w:rPr>
              <w:t>(</w:t>
            </w:r>
            <w:r>
              <w:rPr>
                <w:rStyle w:val="IndexLink"/>
              </w:rPr>
              <w:t>۲</w:t>
            </w:r>
            <w:r>
              <w:rPr>
                <w:rStyle w:val="IndexLink"/>
                <w:rtl w:val="true"/>
              </w:rPr>
              <w:t xml:space="preserve">. </w:t>
            </w:r>
            <w:r>
              <w:rPr>
                <w:rStyle w:val="IndexLink"/>
                <w:rtl w:val="true"/>
              </w:rPr>
              <w:t xml:space="preserve">رجعت واجد چه هدف و فلسفه‌ای است؟ </w:t>
            </w:r>
            <w:r>
              <w:rPr>
                <w:rStyle w:val="IndexLink"/>
                <w:rtl w:val="true"/>
              </w:rPr>
              <w:t>)</w:t>
              <w:tab/>
            </w:r>
            <w:r>
              <w:rPr>
                <w:rStyle w:val="IndexLink"/>
              </w:rPr>
              <w:t>12</w:t>
            </w:r>
          </w:hyperlink>
        </w:p>
        <w:p>
          <w:pPr>
            <w:pStyle w:val="Contents3"/>
            <w:tabs>
              <w:tab w:val="clear" w:pos="8459"/>
              <w:tab w:val="right" w:pos="9026" w:leader="dot"/>
            </w:tabs>
            <w:rPr/>
          </w:pPr>
          <w:hyperlink w:anchor="__RefHeading___Toc3102493_2035185390">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3102495_2035185390">
            <w:r>
              <w:rPr>
                <w:webHidden/>
                <w:rStyle w:val="IndexLink"/>
              </w:rPr>
              <w:t>1-2</w:t>
            </w:r>
            <w:r>
              <w:rPr>
                <w:rStyle w:val="IndexLink"/>
                <w:rtl w:val="true"/>
              </w:rPr>
              <w:t xml:space="preserve"> </w:t>
            </w:r>
            <w:r>
              <w:rPr>
                <w:rStyle w:val="IndexLink"/>
                <w:rtl w:val="true"/>
              </w:rPr>
              <w:t>یاری و نصرت دین الهی</w:t>
            </w:r>
            <w:r>
              <w:rPr>
                <w:rStyle w:val="IndexLink"/>
                <w:rtl w:val="true"/>
              </w:rPr>
              <w:tab/>
            </w:r>
            <w:r>
              <w:rPr>
                <w:rStyle w:val="IndexLink"/>
              </w:rPr>
              <w:t>13</w:t>
            </w:r>
          </w:hyperlink>
        </w:p>
        <w:p>
          <w:pPr>
            <w:pStyle w:val="Contents3"/>
            <w:tabs>
              <w:tab w:val="clear" w:pos="8459"/>
              <w:tab w:val="right" w:pos="9026" w:leader="dot"/>
            </w:tabs>
            <w:rPr/>
          </w:pPr>
          <w:hyperlink w:anchor="__RefHeading___Toc3102497_2035185390">
            <w:r>
              <w:rPr>
                <w:webHidden/>
                <w:rStyle w:val="IndexLink"/>
              </w:rPr>
              <w:t>۲</w:t>
            </w:r>
            <w:r>
              <w:rPr>
                <w:rStyle w:val="IndexLink"/>
              </w:rPr>
              <w:t>-</w:t>
            </w:r>
            <w:r>
              <w:rPr>
                <w:rStyle w:val="IndexLink"/>
              </w:rPr>
              <w:t>۲</w:t>
            </w:r>
            <w:r>
              <w:rPr>
                <w:rStyle w:val="IndexLink"/>
                <w:rtl w:val="true"/>
              </w:rPr>
              <w:t xml:space="preserve"> تکامل مؤمنان</w:t>
            </w:r>
            <w:r>
              <w:rPr>
                <w:rStyle w:val="IndexLink"/>
                <w:rtl w:val="true"/>
              </w:rPr>
              <w:tab/>
            </w:r>
            <w:r>
              <w:rPr>
                <w:rStyle w:val="IndexLink"/>
              </w:rPr>
              <w:t>14</w:t>
            </w:r>
          </w:hyperlink>
        </w:p>
        <w:p>
          <w:pPr>
            <w:pStyle w:val="Contents3"/>
            <w:tabs>
              <w:tab w:val="clear" w:pos="8459"/>
              <w:tab w:val="right" w:pos="9026" w:leader="dot"/>
            </w:tabs>
            <w:rPr/>
          </w:pPr>
          <w:hyperlink w:anchor="__RefHeading___Toc3102499_2035185390">
            <w:r>
              <w:rPr>
                <w:webHidden/>
                <w:rStyle w:val="IndexLink"/>
              </w:rPr>
              <w:t>3-2</w:t>
            </w:r>
            <w:r>
              <w:rPr>
                <w:rStyle w:val="IndexLink"/>
                <w:rtl w:val="true"/>
              </w:rPr>
              <w:t xml:space="preserve"> </w:t>
            </w:r>
            <w:r>
              <w:rPr>
                <w:rStyle w:val="IndexLink"/>
                <w:rtl w:val="true"/>
              </w:rPr>
              <w:t>فخر مؤمنان، از تشکیل آرمان‌شهر مهدوی</w:t>
            </w:r>
            <w:r>
              <w:rPr>
                <w:rStyle w:val="IndexLink"/>
                <w:rtl w:val="true"/>
              </w:rPr>
              <w:tab/>
            </w:r>
            <w:r>
              <w:rPr>
                <w:rStyle w:val="IndexLink"/>
              </w:rPr>
              <w:t>15</w:t>
            </w:r>
          </w:hyperlink>
        </w:p>
        <w:p>
          <w:pPr>
            <w:pStyle w:val="Contents3"/>
            <w:tabs>
              <w:tab w:val="clear" w:pos="8459"/>
              <w:tab w:val="right" w:pos="9026" w:leader="dot"/>
            </w:tabs>
            <w:rPr/>
          </w:pPr>
          <w:hyperlink w:anchor="__RefHeading___Toc3102501_2035185390">
            <w:r>
              <w:rPr>
                <w:webHidden/>
                <w:rStyle w:val="IndexLink"/>
              </w:rPr>
              <w:t>4-2</w:t>
            </w:r>
            <w:r>
              <w:rPr>
                <w:rStyle w:val="IndexLink"/>
                <w:rtl w:val="true"/>
              </w:rPr>
              <w:t xml:space="preserve"> </w:t>
            </w:r>
            <w:r>
              <w:rPr>
                <w:rStyle w:val="IndexLink"/>
                <w:rtl w:val="true"/>
              </w:rPr>
              <w:t>کیفر دنیوی کافران و تأثر آنان از استقرار حکومت مهدوی</w:t>
            </w:r>
            <w:r>
              <w:rPr>
                <w:rStyle w:val="IndexLink"/>
                <w:rtl w:val="true"/>
              </w:rPr>
              <w:tab/>
            </w:r>
            <w:r>
              <w:rPr>
                <w:rStyle w:val="IndexLink"/>
              </w:rPr>
              <w:t>16</w:t>
            </w:r>
          </w:hyperlink>
        </w:p>
        <w:p>
          <w:pPr>
            <w:pStyle w:val="Contents3"/>
            <w:tabs>
              <w:tab w:val="clear" w:pos="8459"/>
              <w:tab w:val="right" w:pos="9026" w:leader="dot"/>
            </w:tabs>
            <w:rPr/>
          </w:pPr>
          <w:hyperlink w:anchor="__RefHeading___Toc3102503_2035185390">
            <w:r>
              <w:rPr>
                <w:webHidden/>
                <w:rStyle w:val="IndexLink"/>
              </w:rPr>
              <w:t>5-2</w:t>
            </w:r>
            <w:r>
              <w:rPr>
                <w:rStyle w:val="IndexLink"/>
                <w:rtl w:val="true"/>
              </w:rPr>
              <w:t xml:space="preserve"> </w:t>
            </w:r>
            <w:r>
              <w:rPr>
                <w:rStyle w:val="IndexLink"/>
                <w:rtl w:val="true"/>
              </w:rPr>
              <w:t>انتقام‌جویی از دشمنان</w:t>
            </w:r>
            <w:r>
              <w:rPr>
                <w:rStyle w:val="IndexLink"/>
                <w:rtl w:val="true"/>
              </w:rPr>
              <w:tab/>
            </w:r>
            <w:r>
              <w:rPr>
                <w:rStyle w:val="IndexLink"/>
              </w:rPr>
              <w:t>18</w:t>
            </w:r>
          </w:hyperlink>
        </w:p>
        <w:p>
          <w:pPr>
            <w:pStyle w:val="Contents2"/>
            <w:tabs>
              <w:tab w:val="clear" w:pos="8743"/>
              <w:tab w:val="right" w:pos="9026" w:leader="dot"/>
            </w:tabs>
            <w:rPr/>
          </w:pPr>
          <w:hyperlink w:anchor="__RefHeading___Toc3102505_2035185390">
            <w:r>
              <w:rPr>
                <w:webHidden/>
                <w:rStyle w:val="IndexLink"/>
                <w:rtl w:val="true"/>
              </w:rPr>
              <w:t>ادلّۀ رجعت</w:t>
            </w:r>
            <w:r>
              <w:rPr>
                <w:rStyle w:val="IndexLink"/>
                <w:rtl w:val="true"/>
              </w:rPr>
              <w:t xml:space="preserve">( </w:t>
            </w:r>
            <w:r>
              <w:rPr>
                <w:rStyle w:val="IndexLink"/>
              </w:rPr>
              <w:t>۳</w:t>
            </w:r>
            <w:r>
              <w:rPr>
                <w:rStyle w:val="IndexLink"/>
                <w:rtl w:val="true"/>
              </w:rPr>
              <w:t xml:space="preserve">. </w:t>
            </w:r>
            <w:r>
              <w:rPr>
                <w:rStyle w:val="IndexLink"/>
                <w:rtl w:val="true"/>
              </w:rPr>
              <w:t xml:space="preserve">چه دلیلی بر وقوع رجعت وجود دارد؟ </w:t>
            </w:r>
            <w:r>
              <w:rPr>
                <w:rStyle w:val="IndexLink"/>
                <w:rtl w:val="true"/>
              </w:rPr>
              <w:t>)</w:t>
              <w:tab/>
            </w:r>
            <w:r>
              <w:rPr>
                <w:rStyle w:val="IndexLink"/>
              </w:rPr>
              <w:t>20</w:t>
            </w:r>
          </w:hyperlink>
        </w:p>
        <w:p>
          <w:pPr>
            <w:pStyle w:val="Contents3"/>
            <w:tabs>
              <w:tab w:val="clear" w:pos="8459"/>
              <w:tab w:val="right" w:pos="9026" w:leader="dot"/>
            </w:tabs>
            <w:rPr/>
          </w:pPr>
          <w:hyperlink w:anchor="__RefHeading___Toc3102507_2035185390">
            <w:r>
              <w:rPr>
                <w:webHidden/>
                <w:rStyle w:val="IndexLink"/>
              </w:rPr>
              <w:t>1-3</w:t>
            </w:r>
            <w:r>
              <w:rPr>
                <w:rStyle w:val="IndexLink"/>
                <w:rtl w:val="true"/>
              </w:rPr>
              <w:t xml:space="preserve"> </w:t>
            </w:r>
            <w:r>
              <w:rPr>
                <w:rStyle w:val="IndexLink"/>
                <w:rtl w:val="true"/>
              </w:rPr>
              <w:t>ادلّۀ قرآنی</w:t>
            </w:r>
            <w:r>
              <w:rPr>
                <w:rStyle w:val="IndexLink"/>
                <w:rtl w:val="true"/>
              </w:rPr>
              <w:tab/>
            </w:r>
            <w:r>
              <w:rPr>
                <w:rStyle w:val="IndexLink"/>
              </w:rPr>
              <w:t>20</w:t>
            </w:r>
          </w:hyperlink>
        </w:p>
        <w:p>
          <w:pPr>
            <w:pStyle w:val="Contents3"/>
            <w:tabs>
              <w:tab w:val="clear" w:pos="8459"/>
              <w:tab w:val="right" w:pos="9026" w:leader="dot"/>
            </w:tabs>
            <w:rPr/>
          </w:pPr>
          <w:hyperlink w:anchor="__RefHeading___Toc3102509_2035185390">
            <w:r>
              <w:rPr>
                <w:webHidden/>
                <w:rStyle w:val="IndexLink"/>
              </w:rPr>
              <w:t>2-3</w:t>
            </w:r>
            <w:r>
              <w:rPr>
                <w:rStyle w:val="IndexLink"/>
                <w:rtl w:val="true"/>
              </w:rPr>
              <w:t xml:space="preserve"> </w:t>
            </w:r>
            <w:r>
              <w:rPr>
                <w:rStyle w:val="IndexLink"/>
                <w:rtl w:val="true"/>
              </w:rPr>
              <w:t>ادلۀ روایی</w:t>
            </w:r>
            <w:r>
              <w:rPr>
                <w:rStyle w:val="IndexLink"/>
                <w:rtl w:val="true"/>
              </w:rPr>
              <w:tab/>
            </w:r>
            <w:r>
              <w:rPr>
                <w:rStyle w:val="IndexLink"/>
              </w:rPr>
              <w:t>23</w:t>
            </w:r>
          </w:hyperlink>
        </w:p>
        <w:p>
          <w:pPr>
            <w:pStyle w:val="Contents2"/>
            <w:tabs>
              <w:tab w:val="clear" w:pos="8743"/>
              <w:tab w:val="right" w:pos="9026" w:leader="dot"/>
            </w:tabs>
            <w:rPr/>
          </w:pPr>
          <w:hyperlink w:anchor="__RefHeading___Toc3102511_2035185390">
            <w:r>
              <w:rPr>
                <w:webHidden/>
                <w:rStyle w:val="IndexLink"/>
                <w:rtl w:val="true"/>
              </w:rPr>
              <w:t xml:space="preserve">زمان رجعت </w:t>
            </w:r>
            <w:r>
              <w:rPr>
                <w:rStyle w:val="IndexLink"/>
                <w:rtl w:val="true"/>
              </w:rPr>
              <w:t>(</w:t>
            </w:r>
            <w:r>
              <w:rPr>
                <w:rStyle w:val="IndexLink"/>
              </w:rPr>
              <w:t>۴</w:t>
            </w:r>
            <w:r>
              <w:rPr>
                <w:rStyle w:val="IndexLink"/>
                <w:rtl w:val="true"/>
              </w:rPr>
              <w:t xml:space="preserve">. </w:t>
            </w:r>
            <w:r>
              <w:rPr>
                <w:rStyle w:val="IndexLink"/>
                <w:rtl w:val="true"/>
              </w:rPr>
              <w:t>رجعت در چه زمانی اتفاق خواهد افتاد؟</w:t>
            </w:r>
            <w:r>
              <w:rPr>
                <w:rStyle w:val="IndexLink"/>
                <w:rtl w:val="true"/>
              </w:rPr>
              <w:t>)</w:t>
              <w:tab/>
            </w:r>
            <w:r>
              <w:rPr>
                <w:rStyle w:val="IndexLink"/>
              </w:rPr>
              <w:t>26</w:t>
            </w:r>
          </w:hyperlink>
        </w:p>
        <w:p>
          <w:pPr>
            <w:pStyle w:val="Contents2"/>
            <w:tabs>
              <w:tab w:val="clear" w:pos="8743"/>
              <w:tab w:val="right" w:pos="9026" w:leader="dot"/>
            </w:tabs>
            <w:rPr/>
          </w:pPr>
          <w:hyperlink w:anchor="__RefHeading___Toc3102513_2035185390">
            <w:r>
              <w:rPr>
                <w:webHidden/>
                <w:rStyle w:val="IndexLink"/>
                <w:rtl w:val="true"/>
              </w:rPr>
              <w:t xml:space="preserve">آثار اعتقاد به رجعت </w:t>
            </w:r>
            <w:r>
              <w:rPr>
                <w:rStyle w:val="IndexLink"/>
                <w:rtl w:val="true"/>
              </w:rPr>
              <w:t>(</w:t>
            </w:r>
            <w:r>
              <w:rPr>
                <w:rStyle w:val="IndexLink"/>
              </w:rPr>
              <w:t>۵</w:t>
            </w:r>
            <w:r>
              <w:rPr>
                <w:rStyle w:val="IndexLink"/>
                <w:rtl w:val="true"/>
              </w:rPr>
              <w:t xml:space="preserve">. </w:t>
            </w:r>
            <w:r>
              <w:rPr>
                <w:rStyle w:val="IndexLink"/>
                <w:rtl w:val="true"/>
              </w:rPr>
              <w:t xml:space="preserve">اعتقاد به رجعت چه آثاری در پِی دارد؟ </w:t>
            </w:r>
            <w:r>
              <w:rPr>
                <w:rStyle w:val="IndexLink"/>
                <w:rtl w:val="true"/>
              </w:rPr>
              <w:t>)</w:t>
              <w:tab/>
            </w:r>
            <w:r>
              <w:rPr>
                <w:rStyle w:val="IndexLink"/>
              </w:rPr>
              <w:t>27</w:t>
            </w:r>
          </w:hyperlink>
        </w:p>
        <w:p>
          <w:pPr>
            <w:pStyle w:val="Contents2"/>
            <w:tabs>
              <w:tab w:val="clear" w:pos="8743"/>
              <w:tab w:val="right" w:pos="9026" w:leader="dot"/>
            </w:tabs>
            <w:rPr/>
          </w:pPr>
          <w:hyperlink w:anchor="__RefHeading___Toc3102515_2035185390">
            <w:r>
              <w:rPr>
                <w:webHidden/>
                <w:rStyle w:val="IndexLink"/>
                <w:rtl w:val="true"/>
              </w:rPr>
              <w:t xml:space="preserve">رجعت‌کنندگان </w:t>
            </w:r>
            <w:r>
              <w:rPr>
                <w:rStyle w:val="IndexLink"/>
                <w:rtl w:val="true"/>
              </w:rPr>
              <w:t>(</w:t>
            </w:r>
            <w:r>
              <w:rPr>
                <w:rStyle w:val="IndexLink"/>
              </w:rPr>
              <w:t>۶</w:t>
            </w:r>
            <w:r>
              <w:rPr>
                <w:rStyle w:val="IndexLink"/>
                <w:rtl w:val="true"/>
              </w:rPr>
              <w:t xml:space="preserve">. </w:t>
            </w:r>
            <w:r>
              <w:rPr>
                <w:rStyle w:val="IndexLink"/>
                <w:rtl w:val="true"/>
              </w:rPr>
              <w:t>آیا رجعت امری همگانی است یا خاصّ برخی؟</w:t>
            </w:r>
            <w:r>
              <w:rPr>
                <w:rStyle w:val="IndexLink"/>
                <w:rtl w:val="true"/>
              </w:rPr>
              <w:t>)</w:t>
              <w:tab/>
            </w:r>
            <w:r>
              <w:rPr>
                <w:rStyle w:val="IndexLink"/>
              </w:rPr>
              <w:t>29</w:t>
            </w:r>
          </w:hyperlink>
        </w:p>
        <w:p>
          <w:pPr>
            <w:pStyle w:val="Contents2"/>
            <w:tabs>
              <w:tab w:val="clear" w:pos="8743"/>
              <w:tab w:val="right" w:pos="9026" w:leader="dot"/>
            </w:tabs>
            <w:rPr/>
          </w:pPr>
          <w:hyperlink w:anchor="__RefHeading___Toc3102517_2035185390">
            <w:r>
              <w:rPr>
                <w:webHidden/>
                <w:rStyle w:val="IndexLink"/>
                <w:rtl w:val="true"/>
              </w:rPr>
              <w:t>امام‌رضا</w:t>
            </w:r>
            <w:r>
              <w:rPr>
                <w:rStyle w:val="IndexLink"/>
                <w:rtl w:val="true"/>
              </w:rPr>
              <w:t xml:space="preserve"> </w:t>
            </w:r>
            <w:r>
              <w:rPr>
                <w:rStyle w:val="IndexLink"/>
                <w:rtl w:val="true"/>
              </w:rPr>
              <w:t xml:space="preserve">علیه السلام و مسئلۀ رجعت </w:t>
            </w:r>
            <w:r>
              <w:rPr>
                <w:rStyle w:val="IndexLink"/>
                <w:rtl w:val="true"/>
              </w:rPr>
              <w:t>(</w:t>
            </w:r>
            <w:r>
              <w:rPr>
                <w:rStyle w:val="IndexLink"/>
              </w:rPr>
              <w:t>۷</w:t>
            </w:r>
            <w:r>
              <w:rPr>
                <w:rStyle w:val="IndexLink"/>
                <w:rtl w:val="true"/>
              </w:rPr>
              <w:t xml:space="preserve">. </w:t>
            </w:r>
            <w:r>
              <w:rPr>
                <w:rStyle w:val="IndexLink"/>
                <w:rtl w:val="true"/>
              </w:rPr>
              <w:t>حضرت رضا</w:t>
            </w:r>
            <w:r>
              <w:rPr>
                <w:rStyle w:val="IndexLink"/>
                <w:rtl w:val="true"/>
              </w:rPr>
              <w:t xml:space="preserve"> </w:t>
            </w:r>
            <w:r>
              <w:rPr>
                <w:rStyle w:val="IndexLink"/>
                <w:rtl w:val="true"/>
              </w:rPr>
              <w:t xml:space="preserve">درخصوص مسئلۀ رجعت چه بیاناتی دارند؟ </w:t>
            </w:r>
            <w:r>
              <w:rPr>
                <w:rStyle w:val="IndexLink"/>
                <w:rtl w:val="true"/>
              </w:rPr>
              <w:t>)</w:t>
              <w:tab/>
            </w:r>
            <w:r>
              <w:rPr>
                <w:rStyle w:val="IndexLink"/>
              </w:rPr>
              <w:t>32</w:t>
            </w:r>
          </w:hyperlink>
        </w:p>
        <w:p>
          <w:pPr>
            <w:pStyle w:val="Contents2"/>
            <w:tabs>
              <w:tab w:val="clear" w:pos="8743"/>
              <w:tab w:val="right" w:pos="9026" w:leader="dot"/>
            </w:tabs>
            <w:rPr/>
          </w:pPr>
          <w:hyperlink w:anchor="__RefHeading___Toc3102519_2035185390">
            <w:r>
              <w:rPr>
                <w:webHidden/>
                <w:rStyle w:val="IndexLink"/>
                <w:rtl w:val="true"/>
              </w:rPr>
              <w:t>برای مطالعۀ بیشتر</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8_35580"/>
      <w:bookmarkStart w:id="1" w:name="pg4868_35580"/>
      <w:bookmarkEnd w:id="1"/>
    </w:p>
    <w:p>
      <w:pPr>
        <w:pStyle w:val="Heading2"/>
        <w:numPr>
          <w:ilvl w:val="1"/>
          <w:numId w:val="1"/>
        </w:numPr>
        <w:rPr/>
      </w:pPr>
      <w:bookmarkStart w:id="2" w:name="pg4868_35580"/>
      <w:bookmarkStart w:id="3" w:name="__RefHeading___Toc310248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چیستی و 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محمدحسین پورامینی؛ برای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۲۸۵۷۴۰۰</w:t>
      </w:r>
    </w:p>
    <w:p>
      <w:pPr>
        <w:pStyle w:val="BookText"/>
        <w:rPr/>
      </w:pPr>
      <w:r>
        <w:rPr>
          <w:rFonts w:ascii="IRNazanin" w:hAnsi="IRNazanin" w:eastAsia="IRNazanin"/>
          <w:color w:val="111111"/>
          <w:sz w:val="28"/>
          <w:sz w:val="28"/>
          <w:szCs w:val="28"/>
          <w:rtl w:val="true"/>
          <w:lang w:bidi="fa-IR"/>
        </w:rPr>
        <w:t>رجعت، چیستی و چرایی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2483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68_35588"/>
    </w:p>
    <w:p>
      <w:pPr>
        <w:pStyle w:val="Heading2"/>
        <w:numPr>
          <w:ilvl w:val="1"/>
          <w:numId w:val="1"/>
        </w:numPr>
        <w:rPr/>
      </w:pPr>
      <w:bookmarkStart w:id="8" w:name="__RefHeading___Toc3102485_2035185390"/>
      <w:bookmarkStart w:id="9" w:name="_Toc3"/>
      <w:bookmarkEnd w:id="7"/>
      <w:bookmarkEnd w:id="8"/>
      <w:r>
        <w:rPr>
          <w:rtl w:val="true"/>
        </w:rPr>
        <w:t>رجعت چیستی و چرایی</w:t>
      </w:r>
      <w:bookmarkEnd w:id="9"/>
    </w:p>
    <w:p>
      <w:pPr>
        <w:pStyle w:val="BookText"/>
        <w:rPr/>
      </w:pPr>
      <w:r>
        <w:rPr>
          <w:rFonts w:ascii="IRNazanin" w:hAnsi="IRNazanin" w:eastAsia="IRNazanin"/>
          <w:color w:val="111111"/>
          <w:sz w:val="28"/>
          <w:sz w:val="28"/>
          <w:szCs w:val="28"/>
          <w:rtl w:val="true"/>
          <w:lang w:bidi="fa-IR"/>
        </w:rPr>
        <w:t>پرسش‌های زیر را در این نوشتار پاسخ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واجد چه هدف و فلسفه‌ای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دلیلی بر وقوع رجعت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چه زمانی اتفاق خواهد افتاد؟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رجعت چه آثاری در پِی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رجعت امری همگانی است یا خاصّ برخی؟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مسئلۀ رجعت چه بیاناتی دارند؟</w:t>
      </w:r>
      <w:bookmarkStart w:id="10" w:name="pg4868_35589"/>
    </w:p>
    <w:p>
      <w:pPr>
        <w:pStyle w:val="Heading2"/>
        <w:numPr>
          <w:ilvl w:val="1"/>
          <w:numId w:val="1"/>
        </w:numPr>
        <w:rPr/>
      </w:pPr>
      <w:bookmarkStart w:id="11" w:name="__RefHeading___Toc3102487_2035185390"/>
      <w:bookmarkStart w:id="12" w:name="_Toc4"/>
      <w:bookmarkEnd w:id="10"/>
      <w:bookmarkEnd w:id="11"/>
      <w:r>
        <w:rPr>
          <w:rtl w:val="true"/>
        </w:rPr>
        <w:t>درآمد</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باورهای شیعیان، اعتقاد به رجعت و حیات مجدّدِ افراد و گروه‌هایی خاص، پس از ظهور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برآنیم تا به برخی پرسش‌ها دراین‌باره به‌طورمختصر پاسخ گوییم</w:t>
      </w:r>
      <w:r>
        <w:rPr>
          <w:rFonts w:eastAsia="IRNazanin" w:cs="IRNazanin"/>
          <w:color w:val="111111"/>
          <w:sz w:val="28"/>
          <w:szCs w:val="28"/>
          <w:rtl w:val="true"/>
          <w:lang w:bidi="fa-IR"/>
        </w:rPr>
        <w:t>.</w:t>
      </w:r>
      <w:bookmarkStart w:id="13" w:name="pg4868_35591"/>
    </w:p>
    <w:p>
      <w:pPr>
        <w:pStyle w:val="Heading2"/>
        <w:numPr>
          <w:ilvl w:val="1"/>
          <w:numId w:val="1"/>
        </w:numPr>
        <w:rPr/>
      </w:pPr>
      <w:bookmarkStart w:id="14" w:name="__RefHeading___Toc3102489_2035185390"/>
      <w:bookmarkStart w:id="15" w:name="_Toc5"/>
      <w:bookmarkEnd w:id="13"/>
      <w:bookmarkEnd w:id="14"/>
      <w:r>
        <w:rPr>
          <w:rtl w:val="true"/>
        </w:rPr>
        <w:t xml:space="preserve">معنای رجعت </w:t>
      </w:r>
      <w:r>
        <w:rPr>
          <w:rtl w:val="true"/>
        </w:rPr>
        <w:t>(</w:t>
      </w:r>
      <w:r>
        <w:rPr/>
        <w:t>1</w:t>
      </w:r>
      <w:r>
        <w:rPr>
          <w:rtl w:val="true"/>
        </w:rPr>
        <w:t xml:space="preserve">. </w:t>
      </w:r>
      <w:r>
        <w:rPr>
          <w:rtl w:val="true"/>
        </w:rPr>
        <w:t xml:space="preserve">منظور از رجعت چیست؟ </w:t>
      </w:r>
      <w:r>
        <w:rPr>
          <w:rtl w:val="true"/>
        </w:rPr>
        <w:t>)</w:t>
      </w:r>
      <w:bookmarkEnd w:id="15"/>
    </w:p>
    <w:p>
      <w:pPr>
        <w:pStyle w:val="BookText"/>
        <w:rPr/>
      </w:pPr>
      <w:r>
        <w:rPr>
          <w:rFonts w:ascii="IRNazanin" w:hAnsi="IRNazanin" w:eastAsia="IRNazanin"/>
          <w:color w:val="111111"/>
          <w:sz w:val="28"/>
          <w:sz w:val="28"/>
          <w:szCs w:val="28"/>
          <w:rtl w:val="true"/>
          <w:lang w:bidi="fa-IR"/>
        </w:rPr>
        <w:t>رجعت در لغت، به‌معنای بازگشت است؛</w:t>
      </w:r>
      <w:r>
        <w:rPr>
          <w:rStyle w:val="FootnoteAnchor"/>
          <w:rtl w:val="true"/>
        </w:rPr>
        <w:footnoteReference w:id="2"/>
      </w:r>
      <w:r>
        <w:rPr>
          <w:rFonts w:ascii="IRNazanin" w:hAnsi="IRNazanin" w:eastAsia="IRNazanin"/>
          <w:color w:val="111111"/>
          <w:sz w:val="28"/>
          <w:sz w:val="28"/>
          <w:szCs w:val="28"/>
          <w:rtl w:val="true"/>
          <w:lang w:bidi="fa-IR"/>
        </w:rPr>
        <w:t>اما ازنظر اصطلاحی، به‌این‌معناست که به امر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به‌دست حضرت مهدی گروهی از مردگان، زنده شده و با قیام آن حضرت، همراه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بر‌این‌حساب، قبل از روز رستاخیز، مردگان به دنیا بازمی‌گردند تا به پاداش یاوری و همراهی و درک حکومت مهدی نائل آیند؛ نیز،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دشمنان حضرت ولی‌عصر را زنده می‌کند تا وی از آنان انتقام گیرد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اعتقاد به رجعت را ملازم با پیروی از مذهب تشیّع می‌دانند و اگر اعتقاد به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اعتقاد به بازگشتِ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قبل</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 o:detectmouseclick="t"/>
                <v:stroke color="#3465a4" joinstyle="round" endcap="flat"/>
                <w10:wrap type="none"/>
              </v:shape>
            </w:pict>
          </mc:Fallback>
        </mc:AlternateContent>
      </w:r>
      <w:bookmarkStart w:id="16" w:name="pg4868_35595"/>
    </w:p>
    <w:p>
      <w:pPr>
        <w:pStyle w:val="BookText"/>
        <w:rPr/>
      </w:pPr>
      <w:bookmarkEnd w:id="16"/>
      <w:r>
        <w:rPr>
          <w:rFonts w:ascii="IRNazanin" w:hAnsi="IRNazanin" w:eastAsia="IRNazanin"/>
          <w:color w:val="111111"/>
          <w:sz w:val="28"/>
          <w:sz w:val="28"/>
          <w:szCs w:val="28"/>
          <w:rtl w:val="true"/>
          <w:lang w:bidi="fa-IR"/>
        </w:rPr>
        <w:t>از رستاخیز، هم باید وجود داشته باشد و این دو لازم و ملزومِ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دوران‌ها، بر سرِ اعتقاد به رجعت، اِجماع علمای شیعه وجود داشته است و هیچ‌کس از آنان منکِر رجعت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علامه‌مجلسی در بحارالانوار، نام بسیاری از علمای شیعه را آورده است که در کتاب‌هایشان به اصل رجعت تأکید کرده‌اند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7" w:name="__RefHeading___Toc3102491_2035185390"/>
      <w:bookmarkStart w:id="18" w:name="_Toc6"/>
      <w:bookmarkEnd w:id="17"/>
      <w:r>
        <w:rPr>
          <w:rtl w:val="true"/>
        </w:rPr>
        <w:t xml:space="preserve">چراییِ رجعت </w:t>
      </w:r>
      <w:r>
        <w:rPr>
          <w:rtl w:val="true"/>
        </w:rPr>
        <w:t>(</w:t>
      </w:r>
      <w:r>
        <w:rPr/>
        <w:t>۲</w:t>
      </w:r>
      <w:r>
        <w:rPr>
          <w:rtl w:val="true"/>
        </w:rPr>
        <w:t xml:space="preserve">. </w:t>
      </w:r>
      <w:r>
        <w:rPr>
          <w:rtl w:val="true"/>
        </w:rPr>
        <w:t xml:space="preserve">رجعت واجد چه هدف و فلسفه‌ای است؟ </w:t>
      </w:r>
      <w:r>
        <w:rPr>
          <w:rtl w:val="true"/>
        </w:rPr>
        <w:t>)</w:t>
      </w:r>
      <w:bookmarkEnd w:id="18"/>
    </w:p>
    <w:p>
      <w:pPr>
        <w:pStyle w:val="Heading3"/>
        <w:numPr>
          <w:ilvl w:val="2"/>
          <w:numId w:val="1"/>
        </w:numPr>
        <w:rPr/>
      </w:pPr>
      <w:bookmarkStart w:id="19" w:name="__RefHeading___Toc3102493_2035185390"/>
      <w:bookmarkStart w:id="20" w:name="_Toc7"/>
      <w:bookmarkEnd w:id="19"/>
      <w:r>
        <w:rPr>
          <w:rtl w:val="true"/>
        </w:rPr>
        <w:t>مقدمه</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در عالَم خلقت، هیچ امری بدون‌هدف نیست، یکی از سؤالات اصلی در مسئلۀ رجعت این است که چرا باید عده‌ای از انسان‌ها، خوب باشند یا بد، قبل از قیامت و در دوران</w:t>
      </w:r>
      <w:bookmarkStart w:id="21" w:name="pg4868_35597"/>
    </w:p>
    <w:p>
      <w:pPr>
        <w:pStyle w:val="BookText"/>
        <w:rPr/>
      </w:pPr>
      <w:bookmarkEnd w:id="21"/>
      <w:r>
        <w:rPr>
          <w:rFonts w:ascii="IRNazanin" w:hAnsi="IRNazanin" w:eastAsia="IRNazanin"/>
          <w:color w:val="111111"/>
          <w:sz w:val="28"/>
          <w:sz w:val="28"/>
          <w:szCs w:val="28"/>
          <w:rtl w:val="true"/>
          <w:lang w:bidi="fa-IR"/>
        </w:rPr>
        <w:t>ظهور حضرت امام‌مهدی به‌دنیا برگردند؟</w:t>
      </w:r>
    </w:p>
    <w:p>
      <w:pPr>
        <w:pStyle w:val="Heading3"/>
        <w:numPr>
          <w:ilvl w:val="2"/>
          <w:numId w:val="1"/>
        </w:numPr>
        <w:rPr/>
      </w:pPr>
      <w:bookmarkStart w:id="22" w:name="__RefHeading___Toc3102495_2035185390"/>
      <w:bookmarkStart w:id="23" w:name="_Toc8"/>
      <w:bookmarkEnd w:id="22"/>
      <w:r>
        <w:rPr/>
        <w:t>1-2</w:t>
      </w:r>
      <w:r>
        <w:rPr>
          <w:rtl w:val="true"/>
        </w:rPr>
        <w:t xml:space="preserve"> </w:t>
      </w:r>
      <w:r>
        <w:rPr>
          <w:rtl w:val="true"/>
        </w:rPr>
        <w:t>یاری و نصرت دین الهی</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اهدافی که رجعت مؤمنان بر آن استوار است، نصرت و یاری‌رساندن به دین الهی در آرمان‌شهر مهدوی و عصر حکومت قائم آل‌محمد است که حکومت عدل الهی را جهانی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فرستادگان خویش و مؤمنان را در دنیا و روزی که شاهدان برخیزند، یاری خواهیم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از ظاهر این آیه استفاده می‌شود که این نصرت، دسته‌جمعی انجام می‌شود، نه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چنین نصرتی تاکنون تحقق پیدا نکرده است، قطعاً در آینده تحقق خواهد یافت؛ زیرا وعدۀ الهی تخلف‌ناپذیر است</w:t>
      </w:r>
      <w:r>
        <w:rPr>
          <w:rFonts w:eastAsia="IRNazanin" w:cs="IRNazanin"/>
          <w:color w:val="111111"/>
          <w:sz w:val="28"/>
          <w:szCs w:val="28"/>
          <w:rtl w:val="true"/>
          <w:lang w:bidi="fa-IR"/>
        </w:rPr>
        <w:t>.</w:t>
      </w:r>
      <w:bookmarkStart w:id="24" w:name="pg4868_35599"/>
    </w:p>
    <w:p>
      <w:pPr>
        <w:pStyle w:val="BookText"/>
        <w:rPr/>
      </w:pPr>
      <w:bookmarkEnd w:id="2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این نصرت در رجعت است؛ چراکه ائمه و بسیاری از پیامبران در دنیا کشته شدند و کسی آنان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رجعت تحقق خواهد یافت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3102497_2035185390"/>
      <w:bookmarkStart w:id="26" w:name="_Toc9"/>
      <w:bookmarkEnd w:id="25"/>
      <w:r>
        <w:rPr/>
        <w:t>۲</w:t>
      </w:r>
      <w:r>
        <w:rPr/>
        <w:t>-</w:t>
      </w:r>
      <w:r>
        <w:rPr/>
        <w:t>۲</w:t>
      </w:r>
      <w:r>
        <w:rPr>
          <w:rtl w:val="true"/>
        </w:rPr>
        <w:t xml:space="preserve"> تکامل مؤمنان</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برخی روایات، یکی از حکمت‌ها و اهداف رجعت، به‌کمال‌رسیدن مؤمنان خالص است؛ چراکه آنان در مسیر تکامل معنوی، با موانع دشمنان روبه‌رو بوده‌اند و از تکامل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حکمت الهی اقتضا می‌کند که آنان مسیر تکاملی خویش را از طریق بازگشت به این جهان به پایان برسانند و در گسترش حکومت حق و آرمان‌شهر مهدوی،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w:t>
      </w:r>
      <w:bookmarkStart w:id="27" w:name="pg4868_35601"/>
    </w:p>
    <w:p>
      <w:pPr>
        <w:pStyle w:val="BookText"/>
        <w:rPr/>
      </w:pPr>
      <w:bookmarkEnd w:id="27"/>
      <w:r>
        <w:rPr>
          <w:rFonts w:ascii="IRNazanin" w:hAnsi="IRNazanin" w:eastAsia="IRNazanin"/>
          <w:color w:val="111111"/>
          <w:sz w:val="28"/>
          <w:sz w:val="28"/>
          <w:szCs w:val="28"/>
          <w:rtl w:val="true"/>
          <w:lang w:bidi="fa-IR"/>
        </w:rPr>
        <w:t>چنین حکومتی، بی‌شک، از افتخارات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مؤمنی که کشته شده باشد، به دنیا 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بمیرد و هر مؤمنی که مرده باشد به‌دنیا بر می‌گردد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ثواب شهادت برسد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8" w:name="__RefHeading___Toc3102499_2035185390"/>
      <w:bookmarkStart w:id="29" w:name="_Toc10"/>
      <w:bookmarkEnd w:id="28"/>
      <w:r>
        <w:rPr/>
        <w:t>3-2</w:t>
      </w:r>
      <w:r>
        <w:rPr>
          <w:rtl w:val="true"/>
        </w:rPr>
        <w:t xml:space="preserve"> </w:t>
      </w:r>
      <w:r>
        <w:rPr>
          <w:rtl w:val="true"/>
        </w:rPr>
        <w:t>فخر مؤمنان، از تشکیل آرمان‌شهر مهدوی</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بسیاری از مؤمنان در آرزوی برقراری حاکمیت دین در سراسر جهان بوده‌اند و برای تحقق این هدف، بسیار مبارزه کرده‌اند؛ اما دشمنان دین با ظلم خویش نگذاشتند دین الهی در تمام ابعاد، حاکمیت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براساس دسته‌ای از روایات، در دوران رجعت، مؤمنان به این جهان برمی‌گردند تا عزت دین و خفت‌وخواری ظالمان را مشاهده کنند و از</w:t>
      </w:r>
      <w:bookmarkStart w:id="30" w:name="pg4868_35602"/>
    </w:p>
    <w:p>
      <w:pPr>
        <w:pStyle w:val="BookText"/>
        <w:rPr/>
      </w:pPr>
      <w:bookmarkEnd w:id="30"/>
      <w:r>
        <w:rPr>
          <w:rFonts w:ascii="IRNazanin" w:hAnsi="IRNazanin" w:eastAsia="IRNazanin"/>
          <w:color w:val="111111"/>
          <w:sz w:val="28"/>
          <w:sz w:val="28"/>
          <w:szCs w:val="28"/>
          <w:rtl w:val="true"/>
          <w:lang w:bidi="fa-IR"/>
        </w:rPr>
        <w:t>برقراری و تشکیل آرمان‌شهر مهدوی و حکومت عدل مهدوی، لذت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مؤمنان، به‌سوی روشنایی‌های چشمانشان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چشمشان با دیدن حکومت عدل امام‌زمان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ستمگران، برمی‌گردند تا دچار عذاب الهی شوند؛ چنان‌که خداوند می‌فرماید؛ و قطعاً غیر از آن عذاب بزرگ‌تر، از عذاب این دنیا به آنان می‌چشانیم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1" w:name="__RefHeading___Toc3102501_2035185390"/>
      <w:bookmarkStart w:id="32" w:name="_Toc11"/>
      <w:bookmarkEnd w:id="31"/>
      <w:r>
        <w:rPr/>
        <w:t>4-2</w:t>
      </w:r>
      <w:r>
        <w:rPr>
          <w:rtl w:val="true"/>
        </w:rPr>
        <w:t xml:space="preserve"> </w:t>
      </w:r>
      <w:r>
        <w:rPr>
          <w:rtl w:val="true"/>
        </w:rPr>
        <w:t>کیفر دنیوی کافران و تأثر آنان از استقرار حکومت مهدوی</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اهداف رجعت را چشیدن کافران از عذاب‌های دنیوی شمرده‌اند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شخص نیک و بدی از این امت نیست؛ مگر اینکه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برمی‌گردند تا اینکه عزیز شده، چشمانشان روشن شود و فُجّار برمی‌گردند تا خداوند ذلیلشان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گفتار خداوند 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غیر از عذاب بزرگ‌تر است، به آن‌ها می‌چشانیم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عذاب نزدیک‌تر، به عذاب رجعت منطبق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آیۀ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من با شیعیان برمی‌گردم، بنی‌امیه را با خواری و ذلت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کفار می‌گویندکه ای کاش مسلمان بودیم</w:t>
      </w:r>
      <w:r>
        <w:rPr>
          <w:rFonts w:eastAsia="IRNazanin" w:cs="IRNazanin"/>
          <w:color w:val="111111"/>
          <w:sz w:val="28"/>
          <w:szCs w:val="28"/>
          <w:rtl w:val="true"/>
          <w:lang w:bidi="fa-IR"/>
        </w:rPr>
        <w:t>.»</w:t>
      </w:r>
      <w:r>
        <w:rPr>
          <w:rStyle w:val="FootnoteAnchor"/>
          <w:rtl w:val="true"/>
        </w:rPr>
        <w:footnoteReference w:id="12"/>
      </w:r>
      <w:bookmarkStart w:id="33" w:name="pg4868_35607"/>
    </w:p>
    <w:p>
      <w:pPr>
        <w:pStyle w:val="Heading3"/>
        <w:numPr>
          <w:ilvl w:val="2"/>
          <w:numId w:val="1"/>
        </w:numPr>
        <w:rPr/>
      </w:pPr>
      <w:bookmarkStart w:id="34" w:name="__RefHeading___Toc3102503_2035185390"/>
      <w:bookmarkStart w:id="35" w:name="_Toc12"/>
      <w:bookmarkEnd w:id="33"/>
      <w:bookmarkEnd w:id="34"/>
      <w:r>
        <w:rPr/>
        <w:t>5-2</w:t>
      </w:r>
      <w:r>
        <w:rPr>
          <w:rtl w:val="true"/>
        </w:rPr>
        <w:t xml:space="preserve"> </w:t>
      </w:r>
      <w:r>
        <w:rPr>
          <w:rtl w:val="true"/>
        </w:rPr>
        <w:t>انتقام‌جویی از دشمنان</w:t>
      </w:r>
      <w:bookmarkEnd w:id="35"/>
    </w:p>
    <w:p>
      <w:pPr>
        <w:pStyle w:val="BookText"/>
        <w:rPr/>
      </w:pPr>
      <w:r>
        <w:rPr>
          <w:rFonts w:ascii="IRNazanin" w:hAnsi="IRNazanin" w:eastAsia="IRNazanin"/>
          <w:color w:val="111111"/>
          <w:sz w:val="28"/>
          <w:sz w:val="28"/>
          <w:szCs w:val="28"/>
          <w:rtl w:val="true"/>
          <w:lang w:bidi="fa-IR"/>
        </w:rPr>
        <w:t>در پاره‌ای روایات، یکی از اهداف رجعت را انتقام‌گرفتن از دشمنان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 به‌طوری‌که یکی از لقب‌های امام‌عصر را منتقم گفته‌اند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 ملائکه به درگاه خداوند تضرع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سایۀ حضرت قائم را برپا داشت و فرمودکه به‌وسیلۀ وی، از آنان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انتقام می‌گیرم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امام‌زمان در صورتی می‌تواند از قاتلان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بگیرد که آنان زنده باشند و این، با رجعت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bookmarkStart w:id="36" w:name="pg4868_35610"/>
    </w:p>
    <w:p>
      <w:pPr>
        <w:pStyle w:val="Heading2"/>
        <w:numPr>
          <w:ilvl w:val="1"/>
          <w:numId w:val="1"/>
        </w:numPr>
        <w:rPr/>
      </w:pPr>
      <w:bookmarkStart w:id="37" w:name="__RefHeading___Toc3102505_2035185390"/>
      <w:bookmarkStart w:id="38" w:name="_Toc13"/>
      <w:bookmarkEnd w:id="36"/>
      <w:bookmarkEnd w:id="37"/>
      <w:r>
        <w:rPr>
          <w:rtl w:val="true"/>
        </w:rPr>
        <w:t>ادلّۀ رجعت</w:t>
      </w:r>
      <w:r>
        <w:rPr>
          <w:rtl w:val="true"/>
        </w:rPr>
        <w:t xml:space="preserve">( </w:t>
      </w:r>
      <w:r>
        <w:rPr/>
        <w:t>۳</w:t>
      </w:r>
      <w:r>
        <w:rPr>
          <w:rtl w:val="true"/>
        </w:rPr>
        <w:t xml:space="preserve">. </w:t>
      </w:r>
      <w:r>
        <w:rPr>
          <w:rtl w:val="true"/>
        </w:rPr>
        <w:t xml:space="preserve">چه دلیلی بر وقوع رجعت وجود دارد؟ </w:t>
      </w:r>
      <w:r>
        <w:rPr>
          <w:rtl w:val="true"/>
        </w:rPr>
        <w:t>)</w:t>
      </w:r>
      <w:bookmarkEnd w:id="38"/>
    </w:p>
    <w:p>
      <w:pPr>
        <w:pStyle w:val="Heading3"/>
        <w:numPr>
          <w:ilvl w:val="2"/>
          <w:numId w:val="1"/>
        </w:numPr>
        <w:rPr/>
      </w:pPr>
      <w:bookmarkStart w:id="39" w:name="__RefHeading___Toc3102507_2035185390"/>
      <w:bookmarkStart w:id="40" w:name="_Toc14"/>
      <w:bookmarkEnd w:id="39"/>
      <w:r>
        <w:rPr/>
        <w:t>1-3</w:t>
      </w:r>
      <w:r>
        <w:rPr>
          <w:rtl w:val="true"/>
        </w:rPr>
        <w:t xml:space="preserve"> </w:t>
      </w:r>
      <w:r>
        <w:rPr>
          <w:rtl w:val="true"/>
        </w:rPr>
        <w:t>ادلّۀ قرآنی</w:t>
      </w:r>
      <w:bookmarkEnd w:id="40"/>
    </w:p>
    <w:p>
      <w:pPr>
        <w:pStyle w:val="BookText"/>
        <w:rPr/>
      </w:pPr>
      <w:r>
        <w:rPr>
          <w:rFonts w:ascii="IRNazanin" w:hAnsi="IRNazanin" w:eastAsia="IRNazanin"/>
          <w:color w:val="111111"/>
          <w:sz w:val="28"/>
          <w:sz w:val="28"/>
          <w:szCs w:val="28"/>
          <w:rtl w:val="true"/>
          <w:lang w:bidi="fa-IR"/>
        </w:rPr>
        <w:t>ادلّه‌ای که بر وقوع رجعت دلالت دارند،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آیات زیادی دلالت بر حیات مجدّد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نمونۀ افرادی را برای ما بیان فرموده است که قبل از رستاخیز، حیات مجدّد پیدا کرده‌اند و به‌اصطلاح، به دنیا رجعت داشته‌اند؛ لذا همان‌گونه که در اقوام گذشته، رجعت صورت گرفته است، در آینده هم رجعت صورت می‌گیرد و امری محال و غیرممکن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نمونه‌هایی را بیان می‌کنیم که در قرآن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زنده‌کردن یک مُرده، برای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تفاوتی با زنده‌کردن تمام مردگان نمی‌کند، این‌گونه نبوده است که افراد معدودی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آیه‌ای، خبر از زنده‌شدن هزاران مُرده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خبر نیافتی که از بیم مرگ</w:t>
      </w:r>
    </w:p>
    <w:p>
      <w:pPr>
        <w:pStyle w:val="BookText"/>
        <w:rPr/>
      </w:pPr>
      <w:r>
        <w:rPr>
          <w:rFonts w:ascii="IRNazanin" w:hAnsi="IRNazanin" w:eastAsia="IRNazanin"/>
          <w:color w:val="111111"/>
          <w:sz w:val="28"/>
          <w:sz w:val="28"/>
          <w:szCs w:val="28"/>
          <w:rtl w:val="true"/>
          <w:lang w:bidi="fa-IR"/>
        </w:rPr>
        <w:t>از خانه‌های خود خارج شدند، درحالی‌که هزاران تَن بودند؟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مردم، بخشنده است؛ ولی بیشترِ مردم سپاسگزاری نمی‌کنند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در امت‌های گذشته رخ داده است، در امت من نیز رخ خواهد داد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این سخن نتیجه گرفته‌اند که از‌آن‌جایی‌که رجعت یکی از حوادث مهم امت‌های گذشته است و تاکنون نیز تحقق نیافته، قطعاً در زمان آینده صورت خواهد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آیات فوق، آیات فراوانی در قرآن کریم آمده است</w:t>
      </w:r>
      <w:r>
        <w:rPr>
          <w:rStyle w:val="FootnoteAnchor"/>
          <w:rtl w:val="true"/>
        </w:rPr>
        <w:footnoteReference w:id="16"/>
      </w:r>
      <w:r>
        <w:rPr>
          <w:rFonts w:ascii="IRNazanin" w:hAnsi="IRNazanin" w:eastAsia="IRNazanin"/>
          <w:color w:val="111111"/>
          <w:sz w:val="28"/>
          <w:sz w:val="28"/>
          <w:szCs w:val="28"/>
          <w:rtl w:val="true"/>
          <w:lang w:bidi="fa-IR"/>
        </w:rPr>
        <w:t>که از نظر شیعه، بر رجعت در آخر‌الزمان تطبیق‌پذیر است؛ برای اختصار تنها به یک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سورۀ نمل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روز که از هر امّتی گروهی از کسانی را محشور می‌کنیم که آیات ما را تکذیب کرده‌اند، پس آنان نگاه داشته می‌شوند تا همه به‌هم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 دربارۀ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ظاهر آیه بر‌می‌آید که حشر در آن، حشر در غیر روز قیامت است؛ زیرا حشر در قیامت، اختصاص به یک گروه از هر امت ندارد، بلکه تمامی امت‌ها در آن محشور می‌شوند و حتی به حکم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 هُمْ فَلَمْ نُغادِرْ مِنْهُمْ أَحَداً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یک نفر هم از قلم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آیۀ محل بحث، می‌فرماید که از هر امتی، فوْجی را محشور می‌کنیم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وی سپس در تأیید اینکه نظر قرآن در این آیه، حشری غیر از قیامت است،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مؤیّد گفتار ما این است که این آیه و دو آیۀ بعدش، بعد از داستان بیرون‌شدن دابّه از زمین واقع شده‌اند که خود، یکی از علایمی است که قبل از قیامت واقع می‌شود؛ قیامتی که در چند آیۀ بعد دربارۀ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ینْفَخُ فِی الصُّور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تا چند آیۀ بعد،</w:t>
      </w:r>
      <w:bookmarkStart w:id="41" w:name="pg4868_35616"/>
    </w:p>
    <w:p>
      <w:pPr>
        <w:pStyle w:val="BookText"/>
        <w:rPr/>
      </w:pPr>
      <w:bookmarkEnd w:id="41"/>
      <w:r>
        <w:rPr>
          <w:rFonts w:ascii="IRNazanin" w:hAnsi="IRNazanin" w:eastAsia="IRNazanin"/>
          <w:color w:val="111111"/>
          <w:sz w:val="28"/>
          <w:sz w:val="28"/>
          <w:szCs w:val="28"/>
          <w:rtl w:val="true"/>
          <w:lang w:bidi="fa-IR"/>
        </w:rPr>
        <w:t>اوصاف وقایع آن روز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قبل از شروع به بیان اصل قیامت و وقایع آن، یکی از وقایع آن‌را جلوتر ذکر کند؛ چون ترتیب وقوعی اقتضا می‌کند که اگر حشرِ فوْج از هر امتی هم جزو وقایع قیامت باشد، آن‌را بعد از مسئلۀ نفخِ صور ذکر فرماید، ولی این‌طور ذکر نکرد؛ بلکه قبل از نفخ صور، مسئلۀ حشر فوْج از هر امتی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حشر، جزو وقایع قیامت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توضیحِ همین آیه، روایات فراوانی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ایشان این آیه را دلیل محکمی بر وقوع رجعت در دوران حکومت مهدی دانسته‌اند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2" w:name="__RefHeading___Toc3102509_2035185390"/>
      <w:bookmarkStart w:id="43" w:name="_Toc15"/>
      <w:bookmarkEnd w:id="42"/>
      <w:r>
        <w:rPr/>
        <w:t>2-3</w:t>
      </w:r>
      <w:r>
        <w:rPr>
          <w:rtl w:val="true"/>
        </w:rPr>
        <w:t xml:space="preserve"> </w:t>
      </w:r>
      <w:r>
        <w:rPr>
          <w:rtl w:val="true"/>
        </w:rPr>
        <w:t>ادلۀ روایی</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رجعت را نیز به می‌توان دو دستۀ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w:t>
      </w:r>
    </w:p>
    <w:p>
      <w:pPr>
        <w:pStyle w:val="BookText"/>
        <w:rPr/>
      </w:pPr>
      <w:r>
        <w:rPr>
          <w:rFonts w:ascii="IRNazanin" w:hAnsi="IRNazanin" w:eastAsia="IRNazanin"/>
          <w:color w:val="111111"/>
          <w:sz w:val="28"/>
          <w:sz w:val="28"/>
          <w:szCs w:val="28"/>
          <w:rtl w:val="true"/>
          <w:lang w:bidi="fa-IR"/>
        </w:rPr>
        <w:t>روایاتی است که به تحقق رجعت در امت‌های گذشته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عمدتاً، در شرح آیات مربوط به رجعت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در سؤال قبل اشاره کردیم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روایاتی است که به وقوع رجعت در آخر‌الزمان و در آستانۀ برپایی قیامت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علاوه‌بر روایاتی که ذیل آیات مرتبط ذکر کردیم، روایات مستقلی نیز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می‌کند و روز رجعت و روز قیامت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به‌علاوه، دعاها و زیارت‌نامه‌های متعددی در دست است که به‌نحوی به مسئلۀ رجعت اشاره دارند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bookmarkStart w:id="44" w:name="pg4868_35622"/>
    </w:p>
    <w:p>
      <w:pPr>
        <w:pStyle w:val="Heading2"/>
        <w:numPr>
          <w:ilvl w:val="1"/>
          <w:numId w:val="1"/>
        </w:numPr>
        <w:rPr/>
      </w:pPr>
      <w:bookmarkStart w:id="45" w:name="__RefHeading___Toc3102511_2035185390"/>
      <w:bookmarkStart w:id="46" w:name="_Toc16"/>
      <w:bookmarkEnd w:id="44"/>
      <w:bookmarkEnd w:id="45"/>
      <w:r>
        <w:rPr>
          <w:rtl w:val="true"/>
        </w:rPr>
        <w:t xml:space="preserve">زمان رجعت </w:t>
      </w:r>
      <w:r>
        <w:rPr>
          <w:rtl w:val="true"/>
        </w:rPr>
        <w:t>(</w:t>
      </w:r>
      <w:r>
        <w:rPr/>
        <w:t>۴</w:t>
      </w:r>
      <w:r>
        <w:rPr>
          <w:rtl w:val="true"/>
        </w:rPr>
        <w:t xml:space="preserve">. </w:t>
      </w:r>
      <w:r>
        <w:rPr>
          <w:rtl w:val="true"/>
        </w:rPr>
        <w:t>رجعت در چه زمانی اتفاق خواهد افتاد؟</w:t>
      </w:r>
      <w:r>
        <w:rPr>
          <w:rtl w:val="true"/>
        </w:rPr>
        <w:t>)</w:t>
      </w:r>
      <w:bookmarkEnd w:id="46"/>
    </w:p>
    <w:p>
      <w:pPr>
        <w:pStyle w:val="BookText"/>
        <w:rPr/>
      </w:pPr>
      <w:r>
        <w:rPr>
          <w:rFonts w:ascii="IRNazanin" w:hAnsi="IRNazanin" w:eastAsia="IRNazanin"/>
          <w:color w:val="111111"/>
          <w:sz w:val="28"/>
          <w:sz w:val="28"/>
          <w:szCs w:val="28"/>
          <w:rtl w:val="true"/>
          <w:lang w:bidi="fa-IR"/>
        </w:rPr>
        <w:t>روایات گوناگونی که دلالت بر امر رجعت دارند، در یک معنا با هم اتحاد دارند و آن، این است که سِیر نظام دنیا به‌سوی روزی است که در آن، آیات الهی به بالاترین و کامل‌ترین شکل، ظهور خواهد کرد و در آن روز، گناهی وجود ندارد و شیطان، قدرت اغواگری نخواهد داشت و همۀ عبادت‌ها خالصانه برای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 و حق از باطل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بعضی از اولیای الهی و برخی از دشمنان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دنیا رفته‌اند، رجعت خواهند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روشن است که زمان دقیق رجعت را با ذکر سال و ماه و روزِ آن، نمی‌توان معلوم کرد؛</w:t>
      </w:r>
      <w:r>
        <w:rPr>
          <w:rStyle w:val="FootnoteAnchor"/>
          <w:rtl w:val="true"/>
        </w:rPr>
        <w:footnoteReference w:id="24"/>
      </w:r>
      <w:r>
        <w:rPr>
          <w:rFonts w:ascii="IRNazanin" w:hAnsi="IRNazanin" w:eastAsia="IRNazanin"/>
          <w:color w:val="111111"/>
          <w:sz w:val="28"/>
          <w:sz w:val="28"/>
          <w:szCs w:val="28"/>
          <w:rtl w:val="true"/>
          <w:lang w:bidi="fa-IR"/>
        </w:rPr>
        <w:t>اما به‌طورکلّی، براساس آنچه از روایات و تفاسیر علما به‌دست می‌آید، پیش از</w:t>
      </w:r>
      <w:bookmarkStart w:id="47" w:name="pg4868_35624"/>
    </w:p>
    <w:p>
      <w:pPr>
        <w:pStyle w:val="BookText"/>
        <w:rPr/>
      </w:pPr>
      <w:bookmarkEnd w:id="47"/>
      <w:r>
        <w:rPr>
          <w:rFonts w:ascii="IRNazanin" w:hAnsi="IRNazanin" w:eastAsia="IRNazanin"/>
          <w:color w:val="111111"/>
          <w:sz w:val="28"/>
          <w:sz w:val="28"/>
          <w:szCs w:val="28"/>
          <w:rtl w:val="true"/>
          <w:lang w:bidi="fa-IR"/>
        </w:rPr>
        <w:t>رستاخیز و در زمان حکومت حضرت مهدی اتفاق می‌افتد</w:t>
      </w:r>
      <w:r>
        <w:rPr>
          <w:rFonts w:eastAsia="IRNazanin" w:cs="IRNazanin"/>
          <w:color w:val="111111"/>
          <w:sz w:val="28"/>
          <w:szCs w:val="28"/>
          <w:rtl w:val="true"/>
          <w:lang w:bidi="fa-IR"/>
        </w:rPr>
        <w:t>.</w:t>
      </w:r>
    </w:p>
    <w:p>
      <w:pPr>
        <w:pStyle w:val="Heading2"/>
        <w:numPr>
          <w:ilvl w:val="1"/>
          <w:numId w:val="1"/>
        </w:numPr>
        <w:rPr/>
      </w:pPr>
      <w:bookmarkStart w:id="48" w:name="__RefHeading___Toc3102513_2035185390"/>
      <w:bookmarkStart w:id="49" w:name="_Toc17"/>
      <w:bookmarkEnd w:id="48"/>
      <w:r>
        <w:rPr>
          <w:rtl w:val="true"/>
        </w:rPr>
        <w:t xml:space="preserve">آثار اعتقاد به رجعت </w:t>
      </w:r>
      <w:r>
        <w:rPr>
          <w:rtl w:val="true"/>
        </w:rPr>
        <w:t>(</w:t>
      </w:r>
      <w:r>
        <w:rPr/>
        <w:t>۵</w:t>
      </w:r>
      <w:r>
        <w:rPr>
          <w:rtl w:val="true"/>
        </w:rPr>
        <w:t xml:space="preserve">. </w:t>
      </w:r>
      <w:r>
        <w:rPr>
          <w:rtl w:val="true"/>
        </w:rPr>
        <w:t xml:space="preserve">اعتقاد به رجعت چه آثاری در پِی دارد؟ </w:t>
      </w:r>
      <w:r>
        <w:rPr>
          <w:rtl w:val="true"/>
        </w:rPr>
        <w:t>)</w:t>
      </w:r>
      <w:bookmarkEnd w:id="49"/>
    </w:p>
    <w:p>
      <w:pPr>
        <w:pStyle w:val="BookText"/>
        <w:rPr/>
      </w:pPr>
      <w:r>
        <w:rPr>
          <w:rFonts w:ascii="IRNazanin" w:hAnsi="IRNazanin" w:eastAsia="IRNazanin"/>
          <w:color w:val="111111"/>
          <w:sz w:val="28"/>
          <w:sz w:val="28"/>
          <w:szCs w:val="28"/>
          <w:rtl w:val="true"/>
          <w:lang w:bidi="fa-IR"/>
        </w:rPr>
        <w:t>اعتقاد به رجعت عاملی برای حرکت سازندۀ فردی و اجتماعی و وسیله‌ای برای طغیان علیه بی‌عدالتی‌ها است؛ زیرا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درباب زنده‌شدن مردگان، شکّ حضرت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حیات دوبارۀ وی و نیز تردید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حیات چهار پرندۀ ذبح‌شده</w:t>
      </w:r>
      <w:r>
        <w:rPr>
          <w:rStyle w:val="FootnoteAnchor"/>
          <w:rtl w:val="true"/>
        </w:rPr>
        <w:footnoteReference w:id="25"/>
      </w:r>
      <w:r>
        <w:rPr>
          <w:rFonts w:ascii="IRNazanin" w:hAnsi="IRNazanin" w:eastAsia="IRNazanin"/>
          <w:color w:val="111111"/>
          <w:sz w:val="28"/>
          <w:sz w:val="28"/>
          <w:szCs w:val="28"/>
          <w:rtl w:val="true"/>
          <w:lang w:bidi="fa-IR"/>
        </w:rPr>
        <w:t>از بین رفت و موجب ایمان بیشترِ آنان به حقانیت گفتار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 اعتقاد به اصل رجعت نیز شیعیان را به</w:t>
      </w:r>
    </w:p>
    <w:p>
      <w:pPr>
        <w:pStyle w:val="BookText"/>
        <w:rPr/>
      </w:pPr>
      <w:r>
        <w:rPr>
          <w:rFonts w:ascii="IRNazanin" w:hAnsi="IRNazanin" w:eastAsia="IRNazanin"/>
          <w:color w:val="111111"/>
          <w:sz w:val="28"/>
          <w:sz w:val="28"/>
          <w:szCs w:val="28"/>
          <w:rtl w:val="true"/>
          <w:lang w:bidi="fa-IR"/>
        </w:rPr>
        <w:t>حقانیت خویش آگاه می‌سازد و آنان را به تلاش فردی، اجتماعی و دینی ترغیب می‌کند؛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خالص، به این جهان باز می‌گردند تا حقّ خود را بازستانند و کافران نیز برمی‌خیزند تا قصاص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اعتقادی آثاری به‌همراه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سعی می‌کنند اعمالشان را به‌گونه‌ای انجام دهند که از مؤمنانی باشند که به‌همراه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رجعت می‌کنند؛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رجعت، شیعیان خالص قادرند انتقام همۀ ظلم‌هایی را بگیرند که بر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اشتیاق به شیعۀ خالص‌بودن و امید به انتقام‌گرفتن، شیعه را برای اِصلاح خویش و کسب شایستگی برای قصاص‌گرفتن از کافرانِ محض، به تحرک وامی‌دارد</w:t>
      </w:r>
      <w:r>
        <w:rPr>
          <w:rFonts w:eastAsia="IRNazanin" w:cs="IRNazanin"/>
          <w:color w:val="111111"/>
          <w:sz w:val="28"/>
          <w:szCs w:val="28"/>
          <w:rtl w:val="true"/>
          <w:lang w:bidi="fa-IR"/>
        </w:rPr>
        <w:t>.</w:t>
      </w:r>
      <w:r>
        <w:rPr>
          <w:rStyle w:val="FootnoteAnchor"/>
          <w:rtl w:val="true"/>
        </w:rPr>
        <w:footnoteReference w:id="26"/>
      </w:r>
      <w:bookmarkStart w:id="50" w:name="pg4868_35628"/>
    </w:p>
    <w:p>
      <w:pPr>
        <w:pStyle w:val="Heading2"/>
        <w:numPr>
          <w:ilvl w:val="1"/>
          <w:numId w:val="1"/>
        </w:numPr>
        <w:rPr/>
      </w:pPr>
      <w:bookmarkStart w:id="51" w:name="__RefHeading___Toc3102515_2035185390"/>
      <w:bookmarkStart w:id="52" w:name="_Toc18"/>
      <w:bookmarkEnd w:id="50"/>
      <w:bookmarkEnd w:id="51"/>
      <w:r>
        <w:rPr>
          <w:rtl w:val="true"/>
        </w:rPr>
        <w:t xml:space="preserve">رجعت‌کنندگان </w:t>
      </w:r>
      <w:r>
        <w:rPr>
          <w:rtl w:val="true"/>
        </w:rPr>
        <w:t>(</w:t>
      </w:r>
      <w:r>
        <w:rPr/>
        <w:t>۶</w:t>
      </w:r>
      <w:r>
        <w:rPr>
          <w:rtl w:val="true"/>
        </w:rPr>
        <w:t xml:space="preserve">. </w:t>
      </w:r>
      <w:r>
        <w:rPr>
          <w:rtl w:val="true"/>
        </w:rPr>
        <w:t>آیا رجعت امری همگانی است یا خاصّ برخی؟</w:t>
      </w:r>
      <w:r>
        <w:rPr>
          <w:rtl w:val="true"/>
        </w:rPr>
        <w:t>)</w:t>
      </w:r>
      <w:bookmarkEnd w:id="52"/>
    </w:p>
    <w:p>
      <w:pPr>
        <w:pStyle w:val="BookText"/>
        <w:rPr/>
      </w:pPr>
      <w:r>
        <w:rPr>
          <w:rFonts w:ascii="IRNazanin" w:hAnsi="IRNazanin" w:eastAsia="IRNazanin"/>
          <w:color w:val="111111"/>
          <w:sz w:val="28"/>
          <w:sz w:val="28"/>
          <w:szCs w:val="28"/>
          <w:rtl w:val="true"/>
          <w:lang w:bidi="fa-IR"/>
        </w:rPr>
        <w:t>پدیدۀ رجعت امری همگانی نمی‌باشد و منحصر به جمعی از مؤمنان راستین و مشرکان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گفته، حدیثی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رجعت برای همه نیست، بلکه به جمعی خاص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نمی‌کنند، مگر مؤمنان راستین و مشرکانِ فرو‌رفته در شرکِ محض؛ غیر از آنان، هیچ‌کس به دنیا باز نمی‌گردد</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فراوانی به‌صورت ویژه، خبر از رجعت افراد خاصی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اختصار می‌توان به برخی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رجعت‌کننده</w:t>
      </w:r>
      <w:r>
        <w:rPr>
          <w:rStyle w:val="FootnoteAnchor"/>
          <w:rtl w:val="true"/>
        </w:rPr>
        <w:footnoteReference w:id="28"/>
      </w:r>
      <w:r>
        <w:rPr>
          <w:rFonts w:ascii="IRNazanin" w:hAnsi="IRNazanin" w:eastAsia="IRNazanin"/>
          <w:color w:val="111111"/>
          <w:sz w:val="28"/>
          <w:sz w:val="28"/>
          <w:szCs w:val="28"/>
          <w:rtl w:val="true"/>
          <w:lang w:bidi="fa-IR"/>
        </w:rPr>
        <w:t>و برای مولاعلی‌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رجعت‌های متعددی ذکر کرده‌اند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خصوصی به برخی یاران خود بشارتِ رجعت داده‌اند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برخی روایات می‌گوید انبیای گذشته رجعت خواهند کرد</w:t>
      </w:r>
      <w:r>
        <w:rPr>
          <w:rStyle w:val="FootnoteAnchor"/>
          <w:rtl w:val="true"/>
        </w:rPr>
        <w:footnoteReference w:id="31"/>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به‌همراه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bookmarkStart w:id="53" w:name="pg4868_35633"/>
    </w:p>
    <w:p>
      <w:pPr>
        <w:pStyle w:val="Heading2"/>
        <w:numPr>
          <w:ilvl w:val="1"/>
          <w:numId w:val="1"/>
        </w:numPr>
        <w:rPr/>
      </w:pPr>
      <w:bookmarkStart w:id="54" w:name="__RefHeading___Toc3102517_2035185390"/>
      <w:bookmarkStart w:id="55" w:name="_Toc19"/>
      <w:bookmarkEnd w:id="53"/>
      <w:bookmarkEnd w:id="54"/>
      <w:r>
        <w:rPr>
          <w:rtl w:val="true"/>
        </w:rPr>
        <w:t>امام‌رضا</w:t>
      </w:r>
      <w:r>
        <w:rPr>
          <w:rtl w:val="true"/>
        </w:rPr>
        <w:t xml:space="preserve"> </w:t>
      </w:r>
      <w:r>
        <w:rPr>
          <w:rtl w:val="true"/>
        </w:rPr>
        <w:t xml:space="preserve">علیه السلام و مسئلۀ رجعت </w:t>
      </w:r>
      <w:r>
        <w:rPr>
          <w:rtl w:val="true"/>
        </w:rPr>
        <w:t>(</w:t>
      </w:r>
      <w:r>
        <w:rPr/>
        <w:t>۷</w:t>
      </w:r>
      <w:r>
        <w:rPr>
          <w:rtl w:val="true"/>
        </w:rPr>
        <w:t xml:space="preserve">. </w:t>
      </w:r>
      <w:r>
        <w:rPr>
          <w:rtl w:val="true"/>
        </w:rPr>
        <w:t>حضرت رضا</w:t>
      </w:r>
      <w:r>
        <w:rPr>
          <w:rtl w:val="true"/>
        </w:rPr>
        <w:t xml:space="preserve"> </w:t>
      </w:r>
      <w:r>
        <w:rPr>
          <w:rtl w:val="true"/>
        </w:rPr>
        <w:t xml:space="preserve">درخصوص مسئلۀ رجعت چه بیاناتی دارند؟ </w:t>
      </w:r>
      <w:r>
        <w:rPr>
          <w:rtl w:val="true"/>
        </w:rPr>
        <w:t>)</w:t>
      </w:r>
      <w:bookmarkEnd w:id="55"/>
    </w:p>
    <w:p>
      <w:pPr>
        <w:pStyle w:val="BookText"/>
        <w:rPr/>
      </w:pPr>
      <w:r>
        <w:rPr>
          <w:rFonts w:ascii="IRNazanin" w:hAnsi="IRNazanin" w:eastAsia="IRNazanin"/>
          <w:color w:val="111111"/>
          <w:sz w:val="28"/>
          <w:sz w:val="28"/>
          <w:szCs w:val="28"/>
          <w:rtl w:val="true"/>
          <w:lang w:bidi="fa-IR"/>
        </w:rPr>
        <w:t>روزی مأمون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 نظر شما دربارۀ رجعت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صحیحی است و این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جدیدی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امت‌های گذشته نیز بوده و در قرآن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قصۀ عُزیر و کسانی که از ترس مرگ، از خانه‌هایشان فرار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هرچه در امت‌های گذشته روی داده است، در این امت نیز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فرزندان من است، ظهور کند، عیسی با وی نماز خواهد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غریب بود و بار دیگر غریب خواهد شد و خوشا به‌حال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بعد از آن 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w:t>
      </w:r>
      <w:bookmarkStart w:id="56" w:name="pg4868_35635"/>
    </w:p>
    <w:p>
      <w:pPr>
        <w:pStyle w:val="BookText"/>
        <w:rPr/>
      </w:pPr>
      <w:bookmarkEnd w:id="56"/>
      <w:r>
        <w:rPr>
          <w:rFonts w:ascii="IRNazanin" w:hAnsi="IRNazanin" w:eastAsia="IRNazanin"/>
          <w:color w:val="111111"/>
          <w:sz w:val="28"/>
          <w:sz w:val="28"/>
          <w:szCs w:val="28"/>
          <w:rtl w:val="true"/>
          <w:lang w:bidi="fa-IR"/>
        </w:rPr>
        <w:t>حق‌دار خواهد رسید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57" w:name="__RefHeading___Toc3102519_2035185390"/>
      <w:bookmarkStart w:id="58" w:name="_Toc20"/>
      <w:bookmarkEnd w:id="57"/>
      <w:r>
        <w:rPr>
          <w:rtl w:val="true"/>
        </w:rPr>
        <w:t>برای مطالعۀ بیشتر</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طبسی نجفی، شیعه و رجعت، ترجمۀ محمد میرشاه‌ولد،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خدامراد سلیمان، بازگشت به دنیا در پایان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الحوزه،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الإیقاظ الهجعه بالبرهان علی الرجعه، باب</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دلیل</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حق‌بین،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رسائل الشریف،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امام‌المهدی،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آیات</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شیخ‌صدوق، 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الإحتجاج،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داستان مُردن عُزیر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پس از صد سال زنده ساخت و نیز ابراهیم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امر خداوند</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پرنده را انتخاب و آن‌ها را ذبح کرد و گوشت آنان را به‌هم آمیخت و آنگاه در چهار نقطه قرار داد؛ سپس آن‌ها را صدا زد و هریک نزد او حاضر شدند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سیدهیبت‌الله بهشتی لاری، بشارۀ الرجعه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مردگان به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محمد‌بن‌مسعود عیاشی، تفسیر العیاشی،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العلمیة الاسلامیة،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محمد‌بن‌جریر طبری، دلائل‌الامامه،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تفسیرعیاشی،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مُسند الأمام‌الرضا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image" Target="media/image9.jpeg"/><Relationship Id="rId46" Type="http://schemas.openxmlformats.org/officeDocument/2006/relationships/image" Target="media/image9.jpeg"/><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image" Target="media/image11.jpeg"/><Relationship Id="rId54" Type="http://schemas.openxmlformats.org/officeDocument/2006/relationships/image" Target="media/image11.jpeg"/><Relationship Id="rId55" Type="http://schemas.openxmlformats.org/officeDocument/2006/relationships/footer" Target="footer32.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33.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2710</Words>
  <Characters>11367</Characters>
  <CharactersWithSpaces>13880</CharactersWithSpaces>
  <Paragraphs>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2026-08-18T21:36:51Z</dcterms:created>
  <dc:creator>ghaemiyeh.com</dc:creator>
  <dc:description/>
  <dc:language>en-US</dc:language>
  <cp:lastModifiedBy/>
  <dcterms:modified xsi:type="dcterms:W3CDTF">2026-08-19T01:06:53Z</dcterms:modified>
  <cp:revision>1</cp:revision>
  <dc:subject/>
  <dc:title>رهنما 51 رجعت چیستی و چرایی</dc:title>
</cp:coreProperties>
</file>

<file path=docProps/custom.xml><?xml version="1.0" encoding="utf-8"?>
<Properties xmlns="http://schemas.openxmlformats.org/officeDocument/2006/custom-properties" xmlns:vt="http://schemas.openxmlformats.org/officeDocument/2006/docPropsVTypes"/>
</file>