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When Power and Piety Collide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74525_2749589250">
            <w:r>
              <w:rPr>
                <w:webHidden/>
                <w:rStyle w:val="IndexLink"/>
              </w:rPr>
              <w:t>BOOK ID</w:t>
              <w:tab/>
              <w:t>6</w:t>
            </w:r>
          </w:hyperlink>
        </w:p>
        <w:p>
          <w:pPr>
            <w:pStyle w:val="Contents2"/>
            <w:tabs>
              <w:tab w:val="clear" w:pos="8743"/>
              <w:tab w:val="right" w:pos="9026" w:leader="dot"/>
            </w:tabs>
            <w:bidi w:val="0"/>
            <w:rPr/>
          </w:pPr>
          <w:hyperlink w:anchor="__RefHeading___Toc4074527_2749589250">
            <w:r>
              <w:rPr>
                <w:webHidden/>
                <w:rStyle w:val="IndexLink"/>
              </w:rPr>
              <w:t>point</w:t>
              <w:tab/>
              <w:t>6</w:t>
            </w:r>
          </w:hyperlink>
        </w:p>
        <w:p>
          <w:pPr>
            <w:pStyle w:val="Contents2"/>
            <w:tabs>
              <w:tab w:val="clear" w:pos="8743"/>
              <w:tab w:val="right" w:pos="9026" w:leader="dot"/>
            </w:tabs>
            <w:bidi w:val="0"/>
            <w:rPr/>
          </w:pPr>
          <w:hyperlink w:anchor="__RefHeading___Toc4074529_2749589250">
            <w:r>
              <w:rPr>
                <w:webHidden/>
                <w:rStyle w:val="IndexLink"/>
              </w:rPr>
              <w:t>Prologue</w:t>
              <w:tab/>
              <w:t>6</w:t>
            </w:r>
          </w:hyperlink>
        </w:p>
        <w:p>
          <w:pPr>
            <w:pStyle w:val="Contents2"/>
            <w:tabs>
              <w:tab w:val="clear" w:pos="8743"/>
              <w:tab w:val="right" w:pos="9026" w:leader="dot"/>
            </w:tabs>
            <w:bidi w:val="0"/>
            <w:rPr/>
          </w:pPr>
          <w:hyperlink w:anchor="__RefHeading___Toc4074531_2749589250">
            <w:r>
              <w:rPr>
                <w:webHidden/>
                <w:rStyle w:val="IndexLink"/>
              </w:rPr>
              <w:t>Acknowledgement</w:t>
              <w:tab/>
              <w:t>13</w:t>
            </w:r>
          </w:hyperlink>
        </w:p>
        <w:p>
          <w:pPr>
            <w:pStyle w:val="Contents2"/>
            <w:tabs>
              <w:tab w:val="clear" w:pos="8743"/>
              <w:tab w:val="right" w:pos="9026" w:leader="dot"/>
            </w:tabs>
            <w:bidi w:val="0"/>
            <w:rPr/>
          </w:pPr>
          <w:hyperlink w:anchor="__RefHeading___Toc4074533_2749589250">
            <w:r>
              <w:rPr>
                <w:webHidden/>
                <w:rStyle w:val="IndexLink"/>
              </w:rPr>
              <w:t>Dedication</w:t>
              <w:tab/>
              <w:t>13</w:t>
            </w:r>
          </w:hyperlink>
        </w:p>
        <w:p>
          <w:pPr>
            <w:pStyle w:val="Contents2"/>
            <w:tabs>
              <w:tab w:val="clear" w:pos="8743"/>
              <w:tab w:val="right" w:pos="9026" w:leader="dot"/>
            </w:tabs>
            <w:bidi w:val="0"/>
            <w:rPr/>
          </w:pPr>
          <w:hyperlink w:anchor="__RefHeading___Toc4074535_2749589250">
            <w:r>
              <w:rPr>
                <w:webHidden/>
                <w:rStyle w:val="IndexLink"/>
              </w:rPr>
              <w:t>Chapter 1: Smashing the Idols of Tribalism</w:t>
              <w:tab/>
              <w:t>14</w:t>
            </w:r>
          </w:hyperlink>
        </w:p>
        <w:p>
          <w:pPr>
            <w:pStyle w:val="Contents2"/>
            <w:tabs>
              <w:tab w:val="clear" w:pos="8743"/>
              <w:tab w:val="right" w:pos="9026" w:leader="dot"/>
            </w:tabs>
            <w:bidi w:val="0"/>
            <w:rPr/>
          </w:pPr>
          <w:hyperlink w:anchor="__RefHeading___Toc4074537_2749589250">
            <w:r>
              <w:rPr>
                <w:webHidden/>
                <w:rStyle w:val="IndexLink"/>
              </w:rPr>
              <w:t>Chapter 2: Quraysh Group</w:t>
              <w:tab/>
              <w:t>18</w:t>
            </w:r>
          </w:hyperlink>
        </w:p>
        <w:p>
          <w:pPr>
            <w:pStyle w:val="Contents3"/>
            <w:tabs>
              <w:tab w:val="clear" w:pos="8459"/>
              <w:tab w:val="right" w:pos="9026" w:leader="dot"/>
            </w:tabs>
            <w:bidi w:val="0"/>
            <w:rPr/>
          </w:pPr>
          <w:hyperlink w:anchor="__RefHeading___Toc4074539_2749589250">
            <w:r>
              <w:rPr>
                <w:webHidden/>
                <w:rStyle w:val="IndexLink"/>
              </w:rPr>
              <w:t>point</w:t>
              <w:tab/>
              <w:t>18</w:t>
            </w:r>
          </w:hyperlink>
        </w:p>
        <w:p>
          <w:pPr>
            <w:pStyle w:val="Contents3"/>
            <w:tabs>
              <w:tab w:val="clear" w:pos="8459"/>
              <w:tab w:val="right" w:pos="9026" w:leader="dot"/>
            </w:tabs>
            <w:bidi w:val="0"/>
            <w:rPr/>
          </w:pPr>
          <w:hyperlink w:anchor="__RefHeading___Toc4074541_2749589250">
            <w:r>
              <w:rPr>
                <w:webHidden/>
                <w:rStyle w:val="IndexLink"/>
              </w:rPr>
              <w:t>Development of the Quraysh Group</w:t>
              <w:tab/>
              <w:t>18</w:t>
            </w:r>
          </w:hyperlink>
        </w:p>
        <w:p>
          <w:pPr>
            <w:pStyle w:val="Contents3"/>
            <w:tabs>
              <w:tab w:val="clear" w:pos="8459"/>
              <w:tab w:val="right" w:pos="9026" w:leader="dot"/>
            </w:tabs>
            <w:bidi w:val="0"/>
            <w:rPr/>
          </w:pPr>
          <w:hyperlink w:anchor="__RefHeading___Toc4074543_2749589250">
            <w:r>
              <w:rPr>
                <w:webHidden/>
                <w:rStyle w:val="IndexLink"/>
              </w:rPr>
              <w:t>Objective of the Quraysh Group</w:t>
              <w:tab/>
              <w:t>19</w:t>
            </w:r>
          </w:hyperlink>
        </w:p>
        <w:p>
          <w:pPr>
            <w:pStyle w:val="Contents3"/>
            <w:tabs>
              <w:tab w:val="clear" w:pos="8459"/>
              <w:tab w:val="right" w:pos="9026" w:leader="dot"/>
            </w:tabs>
            <w:bidi w:val="0"/>
            <w:rPr/>
          </w:pPr>
          <w:hyperlink w:anchor="__RefHeading___Toc4074545_2749589250">
            <w:r>
              <w:rPr>
                <w:webHidden/>
                <w:rStyle w:val="IndexLink"/>
              </w:rPr>
              <w:t>Emergence of the Quraysh Group</w:t>
              <w:tab/>
              <w:t>20</w:t>
            </w:r>
          </w:hyperlink>
        </w:p>
        <w:p>
          <w:pPr>
            <w:pStyle w:val="Contents3"/>
            <w:tabs>
              <w:tab w:val="clear" w:pos="8459"/>
              <w:tab w:val="right" w:pos="9026" w:leader="dot"/>
            </w:tabs>
            <w:bidi w:val="0"/>
            <w:rPr/>
          </w:pPr>
          <w:hyperlink w:anchor="__RefHeading___Toc4074547_2749589250">
            <w:r>
              <w:rPr>
                <w:webHidden/>
                <w:rStyle w:val="IndexLink"/>
              </w:rPr>
              <w:t>Quraysh Group Appears on the Scene</w:t>
              <w:tab/>
              <w:t>23</w:t>
            </w:r>
          </w:hyperlink>
        </w:p>
        <w:p>
          <w:pPr>
            <w:pStyle w:val="Contents3"/>
            <w:tabs>
              <w:tab w:val="clear" w:pos="8459"/>
              <w:tab w:val="right" w:pos="9026" w:leader="dot"/>
            </w:tabs>
            <w:bidi w:val="0"/>
            <w:rPr/>
          </w:pPr>
          <w:hyperlink w:anchor="__RefHeading___Toc4074549_2749589250">
            <w:r>
              <w:rPr>
                <w:webHidden/>
                <w:rStyle w:val="IndexLink"/>
              </w:rPr>
              <w:t>“</w:t>
            </w:r>
            <w:r>
              <w:rPr>
                <w:rStyle w:val="IndexLink"/>
              </w:rPr>
              <w:t>Calamity of Thursday”</w:t>
              <w:tab/>
              <w:t>23</w:t>
            </w:r>
          </w:hyperlink>
        </w:p>
        <w:p>
          <w:pPr>
            <w:pStyle w:val="Contents2"/>
            <w:tabs>
              <w:tab w:val="clear" w:pos="8743"/>
              <w:tab w:val="right" w:pos="9026" w:leader="dot"/>
            </w:tabs>
            <w:bidi w:val="0"/>
            <w:rPr/>
          </w:pPr>
          <w:hyperlink w:anchor="__RefHeading___Toc4074551_2749589250">
            <w:r>
              <w:rPr>
                <w:webHidden/>
                <w:rStyle w:val="IndexLink"/>
              </w:rPr>
              <w:t>Chapter 3: The Saqifah Union</w:t>
              <w:tab/>
              <w:t>25</w:t>
            </w:r>
          </w:hyperlink>
        </w:p>
        <w:p>
          <w:pPr>
            <w:pStyle w:val="Contents3"/>
            <w:tabs>
              <w:tab w:val="clear" w:pos="8459"/>
              <w:tab w:val="right" w:pos="9026" w:leader="dot"/>
            </w:tabs>
            <w:bidi w:val="0"/>
            <w:rPr/>
          </w:pPr>
          <w:hyperlink w:anchor="__RefHeading___Toc4074553_2749589250">
            <w:r>
              <w:rPr>
                <w:webHidden/>
                <w:rStyle w:val="IndexLink"/>
              </w:rPr>
              <w:t>point</w:t>
              <w:tab/>
              <w:t>25</w:t>
            </w:r>
          </w:hyperlink>
        </w:p>
        <w:p>
          <w:pPr>
            <w:pStyle w:val="Contents3"/>
            <w:tabs>
              <w:tab w:val="clear" w:pos="8459"/>
              <w:tab w:val="right" w:pos="9026" w:leader="dot"/>
            </w:tabs>
            <w:bidi w:val="0"/>
            <w:rPr/>
          </w:pPr>
          <w:hyperlink w:anchor="__RefHeading___Toc4074555_2749589250">
            <w:r>
              <w:rPr>
                <w:webHidden/>
                <w:rStyle w:val="IndexLink"/>
              </w:rPr>
              <w:t>Chronicles of Saqifah</w:t>
              <w:tab/>
              <w:t>25</w:t>
            </w:r>
          </w:hyperlink>
        </w:p>
        <w:p>
          <w:pPr>
            <w:pStyle w:val="Contents2"/>
            <w:tabs>
              <w:tab w:val="clear" w:pos="8743"/>
              <w:tab w:val="right" w:pos="9026" w:leader="dot"/>
            </w:tabs>
            <w:bidi w:val="0"/>
            <w:rPr/>
          </w:pPr>
          <w:hyperlink w:anchor="__RefHeading___Toc4074557_2749589250">
            <w:r>
              <w:rPr>
                <w:webHidden/>
                <w:rStyle w:val="IndexLink"/>
              </w:rPr>
              <w:t>Chapter 4: Political Policies of Quraysh</w:t>
              <w:tab/>
              <w:t>38</w:t>
            </w:r>
          </w:hyperlink>
        </w:p>
        <w:p>
          <w:pPr>
            <w:pStyle w:val="Contents3"/>
            <w:tabs>
              <w:tab w:val="clear" w:pos="8459"/>
              <w:tab w:val="right" w:pos="9026" w:leader="dot"/>
            </w:tabs>
            <w:bidi w:val="0"/>
            <w:rPr/>
          </w:pPr>
          <w:hyperlink w:anchor="__RefHeading___Toc4074559_2749589250">
            <w:r>
              <w:rPr>
                <w:webHidden/>
                <w:rStyle w:val="IndexLink"/>
              </w:rPr>
              <w:t>point</w:t>
              <w:tab/>
              <w:t>38</w:t>
            </w:r>
          </w:hyperlink>
        </w:p>
        <w:p>
          <w:pPr>
            <w:pStyle w:val="Contents3"/>
            <w:tabs>
              <w:tab w:val="clear" w:pos="8459"/>
              <w:tab w:val="right" w:pos="9026" w:leader="dot"/>
            </w:tabs>
            <w:bidi w:val="0"/>
            <w:rPr/>
          </w:pPr>
          <w:hyperlink w:anchor="__RefHeading___Toc4074561_2749589250">
            <w:r>
              <w:rPr>
                <w:webHidden/>
                <w:rStyle w:val="IndexLink"/>
              </w:rPr>
              <w:t>Political Practices of the Quraysh Group</w:t>
              <w:tab/>
              <w:t>38</w:t>
            </w:r>
          </w:hyperlink>
        </w:p>
        <w:p>
          <w:pPr>
            <w:pStyle w:val="Contents3"/>
            <w:tabs>
              <w:tab w:val="clear" w:pos="8459"/>
              <w:tab w:val="right" w:pos="9026" w:leader="dot"/>
            </w:tabs>
            <w:bidi w:val="0"/>
            <w:rPr/>
          </w:pPr>
          <w:hyperlink w:anchor="__RefHeading___Toc4074563_2749589250">
            <w:r>
              <w:rPr>
                <w:webHidden/>
                <w:rStyle w:val="IndexLink"/>
              </w:rPr>
              <w:t>Selection of the First Six Caliphs</w:t>
              <w:tab/>
              <w:t>40</w:t>
            </w:r>
          </w:hyperlink>
        </w:p>
        <w:p>
          <w:pPr>
            <w:pStyle w:val="Contents3"/>
            <w:tabs>
              <w:tab w:val="clear" w:pos="8459"/>
              <w:tab w:val="right" w:pos="9026" w:leader="dot"/>
            </w:tabs>
            <w:bidi w:val="0"/>
            <w:rPr/>
          </w:pPr>
          <w:hyperlink w:anchor="__RefHeading___Toc4074565_2749589250">
            <w:r>
              <w:rPr>
                <w:webHidden/>
                <w:rStyle w:val="IndexLink"/>
              </w:rPr>
              <w:t>Dialogue between Abdullah Ibn al-Abbas and ‘Umar Ibn al-Khattab</w:t>
              <w:tab/>
              <w:t>45</w:t>
            </w:r>
          </w:hyperlink>
        </w:p>
        <w:p>
          <w:pPr>
            <w:pStyle w:val="Contents2"/>
            <w:tabs>
              <w:tab w:val="clear" w:pos="8743"/>
              <w:tab w:val="right" w:pos="9026" w:leader="dot"/>
            </w:tabs>
            <w:bidi w:val="0"/>
            <w:rPr/>
          </w:pPr>
          <w:hyperlink w:anchor="__RefHeading___Toc4074567_2749589250">
            <w:r>
              <w:rPr>
                <w:webHidden/>
                <w:rStyle w:val="IndexLink"/>
              </w:rPr>
              <w:t>Chapter 5: Backlash</w:t>
              <w:tab/>
              <w:t>48</w:t>
            </w:r>
          </w:hyperlink>
        </w:p>
        <w:p>
          <w:pPr>
            <w:pStyle w:val="Contents3"/>
            <w:tabs>
              <w:tab w:val="clear" w:pos="8459"/>
              <w:tab w:val="right" w:pos="9026" w:leader="dot"/>
            </w:tabs>
            <w:bidi w:val="0"/>
            <w:rPr/>
          </w:pPr>
          <w:hyperlink w:anchor="__RefHeading___Toc4074569_2749589250">
            <w:r>
              <w:rPr>
                <w:webHidden/>
                <w:rStyle w:val="IndexLink"/>
              </w:rPr>
              <w:t>point</w:t>
              <w:tab/>
              <w:t>48</w:t>
            </w:r>
          </w:hyperlink>
        </w:p>
        <w:p>
          <w:pPr>
            <w:pStyle w:val="Contents3"/>
            <w:tabs>
              <w:tab w:val="clear" w:pos="8459"/>
              <w:tab w:val="right" w:pos="9026" w:leader="dot"/>
            </w:tabs>
            <w:bidi w:val="0"/>
            <w:rPr/>
          </w:pPr>
          <w:hyperlink w:anchor="__RefHeading___Toc4074571_2749589250">
            <w:r>
              <w:rPr>
                <w:webHidden/>
                <w:rStyle w:val="IndexLink"/>
              </w:rPr>
              <w:t>Attempt to Burn the House of Fatima al-Zahra</w:t>
              <w:tab/>
              <w:t>48</w:t>
            </w:r>
          </w:hyperlink>
        </w:p>
        <w:p>
          <w:pPr>
            <w:pStyle w:val="Contents3"/>
            <w:tabs>
              <w:tab w:val="clear" w:pos="8459"/>
              <w:tab w:val="right" w:pos="9026" w:leader="dot"/>
            </w:tabs>
            <w:bidi w:val="0"/>
            <w:rPr/>
          </w:pPr>
          <w:hyperlink w:anchor="__RefHeading___Toc4074573_2749589250">
            <w:r>
              <w:rPr>
                <w:webHidden/>
                <w:rStyle w:val="IndexLink"/>
              </w:rPr>
              <w:t>Regret for the Actions Taken Against Fatima</w:t>
              <w:tab/>
              <w:t>53</w:t>
            </w:r>
          </w:hyperlink>
        </w:p>
        <w:p>
          <w:pPr>
            <w:pStyle w:val="Contents3"/>
            <w:tabs>
              <w:tab w:val="clear" w:pos="8459"/>
              <w:tab w:val="right" w:pos="9026" w:leader="dot"/>
            </w:tabs>
            <w:bidi w:val="0"/>
            <w:rPr/>
          </w:pPr>
          <w:hyperlink w:anchor="__RefHeading___Toc4074575_2749589250">
            <w:r>
              <w:rPr>
                <w:webHidden/>
                <w:rStyle w:val="IndexLink"/>
              </w:rPr>
              <w:t>Usurping the Land of Fadak</w:t>
              <w:tab/>
              <w:t>55</w:t>
            </w:r>
          </w:hyperlink>
        </w:p>
        <w:p>
          <w:pPr>
            <w:pStyle w:val="Contents3"/>
            <w:tabs>
              <w:tab w:val="clear" w:pos="8459"/>
              <w:tab w:val="right" w:pos="9026" w:leader="dot"/>
            </w:tabs>
            <w:bidi w:val="0"/>
            <w:rPr/>
          </w:pPr>
          <w:hyperlink w:anchor="__RefHeading___Toc4074577_2749589250">
            <w:r>
              <w:rPr>
                <w:webHidden/>
                <w:rStyle w:val="IndexLink"/>
              </w:rPr>
              <w:t>Story of Fadak</w:t>
              <w:tab/>
              <w:t>57</w:t>
            </w:r>
          </w:hyperlink>
        </w:p>
        <w:p>
          <w:pPr>
            <w:pStyle w:val="Contents3"/>
            <w:tabs>
              <w:tab w:val="clear" w:pos="8459"/>
              <w:tab w:val="right" w:pos="9026" w:leader="dot"/>
            </w:tabs>
            <w:bidi w:val="0"/>
            <w:rPr/>
          </w:pPr>
          <w:hyperlink w:anchor="__RefHeading___Toc4074579_2749589250">
            <w:r>
              <w:rPr>
                <w:webHidden/>
                <w:rStyle w:val="IndexLink"/>
              </w:rPr>
              <w:t>Stand Against Imam ‘Ali</w:t>
              <w:tab/>
              <w:t>68</w:t>
            </w:r>
          </w:hyperlink>
        </w:p>
        <w:p>
          <w:pPr>
            <w:pStyle w:val="Contents2"/>
            <w:tabs>
              <w:tab w:val="clear" w:pos="8743"/>
              <w:tab w:val="right" w:pos="9026" w:leader="dot"/>
            </w:tabs>
            <w:bidi w:val="0"/>
            <w:rPr/>
          </w:pPr>
          <w:hyperlink w:anchor="__RefHeading___Toc4074581_2749589250">
            <w:r>
              <w:rPr>
                <w:webHidden/>
                <w:rStyle w:val="IndexLink"/>
              </w:rPr>
              <w:t>Chapter 6: Transition of the Group</w:t>
              <w:tab/>
              <w:t>70</w:t>
            </w:r>
          </w:hyperlink>
        </w:p>
        <w:p>
          <w:pPr>
            <w:pStyle w:val="Contents3"/>
            <w:tabs>
              <w:tab w:val="clear" w:pos="8459"/>
              <w:tab w:val="right" w:pos="9026" w:leader="dot"/>
            </w:tabs>
            <w:bidi w:val="0"/>
            <w:rPr/>
          </w:pPr>
          <w:hyperlink w:anchor="__RefHeading___Toc4074583_2749589250">
            <w:r>
              <w:rPr>
                <w:webHidden/>
                <w:rStyle w:val="IndexLink"/>
              </w:rPr>
              <w:t>point</w:t>
              <w:tab/>
              <w:t>70</w:t>
            </w:r>
          </w:hyperlink>
        </w:p>
        <w:p>
          <w:pPr>
            <w:pStyle w:val="Contents3"/>
            <w:tabs>
              <w:tab w:val="clear" w:pos="8459"/>
              <w:tab w:val="right" w:pos="9026" w:leader="dot"/>
            </w:tabs>
            <w:bidi w:val="0"/>
            <w:rPr/>
          </w:pPr>
          <w:hyperlink w:anchor="__RefHeading___Toc4074585_2749589250">
            <w:r>
              <w:rPr>
                <w:webHidden/>
                <w:rStyle w:val="IndexLink"/>
              </w:rPr>
              <w:t>The Cursed Tree</w:t>
              <w:tab/>
              <w:t>70</w:t>
            </w:r>
          </w:hyperlink>
        </w:p>
        <w:p>
          <w:pPr>
            <w:pStyle w:val="Contents2"/>
            <w:tabs>
              <w:tab w:val="clear" w:pos="8743"/>
              <w:tab w:val="right" w:pos="9026" w:leader="dot"/>
            </w:tabs>
            <w:bidi w:val="0"/>
            <w:rPr/>
          </w:pPr>
          <w:hyperlink w:anchor="__RefHeading___Toc4074587_2749589250">
            <w:r>
              <w:rPr>
                <w:webHidden/>
                <w:rStyle w:val="IndexLink"/>
              </w:rPr>
              <w:t>Chapter 7: Prohibition of Transcribing the Hadith</w:t>
              <w:tab/>
              <w:t>74</w:t>
            </w:r>
          </w:hyperlink>
        </w:p>
        <w:p>
          <w:pPr>
            <w:pStyle w:val="Contents2"/>
            <w:tabs>
              <w:tab w:val="clear" w:pos="8743"/>
              <w:tab w:val="right" w:pos="9026" w:leader="dot"/>
            </w:tabs>
            <w:bidi w:val="0"/>
            <w:rPr/>
          </w:pPr>
          <w:hyperlink w:anchor="__RefHeading___Toc4074589_2749589250">
            <w:r>
              <w:rPr>
                <w:webHidden/>
                <w:rStyle w:val="IndexLink"/>
              </w:rPr>
              <w:t>Chapter 8: Legacy of the Quraysh on the Hadith</w:t>
              <w:tab/>
              <w:t>84</w:t>
            </w:r>
          </w:hyperlink>
        </w:p>
        <w:p>
          <w:pPr>
            <w:pStyle w:val="Contents3"/>
            <w:tabs>
              <w:tab w:val="clear" w:pos="8459"/>
              <w:tab w:val="right" w:pos="9026" w:leader="dot"/>
            </w:tabs>
            <w:bidi w:val="0"/>
            <w:rPr/>
          </w:pPr>
          <w:hyperlink w:anchor="__RefHeading___Toc4074591_2749589250">
            <w:r>
              <w:rPr>
                <w:webHidden/>
                <w:rStyle w:val="IndexLink"/>
              </w:rPr>
              <w:t>point</w:t>
              <w:tab/>
              <w:t>84</w:t>
            </w:r>
          </w:hyperlink>
        </w:p>
        <w:p>
          <w:pPr>
            <w:pStyle w:val="Contents3"/>
            <w:tabs>
              <w:tab w:val="clear" w:pos="8459"/>
              <w:tab w:val="right" w:pos="9026" w:leader="dot"/>
            </w:tabs>
            <w:bidi w:val="0"/>
            <w:rPr/>
          </w:pPr>
          <w:hyperlink w:anchor="__RefHeading___Toc4074593_2749589250">
            <w:r>
              <w:rPr>
                <w:webHidden/>
                <w:rStyle w:val="IndexLink"/>
              </w:rPr>
              <w:t>Hadith of the “Ten People Guaranteed Paradise”</w:t>
              <w:tab/>
              <w:t>86</w:t>
            </w:r>
          </w:hyperlink>
        </w:p>
        <w:p>
          <w:pPr>
            <w:pStyle w:val="Contents3"/>
            <w:tabs>
              <w:tab w:val="clear" w:pos="8459"/>
              <w:tab w:val="right" w:pos="9026" w:leader="dot"/>
            </w:tabs>
            <w:bidi w:val="0"/>
            <w:rPr/>
          </w:pPr>
          <w:hyperlink w:anchor="__RefHeading___Toc4074595_2749589250">
            <w:r>
              <w:rPr>
                <w:webHidden/>
                <w:rStyle w:val="IndexLink"/>
              </w:rPr>
              <w:t>‘</w:t>
            </w:r>
            <w:r>
              <w:rPr>
                <w:rStyle w:val="IndexLink"/>
              </w:rPr>
              <w:t>Umar Ibn al-Khattab</w:t>
              <w:tab/>
              <w:t>88</w:t>
            </w:r>
          </w:hyperlink>
        </w:p>
        <w:p>
          <w:pPr>
            <w:pStyle w:val="Contents3"/>
            <w:tabs>
              <w:tab w:val="clear" w:pos="8459"/>
              <w:tab w:val="right" w:pos="9026" w:leader="dot"/>
            </w:tabs>
            <w:bidi w:val="0"/>
            <w:rPr/>
          </w:pPr>
          <w:hyperlink w:anchor="__RefHeading___Toc4074597_2749589250">
            <w:r>
              <w:rPr>
                <w:webHidden/>
                <w:rStyle w:val="IndexLink"/>
              </w:rPr>
              <w:t>Fabrications Involving the Qur’an</w:t>
              <w:tab/>
              <w:t>96</w:t>
            </w:r>
          </w:hyperlink>
        </w:p>
        <w:p>
          <w:pPr>
            <w:pStyle w:val="Contents3"/>
            <w:tabs>
              <w:tab w:val="clear" w:pos="8459"/>
              <w:tab w:val="right" w:pos="9026" w:leader="dot"/>
            </w:tabs>
            <w:bidi w:val="0"/>
            <w:rPr/>
          </w:pPr>
          <w:hyperlink w:anchor="__RefHeading___Toc4074599_2749589250">
            <w:r>
              <w:rPr>
                <w:webHidden/>
                <w:rStyle w:val="IndexLink"/>
              </w:rPr>
              <w:t>Hadith of the Twelve Successors</w:t>
              <w:tab/>
              <w:t>97</w:t>
            </w:r>
          </w:hyperlink>
        </w:p>
        <w:p>
          <w:pPr>
            <w:pStyle w:val="Contents3"/>
            <w:tabs>
              <w:tab w:val="clear" w:pos="8459"/>
              <w:tab w:val="right" w:pos="9026" w:leader="dot"/>
            </w:tabs>
            <w:bidi w:val="0"/>
            <w:rPr/>
          </w:pPr>
          <w:hyperlink w:anchor="__RefHeading___Toc4074601_2749589250">
            <w:r>
              <w:rPr>
                <w:webHidden/>
                <w:rStyle w:val="IndexLink"/>
              </w:rPr>
              <w:t>Where Did the Hadith Fictions Come From?</w:t>
              <w:tab/>
              <w:t>99</w:t>
            </w:r>
          </w:hyperlink>
        </w:p>
        <w:p>
          <w:pPr>
            <w:pStyle w:val="Contents2"/>
            <w:tabs>
              <w:tab w:val="clear" w:pos="8743"/>
              <w:tab w:val="right" w:pos="9026" w:leader="dot"/>
            </w:tabs>
            <w:bidi w:val="0"/>
            <w:rPr/>
          </w:pPr>
          <w:hyperlink w:anchor="__RefHeading___Toc4074603_2749589250">
            <w:r>
              <w:rPr>
                <w:webHidden/>
                <w:rStyle w:val="IndexLink"/>
              </w:rPr>
              <w:t>Chapter 9: Arduous Truth</w:t>
              <w:tab/>
              <w:t>101</w:t>
            </w:r>
          </w:hyperlink>
        </w:p>
        <w:p>
          <w:pPr>
            <w:pStyle w:val="Contents3"/>
            <w:tabs>
              <w:tab w:val="clear" w:pos="8459"/>
              <w:tab w:val="right" w:pos="9026" w:leader="dot"/>
            </w:tabs>
            <w:bidi w:val="0"/>
            <w:rPr/>
          </w:pPr>
          <w:hyperlink w:anchor="__RefHeading___Toc4074605_2749589250">
            <w:r>
              <w:rPr>
                <w:webHidden/>
                <w:rStyle w:val="IndexLink"/>
              </w:rPr>
              <w:t>point</w:t>
              <w:tab/>
              <w:t>101</w:t>
            </w:r>
          </w:hyperlink>
        </w:p>
        <w:p>
          <w:pPr>
            <w:pStyle w:val="Contents3"/>
            <w:tabs>
              <w:tab w:val="clear" w:pos="8459"/>
              <w:tab w:val="right" w:pos="9026" w:leader="dot"/>
            </w:tabs>
            <w:bidi w:val="0"/>
            <w:rPr/>
          </w:pPr>
          <w:hyperlink w:anchor="__RefHeading___Toc4074607_2749589250">
            <w:r>
              <w:rPr>
                <w:webHidden/>
                <w:rStyle w:val="IndexLink"/>
              </w:rPr>
              <w:t>Defining Sahabah</w:t>
              <w:tab/>
              <w:t>102</w:t>
            </w:r>
          </w:hyperlink>
        </w:p>
        <w:p>
          <w:pPr>
            <w:pStyle w:val="Contents3"/>
            <w:tabs>
              <w:tab w:val="clear" w:pos="8459"/>
              <w:tab w:val="right" w:pos="9026" w:leader="dot"/>
            </w:tabs>
            <w:bidi w:val="0"/>
            <w:rPr/>
          </w:pPr>
          <w:hyperlink w:anchor="__RefHeading___Toc4074609_2749589250">
            <w:r>
              <w:rPr>
                <w:webHidden/>
                <w:rStyle w:val="IndexLink"/>
              </w:rPr>
              <w:t>How the Sahabahs Define “Companionship”</w:t>
              <w:tab/>
              <w:t>103</w:t>
            </w:r>
          </w:hyperlink>
        </w:p>
        <w:p>
          <w:pPr>
            <w:pStyle w:val="Contents4"/>
            <w:tabs>
              <w:tab w:val="clear" w:pos="8176"/>
              <w:tab w:val="right" w:pos="9026" w:leader="dot"/>
            </w:tabs>
            <w:bidi w:val="0"/>
            <w:rPr/>
          </w:pPr>
          <w:hyperlink w:anchor="__RefHeading___Toc4074611_2749589250">
            <w:r>
              <w:rPr>
                <w:webHidden/>
                <w:rStyle w:val="IndexLink"/>
              </w:rPr>
              <w:t>point</w:t>
              <w:tab/>
              <w:t>103</w:t>
            </w:r>
          </w:hyperlink>
        </w:p>
        <w:p>
          <w:pPr>
            <w:pStyle w:val="Contents4"/>
            <w:tabs>
              <w:tab w:val="clear" w:pos="8176"/>
              <w:tab w:val="right" w:pos="9026" w:leader="dot"/>
            </w:tabs>
            <w:bidi w:val="0"/>
            <w:rPr/>
          </w:pPr>
          <w:hyperlink w:anchor="__RefHeading___Toc4074613_2749589250">
            <w:r>
              <w:rPr>
                <w:webHidden/>
                <w:rStyle w:val="IndexLink"/>
              </w:rPr>
              <w:t>(1) Al-Firqa al-Kamiliyah and the Ghulat</w:t>
              <w:tab/>
              <w:t>103</w:t>
            </w:r>
          </w:hyperlink>
        </w:p>
        <w:p>
          <w:pPr>
            <w:pStyle w:val="Contents4"/>
            <w:tabs>
              <w:tab w:val="clear" w:pos="8176"/>
              <w:tab w:val="right" w:pos="9026" w:leader="dot"/>
            </w:tabs>
            <w:bidi w:val="0"/>
            <w:rPr/>
          </w:pPr>
          <w:hyperlink w:anchor="__RefHeading___Toc4074615_2749589250">
            <w:r>
              <w:rPr>
                <w:webHidden/>
                <w:rStyle w:val="IndexLink"/>
              </w:rPr>
              <w:t>(2) Adalat al-Sahabah, Integrity of the Companions</w:t>
              <w:tab/>
              <w:t>103</w:t>
            </w:r>
          </w:hyperlink>
        </w:p>
        <w:p>
          <w:pPr>
            <w:pStyle w:val="Contents4"/>
            <w:tabs>
              <w:tab w:val="clear" w:pos="8176"/>
              <w:tab w:val="right" w:pos="9026" w:leader="dot"/>
            </w:tabs>
            <w:bidi w:val="0"/>
            <w:rPr/>
          </w:pPr>
          <w:hyperlink w:anchor="__RefHeading___Toc4074617_2749589250">
            <w:r>
              <w:rPr>
                <w:webHidden/>
                <w:rStyle w:val="IndexLink"/>
              </w:rPr>
              <w:t>(3) The Qur’an, the Prophet, and the Ahlul Bayt</w:t>
              <w:tab/>
              <w:t>103</w:t>
            </w:r>
          </w:hyperlink>
        </w:p>
        <w:p>
          <w:pPr>
            <w:pStyle w:val="Contents3"/>
            <w:tabs>
              <w:tab w:val="clear" w:pos="8459"/>
              <w:tab w:val="right" w:pos="9026" w:leader="dot"/>
            </w:tabs>
            <w:bidi w:val="0"/>
            <w:rPr/>
          </w:pPr>
          <w:hyperlink w:anchor="__RefHeading___Toc4074619_2749589250">
            <w:r>
              <w:rPr>
                <w:webHidden/>
                <w:rStyle w:val="IndexLink"/>
              </w:rPr>
              <w:t>Hadith of “the Stars”</w:t>
              <w:tab/>
              <w:t>105</w:t>
            </w:r>
          </w:hyperlink>
        </w:p>
        <w:p>
          <w:pPr>
            <w:pStyle w:val="Contents3"/>
            <w:tabs>
              <w:tab w:val="clear" w:pos="8459"/>
              <w:tab w:val="right" w:pos="9026" w:leader="dot"/>
            </w:tabs>
            <w:bidi w:val="0"/>
            <w:rPr/>
          </w:pPr>
          <w:hyperlink w:anchor="__RefHeading___Toc4074621_2749589250">
            <w:r>
              <w:rPr>
                <w:webHidden/>
                <w:rStyle w:val="IndexLink"/>
              </w:rPr>
              <w:t>Flaws found in the Companions in the Established Hadith</w:t>
              <w:tab/>
              <w:t>106</w:t>
            </w:r>
          </w:hyperlink>
        </w:p>
        <w:p>
          <w:pPr>
            <w:pStyle w:val="Contents3"/>
            <w:tabs>
              <w:tab w:val="clear" w:pos="8459"/>
              <w:tab w:val="right" w:pos="9026" w:leader="dot"/>
            </w:tabs>
            <w:bidi w:val="0"/>
            <w:rPr/>
          </w:pPr>
          <w:hyperlink w:anchor="__RefHeading___Toc4074623_2749589250">
            <w:r>
              <w:rPr>
                <w:webHidden/>
                <w:rStyle w:val="IndexLink"/>
              </w:rPr>
              <w:t>Participation of the Companions in the Battles</w:t>
              <w:tab/>
              <w:t>106</w:t>
            </w:r>
          </w:hyperlink>
        </w:p>
        <w:p>
          <w:pPr>
            <w:pStyle w:val="Contents4"/>
            <w:tabs>
              <w:tab w:val="clear" w:pos="8176"/>
              <w:tab w:val="right" w:pos="9026" w:leader="dot"/>
            </w:tabs>
            <w:bidi w:val="0"/>
            <w:rPr/>
          </w:pPr>
          <w:hyperlink w:anchor="__RefHeading___Toc4074625_2749589250">
            <w:r>
              <w:rPr>
                <w:webHidden/>
                <w:rStyle w:val="IndexLink"/>
              </w:rPr>
              <w:t>point</w:t>
              <w:tab/>
              <w:t>106</w:t>
            </w:r>
          </w:hyperlink>
        </w:p>
        <w:p>
          <w:pPr>
            <w:pStyle w:val="Contents4"/>
            <w:tabs>
              <w:tab w:val="clear" w:pos="8176"/>
              <w:tab w:val="right" w:pos="9026" w:leader="dot"/>
            </w:tabs>
            <w:bidi w:val="0"/>
            <w:rPr/>
          </w:pPr>
          <w:hyperlink w:anchor="__RefHeading___Toc4074627_2749589250">
            <w:r>
              <w:rPr>
                <w:webHidden/>
                <w:rStyle w:val="IndexLink"/>
              </w:rPr>
              <w:t>Battle of Uhud</w:t>
              <w:tab/>
              <w:t>107</w:t>
            </w:r>
          </w:hyperlink>
        </w:p>
        <w:p>
          <w:pPr>
            <w:pStyle w:val="Contents4"/>
            <w:tabs>
              <w:tab w:val="clear" w:pos="8176"/>
              <w:tab w:val="right" w:pos="9026" w:leader="dot"/>
            </w:tabs>
            <w:bidi w:val="0"/>
            <w:rPr/>
          </w:pPr>
          <w:hyperlink w:anchor="__RefHeading___Toc4074629_2749589250">
            <w:r>
              <w:rPr>
                <w:webHidden/>
                <w:rStyle w:val="IndexLink"/>
              </w:rPr>
              <w:t>Battle of Badr</w:t>
              <w:tab/>
              <w:t>109</w:t>
            </w:r>
          </w:hyperlink>
        </w:p>
        <w:p>
          <w:pPr>
            <w:pStyle w:val="Contents4"/>
            <w:tabs>
              <w:tab w:val="clear" w:pos="8176"/>
              <w:tab w:val="right" w:pos="9026" w:leader="dot"/>
            </w:tabs>
            <w:bidi w:val="0"/>
            <w:rPr/>
          </w:pPr>
          <w:hyperlink w:anchor="__RefHeading___Toc4074631_2749589250">
            <w:r>
              <w:rPr>
                <w:webHidden/>
                <w:rStyle w:val="IndexLink"/>
              </w:rPr>
              <w:t>Battle of Khaybar</w:t>
              <w:tab/>
              <w:t>110</w:t>
            </w:r>
          </w:hyperlink>
        </w:p>
        <w:p>
          <w:pPr>
            <w:pStyle w:val="Contents4"/>
            <w:tabs>
              <w:tab w:val="clear" w:pos="8176"/>
              <w:tab w:val="right" w:pos="9026" w:leader="dot"/>
            </w:tabs>
            <w:bidi w:val="0"/>
            <w:rPr/>
          </w:pPr>
          <w:hyperlink w:anchor="__RefHeading___Toc4074633_2749589250">
            <w:r>
              <w:rPr>
                <w:webHidden/>
                <w:rStyle w:val="IndexLink"/>
              </w:rPr>
              <w:t>Battle of Hunayn</w:t>
              <w:tab/>
              <w:t>111</w:t>
            </w:r>
          </w:hyperlink>
        </w:p>
        <w:p>
          <w:pPr>
            <w:pStyle w:val="Contents3"/>
            <w:tabs>
              <w:tab w:val="clear" w:pos="8459"/>
              <w:tab w:val="right" w:pos="9026" w:leader="dot"/>
            </w:tabs>
            <w:bidi w:val="0"/>
            <w:rPr/>
          </w:pPr>
          <w:hyperlink w:anchor="__RefHeading___Toc4074635_2749589250">
            <w:r>
              <w:rPr>
                <w:webHidden/>
                <w:rStyle w:val="IndexLink"/>
              </w:rPr>
              <w:t>Conquests of the First Three Caliphs</w:t>
              <w:tab/>
              <w:t>112</w:t>
            </w:r>
          </w:hyperlink>
        </w:p>
        <w:p>
          <w:pPr>
            <w:pStyle w:val="Contents3"/>
            <w:tabs>
              <w:tab w:val="clear" w:pos="8459"/>
              <w:tab w:val="right" w:pos="9026" w:leader="dot"/>
            </w:tabs>
            <w:bidi w:val="0"/>
            <w:rPr/>
          </w:pPr>
          <w:hyperlink w:anchor="__RefHeading___Toc4074637_2749589250">
            <w:r>
              <w:rPr>
                <w:webHidden/>
                <w:rStyle w:val="IndexLink"/>
              </w:rPr>
              <w:t>A Brief Introduction to the Prophet’s Companions</w:t>
              <w:tab/>
              <w:t>113</w:t>
            </w:r>
          </w:hyperlink>
        </w:p>
        <w:p>
          <w:pPr>
            <w:pStyle w:val="Contents4"/>
            <w:tabs>
              <w:tab w:val="clear" w:pos="8176"/>
              <w:tab w:val="right" w:pos="9026" w:leader="dot"/>
            </w:tabs>
            <w:bidi w:val="0"/>
            <w:rPr/>
          </w:pPr>
          <w:hyperlink w:anchor="__RefHeading___Toc4074639_2749589250">
            <w:r>
              <w:rPr>
                <w:webHidden/>
                <w:rStyle w:val="IndexLink"/>
              </w:rPr>
              <w:t>Abu Bakr (Ibn Abi Quhafah)</w:t>
              <w:tab/>
              <w:t>113</w:t>
            </w:r>
          </w:hyperlink>
        </w:p>
        <w:p>
          <w:pPr>
            <w:pStyle w:val="Contents4"/>
            <w:tabs>
              <w:tab w:val="clear" w:pos="8176"/>
              <w:tab w:val="right" w:pos="9026" w:leader="dot"/>
            </w:tabs>
            <w:bidi w:val="0"/>
            <w:rPr/>
          </w:pPr>
          <w:hyperlink w:anchor="__RefHeading___Toc4074641_2749589250">
            <w:r>
              <w:rPr>
                <w:webHidden/>
                <w:rStyle w:val="IndexLink"/>
              </w:rPr>
              <w:t>‘</w:t>
            </w:r>
            <w:r>
              <w:rPr>
                <w:rStyle w:val="IndexLink"/>
              </w:rPr>
              <w:t>Umar Ibn al-Khattab Ibn Nafeel Ibn Uday Ibn Ka’ab</w:t>
              <w:tab/>
              <w:t>114</w:t>
            </w:r>
          </w:hyperlink>
        </w:p>
        <w:p>
          <w:pPr>
            <w:pStyle w:val="Contents5"/>
            <w:tabs>
              <w:tab w:val="clear" w:pos="7892"/>
              <w:tab w:val="right" w:pos="9026" w:leader="dot"/>
            </w:tabs>
            <w:bidi w:val="0"/>
            <w:rPr/>
          </w:pPr>
          <w:hyperlink w:anchor="__RefHeading___Toc4074643_2749589250">
            <w:r>
              <w:rPr>
                <w:webHidden/>
                <w:rStyle w:val="IndexLink"/>
              </w:rPr>
              <w:t>point</w:t>
              <w:tab/>
              <w:t>114</w:t>
            </w:r>
          </w:hyperlink>
        </w:p>
        <w:p>
          <w:pPr>
            <w:pStyle w:val="Contents5"/>
            <w:tabs>
              <w:tab w:val="clear" w:pos="7892"/>
              <w:tab w:val="right" w:pos="9026" w:leader="dot"/>
            </w:tabs>
            <w:bidi w:val="0"/>
            <w:rPr/>
          </w:pPr>
          <w:hyperlink w:anchor="__RefHeading___Toc4074645_2749589250">
            <w:r>
              <w:rPr>
                <w:webHidden/>
                <w:rStyle w:val="IndexLink"/>
              </w:rPr>
              <w:t>Qur’an as a “Book”</w:t>
              <w:tab/>
              <w:t>120</w:t>
            </w:r>
          </w:hyperlink>
        </w:p>
        <w:p>
          <w:pPr>
            <w:pStyle w:val="Contents4"/>
            <w:tabs>
              <w:tab w:val="clear" w:pos="8176"/>
              <w:tab w:val="right" w:pos="9026" w:leader="dot"/>
            </w:tabs>
            <w:bidi w:val="0"/>
            <w:rPr/>
          </w:pPr>
          <w:hyperlink w:anchor="__RefHeading___Toc4074647_2749589250">
            <w:r>
              <w:rPr>
                <w:webHidden/>
                <w:rStyle w:val="IndexLink"/>
              </w:rPr>
              <w:t>‘</w:t>
            </w:r>
            <w:r>
              <w:rPr>
                <w:rStyle w:val="IndexLink"/>
              </w:rPr>
              <w:t>Uthman Ibn al-Affan</w:t>
              <w:tab/>
              <w:t>126</w:t>
            </w:r>
          </w:hyperlink>
        </w:p>
        <w:p>
          <w:pPr>
            <w:pStyle w:val="Contents3"/>
            <w:tabs>
              <w:tab w:val="clear" w:pos="8459"/>
              <w:tab w:val="right" w:pos="9026" w:leader="dot"/>
            </w:tabs>
            <w:bidi w:val="0"/>
            <w:rPr/>
          </w:pPr>
          <w:hyperlink w:anchor="__RefHeading___Toc4074649_2749589250">
            <w:r>
              <w:rPr>
                <w:webHidden/>
                <w:rStyle w:val="IndexLink"/>
              </w:rPr>
              <w:t>Innovations of ‘Umar Ibn al-Khattab</w:t>
              <w:tab/>
              <w:t>127</w:t>
            </w:r>
          </w:hyperlink>
        </w:p>
        <w:p>
          <w:pPr>
            <w:pStyle w:val="Contents4"/>
            <w:tabs>
              <w:tab w:val="clear" w:pos="8176"/>
              <w:tab w:val="right" w:pos="9026" w:leader="dot"/>
            </w:tabs>
            <w:bidi w:val="0"/>
            <w:rPr/>
          </w:pPr>
          <w:hyperlink w:anchor="__RefHeading___Toc4074651_2749589250">
            <w:r>
              <w:rPr>
                <w:webHidden/>
                <w:rStyle w:val="IndexLink"/>
              </w:rPr>
              <w:t>point</w:t>
              <w:tab/>
              <w:t>127</w:t>
            </w:r>
          </w:hyperlink>
        </w:p>
        <w:p>
          <w:pPr>
            <w:pStyle w:val="Contents4"/>
            <w:tabs>
              <w:tab w:val="clear" w:pos="8176"/>
              <w:tab w:val="right" w:pos="9026" w:leader="dot"/>
            </w:tabs>
            <w:bidi w:val="0"/>
            <w:rPr/>
          </w:pPr>
          <w:hyperlink w:anchor="__RefHeading___Toc4074653_2749589250">
            <w:r>
              <w:rPr>
                <w:webHidden/>
                <w:rStyle w:val="IndexLink"/>
              </w:rPr>
              <w:t>Changes During ‘Umar’s Reign</w:t>
              <w:tab/>
              <w:t>127</w:t>
            </w:r>
          </w:hyperlink>
        </w:p>
        <w:p>
          <w:pPr>
            <w:pStyle w:val="Contents5"/>
            <w:tabs>
              <w:tab w:val="clear" w:pos="7892"/>
              <w:tab w:val="right" w:pos="9026" w:leader="dot"/>
            </w:tabs>
            <w:bidi w:val="0"/>
            <w:rPr/>
          </w:pPr>
          <w:hyperlink w:anchor="__RefHeading___Toc4074655_2749589250">
            <w:r>
              <w:rPr>
                <w:webHidden/>
                <w:rStyle w:val="IndexLink"/>
              </w:rPr>
              <w:t>point</w:t>
              <w:tab/>
              <w:t>127</w:t>
            </w:r>
          </w:hyperlink>
        </w:p>
        <w:p>
          <w:pPr>
            <w:pStyle w:val="Contents5"/>
            <w:tabs>
              <w:tab w:val="clear" w:pos="7892"/>
              <w:tab w:val="right" w:pos="9026" w:leader="dot"/>
            </w:tabs>
            <w:bidi w:val="0"/>
            <w:rPr/>
          </w:pPr>
          <w:hyperlink w:anchor="__RefHeading___Toc4074657_2749589250">
            <w:r>
              <w:rPr>
                <w:webHidden/>
                <w:rStyle w:val="IndexLink"/>
              </w:rPr>
              <w:t>Adhan (Call to Prayer)</w:t>
              <w:tab/>
              <w:t>127</w:t>
            </w:r>
          </w:hyperlink>
        </w:p>
        <w:p>
          <w:pPr>
            <w:pStyle w:val="Contents5"/>
            <w:tabs>
              <w:tab w:val="clear" w:pos="7892"/>
              <w:tab w:val="right" w:pos="9026" w:leader="dot"/>
            </w:tabs>
            <w:bidi w:val="0"/>
            <w:rPr/>
          </w:pPr>
          <w:hyperlink w:anchor="__RefHeading___Toc4074659_2749589250">
            <w:r>
              <w:rPr>
                <w:webHidden/>
                <w:rStyle w:val="IndexLink"/>
              </w:rPr>
              <w:t>History of the Adhan</w:t>
              <w:tab/>
              <w:t>128</w:t>
            </w:r>
          </w:hyperlink>
        </w:p>
        <w:p>
          <w:pPr>
            <w:pStyle w:val="Contents5"/>
            <w:tabs>
              <w:tab w:val="clear" w:pos="7892"/>
              <w:tab w:val="right" w:pos="9026" w:leader="dot"/>
            </w:tabs>
            <w:bidi w:val="0"/>
            <w:rPr/>
          </w:pPr>
          <w:hyperlink w:anchor="__RefHeading___Toc4074661_2749589250">
            <w:r>
              <w:rPr>
                <w:webHidden/>
                <w:rStyle w:val="IndexLink"/>
              </w:rPr>
              <w:t>Prayer without Taharah (Ritual Purity)</w:t>
              <w:tab/>
              <w:t>129</w:t>
            </w:r>
          </w:hyperlink>
        </w:p>
        <w:p>
          <w:pPr>
            <w:pStyle w:val="Contents5"/>
            <w:tabs>
              <w:tab w:val="clear" w:pos="7892"/>
              <w:tab w:val="right" w:pos="9026" w:leader="dot"/>
            </w:tabs>
            <w:bidi w:val="0"/>
            <w:rPr/>
          </w:pPr>
          <w:hyperlink w:anchor="__RefHeading___Toc4074663_2749589250">
            <w:r>
              <w:rPr>
                <w:webHidden/>
                <w:rStyle w:val="IndexLink"/>
              </w:rPr>
              <w:t>Tarawih Prayers</w:t>
              <w:tab/>
              <w:t>130</w:t>
            </w:r>
          </w:hyperlink>
        </w:p>
        <w:p>
          <w:pPr>
            <w:pStyle w:val="Contents5"/>
            <w:tabs>
              <w:tab w:val="clear" w:pos="7892"/>
              <w:tab w:val="right" w:pos="9026" w:leader="dot"/>
            </w:tabs>
            <w:bidi w:val="0"/>
            <w:rPr/>
          </w:pPr>
          <w:hyperlink w:anchor="__RefHeading___Toc4074665_2749589250">
            <w:r>
              <w:rPr>
                <w:webHidden/>
                <w:rStyle w:val="IndexLink"/>
              </w:rPr>
              <w:t>Prayers for the Deceased</w:t>
              <w:tab/>
              <w:t>130</w:t>
            </w:r>
          </w:hyperlink>
        </w:p>
        <w:p>
          <w:pPr>
            <w:pStyle w:val="Contents5"/>
            <w:tabs>
              <w:tab w:val="clear" w:pos="7892"/>
              <w:tab w:val="right" w:pos="9026" w:leader="dot"/>
            </w:tabs>
            <w:bidi w:val="0"/>
            <w:rPr/>
          </w:pPr>
          <w:hyperlink w:anchor="__RefHeading___Toc4074667_2749589250">
            <w:r>
              <w:rPr>
                <w:webHidden/>
                <w:rStyle w:val="IndexLink"/>
              </w:rPr>
              <w:t>Three Divorces in One Session</w:t>
              <w:tab/>
              <w:t>130</w:t>
            </w:r>
          </w:hyperlink>
        </w:p>
        <w:p>
          <w:pPr>
            <w:pStyle w:val="Contents4"/>
            <w:tabs>
              <w:tab w:val="clear" w:pos="8176"/>
              <w:tab w:val="right" w:pos="9026" w:leader="dot"/>
            </w:tabs>
            <w:bidi w:val="0"/>
            <w:rPr/>
          </w:pPr>
          <w:hyperlink w:anchor="__RefHeading___Toc4074669_2749589250">
            <w:r>
              <w:rPr>
                <w:webHidden/>
                <w:rStyle w:val="IndexLink"/>
              </w:rPr>
              <w:t>Other Actions performed by ‘Umar</w:t>
              <w:tab/>
              <w:t>131</w:t>
            </w:r>
          </w:hyperlink>
        </w:p>
        <w:p>
          <w:pPr>
            <w:pStyle w:val="Contents3"/>
            <w:tabs>
              <w:tab w:val="clear" w:pos="8459"/>
              <w:tab w:val="right" w:pos="9026" w:leader="dot"/>
            </w:tabs>
            <w:bidi w:val="0"/>
            <w:rPr/>
          </w:pPr>
          <w:hyperlink w:anchor="__RefHeading___Toc4074671_2749589250">
            <w:r>
              <w:rPr>
                <w:webHidden/>
                <w:rStyle w:val="IndexLink"/>
              </w:rPr>
              <w:t>‘</w:t>
            </w:r>
            <w:r>
              <w:rPr>
                <w:rStyle w:val="IndexLink"/>
              </w:rPr>
              <w:t>Uthman Ibn al-Affan</w:t>
              <w:tab/>
              <w:t>132</w:t>
            </w:r>
          </w:hyperlink>
        </w:p>
        <w:p>
          <w:pPr>
            <w:pStyle w:val="Contents4"/>
            <w:tabs>
              <w:tab w:val="clear" w:pos="8176"/>
              <w:tab w:val="right" w:pos="9026" w:leader="dot"/>
            </w:tabs>
            <w:bidi w:val="0"/>
            <w:rPr/>
          </w:pPr>
          <w:hyperlink w:anchor="__RefHeading___Toc4074673_2749589250">
            <w:r>
              <w:rPr>
                <w:webHidden/>
                <w:rStyle w:val="IndexLink"/>
              </w:rPr>
              <w:t>point</w:t>
              <w:tab/>
              <w:t>132</w:t>
            </w:r>
          </w:hyperlink>
        </w:p>
        <w:p>
          <w:pPr>
            <w:pStyle w:val="Contents4"/>
            <w:tabs>
              <w:tab w:val="clear" w:pos="8176"/>
              <w:tab w:val="right" w:pos="9026" w:leader="dot"/>
            </w:tabs>
            <w:bidi w:val="0"/>
            <w:rPr/>
          </w:pPr>
          <w:hyperlink w:anchor="__RefHeading___Toc4074675_2749589250">
            <w:r>
              <w:rPr>
                <w:webHidden/>
                <w:rStyle w:val="IndexLink"/>
              </w:rPr>
              <w:t>Al-Waleed Ibn Uqbah</w:t>
              <w:tab/>
              <w:t>135</w:t>
            </w:r>
          </w:hyperlink>
        </w:p>
        <w:p>
          <w:pPr>
            <w:pStyle w:val="Contents4"/>
            <w:tabs>
              <w:tab w:val="clear" w:pos="8176"/>
              <w:tab w:val="right" w:pos="9026" w:leader="dot"/>
            </w:tabs>
            <w:bidi w:val="0"/>
            <w:rPr/>
          </w:pPr>
          <w:hyperlink w:anchor="__RefHeading___Toc4074677_2749589250">
            <w:r>
              <w:rPr>
                <w:webHidden/>
                <w:rStyle w:val="IndexLink"/>
              </w:rPr>
              <w:t>‘</w:t>
            </w:r>
            <w:r>
              <w:rPr>
                <w:rStyle w:val="IndexLink"/>
              </w:rPr>
              <w:t>Uthman’s Innovations</w:t>
              <w:tab/>
              <w:t>136</w:t>
            </w:r>
          </w:hyperlink>
        </w:p>
        <w:p>
          <w:pPr>
            <w:pStyle w:val="Contents5"/>
            <w:tabs>
              <w:tab w:val="clear" w:pos="7892"/>
              <w:tab w:val="right" w:pos="9026" w:leader="dot"/>
            </w:tabs>
            <w:bidi w:val="0"/>
            <w:rPr/>
          </w:pPr>
          <w:hyperlink w:anchor="__RefHeading___Toc4074679_2749589250">
            <w:r>
              <w:rPr>
                <w:webHidden/>
                <w:rStyle w:val="IndexLink"/>
              </w:rPr>
              <w:t>Third Call to Prayer (Adhan)</w:t>
              <w:tab/>
              <w:t>136</w:t>
            </w:r>
          </w:hyperlink>
        </w:p>
        <w:p>
          <w:pPr>
            <w:pStyle w:val="Contents5"/>
            <w:tabs>
              <w:tab w:val="clear" w:pos="7892"/>
              <w:tab w:val="right" w:pos="9026" w:leader="dot"/>
            </w:tabs>
            <w:bidi w:val="0"/>
            <w:rPr/>
          </w:pPr>
          <w:hyperlink w:anchor="__RefHeading___Toc4074681_2749589250">
            <w:r>
              <w:rPr>
                <w:webHidden/>
                <w:rStyle w:val="IndexLink"/>
              </w:rPr>
              <w:t>Complete Prayers in Mina</w:t>
              <w:tab/>
              <w:t>137</w:t>
            </w:r>
          </w:hyperlink>
        </w:p>
        <w:p>
          <w:pPr>
            <w:pStyle w:val="Contents5"/>
            <w:tabs>
              <w:tab w:val="clear" w:pos="7892"/>
              <w:tab w:val="right" w:pos="9026" w:leader="dot"/>
            </w:tabs>
            <w:bidi w:val="0"/>
            <w:rPr/>
          </w:pPr>
          <w:hyperlink w:anchor="__RefHeading___Toc4074683_2749589250">
            <w:r>
              <w:rPr>
                <w:webHidden/>
                <w:rStyle w:val="IndexLink"/>
              </w:rPr>
              <w:t>Khutbah before the Eid Prayer</w:t>
              <w:tab/>
              <w:t>138</w:t>
            </w:r>
          </w:hyperlink>
        </w:p>
        <w:p>
          <w:pPr>
            <w:pStyle w:val="Contents5"/>
            <w:tabs>
              <w:tab w:val="clear" w:pos="7892"/>
              <w:tab w:val="right" w:pos="9026" w:leader="dot"/>
            </w:tabs>
            <w:bidi w:val="0"/>
            <w:rPr/>
          </w:pPr>
          <w:hyperlink w:anchor="__RefHeading___Toc4074685_2749589250">
            <w:r>
              <w:rPr>
                <w:webHidden/>
                <w:rStyle w:val="IndexLink"/>
              </w:rPr>
              <w:t>Land of Fadak and Marwan Ibn al-Hakam</w:t>
              <w:tab/>
              <w:t>139</w:t>
            </w:r>
          </w:hyperlink>
        </w:p>
        <w:p>
          <w:pPr>
            <w:pStyle w:val="Contents5"/>
            <w:tabs>
              <w:tab w:val="clear" w:pos="7892"/>
              <w:tab w:val="right" w:pos="9026" w:leader="dot"/>
            </w:tabs>
            <w:bidi w:val="0"/>
            <w:rPr/>
          </w:pPr>
          <w:hyperlink w:anchor="__RefHeading___Toc4074687_2749589250">
            <w:r>
              <w:rPr>
                <w:webHidden/>
                <w:rStyle w:val="IndexLink"/>
              </w:rPr>
              <w:t>Reactions of Some Prominent Companions</w:t>
              <w:tab/>
              <w:t>139</w:t>
            </w:r>
          </w:hyperlink>
        </w:p>
        <w:p>
          <w:pPr>
            <w:pStyle w:val="Contents4"/>
            <w:tabs>
              <w:tab w:val="clear" w:pos="8176"/>
              <w:tab w:val="right" w:pos="9026" w:leader="dot"/>
            </w:tabs>
            <w:bidi w:val="0"/>
            <w:rPr/>
          </w:pPr>
          <w:hyperlink w:anchor="__RefHeading___Toc4074689_2749589250">
            <w:r>
              <w:rPr>
                <w:webHidden/>
                <w:rStyle w:val="IndexLink"/>
              </w:rPr>
              <w:t>An Analysis of ‘Uthman’s Motivations</w:t>
              <w:tab/>
              <w:t>142</w:t>
            </w:r>
          </w:hyperlink>
        </w:p>
        <w:p>
          <w:pPr>
            <w:pStyle w:val="Contents2"/>
            <w:tabs>
              <w:tab w:val="clear" w:pos="8743"/>
              <w:tab w:val="right" w:pos="9026" w:leader="dot"/>
            </w:tabs>
            <w:bidi w:val="0"/>
            <w:rPr/>
          </w:pPr>
          <w:hyperlink w:anchor="__RefHeading___Toc4074691_2749589250">
            <w:r>
              <w:rPr>
                <w:webHidden/>
                <w:rStyle w:val="IndexLink"/>
              </w:rPr>
              <w:t>Chapter 10: The Ummah Fractures</w:t>
              <w:tab/>
              <w:t>143</w:t>
            </w:r>
          </w:hyperlink>
        </w:p>
        <w:p>
          <w:pPr>
            <w:pStyle w:val="Contents3"/>
            <w:tabs>
              <w:tab w:val="clear" w:pos="8459"/>
              <w:tab w:val="right" w:pos="9026" w:leader="dot"/>
            </w:tabs>
            <w:bidi w:val="0"/>
            <w:rPr/>
          </w:pPr>
          <w:hyperlink w:anchor="__RefHeading___Toc4074693_2749589250">
            <w:r>
              <w:rPr>
                <w:webHidden/>
                <w:rStyle w:val="IndexLink"/>
              </w:rPr>
              <w:t>point</w:t>
              <w:tab/>
              <w:t>143</w:t>
            </w:r>
          </w:hyperlink>
        </w:p>
        <w:p>
          <w:pPr>
            <w:pStyle w:val="Contents3"/>
            <w:tabs>
              <w:tab w:val="clear" w:pos="8459"/>
              <w:tab w:val="right" w:pos="9026" w:leader="dot"/>
            </w:tabs>
            <w:bidi w:val="0"/>
            <w:rPr/>
          </w:pPr>
          <w:hyperlink w:anchor="__RefHeading___Toc4074695_2749589250">
            <w:r>
              <w:rPr>
                <w:webHidden/>
                <w:rStyle w:val="IndexLink"/>
              </w:rPr>
              <w:t>When did Shiaism Come About?</w:t>
              <w:tab/>
              <w:t>143</w:t>
            </w:r>
          </w:hyperlink>
        </w:p>
        <w:p>
          <w:pPr>
            <w:pStyle w:val="Contents3"/>
            <w:tabs>
              <w:tab w:val="clear" w:pos="8459"/>
              <w:tab w:val="right" w:pos="9026" w:leader="dot"/>
            </w:tabs>
            <w:bidi w:val="0"/>
            <w:rPr/>
          </w:pPr>
          <w:hyperlink w:anchor="__RefHeading___Toc4074697_2749589250">
            <w:r>
              <w:rPr>
                <w:webHidden/>
                <w:rStyle w:val="IndexLink"/>
              </w:rPr>
              <w:t>Why the Focus on Ahlul Bayt?</w:t>
              <w:tab/>
              <w:t>148</w:t>
            </w:r>
          </w:hyperlink>
        </w:p>
        <w:p>
          <w:pPr>
            <w:pStyle w:val="Contents4"/>
            <w:tabs>
              <w:tab w:val="clear" w:pos="8176"/>
              <w:tab w:val="right" w:pos="9026" w:leader="dot"/>
            </w:tabs>
            <w:bidi w:val="0"/>
            <w:rPr/>
          </w:pPr>
          <w:hyperlink w:anchor="__RefHeading___Toc4074699_2749589250">
            <w:r>
              <w:rPr>
                <w:webHidden/>
                <w:rStyle w:val="IndexLink"/>
              </w:rPr>
              <w:t>Qur’anic Verse on those who Possess Knowledge</w:t>
              <w:tab/>
              <w:t>148</w:t>
            </w:r>
          </w:hyperlink>
        </w:p>
        <w:p>
          <w:pPr>
            <w:pStyle w:val="Contents4"/>
            <w:tabs>
              <w:tab w:val="clear" w:pos="8176"/>
              <w:tab w:val="right" w:pos="9026" w:leader="dot"/>
            </w:tabs>
            <w:bidi w:val="0"/>
            <w:rPr/>
          </w:pPr>
          <w:hyperlink w:anchor="__RefHeading___Toc4074701_2749589250">
            <w:r>
              <w:rPr>
                <w:webHidden/>
                <w:rStyle w:val="IndexLink"/>
              </w:rPr>
              <w:t>The Verse of Purity (Ayat al-Tatheerah)</w:t>
              <w:tab/>
              <w:t>148</w:t>
            </w:r>
          </w:hyperlink>
        </w:p>
        <w:p>
          <w:pPr>
            <w:pStyle w:val="Contents3"/>
            <w:tabs>
              <w:tab w:val="clear" w:pos="8459"/>
              <w:tab w:val="right" w:pos="9026" w:leader="dot"/>
            </w:tabs>
            <w:bidi w:val="0"/>
            <w:rPr/>
          </w:pPr>
          <w:hyperlink w:anchor="__RefHeading___Toc4074703_2749589250">
            <w:r>
              <w:rPr>
                <w:webHidden/>
                <w:rStyle w:val="IndexLink"/>
              </w:rPr>
              <w:t>The Verse of Malediction (Ayat al-Mubahilah)</w:t>
              <w:tab/>
              <w:t>150</w:t>
            </w:r>
          </w:hyperlink>
        </w:p>
        <w:p>
          <w:pPr>
            <w:pStyle w:val="Contents3"/>
            <w:tabs>
              <w:tab w:val="clear" w:pos="8459"/>
              <w:tab w:val="right" w:pos="9026" w:leader="dot"/>
            </w:tabs>
            <w:bidi w:val="0"/>
            <w:rPr/>
          </w:pPr>
          <w:hyperlink w:anchor="__RefHeading___Toc4074705_2749589250">
            <w:r>
              <w:rPr>
                <w:webHidden/>
                <w:rStyle w:val="IndexLink"/>
              </w:rPr>
              <w:t>Status of the Ahlul Bayt</w:t>
              <w:tab/>
              <w:t>151</w:t>
            </w:r>
          </w:hyperlink>
        </w:p>
        <w:p>
          <w:pPr>
            <w:pStyle w:val="Contents3"/>
            <w:tabs>
              <w:tab w:val="clear" w:pos="8459"/>
              <w:tab w:val="right" w:pos="9026" w:leader="dot"/>
            </w:tabs>
            <w:bidi w:val="0"/>
            <w:rPr/>
          </w:pPr>
          <w:hyperlink w:anchor="__RefHeading___Toc4074707_2749589250">
            <w:r>
              <w:rPr>
                <w:webHidden/>
                <w:rStyle w:val="IndexLink"/>
              </w:rPr>
              <w:t>Sanctity of the Ahlul Bayt</w:t>
              <w:tab/>
              <w:t>152</w:t>
            </w:r>
          </w:hyperlink>
        </w:p>
        <w:p>
          <w:pPr>
            <w:pStyle w:val="Contents3"/>
            <w:tabs>
              <w:tab w:val="clear" w:pos="8459"/>
              <w:tab w:val="right" w:pos="9026" w:leader="dot"/>
            </w:tabs>
            <w:bidi w:val="0"/>
            <w:rPr/>
          </w:pPr>
          <w:hyperlink w:anchor="__RefHeading___Toc4074709_2749589250">
            <w:r>
              <w:rPr>
                <w:webHidden/>
                <w:rStyle w:val="IndexLink"/>
              </w:rPr>
              <w:t>Ahlul Bayt - According to the Prophet</w:t>
              <w:tab/>
              <w:t>152</w:t>
            </w:r>
          </w:hyperlink>
        </w:p>
        <w:p>
          <w:pPr>
            <w:pStyle w:val="Contents3"/>
            <w:tabs>
              <w:tab w:val="clear" w:pos="8459"/>
              <w:tab w:val="right" w:pos="9026" w:leader="dot"/>
            </w:tabs>
            <w:bidi w:val="0"/>
            <w:rPr/>
          </w:pPr>
          <w:hyperlink w:anchor="__RefHeading___Toc4074711_2749589250">
            <w:r>
              <w:rPr>
                <w:webHidden/>
                <w:rStyle w:val="IndexLink"/>
              </w:rPr>
              <w:t>Rafidah (The Rejecters)</w:t>
              <w:tab/>
              <w:t>152</w:t>
            </w:r>
          </w:hyperlink>
        </w:p>
        <w:p>
          <w:pPr>
            <w:pStyle w:val="Contents3"/>
            <w:tabs>
              <w:tab w:val="clear" w:pos="8459"/>
              <w:tab w:val="right" w:pos="9026" w:leader="dot"/>
            </w:tabs>
            <w:bidi w:val="0"/>
            <w:rPr/>
          </w:pPr>
          <w:hyperlink w:anchor="__RefHeading___Toc4074713_2749589250">
            <w:r>
              <w:rPr>
                <w:webHidden/>
                <w:rStyle w:val="IndexLink"/>
              </w:rPr>
              <w:t>How “Shi’a Islam” Originated</w:t>
              <w:tab/>
              <w:t>153</w:t>
            </w:r>
          </w:hyperlink>
        </w:p>
        <w:p>
          <w:pPr>
            <w:pStyle w:val="Contents3"/>
            <w:tabs>
              <w:tab w:val="clear" w:pos="8459"/>
              <w:tab w:val="right" w:pos="9026" w:leader="dot"/>
            </w:tabs>
            <w:bidi w:val="0"/>
            <w:rPr/>
          </w:pPr>
          <w:hyperlink w:anchor="__RefHeading___Toc4074715_2749589250">
            <w:r>
              <w:rPr>
                <w:webHidden/>
                <w:rStyle w:val="IndexLink"/>
              </w:rPr>
              <w:t>Abdullah Ibn Saba: Myth or Reality?</w:t>
              <w:tab/>
              <w:t>154</w:t>
            </w:r>
          </w:hyperlink>
        </w:p>
        <w:p>
          <w:pPr>
            <w:pStyle w:val="Contents3"/>
            <w:tabs>
              <w:tab w:val="clear" w:pos="8459"/>
              <w:tab w:val="right" w:pos="9026" w:leader="dot"/>
            </w:tabs>
            <w:bidi w:val="0"/>
            <w:rPr/>
          </w:pPr>
          <w:hyperlink w:anchor="__RefHeading___Toc4074717_2749589250">
            <w:r>
              <w:rPr>
                <w:webHidden/>
                <w:rStyle w:val="IndexLink"/>
              </w:rPr>
              <w:t>Four Schools of Thought</w:t>
              <w:tab/>
              <w:t>158</w:t>
            </w:r>
          </w:hyperlink>
        </w:p>
        <w:p>
          <w:pPr>
            <w:pStyle w:val="Contents4"/>
            <w:tabs>
              <w:tab w:val="clear" w:pos="8176"/>
              <w:tab w:val="right" w:pos="9026" w:leader="dot"/>
            </w:tabs>
            <w:bidi w:val="0"/>
            <w:rPr/>
          </w:pPr>
          <w:hyperlink w:anchor="__RefHeading___Toc4074719_2749589250">
            <w:r>
              <w:rPr>
                <w:webHidden/>
                <w:rStyle w:val="IndexLink"/>
              </w:rPr>
              <w:t>point</w:t>
              <w:tab/>
              <w:t>158</w:t>
            </w:r>
          </w:hyperlink>
        </w:p>
        <w:p>
          <w:pPr>
            <w:pStyle w:val="Contents4"/>
            <w:tabs>
              <w:tab w:val="clear" w:pos="8176"/>
              <w:tab w:val="right" w:pos="9026" w:leader="dot"/>
            </w:tabs>
            <w:bidi w:val="0"/>
            <w:rPr/>
          </w:pPr>
          <w:hyperlink w:anchor="__RefHeading___Toc4074721_2749589250">
            <w:r>
              <w:rPr>
                <w:webHidden/>
                <w:rStyle w:val="IndexLink"/>
              </w:rPr>
              <w:t>Hanafi School (Al-Madhab al-Hanafi)</w:t>
              <w:tab/>
              <w:t>158</w:t>
            </w:r>
          </w:hyperlink>
        </w:p>
        <w:p>
          <w:pPr>
            <w:pStyle w:val="Contents3"/>
            <w:tabs>
              <w:tab w:val="clear" w:pos="8459"/>
              <w:tab w:val="right" w:pos="9026" w:leader="dot"/>
            </w:tabs>
            <w:bidi w:val="0"/>
            <w:rPr/>
          </w:pPr>
          <w:hyperlink w:anchor="__RefHeading___Toc4074723_2749589250">
            <w:r>
              <w:rPr>
                <w:webHidden/>
                <w:rStyle w:val="IndexLink"/>
              </w:rPr>
              <w:t>Maliki School of Thought (Al-Madhab al-Maliki)</w:t>
              <w:tab/>
              <w:t>161</w:t>
            </w:r>
          </w:hyperlink>
        </w:p>
        <w:p>
          <w:pPr>
            <w:pStyle w:val="Contents4"/>
            <w:tabs>
              <w:tab w:val="clear" w:pos="8176"/>
              <w:tab w:val="right" w:pos="9026" w:leader="dot"/>
            </w:tabs>
            <w:bidi w:val="0"/>
            <w:rPr/>
          </w:pPr>
          <w:hyperlink w:anchor="__RefHeading___Toc4074725_2749589250">
            <w:r>
              <w:rPr>
                <w:webHidden/>
                <w:rStyle w:val="IndexLink"/>
              </w:rPr>
              <w:t>point</w:t>
              <w:tab/>
              <w:t>161</w:t>
            </w:r>
          </w:hyperlink>
        </w:p>
        <w:p>
          <w:pPr>
            <w:pStyle w:val="Contents4"/>
            <w:tabs>
              <w:tab w:val="clear" w:pos="8176"/>
              <w:tab w:val="right" w:pos="9026" w:leader="dot"/>
            </w:tabs>
            <w:bidi w:val="0"/>
            <w:rPr/>
          </w:pPr>
          <w:hyperlink w:anchor="__RefHeading___Toc4074727_2749589250">
            <w:r>
              <w:rPr>
                <w:webHidden/>
                <w:rStyle w:val="IndexLink"/>
              </w:rPr>
              <w:t>Shafi’i School of Thought (Al-Madhab al-Shafi’i)</w:t>
              <w:tab/>
              <w:t>163</w:t>
            </w:r>
          </w:hyperlink>
        </w:p>
        <w:p>
          <w:pPr>
            <w:pStyle w:val="Contents4"/>
            <w:tabs>
              <w:tab w:val="clear" w:pos="8176"/>
              <w:tab w:val="right" w:pos="9026" w:leader="dot"/>
            </w:tabs>
            <w:bidi w:val="0"/>
            <w:rPr/>
          </w:pPr>
          <w:hyperlink w:anchor="__RefHeading___Toc4074729_2749589250">
            <w:r>
              <w:rPr>
                <w:webHidden/>
                <w:rStyle w:val="IndexLink"/>
              </w:rPr>
              <w:t>Hanbali School of Thought (Al-Madhab al-Hanbali)</w:t>
              <w:tab/>
              <w:t>165</w:t>
            </w:r>
          </w:hyperlink>
        </w:p>
        <w:p>
          <w:pPr>
            <w:pStyle w:val="Contents2"/>
            <w:tabs>
              <w:tab w:val="clear" w:pos="8743"/>
              <w:tab w:val="right" w:pos="9026" w:leader="dot"/>
            </w:tabs>
            <w:bidi w:val="0"/>
            <w:rPr/>
          </w:pPr>
          <w:hyperlink w:anchor="__RefHeading___Toc4074731_2749589250">
            <w:r>
              <w:rPr>
                <w:webHidden/>
                <w:rStyle w:val="IndexLink"/>
              </w:rPr>
              <w:t>Conclusion</w:t>
              <w:tab/>
              <w:t>166</w:t>
            </w:r>
          </w:hyperlink>
        </w:p>
        <w:p>
          <w:pPr>
            <w:pStyle w:val="Contents2"/>
            <w:tabs>
              <w:tab w:val="clear" w:pos="8743"/>
              <w:tab w:val="right" w:pos="9026" w:leader="dot"/>
            </w:tabs>
            <w:bidi w:val="0"/>
            <w:rPr/>
          </w:pPr>
          <w:hyperlink w:anchor="__RefHeading___Toc4074733_2749589250">
            <w:r>
              <w:rPr>
                <w:webHidden/>
                <w:rStyle w:val="IndexLink"/>
              </w:rPr>
              <w:t>Glossary</w:t>
              <w:tab/>
              <w:t>173</w:t>
            </w:r>
          </w:hyperlink>
        </w:p>
        <w:p>
          <w:pPr>
            <w:pStyle w:val="Contents3"/>
            <w:tabs>
              <w:tab w:val="clear" w:pos="8459"/>
              <w:tab w:val="right" w:pos="9026" w:leader="dot"/>
            </w:tabs>
            <w:bidi w:val="0"/>
            <w:rPr/>
          </w:pPr>
          <w:hyperlink w:anchor="__RefHeading___Toc4074735_2749589250">
            <w:r>
              <w:rPr>
                <w:webHidden/>
                <w:rStyle w:val="IndexLink"/>
              </w:rPr>
              <w:t>A</w:t>
              <w:tab/>
              <w:t>173</w:t>
            </w:r>
          </w:hyperlink>
        </w:p>
        <w:p>
          <w:pPr>
            <w:pStyle w:val="Contents3"/>
            <w:tabs>
              <w:tab w:val="clear" w:pos="8459"/>
              <w:tab w:val="right" w:pos="9026" w:leader="dot"/>
            </w:tabs>
            <w:bidi w:val="0"/>
            <w:rPr/>
          </w:pPr>
          <w:hyperlink w:anchor="__RefHeading___Toc4074737_2749589250">
            <w:r>
              <w:rPr>
                <w:webHidden/>
                <w:rStyle w:val="IndexLink"/>
              </w:rPr>
              <w:t>B</w:t>
              <w:tab/>
              <w:t>173</w:t>
            </w:r>
          </w:hyperlink>
        </w:p>
        <w:p>
          <w:pPr>
            <w:pStyle w:val="Contents3"/>
            <w:tabs>
              <w:tab w:val="clear" w:pos="8459"/>
              <w:tab w:val="right" w:pos="9026" w:leader="dot"/>
            </w:tabs>
            <w:bidi w:val="0"/>
            <w:rPr/>
          </w:pPr>
          <w:hyperlink w:anchor="__RefHeading___Toc4074739_2749589250">
            <w:r>
              <w:rPr>
                <w:webHidden/>
                <w:rStyle w:val="IndexLink"/>
              </w:rPr>
              <w:t>D</w:t>
              <w:tab/>
              <w:t>173</w:t>
            </w:r>
          </w:hyperlink>
        </w:p>
        <w:p>
          <w:pPr>
            <w:pStyle w:val="Contents3"/>
            <w:tabs>
              <w:tab w:val="clear" w:pos="8459"/>
              <w:tab w:val="right" w:pos="9026" w:leader="dot"/>
            </w:tabs>
            <w:bidi w:val="0"/>
            <w:rPr/>
          </w:pPr>
          <w:hyperlink w:anchor="__RefHeading___Toc4074741_2749589250">
            <w:r>
              <w:rPr>
                <w:webHidden/>
                <w:rStyle w:val="IndexLink"/>
              </w:rPr>
              <w:t>F</w:t>
              <w:tab/>
              <w:t>173</w:t>
            </w:r>
          </w:hyperlink>
        </w:p>
        <w:p>
          <w:pPr>
            <w:pStyle w:val="Contents3"/>
            <w:tabs>
              <w:tab w:val="clear" w:pos="8459"/>
              <w:tab w:val="right" w:pos="9026" w:leader="dot"/>
            </w:tabs>
            <w:bidi w:val="0"/>
            <w:rPr/>
          </w:pPr>
          <w:hyperlink w:anchor="__RefHeading___Toc4074743_2749589250">
            <w:r>
              <w:rPr>
                <w:webHidden/>
                <w:rStyle w:val="IndexLink"/>
              </w:rPr>
              <w:t>G</w:t>
              <w:tab/>
              <w:t>174</w:t>
            </w:r>
          </w:hyperlink>
        </w:p>
        <w:p>
          <w:pPr>
            <w:pStyle w:val="Contents3"/>
            <w:tabs>
              <w:tab w:val="clear" w:pos="8459"/>
              <w:tab w:val="right" w:pos="9026" w:leader="dot"/>
            </w:tabs>
            <w:bidi w:val="0"/>
            <w:rPr/>
          </w:pPr>
          <w:hyperlink w:anchor="__RefHeading___Toc4074745_2749589250">
            <w:r>
              <w:rPr>
                <w:webHidden/>
                <w:rStyle w:val="IndexLink"/>
              </w:rPr>
              <w:t>H</w:t>
              <w:tab/>
              <w:t>174</w:t>
            </w:r>
          </w:hyperlink>
        </w:p>
        <w:p>
          <w:pPr>
            <w:pStyle w:val="Contents3"/>
            <w:tabs>
              <w:tab w:val="clear" w:pos="8459"/>
              <w:tab w:val="right" w:pos="9026" w:leader="dot"/>
            </w:tabs>
            <w:bidi w:val="0"/>
            <w:rPr/>
          </w:pPr>
          <w:hyperlink w:anchor="__RefHeading___Toc4074747_2749589250">
            <w:r>
              <w:rPr>
                <w:webHidden/>
                <w:rStyle w:val="IndexLink"/>
              </w:rPr>
              <w:t>I</w:t>
              <w:tab/>
              <w:t>174</w:t>
            </w:r>
          </w:hyperlink>
        </w:p>
        <w:p>
          <w:pPr>
            <w:pStyle w:val="Contents3"/>
            <w:tabs>
              <w:tab w:val="clear" w:pos="8459"/>
              <w:tab w:val="right" w:pos="9026" w:leader="dot"/>
            </w:tabs>
            <w:bidi w:val="0"/>
            <w:rPr/>
          </w:pPr>
          <w:hyperlink w:anchor="__RefHeading___Toc4074749_2749589250">
            <w:r>
              <w:rPr>
                <w:webHidden/>
                <w:rStyle w:val="IndexLink"/>
              </w:rPr>
              <w:t>J</w:t>
              <w:tab/>
              <w:t>175</w:t>
            </w:r>
          </w:hyperlink>
        </w:p>
        <w:p>
          <w:pPr>
            <w:pStyle w:val="Contents3"/>
            <w:tabs>
              <w:tab w:val="clear" w:pos="8459"/>
              <w:tab w:val="right" w:pos="9026" w:leader="dot"/>
            </w:tabs>
            <w:bidi w:val="0"/>
            <w:rPr/>
          </w:pPr>
          <w:hyperlink w:anchor="__RefHeading___Toc4074751_2749589250">
            <w:r>
              <w:rPr>
                <w:webHidden/>
                <w:rStyle w:val="IndexLink"/>
              </w:rPr>
              <w:t>K</w:t>
              <w:tab/>
              <w:t>175</w:t>
            </w:r>
          </w:hyperlink>
        </w:p>
        <w:p>
          <w:pPr>
            <w:pStyle w:val="Contents3"/>
            <w:tabs>
              <w:tab w:val="clear" w:pos="8459"/>
              <w:tab w:val="right" w:pos="9026" w:leader="dot"/>
            </w:tabs>
            <w:bidi w:val="0"/>
            <w:rPr/>
          </w:pPr>
          <w:hyperlink w:anchor="__RefHeading___Toc4074753_2749589250">
            <w:r>
              <w:rPr>
                <w:webHidden/>
                <w:rStyle w:val="IndexLink"/>
              </w:rPr>
              <w:t>M</w:t>
              <w:tab/>
              <w:t>175</w:t>
            </w:r>
          </w:hyperlink>
        </w:p>
        <w:p>
          <w:pPr>
            <w:pStyle w:val="Contents3"/>
            <w:tabs>
              <w:tab w:val="clear" w:pos="8459"/>
              <w:tab w:val="right" w:pos="9026" w:leader="dot"/>
            </w:tabs>
            <w:bidi w:val="0"/>
            <w:rPr/>
          </w:pPr>
          <w:hyperlink w:anchor="__RefHeading___Toc4074755_2749589250">
            <w:r>
              <w:rPr>
                <w:webHidden/>
                <w:rStyle w:val="IndexLink"/>
              </w:rPr>
              <w:t>N</w:t>
              <w:tab/>
              <w:t>175</w:t>
            </w:r>
          </w:hyperlink>
        </w:p>
        <w:p>
          <w:pPr>
            <w:pStyle w:val="Contents3"/>
            <w:tabs>
              <w:tab w:val="clear" w:pos="8459"/>
              <w:tab w:val="right" w:pos="9026" w:leader="dot"/>
            </w:tabs>
            <w:bidi w:val="0"/>
            <w:rPr/>
          </w:pPr>
          <w:hyperlink w:anchor="__RefHeading___Toc4074757_2749589250">
            <w:r>
              <w:rPr>
                <w:webHidden/>
                <w:rStyle w:val="IndexLink"/>
              </w:rPr>
              <w:t>Q</w:t>
              <w:tab/>
              <w:t>175</w:t>
            </w:r>
          </w:hyperlink>
        </w:p>
        <w:p>
          <w:pPr>
            <w:pStyle w:val="Contents3"/>
            <w:tabs>
              <w:tab w:val="clear" w:pos="8459"/>
              <w:tab w:val="right" w:pos="9026" w:leader="dot"/>
            </w:tabs>
            <w:bidi w:val="0"/>
            <w:rPr/>
          </w:pPr>
          <w:hyperlink w:anchor="__RefHeading___Toc4074759_2749589250">
            <w:r>
              <w:rPr>
                <w:webHidden/>
                <w:rStyle w:val="IndexLink"/>
              </w:rPr>
              <w:t>R</w:t>
              <w:tab/>
              <w:t>176</w:t>
            </w:r>
          </w:hyperlink>
        </w:p>
        <w:p>
          <w:pPr>
            <w:pStyle w:val="Contents3"/>
            <w:tabs>
              <w:tab w:val="clear" w:pos="8459"/>
              <w:tab w:val="right" w:pos="9026" w:leader="dot"/>
            </w:tabs>
            <w:bidi w:val="0"/>
            <w:rPr/>
          </w:pPr>
          <w:hyperlink w:anchor="__RefHeading___Toc4074761_2749589250">
            <w:r>
              <w:rPr>
                <w:webHidden/>
                <w:rStyle w:val="IndexLink"/>
              </w:rPr>
              <w:t>S</w:t>
              <w:tab/>
              <w:t>176</w:t>
            </w:r>
          </w:hyperlink>
        </w:p>
        <w:p>
          <w:pPr>
            <w:pStyle w:val="Contents3"/>
            <w:tabs>
              <w:tab w:val="clear" w:pos="8459"/>
              <w:tab w:val="right" w:pos="9026" w:leader="dot"/>
            </w:tabs>
            <w:bidi w:val="0"/>
            <w:rPr/>
          </w:pPr>
          <w:hyperlink w:anchor="__RefHeading___Toc4074763_2749589250">
            <w:r>
              <w:rPr>
                <w:webHidden/>
                <w:rStyle w:val="IndexLink"/>
              </w:rPr>
              <w:t>T</w:t>
              <w:tab/>
              <w:t>176</w:t>
            </w:r>
          </w:hyperlink>
        </w:p>
        <w:p>
          <w:pPr>
            <w:pStyle w:val="Contents3"/>
            <w:tabs>
              <w:tab w:val="clear" w:pos="8459"/>
              <w:tab w:val="right" w:pos="9026" w:leader="dot"/>
            </w:tabs>
            <w:bidi w:val="0"/>
            <w:rPr/>
          </w:pPr>
          <w:hyperlink w:anchor="__RefHeading___Toc4074765_2749589250">
            <w:r>
              <w:rPr>
                <w:webHidden/>
                <w:rStyle w:val="IndexLink"/>
              </w:rPr>
              <w:t>U</w:t>
              <w:tab/>
              <w:t>176</w:t>
            </w:r>
          </w:hyperlink>
        </w:p>
        <w:p>
          <w:pPr>
            <w:pStyle w:val="Contents3"/>
            <w:tabs>
              <w:tab w:val="clear" w:pos="8459"/>
              <w:tab w:val="right" w:pos="9026" w:leader="dot"/>
            </w:tabs>
            <w:bidi w:val="0"/>
            <w:rPr/>
          </w:pPr>
          <w:hyperlink w:anchor="__RefHeading___Toc4074767_2749589250">
            <w:r>
              <w:rPr>
                <w:webHidden/>
                <w:rStyle w:val="IndexLink"/>
              </w:rPr>
              <w:t>W</w:t>
              <w:tab/>
              <w:t>176</w:t>
            </w:r>
          </w:hyperlink>
        </w:p>
        <w:p>
          <w:pPr>
            <w:pStyle w:val="Contents3"/>
            <w:tabs>
              <w:tab w:val="clear" w:pos="8459"/>
              <w:tab w:val="right" w:pos="9026" w:leader="dot"/>
            </w:tabs>
            <w:bidi w:val="0"/>
            <w:rPr/>
          </w:pPr>
          <w:hyperlink w:anchor="__RefHeading___Toc4074769_2749589250">
            <w:r>
              <w:rPr>
                <w:webHidden/>
                <w:rStyle w:val="IndexLink"/>
              </w:rPr>
              <w:t>Y</w:t>
              <w:tab/>
              <w:t>176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81_21881"/>
      <w:bookmarkStart w:id="1" w:name="pg3581_21881"/>
      <w:bookmarkEnd w:id="1"/>
    </w:p>
    <w:p>
      <w:pPr>
        <w:pStyle w:val="Heading2"/>
        <w:numPr>
          <w:ilvl w:val="1"/>
          <w:numId w:val="1"/>
        </w:numPr>
        <w:bidi w:val="0"/>
        <w:jc w:val="left"/>
        <w:rPr/>
      </w:pPr>
      <w:bookmarkStart w:id="2" w:name="pg3581_21881"/>
      <w:bookmarkStart w:id="3" w:name="__RefHeading___Toc407452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Moustafa Al-Qazwini</w:t>
      </w:r>
    </w:p>
    <w:p>
      <w:pPr>
        <w:pStyle w:val="BookText"/>
        <w:bidi w:val="0"/>
        <w:jc w:val="both"/>
        <w:rPr/>
      </w:pPr>
      <w:r>
        <w:rPr>
          <w:rFonts w:eastAsia="Times New Roman" w:cs="Times New Roman" w:ascii="Times New Roman" w:hAnsi="Times New Roman"/>
          <w:color w:val="111111"/>
          <w:sz w:val="28"/>
          <w:szCs w:val="28"/>
          <w:lang w:val="en-US"/>
        </w:rPr>
        <w:t>Category: Companions Early Islamic History</w:t>
      </w:r>
    </w:p>
    <w:p>
      <w:pPr>
        <w:pStyle w:val="BookText"/>
        <w:bidi w:val="0"/>
        <w:jc w:val="both"/>
        <w:rPr/>
      </w:pPr>
      <w:r>
        <w:rPr>
          <w:rFonts w:eastAsia="Times New Roman" w:cs="Times New Roman" w:ascii="Times New Roman" w:hAnsi="Times New Roman"/>
          <w:color w:val="111111"/>
          <w:sz w:val="28"/>
          <w:szCs w:val="28"/>
          <w:lang w:val="en-US"/>
        </w:rPr>
        <w:t>Topic Tags: early islamic history Miscellaneous information:Islamic Educational Center of Orange County</w:t>
      </w:r>
    </w:p>
    <w:p>
      <w:pPr>
        <w:pStyle w:val="BookText"/>
        <w:bidi w:val="0"/>
        <w:jc w:val="both"/>
        <w:rPr/>
      </w:pPr>
      <w:r>
        <w:rPr>
          <w:rFonts w:eastAsia="Times New Roman" w:cs="Times New Roman" w:ascii="Times New Roman" w:hAnsi="Times New Roman"/>
          <w:color w:val="111111"/>
          <w:sz w:val="28"/>
          <w:szCs w:val="28"/>
          <w:lang w:val="en-US"/>
        </w:rPr>
        <w:t>3194-B Airport Loop Drive</w:t>
      </w:r>
    </w:p>
    <w:p>
      <w:pPr>
        <w:pStyle w:val="BookText"/>
        <w:bidi w:val="0"/>
        <w:jc w:val="both"/>
        <w:rPr/>
      </w:pPr>
      <w:r>
        <w:rPr>
          <w:rFonts w:eastAsia="Times New Roman" w:cs="Times New Roman" w:ascii="Times New Roman" w:hAnsi="Times New Roman"/>
          <w:color w:val="111111"/>
          <w:sz w:val="28"/>
          <w:szCs w:val="28"/>
          <w:lang w:val="en-US"/>
        </w:rPr>
        <w:t>Costa Mesa, California 92626 U.S.A.</w:t>
      </w:r>
    </w:p>
    <w:p>
      <w:pPr>
        <w:pStyle w:val="BookText"/>
        <w:bidi w:val="0"/>
        <w:jc w:val="both"/>
        <w:rPr/>
      </w:pPr>
      <w:r>
        <w:rPr>
          <w:rFonts w:eastAsia="Times New Roman" w:cs="Times New Roman" w:ascii="Times New Roman" w:hAnsi="Times New Roman"/>
          <w:color w:val="111111"/>
          <w:sz w:val="28"/>
          <w:szCs w:val="28"/>
          <w:lang w:val="en-US"/>
        </w:rPr>
        <w:t>Telephone: (714) 432-0060</w:t>
      </w:r>
    </w:p>
    <w:p>
      <w:pPr>
        <w:pStyle w:val="BookText"/>
        <w:bidi w:val="0"/>
        <w:jc w:val="both"/>
        <w:rPr/>
      </w:pPr>
      <w:r>
        <w:rPr>
          <w:rFonts w:eastAsia="Times New Roman" w:cs="Times New Roman" w:ascii="Times New Roman" w:hAnsi="Times New Roman"/>
          <w:color w:val="111111"/>
          <w:sz w:val="28"/>
          <w:szCs w:val="28"/>
          <w:lang w:val="en-US"/>
        </w:rPr>
        <w:t>www.iecoc.org</w:t>
      </w:r>
    </w:p>
    <w:p>
      <w:pPr>
        <w:pStyle w:val="BookText"/>
        <w:bidi w:val="0"/>
        <w:jc w:val="both"/>
        <w:rPr/>
      </w:pPr>
      <w:r>
        <w:rPr>
          <w:rFonts w:eastAsia="Times New Roman" w:cs="Times New Roman" w:ascii="Times New Roman" w:hAnsi="Times New Roman"/>
          <w:color w:val="111111"/>
          <w:sz w:val="28"/>
          <w:szCs w:val="28"/>
          <w:lang w:val="en-US"/>
        </w:rPr>
        <w:t>info@iecoc.org</w:t>
      </w:r>
    </w:p>
    <w:p>
      <w:pPr>
        <w:pStyle w:val="BookText"/>
        <w:bidi w:val="0"/>
        <w:jc w:val="both"/>
        <w:rPr/>
      </w:pPr>
      <w:r>
        <w:rPr>
          <w:rFonts w:eastAsia="Times New Roman" w:cs="Times New Roman" w:ascii="Times New Roman" w:hAnsi="Times New Roman"/>
          <w:color w:val="111111"/>
          <w:sz w:val="28"/>
          <w:szCs w:val="28"/>
          <w:lang w:val="en-US"/>
        </w:rPr>
        <w:t>First U.S. Edition 2009</w:t>
      </w:r>
    </w:p>
    <w:p>
      <w:pPr>
        <w:pStyle w:val="BookText"/>
        <w:bidi w:val="0"/>
        <w:jc w:val="both"/>
        <w:rPr/>
      </w:pPr>
      <w:r>
        <w:rPr>
          <w:rFonts w:eastAsia="Times New Roman" w:cs="Times New Roman" w:ascii="Times New Roman" w:hAnsi="Times New Roman"/>
          <w:color w:val="111111"/>
          <w:sz w:val="28"/>
          <w:szCs w:val="28"/>
          <w:lang w:val="en-US"/>
        </w:rPr>
        <w:t>ISBN: 978-0-9711538-0-6</w:t>
      </w:r>
    </w:p>
    <w:p>
      <w:pPr>
        <w:pStyle w:val="BookText"/>
        <w:bidi w:val="0"/>
        <w:jc w:val="both"/>
        <w:rPr/>
      </w:pPr>
      <w:r>
        <w:rPr>
          <w:rFonts w:eastAsia="Times New Roman" w:cs="Times New Roman" w:ascii="Times New Roman" w:hAnsi="Times New Roman"/>
          <w:color w:val="111111"/>
          <w:sz w:val="28"/>
          <w:szCs w:val="28"/>
          <w:lang w:val="en-US"/>
        </w:rPr>
        <w:t>Book Layout and Design by the Islamic Publishing House [www.iph.ca]</w:t>
      </w:r>
    </w:p>
    <w:p>
      <w:pPr>
        <w:pStyle w:val="BookText"/>
        <w:bidi w:val="0"/>
        <w:jc w:val="both"/>
        <w:rPr/>
      </w:pPr>
      <w:r>
        <w:rPr>
          <w:rFonts w:eastAsia="Times New Roman" w:cs="Times New Roman" w:ascii="Times New Roman" w:hAnsi="Times New Roman"/>
          <w:color w:val="111111"/>
          <w:sz w:val="28"/>
          <w:szCs w:val="28"/>
          <w:lang w:val="en-US"/>
        </w:rPr>
        <w:t>Sponsored by Ahlul Bayt Society – www.12imams.org</w:t>
      </w:r>
    </w:p>
    <w:p>
      <w:pPr>
        <w:pStyle w:val="BookText"/>
        <w:bidi w:val="0"/>
        <w:jc w:val="both"/>
        <w:rPr/>
      </w:pPr>
      <w:r>
        <w:rPr>
          <w:rFonts w:eastAsia="Times New Roman" w:cs="Times New Roman" w:ascii="Times New Roman" w:hAnsi="Times New Roman"/>
          <w:color w:val="111111"/>
          <w:sz w:val="28"/>
          <w:szCs w:val="28"/>
          <w:lang w:val="en-US"/>
        </w:rPr>
        <w:t>Printed in Canada by Friesens Corporation - www.friesens.com</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Responses to Misconceptions</w:t>
      </w:r>
    </w:p>
    <w:p>
      <w:pPr>
        <w:pStyle w:val="BookText"/>
        <w:bidi w:val="0"/>
        <w:jc w:val="both"/>
        <w:rPr/>
      </w:pPr>
      <w:r>
        <w:rPr>
          <w:rFonts w:eastAsia="Times New Roman" w:cs="Times New Roman" w:ascii="Times New Roman" w:hAnsi="Times New Roman"/>
          <w:color w:val="111111"/>
          <w:sz w:val="28"/>
          <w:szCs w:val="28"/>
          <w:lang w:val="en-US"/>
        </w:rPr>
        <w:t>Person Tags: Abu Bakr Uthman Umar Ibn al-Khattab</w:t>
      </w:r>
    </w:p>
    <w:p>
      <w:pPr>
        <w:pStyle w:val="Heading2"/>
        <w:numPr>
          <w:ilvl w:val="1"/>
          <w:numId w:val="1"/>
        </w:numPr>
        <w:bidi w:val="0"/>
        <w:jc w:val="left"/>
        <w:rPr/>
      </w:pPr>
      <w:bookmarkStart w:id="5" w:name="__RefHeading___Toc407452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Critical Analysis of Early Caliphate in Islam, Understanding the Present by Knowing the PastAn in-depth study and analysis of the early Islamic history and caliphate and personalities of the first three caliphs based on Sunni sources in order to understand the difference between Shi’a and Sunni schools of thought.</w:t>
      </w:r>
    </w:p>
    <w:p>
      <w:pPr>
        <w:pStyle w:val="Heading2"/>
        <w:numPr>
          <w:ilvl w:val="1"/>
          <w:numId w:val="1"/>
        </w:numPr>
        <w:bidi w:val="0"/>
        <w:jc w:val="left"/>
        <w:rPr/>
      </w:pPr>
      <w:bookmarkStart w:id="7" w:name="__RefHeading___Toc4074529_2749589250"/>
      <w:bookmarkStart w:id="8" w:name="_Toc3"/>
      <w:bookmarkEnd w:id="7"/>
      <w:r>
        <w:rPr/>
        <w:t>Prologue</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قِیلَ لَهُمُ ٱتَّبِعُوا مَآ أَنزَلَ ٱللَّهُ قَالُواْ بَلْ نَتَّبِعُ مَآ أَلْفَیْنَا عَلَیْهِ آبَآءَنَآ أَوَلَوْ کَانَ آبَاؤُهُمْ لاَ یَعْقِلُونَ شَیْئاً وَلاَ یَهْتَدُونَ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it is said to them: ‘Follow what Allah hath revealed,’ they say: ‘Nay! We shall follow the ways of our fathers.’ What! Even though their fathers were void of wisdom and guidance? (Holy Qur’an, 2:170)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present era, it is most disturbing for many Muslims and non-Muslims alike to witness the escalating rise in sectarian violence between the Shi’a and Sunni followers of Islam, particularly in places such as Iraq, Afghanistan, and Pakistan. Some people, including Muslims, ask why the Shi’a and Sunni are violently murdering each other; is there something in the history of the Muslims that</w:t>
      </w:r>
    </w:p>
    <w:p>
      <w:pPr>
        <w:pStyle w:val="BookText"/>
        <w:bidi w:val="0"/>
        <w:rPr/>
      </w:pPr>
      <w:r>
        <w:rPr>
          <w:rFonts w:eastAsia="Times New Roman" w:cs="Times New Roman" w:ascii="Times New Roman" w:hAnsi="Times New Roman"/>
          <w:color w:val="111111"/>
          <w:sz w:val="28"/>
          <w:szCs w:val="28"/>
          <w:lang w:val="en-US"/>
        </w:rPr>
        <w:t>continues to spark such hatred and violence today; why does one sect accuse the other of heresy; and why is one sect of the Muslims considered as “mainstream,” while the other wing is branded unconventional and literally pacified?</w:t>
      </w:r>
    </w:p>
    <w:p>
      <w:pPr>
        <w:pStyle w:val="BookText"/>
        <w:bidi w:val="0"/>
        <w:jc w:val="both"/>
        <w:rPr/>
      </w:pPr>
      <w:r>
        <w:rPr>
          <w:rFonts w:eastAsia="Times New Roman" w:cs="Times New Roman" w:ascii="Times New Roman" w:hAnsi="Times New Roman"/>
          <w:color w:val="111111"/>
          <w:sz w:val="28"/>
          <w:szCs w:val="28"/>
          <w:lang w:val="en-US"/>
        </w:rPr>
        <w:t>Unquestionably, seeded in the history of Islam is the answer - in particular, the political course that was taken following the death of the Holy Prophet and the way in which the early history of Islam was written. They say that history is bound to repeat itself and this is much more apparent today because the remnants and unconsciousness of Muslims in regards to their own history is affecting Muslims today.</w:t>
      </w:r>
    </w:p>
    <w:p>
      <w:pPr>
        <w:pStyle w:val="BookText"/>
        <w:bidi w:val="0"/>
        <w:jc w:val="both"/>
        <w:rPr/>
      </w:pPr>
      <w:r>
        <w:rPr>
          <w:rFonts w:eastAsia="Times New Roman" w:cs="Times New Roman" w:ascii="Times New Roman" w:hAnsi="Times New Roman"/>
          <w:color w:val="111111"/>
          <w:sz w:val="28"/>
          <w:szCs w:val="28"/>
          <w:lang w:val="en-US"/>
        </w:rPr>
        <w:t>The account of the Muslims is not the classical historical case of not knowing their past, but rather, it is of not knowing the truth of its past. Thus, a closer examination into the past political and historical accounts of Islam is needed.</w:t>
      </w:r>
    </w:p>
    <w:p>
      <w:pPr>
        <w:pStyle w:val="BookText"/>
        <w:bidi w:val="0"/>
        <w:jc w:val="both"/>
        <w:rPr/>
      </w:pPr>
      <w:r>
        <w:rPr>
          <w:rFonts w:eastAsia="Times New Roman" w:cs="Times New Roman" w:ascii="Times New Roman" w:hAnsi="Times New Roman"/>
          <w:color w:val="111111"/>
          <w:sz w:val="28"/>
          <w:szCs w:val="28"/>
          <w:lang w:val="en-US"/>
        </w:rPr>
        <w:t>As a Muslim scholar, I get numerous questions from Muslims, both of the Shi’a and Sunni following (but mainly from Sunni parishioners), as to the differences between the Shi’a and Sunni communities. The answer does not lie in a simple stated sentence or two, but rather, it requires an honest, detailed account and interpretive explanation of the past.</w:t>
      </w:r>
    </w:p>
    <w:p>
      <w:pPr>
        <w:pStyle w:val="BookText"/>
        <w:bidi w:val="0"/>
        <w:jc w:val="both"/>
        <w:rPr/>
      </w:pPr>
      <w:r>
        <w:rPr>
          <w:rFonts w:eastAsia="Times New Roman" w:cs="Times New Roman" w:ascii="Times New Roman" w:hAnsi="Times New Roman"/>
          <w:color w:val="111111"/>
          <w:sz w:val="28"/>
          <w:szCs w:val="28"/>
          <w:lang w:val="en-US"/>
        </w:rPr>
        <w:t>Hence, a truthful and comprehensive contemporary account must be told in order for sincere seekers to understand what happened to the Muslims, and why, in particular, some refer to themselves as being Shi’a.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fourteen hundred years have passed since Prophet Muhammad bonded</w:t>
      </w:r>
    </w:p>
    <w:p>
      <w:pPr>
        <w:pStyle w:val="BookText"/>
        <w:bidi w:val="0"/>
        <w:rPr/>
      </w:pPr>
      <w:r>
        <w:rPr>
          <w:rFonts w:eastAsia="Times New Roman" w:cs="Times New Roman" w:ascii="Times New Roman" w:hAnsi="Times New Roman"/>
          <w:color w:val="111111"/>
          <w:sz w:val="28"/>
          <w:szCs w:val="28"/>
          <w:lang w:val="en-US"/>
        </w:rPr>
        <w:t>rival tribes, united neighbors, and partnered others to form one community - the Muslim ummah. However, from the moment that Prophet Muhammad publicly declared his prophethood and message until now, the internal relationship of the Muslim ummah has yet to synthesize fully because of the Shi’a-Sunni division.</w:t>
      </w:r>
    </w:p>
    <w:p>
      <w:pPr>
        <w:pStyle w:val="BookText"/>
        <w:bidi w:val="0"/>
        <w:jc w:val="both"/>
        <w:rPr/>
      </w:pPr>
      <w:r>
        <w:rPr>
          <w:rFonts w:eastAsia="Times New Roman" w:cs="Times New Roman" w:ascii="Times New Roman" w:hAnsi="Times New Roman"/>
          <w:color w:val="111111"/>
          <w:sz w:val="28"/>
          <w:szCs w:val="28"/>
          <w:lang w:val="en-US"/>
        </w:rPr>
        <w:t>This is not to say that there is an internal rift within Islam, far from that! Muslims are united in the same God, they recite the same Holy Qur’an, face the same qiblah (direction of prayer), fast the same month (of Ramadhan), and perform the pilgrimage to the same House (Ka’abah).</w:t>
      </w:r>
    </w:p>
    <w:p>
      <w:pPr>
        <w:pStyle w:val="BookText"/>
        <w:bidi w:val="0"/>
        <w:jc w:val="both"/>
        <w:rPr/>
      </w:pPr>
      <w:r>
        <w:rPr>
          <w:rFonts w:eastAsia="Times New Roman" w:cs="Times New Roman" w:ascii="Times New Roman" w:hAnsi="Times New Roman"/>
          <w:color w:val="111111"/>
          <w:sz w:val="28"/>
          <w:szCs w:val="28"/>
          <w:lang w:val="en-US"/>
        </w:rPr>
        <w:t>Nonetheless, there is a domestic struggle and this strain is embedded in the historical and political account of Islam; in particular, the caliphates</w:t>
      </w:r>
      <w:r>
        <w:rPr>
          <w:rStyle w:val="FootnoteAnchor"/>
        </w:rPr>
        <w:footnoteReference w:id="2"/>
      </w:r>
      <w:r>
        <w:rPr>
          <w:rFonts w:eastAsia="Times New Roman" w:cs="Times New Roman" w:ascii="Times New Roman" w:hAnsi="Times New Roman"/>
          <w:color w:val="111111"/>
          <w:sz w:val="28"/>
          <w:szCs w:val="28"/>
          <w:lang w:val="en-US"/>
        </w:rPr>
        <w:t>of Abu Bakr,</w:t>
      </w:r>
      <w:r>
        <w:rPr>
          <w:rStyle w:val="FootnoteAnchor"/>
        </w:rPr>
        <w:footnoteReference w:id="3"/>
      </w:r>
      <w:r>
        <w:rPr>
          <w:rFonts w:eastAsia="Times New Roman" w:cs="Times New Roman" w:ascii="Times New Roman" w:hAnsi="Times New Roman"/>
          <w:color w:val="111111"/>
          <w:sz w:val="28"/>
          <w:szCs w:val="28"/>
          <w:lang w:val="en-US"/>
        </w:rPr>
        <w:t>‘Umar Ibn al-Khattab,</w:t>
      </w:r>
      <w:r>
        <w:rPr>
          <w:rStyle w:val="FootnoteAnchor"/>
        </w:rPr>
        <w:footnoteReference w:id="4"/>
      </w:r>
      <w:r>
        <w:rPr>
          <w:rFonts w:eastAsia="Times New Roman" w:cs="Times New Roman" w:ascii="Times New Roman" w:hAnsi="Times New Roman"/>
          <w:color w:val="111111"/>
          <w:sz w:val="28"/>
          <w:szCs w:val="28"/>
          <w:lang w:val="en-US"/>
        </w:rPr>
        <w:t>and ‘Uthman Ibn al-Affan.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For many Muslims, the first three caliphs are highly revered and the unquestioning belief in the righteousness of them as the “rightly guided” caliphs lies at the heart of many Muslims’ faith. Nonetheless, the stark realization that these caliphs made severe misjudgments may surprise some, perhaps even bewilder or shatter their belief. Uncovering the truthful facts of the first three caliphs may seem disrespectful for some; however, this is actually a respectful attempt to restore Islam to its pristine, original form brought by Prophet Muhammad.</w:t>
      </w:r>
    </w:p>
    <w:p>
      <w:pPr>
        <w:pStyle w:val="BookText"/>
        <w:bidi w:val="0"/>
        <w:jc w:val="both"/>
        <w:rPr/>
      </w:pPr>
      <w:r>
        <w:rPr>
          <w:rFonts w:eastAsia="Times New Roman" w:cs="Times New Roman" w:ascii="Times New Roman" w:hAnsi="Times New Roman"/>
          <w:color w:val="111111"/>
          <w:sz w:val="28"/>
          <w:szCs w:val="28"/>
          <w:lang w:val="en-US"/>
        </w:rPr>
        <w:t>As difficult as it may be, we (Muslims) must be able to objectively examine the history of these three caliphs, re-examine and filter out our hadith sources, and then make sound judgment based on facts.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“split”</w:t>
      </w:r>
    </w:p>
    <w:p>
      <w:pPr>
        <w:pStyle w:val="BookText"/>
        <w:bidi w:val="0"/>
        <w:rPr/>
      </w:pPr>
      <w:r>
        <w:rPr>
          <w:rFonts w:eastAsia="Times New Roman" w:cs="Times New Roman" w:ascii="Times New Roman" w:hAnsi="Times New Roman"/>
          <w:color w:val="111111"/>
          <w:sz w:val="28"/>
          <w:szCs w:val="28"/>
          <w:lang w:val="en-US"/>
        </w:rPr>
        <w:t>of the Muslims (Shi’a and Sunni) can be summoned to have intensified during the administration of the first three caliphs, and much of today’s estrangement of the Muslims can be traced back to their government, consequently, this book will outline the character, actions, qualifications, and consequences of these three individuals.</w:t>
      </w:r>
    </w:p>
    <w:p>
      <w:pPr>
        <w:pStyle w:val="BookText"/>
        <w:bidi w:val="0"/>
        <w:jc w:val="both"/>
        <w:rPr/>
      </w:pPr>
      <w:r>
        <w:rPr>
          <w:rFonts w:eastAsia="Times New Roman" w:cs="Times New Roman" w:ascii="Times New Roman" w:hAnsi="Times New Roman"/>
          <w:color w:val="111111"/>
          <w:sz w:val="28"/>
          <w:szCs w:val="28"/>
          <w:lang w:val="en-US"/>
        </w:rPr>
        <w:t>The reports are based solely on the historical accounts of Sunni sources, such as the respected texts: Sahih al-Bukhari and Sahih al-Muslim, and other renowned Sunni scholars. Thus, no claim can be argued that the author is vindictively judging the three caliphs from outside sources. Furthermore, the readings will also cover the view of the Shi’a and shed some light as to why the Shi’a have been marginalized throughout the Muslim history.</w:t>
      </w:r>
    </w:p>
    <w:p>
      <w:pPr>
        <w:pStyle w:val="BookText"/>
        <w:bidi w:val="0"/>
        <w:jc w:val="both"/>
        <w:rPr/>
      </w:pPr>
      <w:r>
        <w:rPr>
          <w:rFonts w:eastAsia="Times New Roman" w:cs="Times New Roman" w:ascii="Times New Roman" w:hAnsi="Times New Roman"/>
          <w:color w:val="111111"/>
          <w:sz w:val="28"/>
          <w:szCs w:val="28"/>
          <w:lang w:val="en-US"/>
        </w:rPr>
        <w:t>As a scholar of Islam and a member of the Muslim ummah, this writing is not intended to be derogatory, or as an attempt to maliciously blame some, or as a means to jostle the past of the Muslims; nor is it an opportunity by the author to insult or expose the weaknesses of some companions.</w:t>
      </w:r>
    </w:p>
    <w:p>
      <w:pPr>
        <w:pStyle w:val="BookText"/>
        <w:bidi w:val="0"/>
        <w:jc w:val="both"/>
        <w:rPr/>
      </w:pPr>
      <w:r>
        <w:rPr>
          <w:rFonts w:eastAsia="Times New Roman" w:cs="Times New Roman" w:ascii="Times New Roman" w:hAnsi="Times New Roman"/>
          <w:color w:val="111111"/>
          <w:sz w:val="28"/>
          <w:szCs w:val="28"/>
          <w:lang w:val="en-US"/>
        </w:rPr>
        <w:t>Rather this work is an attempt to shed light and present an unbiased account of their actions and the subsequent results on the ummah, such as their plans to dominate the Muslim leadership, the need to develop the science of Hadith (Prophetic traditions), discordant ideological interpretations, and the emergence of the schools of thought.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 work is not meant to stir sectarian conflict or to cause a deeper fissure amongst the schools</w:t>
      </w:r>
    </w:p>
    <w:p>
      <w:pPr>
        <w:pStyle w:val="BookText"/>
        <w:bidi w:val="0"/>
        <w:rPr/>
      </w:pPr>
      <w:r>
        <w:rPr>
          <w:rFonts w:eastAsia="Times New Roman" w:cs="Times New Roman" w:ascii="Times New Roman" w:hAnsi="Times New Roman"/>
          <w:color w:val="111111"/>
          <w:sz w:val="28"/>
          <w:szCs w:val="28"/>
          <w:lang w:val="en-US"/>
        </w:rPr>
        <w:t>either. I am well aware and sensitive to the fact that this is a delicate issue and I take to practice every means possible to express my sentiments and academic knowledge respectfully and rationally.</w:t>
      </w:r>
    </w:p>
    <w:p>
      <w:pPr>
        <w:pStyle w:val="BookText"/>
        <w:bidi w:val="0"/>
        <w:jc w:val="both"/>
        <w:rPr/>
      </w:pPr>
      <w:r>
        <w:rPr>
          <w:rFonts w:eastAsia="Times New Roman" w:cs="Times New Roman" w:ascii="Times New Roman" w:hAnsi="Times New Roman"/>
          <w:color w:val="111111"/>
          <w:sz w:val="28"/>
          <w:szCs w:val="28"/>
          <w:lang w:val="en-US"/>
        </w:rPr>
        <w:t>Throughout the years of humbly serving my faith, I have maintained an open venue to foster intrafaith engagements and reconciliation. The time has come for Muslim scholars to set aside their differences and rise to the occasion and challenges by addressing their internal division in an honest, academic, and composed fashion.</w:t>
      </w:r>
    </w:p>
    <w:p>
      <w:pPr>
        <w:pStyle w:val="BookText"/>
        <w:bidi w:val="0"/>
        <w:jc w:val="both"/>
        <w:rPr/>
      </w:pPr>
      <w:r>
        <w:rPr>
          <w:rFonts w:eastAsia="Times New Roman" w:cs="Times New Roman" w:ascii="Times New Roman" w:hAnsi="Times New Roman"/>
          <w:color w:val="111111"/>
          <w:sz w:val="28"/>
          <w:szCs w:val="28"/>
          <w:lang w:val="en-US"/>
        </w:rPr>
        <w:t>All provocations and polemics must desist on both fronts and a deep knowledge of being acquainted first-hand about each other’s history, ideology, and stance are critical ingredients for any plausible discussions or solutions to arise.</w:t>
      </w:r>
    </w:p>
    <w:p>
      <w:pPr>
        <w:pStyle w:val="BookText"/>
        <w:bidi w:val="0"/>
        <w:jc w:val="both"/>
        <w:rPr/>
      </w:pPr>
      <w:r>
        <w:rPr>
          <w:rFonts w:eastAsia="Times New Roman" w:cs="Times New Roman" w:ascii="Times New Roman" w:hAnsi="Times New Roman"/>
          <w:color w:val="111111"/>
          <w:sz w:val="28"/>
          <w:szCs w:val="28"/>
          <w:lang w:val="en-US"/>
        </w:rPr>
        <w:t>For many years, it has been rumored that the Shi’a do not favor the companions of the Prophet; however, the reality is that the Shi’a have always revered, respected, and acknowledged many of the companions. Over 100,000 companions lived during the time of the Prophet - most were sincere, but not all of them and even the Holy Qur’an attest to this (al-Qur’an, c. 63</w:t>
      </w:r>
      <w:r>
        <w:rPr>
          <w:rStyle w:val="FootnoteAnchor"/>
        </w:rPr>
        <w:footnoteReference w:id="6"/>
      </w:r>
      <w:r>
        <w:rPr>
          <w:rFonts w:eastAsia="Times New Roman" w:cs="Times New Roman" w:ascii="Times New Roman" w:hAnsi="Times New Roman"/>
          <w:color w:val="111111"/>
          <w:sz w:val="28"/>
          <w:szCs w:val="28"/>
          <w:lang w:val="en-US"/>
        </w:rPr>
        <w:t>&amp; c. 9:101</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recognize and pay tribute to those who sincerely serviced, sacrificed, and gave their lives for the sake of Islam and the Prophet.</w:t>
      </w:r>
      <w:r>
        <w:rPr>
          <w:rStyle w:val="FootnoteAnchor"/>
        </w:rPr>
        <w:footnoteReference w:id="8"/>
      </w:r>
      <w:r>
        <w:rPr>
          <w:rFonts w:eastAsia="Times New Roman" w:cs="Times New Roman" w:ascii="Times New Roman" w:hAnsi="Times New Roman"/>
          <w:color w:val="111111"/>
          <w:sz w:val="28"/>
          <w:szCs w:val="28"/>
          <w:lang w:val="en-US"/>
        </w:rPr>
        <w:t>The Shi’a are highly recognized for paying their respect to many companions of the Prophet who were martyred to advance Islam. We make yearly pilgrimages to their places of burial - their mausoleums and even to the battlegrounds where they lost</w:t>
      </w:r>
    </w:p>
    <w:p>
      <w:pPr>
        <w:pStyle w:val="BookText"/>
        <w:bidi w:val="0"/>
        <w:rPr/>
      </w:pPr>
      <w:r>
        <w:rPr>
          <w:rFonts w:eastAsia="Times New Roman" w:cs="Times New Roman" w:ascii="Times New Roman" w:hAnsi="Times New Roman"/>
          <w:color w:val="111111"/>
          <w:sz w:val="28"/>
          <w:szCs w:val="28"/>
          <w:lang w:val="en-US"/>
        </w:rPr>
        <w:t>their lives. Despite the love we have for the faithful martyrs of Islam, still we are continuously branded as those who dislike the companions.</w:t>
      </w:r>
    </w:p>
    <w:p>
      <w:pPr>
        <w:pStyle w:val="BookText"/>
        <w:bidi w:val="0"/>
        <w:jc w:val="both"/>
        <w:rPr/>
      </w:pPr>
      <w:r>
        <w:rPr>
          <w:rFonts w:eastAsia="Times New Roman" w:cs="Times New Roman" w:ascii="Times New Roman" w:hAnsi="Times New Roman"/>
          <w:color w:val="111111"/>
          <w:sz w:val="28"/>
          <w:szCs w:val="28"/>
          <w:lang w:val="en-US"/>
        </w:rPr>
        <w:t>The Shi’a have primarily been the most misunderstood of the Muslim schools of thought. It has been the case throughout Muslim history and until now that the Shi’a ideology and its followers are persecuted and ridiculed. In recent times, it is been more accelerated politically after the invasion of Iraq in 2003. The Muslim world then witnessed an increasing attack against Shi’a Islam and its followers. A tsunami effect of ignorance and prejudice batters the Shi’a.</w:t>
      </w:r>
    </w:p>
    <w:p>
      <w:pPr>
        <w:pStyle w:val="BookText"/>
        <w:bidi w:val="0"/>
        <w:jc w:val="both"/>
        <w:rPr/>
      </w:pPr>
      <w:r>
        <w:rPr>
          <w:rFonts w:eastAsia="Times New Roman" w:cs="Times New Roman" w:ascii="Times New Roman" w:hAnsi="Times New Roman"/>
          <w:color w:val="111111"/>
          <w:sz w:val="28"/>
          <w:szCs w:val="28"/>
          <w:lang w:val="en-US"/>
        </w:rPr>
        <w:t>Unsubstantially described as “interpreting their own form of Islam,” the Shi’a have been hammered with radical accusations as being “renegades” and “rebellious” by those who believe that the Shi’a doctrine is some form of a “cult” or that it is at “odds” with mainstream Muslims.</w:t>
      </w:r>
    </w:p>
    <w:p>
      <w:pPr>
        <w:pStyle w:val="BookText"/>
        <w:bidi w:val="0"/>
        <w:jc w:val="both"/>
        <w:rPr/>
      </w:pPr>
      <w:r>
        <w:rPr>
          <w:rFonts w:eastAsia="Times New Roman" w:cs="Times New Roman" w:ascii="Times New Roman" w:hAnsi="Times New Roman"/>
          <w:color w:val="111111"/>
          <w:sz w:val="28"/>
          <w:szCs w:val="28"/>
          <w:lang w:val="en-US"/>
        </w:rPr>
        <w:t>Some known and well-respected Sunni scholars, from the past until the present, have from time to time labeled the Shi’a followers as “innovators,” some even going as far as calling them “heretics.” Such labeled biases spread doubt and fear amongst the ummah, and even worse, mistrust.</w:t>
      </w:r>
    </w:p>
    <w:p>
      <w:pPr>
        <w:pStyle w:val="BookText"/>
        <w:bidi w:val="0"/>
        <w:jc w:val="both"/>
        <w:rPr/>
      </w:pPr>
      <w:r>
        <w:rPr>
          <w:rFonts w:eastAsia="Times New Roman" w:cs="Times New Roman" w:ascii="Times New Roman" w:hAnsi="Times New Roman"/>
          <w:color w:val="111111"/>
          <w:sz w:val="28"/>
          <w:szCs w:val="28"/>
          <w:lang w:val="en-US"/>
        </w:rPr>
        <w:t>What is more is that intellectual and moderate Muslim leaders have largely ignored the incredulous accusations and labeling. The silence by those religious leaders has engendered more ignorance and division amongst the Shi’a-Sunni schools and their followers.</w:t>
      </w:r>
    </w:p>
    <w:p>
      <w:pPr>
        <w:pStyle w:val="BookText"/>
        <w:bidi w:val="0"/>
        <w:jc w:val="both"/>
        <w:rPr/>
      </w:pPr>
      <w:r>
        <w:rPr>
          <w:rFonts w:eastAsia="Times New Roman" w:cs="Times New Roman" w:ascii="Times New Roman" w:hAnsi="Times New Roman"/>
          <w:color w:val="111111"/>
          <w:sz w:val="28"/>
          <w:szCs w:val="28"/>
          <w:lang w:val="en-US"/>
        </w:rPr>
        <w:t>The fallacy about Shi’a Islam needs to end and this is where my duty and obligation lies, for Allah says in the Holy Qur’an: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make</w:t>
      </w:r>
    </w:p>
    <w:p>
      <w:pPr>
        <w:pStyle w:val="BookText"/>
        <w:bidi w:val="0"/>
        <w:rPr/>
      </w:pPr>
      <w:r>
        <w:rPr>
          <w:rFonts w:eastAsia="Times New Roman" w:cs="Times New Roman" w:ascii="Times New Roman" w:hAnsi="Times New Roman"/>
          <w:color w:val="111111"/>
          <w:sz w:val="28"/>
          <w:szCs w:val="28"/>
          <w:lang w:val="en-US"/>
        </w:rPr>
        <w:t>it known and clear to mankind and not to hide it.” (3:187)</w:t>
      </w:r>
    </w:p>
    <w:p>
      <w:pPr>
        <w:pStyle w:val="BookText"/>
        <w:bidi w:val="0"/>
        <w:jc w:val="both"/>
        <w:rPr/>
      </w:pPr>
      <w:r>
        <w:rPr>
          <w:rFonts w:eastAsia="Times New Roman" w:cs="Times New Roman" w:ascii="Times New Roman" w:hAnsi="Times New Roman"/>
          <w:color w:val="111111"/>
          <w:sz w:val="28"/>
          <w:szCs w:val="28"/>
          <w:lang w:val="en-US"/>
        </w:rPr>
        <w:t>I stand to defend any dehumanizing portrayal of the Shi’a by adversaries, and it is my duty to expunge the rumors that have beleaguered us (Shi’a) for many centuries.</w:t>
      </w:r>
    </w:p>
    <w:p>
      <w:pPr>
        <w:pStyle w:val="BookText"/>
        <w:bidi w:val="0"/>
        <w:jc w:val="both"/>
        <w:rPr/>
      </w:pPr>
      <w:r>
        <w:rPr>
          <w:rFonts w:eastAsia="Times New Roman" w:cs="Times New Roman" w:ascii="Times New Roman" w:hAnsi="Times New Roman"/>
          <w:color w:val="111111"/>
          <w:sz w:val="28"/>
          <w:szCs w:val="28"/>
          <w:lang w:val="en-US"/>
        </w:rPr>
        <w:t>An honest and unabashed work is far overdue on this subject. I have no secret agenda, nor the need to practice the license of taqiyyah,</w:t>
      </w:r>
      <w:r>
        <w:rPr>
          <w:rStyle w:val="FootnoteAnchor"/>
        </w:rPr>
        <w:footnoteReference w:id="9"/>
      </w:r>
      <w:r>
        <w:rPr>
          <w:rFonts w:eastAsia="Times New Roman" w:cs="Times New Roman" w:ascii="Times New Roman" w:hAnsi="Times New Roman"/>
          <w:color w:val="111111"/>
          <w:sz w:val="28"/>
          <w:szCs w:val="28"/>
          <w:lang w:val="en-US"/>
        </w:rPr>
        <w:t>and I stand free of any association to proselytize the Shi’a school of thought.</w:t>
      </w:r>
    </w:p>
    <w:p>
      <w:pPr>
        <w:pStyle w:val="BookText"/>
        <w:bidi w:val="0"/>
        <w:jc w:val="both"/>
        <w:rPr/>
      </w:pPr>
      <w:r>
        <w:rPr>
          <w:rFonts w:eastAsia="Times New Roman" w:cs="Times New Roman" w:ascii="Times New Roman" w:hAnsi="Times New Roman"/>
          <w:color w:val="111111"/>
          <w:sz w:val="28"/>
          <w:szCs w:val="28"/>
          <w:lang w:val="en-US"/>
        </w:rPr>
        <w:t>These are far from my objective; rather, my aim is to put forward the historical truth objectively about what some of the companions did systematically during the life of the Prophet and following his death, and to allow the reader to make his or her own sound conclusion.</w:t>
      </w:r>
    </w:p>
    <w:p>
      <w:pPr>
        <w:pStyle w:val="BookText"/>
        <w:bidi w:val="0"/>
        <w:jc w:val="both"/>
        <w:rPr/>
      </w:pPr>
      <w:r>
        <w:rPr>
          <w:rFonts w:eastAsia="Times New Roman" w:cs="Times New Roman" w:ascii="Times New Roman" w:hAnsi="Times New Roman"/>
          <w:color w:val="111111"/>
          <w:sz w:val="28"/>
          <w:szCs w:val="28"/>
          <w:lang w:val="en-US"/>
        </w:rPr>
        <w:t>Every Muslim, in fact, every human being bears the moral responsibility of seeking out the truth. For those who are sincerely searching for the truth, they must put aside any personal opinion and approach this work without pretense or prejudice views.</w:t>
      </w:r>
    </w:p>
    <w:p>
      <w:pPr>
        <w:pStyle w:val="BookText"/>
        <w:bidi w:val="0"/>
        <w:jc w:val="both"/>
        <w:rPr/>
      </w:pPr>
      <w:r>
        <w:rPr>
          <w:rFonts w:eastAsia="Times New Roman" w:cs="Times New Roman" w:ascii="Times New Roman" w:hAnsi="Times New Roman"/>
          <w:color w:val="111111"/>
          <w:sz w:val="28"/>
          <w:szCs w:val="28"/>
          <w:lang w:val="en-US"/>
        </w:rPr>
        <w:t>Although the history of Islam has hitherto led a tenuous path, the damage is not irreparable, for Allah says in the Noble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change the condition of the people until they change what is within them.” (c. 13:11)</w:t>
      </w:r>
    </w:p>
    <w:p>
      <w:pPr>
        <w:pStyle w:val="BookText"/>
        <w:bidi w:val="0"/>
        <w:jc w:val="both"/>
        <w:rPr/>
      </w:pPr>
      <w:r>
        <w:rPr>
          <w:rFonts w:eastAsia="Times New Roman" w:cs="Times New Roman" w:ascii="Times New Roman" w:hAnsi="Times New Roman"/>
          <w:color w:val="111111"/>
          <w:sz w:val="28"/>
          <w:szCs w:val="28"/>
          <w:lang w:val="en-US"/>
        </w:rPr>
        <w:t>The Muslims have freedom of choice and the Muslims still have the opportunity to liberate themselves and go forward as an ummah, united in submission to Allah.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welcome any contributing comments provided they are based and structured academically and rationally, mutually accepted amongst the various</w:t>
      </w:r>
      <w:bookmarkStart w:id="9" w:name="pg3581_21888"/>
    </w:p>
    <w:p>
      <w:pPr>
        <w:pStyle w:val="BookText"/>
        <w:bidi w:val="0"/>
        <w:rPr/>
      </w:pPr>
      <w:bookmarkEnd w:id="9"/>
      <w:r>
        <w:rPr>
          <w:rFonts w:eastAsia="Times New Roman" w:cs="Times New Roman" w:ascii="Times New Roman" w:hAnsi="Times New Roman"/>
          <w:color w:val="111111"/>
          <w:sz w:val="28"/>
          <w:szCs w:val="28"/>
          <w:lang w:val="en-US"/>
        </w:rPr>
        <w:t>Muslim scholars, and free of personal rhetoric.</w:t>
      </w:r>
    </w:p>
    <w:p>
      <w:pPr>
        <w:pStyle w:val="BookText"/>
        <w:bidi w:val="0"/>
        <w:jc w:val="both"/>
        <w:rPr/>
      </w:pPr>
      <w:r>
        <w:rPr>
          <w:rFonts w:eastAsia="Times New Roman" w:cs="Times New Roman" w:ascii="Times New Roman" w:hAnsi="Times New Roman"/>
          <w:color w:val="111111"/>
          <w:sz w:val="28"/>
          <w:szCs w:val="28"/>
          <w:lang w:val="en-US"/>
        </w:rPr>
        <w:t>Sayed Moustafa al-Qazwini</w:t>
      </w:r>
    </w:p>
    <w:p>
      <w:pPr>
        <w:pStyle w:val="BookText"/>
        <w:bidi w:val="0"/>
        <w:jc w:val="both"/>
        <w:rPr/>
      </w:pPr>
      <w:r>
        <w:rPr>
          <w:rFonts w:eastAsia="Times New Roman" w:cs="Times New Roman" w:ascii="Times New Roman" w:hAnsi="Times New Roman"/>
          <w:color w:val="111111"/>
          <w:sz w:val="28"/>
          <w:szCs w:val="28"/>
          <w:lang w:val="en-US"/>
        </w:rPr>
        <w:t>January 2009</w:t>
      </w:r>
    </w:p>
    <w:p>
      <w:pPr>
        <w:pStyle w:val="BookText"/>
        <w:bidi w:val="0"/>
        <w:jc w:val="both"/>
        <w:rPr/>
      </w:pPr>
      <w:r>
        <w:rPr>
          <w:rFonts w:eastAsia="Times New Roman" w:cs="Times New Roman" w:ascii="Times New Roman" w:hAnsi="Times New Roman"/>
          <w:color w:val="111111"/>
          <w:sz w:val="28"/>
          <w:szCs w:val="28"/>
          <w:lang w:val="en-US"/>
        </w:rPr>
        <w:t>Muharram 1430</w:t>
      </w:r>
    </w:p>
    <w:p>
      <w:pPr>
        <w:pStyle w:val="BookText"/>
        <w:bidi w:val="0"/>
        <w:jc w:val="both"/>
        <w:rPr/>
      </w:pPr>
      <w:r>
        <w:rPr>
          <w:rFonts w:eastAsia="Times New Roman" w:cs="Times New Roman" w:ascii="Times New Roman" w:hAnsi="Times New Roman"/>
          <w:color w:val="111111"/>
          <w:sz w:val="28"/>
          <w:szCs w:val="28"/>
          <w:lang w:val="en-US"/>
        </w:rPr>
        <w:t>Orange County, California</w:t>
      </w:r>
    </w:p>
    <w:p>
      <w:pPr>
        <w:pStyle w:val="BookText"/>
        <w:bidi w:val="0"/>
        <w:jc w:val="both"/>
        <w:rPr/>
      </w:pPr>
      <w:r>
        <w:rPr>
          <w:rFonts w:eastAsia="Times New Roman" w:cs="Times New Roman" w:ascii="Times New Roman" w:hAnsi="Times New Roman"/>
          <w:color w:val="111111"/>
          <w:sz w:val="28"/>
          <w:szCs w:val="28"/>
          <w:lang w:val="en-US"/>
        </w:rPr>
        <w:t>USA</w:t>
      </w:r>
    </w:p>
    <w:p>
      <w:pPr>
        <w:pStyle w:val="Heading2"/>
        <w:numPr>
          <w:ilvl w:val="1"/>
          <w:numId w:val="1"/>
        </w:numPr>
        <w:bidi w:val="0"/>
        <w:jc w:val="left"/>
        <w:rPr/>
      </w:pPr>
      <w:bookmarkStart w:id="10" w:name="__RefHeading___Toc4074531_2749589250"/>
      <w:bookmarkStart w:id="11" w:name="_Toc4"/>
      <w:bookmarkEnd w:id="10"/>
      <w:r>
        <w:rPr/>
        <w:t>Acknowledgement</w:t>
      </w:r>
      <w:bookmarkEnd w:id="11"/>
    </w:p>
    <w:p>
      <w:pPr>
        <w:pStyle w:val="BookText"/>
        <w:bidi w:val="0"/>
        <w:jc w:val="both"/>
        <w:rPr/>
      </w:pPr>
      <w:r>
        <w:rPr>
          <w:rFonts w:eastAsia="Times New Roman" w:cs="Times New Roman" w:ascii="Times New Roman" w:hAnsi="Times New Roman"/>
          <w:color w:val="111111"/>
          <w:sz w:val="28"/>
          <w:szCs w:val="28"/>
          <w:lang w:val="en-US"/>
        </w:rPr>
        <w:t>This publication of this book would not have been possible without the effort, sacrifice, and sincere dedication of a few people that the Almighty has graced me with.</w:t>
      </w:r>
    </w:p>
    <w:p>
      <w:pPr>
        <w:pStyle w:val="BookText"/>
        <w:bidi w:val="0"/>
        <w:jc w:val="both"/>
        <w:rPr/>
      </w:pPr>
      <w:r>
        <w:rPr>
          <w:rFonts w:eastAsia="Times New Roman" w:cs="Times New Roman" w:ascii="Times New Roman" w:hAnsi="Times New Roman"/>
          <w:color w:val="111111"/>
          <w:sz w:val="28"/>
          <w:szCs w:val="28"/>
          <w:lang w:val="en-US"/>
        </w:rPr>
        <w:t>First, my gratitude must be expressed to Sister Fatma Saleh, her imprint on this book is unspoken. Second, much appreciation goes to Shaykh Saleem Bhimji for the typesetting and cover design; and his wife, Sister Arifa Hudda for the editing of this work. Publication of this book was made possible by the Ahlul Bayt Society (www.12imams.com [12]).</w:t>
      </w:r>
    </w:p>
    <w:p>
      <w:pPr>
        <w:pStyle w:val="Heading2"/>
        <w:numPr>
          <w:ilvl w:val="1"/>
          <w:numId w:val="1"/>
        </w:numPr>
        <w:bidi w:val="0"/>
        <w:jc w:val="left"/>
        <w:rPr/>
      </w:pPr>
      <w:bookmarkStart w:id="12" w:name="__RefHeading___Toc4074533_2749589250"/>
      <w:bookmarkStart w:id="13" w:name="_Toc5"/>
      <w:bookmarkEnd w:id="12"/>
      <w:r>
        <w:rPr/>
        <w:t>Dedication</w:t>
      </w:r>
      <w:bookmarkEnd w:id="13"/>
    </w:p>
    <w:p>
      <w:pPr>
        <w:pStyle w:val="BookText"/>
        <w:bidi w:val="0"/>
        <w:jc w:val="both"/>
        <w:rPr/>
      </w:pPr>
      <w:r>
        <w:rPr>
          <w:rFonts w:eastAsia="Times New Roman" w:cs="Times New Roman" w:ascii="Times New Roman" w:hAnsi="Times New Roman"/>
          <w:color w:val="111111"/>
          <w:sz w:val="28"/>
          <w:szCs w:val="28"/>
          <w:lang w:val="en-US"/>
        </w:rPr>
        <w:t>This book is dedicated to my honorable father and mother. My father who taught me the ways of Islam, in its humbleness and reasoning, and nurtured me in the love for Allah, Glorified and Exalted is He, the Prophet, and his immaculate Household. Moreover, for my mother, for her unconditional love and patience in raising me into the person that I am today. To them both I am eternally grateful.</w:t>
      </w:r>
    </w:p>
    <w:p>
      <w:pPr>
        <w:pStyle w:val="BookText"/>
        <w:bidi w:val="0"/>
        <w:jc w:val="both"/>
        <w:rPr/>
      </w:pPr>
      <w:r>
        <w:rPr>
          <w:rFonts w:eastAsia="Times New Roman" w:cs="Times New Roman" w:ascii="Times New Roman" w:hAnsi="Times New Roman"/>
          <w:color w:val="111111"/>
          <w:sz w:val="28"/>
          <w:szCs w:val="28"/>
          <w:lang w:val="en-US"/>
        </w:rPr>
        <w:t>It is customary in Islam that when the name of Allah, Prophet Muhammad, the other prophets, or imams (descendants and successors of Prophet Muhammad) is enunciated, the following phrases are mentioned:</w:t>
      </w:r>
    </w:p>
    <w:p>
      <w:pPr>
        <w:pStyle w:val="BookText"/>
        <w:bidi w:val="0"/>
        <w:jc w:val="both"/>
        <w:rPr/>
      </w:pPr>
      <w:r>
        <w:rPr>
          <w:rFonts w:eastAsia="Times New Roman" w:cs="Times New Roman" w:ascii="Times New Roman" w:hAnsi="Times New Roman"/>
          <w:color w:val="111111"/>
          <w:sz w:val="28"/>
          <w:szCs w:val="28"/>
          <w:lang w:val="en-US"/>
        </w:rPr>
        <w:t>Allah - “Glorified and Exalted is He” (Subhannah wa-tallah).</w:t>
      </w:r>
    </w:p>
    <w:p>
      <w:pPr>
        <w:pStyle w:val="BookText"/>
        <w:bidi w:val="0"/>
        <w:jc w:val="both"/>
        <w:rPr/>
      </w:pPr>
      <w:r>
        <w:rPr>
          <w:rFonts w:eastAsia="Times New Roman" w:cs="Times New Roman" w:ascii="Times New Roman" w:hAnsi="Times New Roman"/>
          <w:color w:val="111111"/>
          <w:sz w:val="28"/>
          <w:szCs w:val="28"/>
          <w:lang w:val="en-US"/>
        </w:rPr>
        <w:t>Prophet Muhammad- “Peace be upon him and his family.”</w:t>
      </w:r>
    </w:p>
    <w:p>
      <w:pPr>
        <w:pStyle w:val="BookText"/>
        <w:bidi w:val="0"/>
        <w:jc w:val="both"/>
        <w:rPr/>
      </w:pPr>
      <w:r>
        <w:rPr>
          <w:rFonts w:eastAsia="Times New Roman" w:cs="Times New Roman" w:ascii="Times New Roman" w:hAnsi="Times New Roman"/>
          <w:color w:val="111111"/>
          <w:sz w:val="28"/>
          <w:szCs w:val="28"/>
          <w:lang w:val="en-US"/>
        </w:rPr>
        <w:t>After the names of prophets, imams from the family of Prophet Muhammad and his daughter - “Peace be upon him/her.”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great respect, admiration, recognition, and praise, I have omitted the mentioned phrases for the sake of</w:t>
      </w:r>
      <w:bookmarkStart w:id="14" w:name="pg3581_21889"/>
    </w:p>
    <w:p>
      <w:pPr>
        <w:pStyle w:val="BookText"/>
        <w:bidi w:val="0"/>
        <w:rPr/>
      </w:pPr>
      <w:bookmarkEnd w:id="14"/>
      <w:r>
        <w:rPr>
          <w:rFonts w:eastAsia="Times New Roman" w:cs="Times New Roman" w:ascii="Times New Roman" w:hAnsi="Times New Roman"/>
          <w:color w:val="111111"/>
          <w:sz w:val="28"/>
          <w:szCs w:val="28"/>
          <w:lang w:val="en-US"/>
        </w:rPr>
        <w:t>continuity.</w:t>
      </w:r>
    </w:p>
    <w:p>
      <w:pPr>
        <w:pStyle w:val="Heading2"/>
        <w:numPr>
          <w:ilvl w:val="1"/>
          <w:numId w:val="1"/>
        </w:numPr>
        <w:bidi w:val="0"/>
        <w:jc w:val="left"/>
        <w:rPr/>
      </w:pPr>
      <w:bookmarkStart w:id="15" w:name="__RefHeading___Toc4074535_2749589250"/>
      <w:bookmarkStart w:id="16" w:name="_Toc6"/>
      <w:bookmarkEnd w:id="15"/>
      <w:r>
        <w:rPr/>
        <w:t>Chapter 1: Smashing the Idols of Tribalism</w:t>
      </w:r>
      <w:bookmarkEnd w:id="1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وَجَعَلُوا لِلَّهِ أَندَاداً لِّیُضِلُّوا عَنْ سَبِیلِهِ قُلْ تَمَتَّعُوا فَإِنَّ مَصِیرَکُمْ إِلَی ٱلنَّارِ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they set up (idols) as equal to Allah, to mislead (men) from His Path! Say, ‘Enjoy [for a while], for indeed your destination is towards the Fire!’ (Holy Qur’an, 14:30)</w:t>
      </w:r>
    </w:p>
    <w:p>
      <w:pPr>
        <w:pStyle w:val="BookText"/>
        <w:bidi w:val="0"/>
        <w:jc w:val="both"/>
        <w:rPr/>
      </w:pPr>
      <w:r>
        <w:rPr>
          <w:rFonts w:eastAsia="Times New Roman" w:cs="Times New Roman" w:ascii="Times New Roman" w:hAnsi="Times New Roman"/>
          <w:color w:val="111111"/>
          <w:sz w:val="28"/>
          <w:szCs w:val="28"/>
          <w:lang w:val="en-US"/>
        </w:rPr>
        <w:t>As befits the final Messenger of Allah, Prophet Muhammad was born into the noblest Arab family of his region, the tribe of Bani Hashim in Arabia, in the sixth century. His prestigious lineage stretched back to Prophet Ibrahim, and his ancestors distinguished themselves through integrity, (belief in) monotheism, and bravery.</w:t>
      </w:r>
    </w:p>
    <w:p>
      <w:pPr>
        <w:pStyle w:val="BookText"/>
        <w:bidi w:val="0"/>
        <w:jc w:val="both"/>
        <w:rPr/>
      </w:pPr>
      <w:r>
        <w:rPr>
          <w:rFonts w:eastAsia="Times New Roman" w:cs="Times New Roman" w:ascii="Times New Roman" w:hAnsi="Times New Roman"/>
          <w:color w:val="111111"/>
          <w:sz w:val="28"/>
          <w:szCs w:val="28"/>
          <w:lang w:val="en-US"/>
        </w:rPr>
        <w:t>His virtues were visible amongst the Quraysh tribes who entitled him as “Muhammad, the Truthful and the Trustworthy One (As-Sadiq al-Ameen).” When Allah called upon Prophet Muhammad to publicly declare his prophethood, these virtues assisted him to bring forth the message of Islam.</w:t>
      </w:r>
    </w:p>
    <w:p>
      <w:pPr>
        <w:pStyle w:val="BookText"/>
        <w:bidi w:val="0"/>
        <w:jc w:val="both"/>
        <w:rPr/>
      </w:pPr>
      <w:r>
        <w:rPr>
          <w:rFonts w:eastAsia="Times New Roman" w:cs="Times New Roman" w:ascii="Times New Roman" w:hAnsi="Times New Roman"/>
          <w:color w:val="111111"/>
          <w:sz w:val="28"/>
          <w:szCs w:val="28"/>
          <w:lang w:val="en-US"/>
        </w:rPr>
        <w:t>For that environment, the revolutionary message of Islam shattered tribal, ethnic, and imperial barriers. In a society where ancestry dictated respect and exclusiveness, the Prophet proclaimed the opposite, he said, “Anyone who has an atom’s weight of prejudice in his heart will not enter Paradise.”</w:t>
      </w:r>
      <w:r>
        <w:rPr>
          <w:rStyle w:val="FootnoteAnchor"/>
        </w:rPr>
        <w:footnoteReference w:id="10"/>
      </w:r>
      <w:r>
        <w:rPr>
          <w:rFonts w:eastAsia="Times New Roman" w:cs="Times New Roman" w:ascii="Times New Roman" w:hAnsi="Times New Roman"/>
          <w:color w:val="111111"/>
          <w:sz w:val="28"/>
          <w:szCs w:val="28"/>
          <w:lang w:val="en-US"/>
        </w:rPr>
        <w:t>In stark contrast to the highly stratified society to which Islam came, the Prophet paralleled the rich with the poor, the desert nomads with the urban dwellers, and the rulers with the ruled, side by side in prayer to Allah at the Holy Ka’abah.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monotheism came at a time when the Ka’abah, initially reconstructed by Prophet Ibrahim had been usurped for idol worshipping, and members of the Prophet’s extended tribe,</w:t>
      </w:r>
    </w:p>
    <w:p>
      <w:pPr>
        <w:pStyle w:val="BookText"/>
        <w:bidi w:val="0"/>
        <w:rPr/>
      </w:pPr>
      <w:r>
        <w:rPr>
          <w:rFonts w:eastAsia="Times New Roman" w:cs="Times New Roman" w:ascii="Times New Roman" w:hAnsi="Times New Roman"/>
          <w:color w:val="111111"/>
          <w:sz w:val="28"/>
          <w:szCs w:val="28"/>
          <w:lang w:val="en-US"/>
        </w:rPr>
        <w:t>the Quraysh relied upon the revenue from the pilgrims who flocked to the House of Idols. Needless to say, the majority of the Quraysh were less than pleased with the idea of destroying the statues and lucrative income for the sake of restoring the foundation of monotheism.</w:t>
      </w:r>
    </w:p>
    <w:p>
      <w:pPr>
        <w:pStyle w:val="BookText"/>
        <w:bidi w:val="0"/>
        <w:jc w:val="both"/>
        <w:rPr/>
      </w:pPr>
      <w:r>
        <w:rPr>
          <w:rFonts w:eastAsia="Times New Roman" w:cs="Times New Roman" w:ascii="Times New Roman" w:hAnsi="Times New Roman"/>
          <w:color w:val="111111"/>
          <w:sz w:val="28"/>
          <w:szCs w:val="28"/>
          <w:lang w:val="en-US"/>
        </w:rPr>
        <w:t>Understandably then, despite his noble roots, the tribal relation with the Prophet became chafe as he rapidly spread the messages of unity, equality, and monotheism. Accustomed to their status as the highest of the high, the Quraysh were less than thrilled with the proclamation from God that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ٱلنَّاسُ إِنَّا خَلَقْنَاکُم مِّن ذَکَرٍ وَأُنْثیٰ وَجَعَلْنَاکُمْ شُعُوباً وَقَبَآئِلَ لِتَعَارَفُوۤا إِنَّ أَکْرَمَکُمْ عِندَ ٱللهِ أَتْقَاکُمْ إِنَّ ٱللهَ عَلِیمٌ خَبِیرٌ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Mankind! We created you from a male and a female and then made you into nations and tribes only that you might recognize each other; verily, the most honoured of you before Allah is the most righteous. (49:13)</w:t>
      </w:r>
    </w:p>
    <w:p>
      <w:pPr>
        <w:pStyle w:val="BookText"/>
        <w:bidi w:val="0"/>
        <w:jc w:val="both"/>
        <w:rPr/>
      </w:pPr>
      <w:r>
        <w:rPr>
          <w:rFonts w:eastAsia="Times New Roman" w:cs="Times New Roman" w:ascii="Times New Roman" w:hAnsi="Times New Roman"/>
          <w:color w:val="111111"/>
          <w:sz w:val="28"/>
          <w:szCs w:val="28"/>
          <w:lang w:val="en-US"/>
        </w:rPr>
        <w:t>While the sincere people, such as the Prophet’s cousin, ‘Ali Ibn Abi Talib, the Prophet’s wife, Khadijah bint Khuwaylid, ‘Ali’s father who was also the uncle of the Prophet, Abu Talib, and the Prophet’s uncle, Hamzah Ibn Abdul Muttalib immediately recognized the truth and devoted their lives to it, the majority of the Prophet’s tribe (Quraysh) threw all of their might and fury against the Prophet. War, sanctions, murder, and exile were the welcome that they gave their kinsman in return for his dedication towards Allah and for many years, they proved to be the staunchest enemies of Islam.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w:t>
      </w:r>
    </w:p>
    <w:p>
      <w:pPr>
        <w:pStyle w:val="BookText"/>
        <w:bidi w:val="0"/>
        <w:rPr/>
      </w:pPr>
      <w:r>
        <w:rPr>
          <w:rFonts w:eastAsia="Times New Roman" w:cs="Times New Roman" w:ascii="Times New Roman" w:hAnsi="Times New Roman"/>
          <w:color w:val="111111"/>
          <w:sz w:val="28"/>
          <w:szCs w:val="28"/>
          <w:lang w:val="en-US"/>
        </w:rPr>
        <w:t>the early Muslims were few, the Quraysh were secure in their ridicule of the Prophet, whom they considered as an insane maniac. However, Allah states otherwise,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by the grace of your Lord, possessed.” (68:2)</w:t>
      </w:r>
    </w:p>
    <w:p>
      <w:pPr>
        <w:pStyle w:val="BookText"/>
        <w:bidi w:val="0"/>
        <w:jc w:val="both"/>
        <w:rPr/>
      </w:pPr>
      <w:r>
        <w:rPr>
          <w:rFonts w:eastAsia="Times New Roman" w:cs="Times New Roman" w:ascii="Times New Roman" w:hAnsi="Times New Roman"/>
          <w:color w:val="111111"/>
          <w:sz w:val="28"/>
          <w:szCs w:val="28"/>
          <w:lang w:val="en-US"/>
        </w:rPr>
        <w:t>However, his movement progressed from a diminutive posture to a fast growing threat against the powerful figures of the Quraysh. Increasingly, the Prophet and his mounting followers became incessantly persecuted. The Prophet saw no choice but to leave his beloved birthplace of Mecca and take up the invitation by the people of Madinah</w:t>
      </w:r>
      <w:r>
        <w:rPr>
          <w:rStyle w:val="FootnoteAnchor"/>
        </w:rPr>
        <w:footnoteReference w:id="11"/>
      </w:r>
      <w:r>
        <w:rPr>
          <w:rFonts w:eastAsia="Times New Roman" w:cs="Times New Roman" w:ascii="Times New Roman" w:hAnsi="Times New Roman"/>
          <w:color w:val="111111"/>
          <w:sz w:val="28"/>
          <w:szCs w:val="28"/>
          <w:lang w:val="en-US"/>
        </w:rPr>
        <w:t>to foster Islam.</w:t>
      </w:r>
    </w:p>
    <w:p>
      <w:pPr>
        <w:pStyle w:val="BookText"/>
        <w:bidi w:val="0"/>
        <w:jc w:val="both"/>
        <w:rPr/>
      </w:pPr>
      <w:r>
        <w:rPr>
          <w:rFonts w:eastAsia="Times New Roman" w:cs="Times New Roman" w:ascii="Times New Roman" w:hAnsi="Times New Roman"/>
          <w:color w:val="111111"/>
          <w:sz w:val="28"/>
          <w:szCs w:val="28"/>
          <w:lang w:val="en-US"/>
        </w:rPr>
        <w:t>The move to Madinah became a decisive maneuver. Nothing could have aided Islam more because the inhabitants of Madinah were ready and willing to join the cause of Islam and bring forth Islam from the inner-personal to the public sphere. Even military oppositions by the Quraysh could not stop the exploding spread of the message of Islam. After nine years of exile, at the command of Allah, the Muslims were prepared to retake the seat of monotheism and restore Mecca to the rule of the Prophet, rather than the rule of idolaters.</w:t>
      </w:r>
    </w:p>
    <w:p>
      <w:pPr>
        <w:pStyle w:val="BookText"/>
        <w:bidi w:val="0"/>
        <w:jc w:val="both"/>
        <w:rPr/>
      </w:pPr>
      <w:r>
        <w:rPr>
          <w:rFonts w:eastAsia="Times New Roman" w:cs="Times New Roman" w:ascii="Times New Roman" w:hAnsi="Times New Roman"/>
          <w:color w:val="111111"/>
          <w:sz w:val="28"/>
          <w:szCs w:val="28"/>
          <w:lang w:val="en-US"/>
        </w:rPr>
        <w:t>Even after the final conquest of Mecca by the Muslims, most of the Quraysh still vehemently opposed the message of Islam. Thus, two options faced those who opposed Islam - either merge with the Muslims or become marginalized.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harshest enemies of Islam who had hitherto, at the least, thrown trash and stones at the Holy Prophet, artificially converted to Islam. Swiftly some of</w:t>
      </w:r>
    </w:p>
    <w:p>
      <w:pPr>
        <w:pStyle w:val="BookText"/>
        <w:bidi w:val="0"/>
        <w:rPr/>
      </w:pPr>
      <w:r>
        <w:rPr>
          <w:rFonts w:eastAsia="Times New Roman" w:cs="Times New Roman" w:ascii="Times New Roman" w:hAnsi="Times New Roman"/>
          <w:color w:val="111111"/>
          <w:sz w:val="28"/>
          <w:szCs w:val="28"/>
          <w:lang w:val="en-US"/>
        </w:rPr>
        <w:t>his formidable foes became his closest companions. Commanders who had staunchly fought against him for many years now feigned to his side, such as Abu Sufyan from the clan of the Bani Umayyah and Khalid Ibn al-Waleed. Since they could not defeat the Prophet, his enemies saw no other choice but to superficially join him.</w:t>
      </w:r>
    </w:p>
    <w:p>
      <w:pPr>
        <w:pStyle w:val="BookText"/>
        <w:bidi w:val="0"/>
        <w:jc w:val="both"/>
        <w:rPr/>
      </w:pPr>
      <w:r>
        <w:rPr>
          <w:rFonts w:eastAsia="Times New Roman" w:cs="Times New Roman" w:ascii="Times New Roman" w:hAnsi="Times New Roman"/>
          <w:color w:val="111111"/>
          <w:sz w:val="28"/>
          <w:szCs w:val="28"/>
          <w:lang w:val="en-US"/>
        </w:rPr>
        <w:t>Undoubtedly, many of these conversions were sincere and the Qur’an testifies to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the foremost from among the Muhajireen (Immigrants from Mecca) and Ansar (Helpers from Madinah) and those who followed them in goodness, Allah is well pleased with them and they are well pleased with Him…” ( 9:100)</w:t>
      </w:r>
    </w:p>
    <w:p>
      <w:pPr>
        <w:pStyle w:val="BookText"/>
        <w:bidi w:val="0"/>
        <w:jc w:val="both"/>
        <w:rPr/>
      </w:pPr>
      <w:r>
        <w:rPr>
          <w:rFonts w:eastAsia="Times New Roman" w:cs="Times New Roman" w:ascii="Times New Roman" w:hAnsi="Times New Roman"/>
          <w:color w:val="111111"/>
          <w:sz w:val="28"/>
          <w:szCs w:val="28"/>
          <w:lang w:val="en-US"/>
        </w:rPr>
        <w:t>In fact, Muslims today owe a great deal of gratitude to those who initially fought for and supported Islam. Their sacrifices led to the success of Islam’s survival and continuous drive. Nonetheless, as evinced by Surah al-Munafiqun (The Hypocrites - c. 63) and Surah al-Taubah (The Repentance - c. 9) faith did not enter all of their hearts: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جَآءَکَ الْمُنَافِقُونَ قَالُوا نَشْهَدُ إِنَّکَ لَرَسُولُ الله وَاللهُ یَعْلَمُ إِنَّکَ لَرَسُولُهُ وَاللهُ یَشْهَدُ إِنَّ الْمُنَافِقِینَ لَکَاذِبُون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hypocrites come to you, they say, ‘We bear witness that you are indeed the Messenger of Allah.’ Surely, Allah knows that you are indeed His messenger, and Allah bears witness that the hypocrites are indeed liars. (63:1)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وَمِمَّنْ حَوْلَکُمْ مِّنَ ٱلأَعْرَابِ مُنَافِقُونَ وَمِنْ أَهْلِ ٱلْمَدِینَةِ مَرَدُواْ عَلیٰ ٱلنِّفَاقِ لاَ تَعْلَمُهُمْ نَحْنُ نَعْلَمُهُمْ سَنُعَذِّبُهُم مَّرَّتَیْنِ ثُمَّ یُرَدُّونَ إِلَیٰ عَذَابٍ عَظِیمٍ</w:t>
      </w:r>
      <w:r>
        <w:rPr>
          <w:rFonts w:ascii="Amiri" w:hAnsi="Amiri" w:eastAsia="Amiri" w:cs="Amiri"/>
          <w:color w:val="111111"/>
          <w:sz w:val="28"/>
          <w:sz w:val="28"/>
          <w:szCs w:val="28"/>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Round about you [Muhammad and his community] and among you in</w:t>
      </w:r>
      <w:bookmarkStart w:id="17" w:name="pg3581_21893"/>
    </w:p>
    <w:p>
      <w:pPr>
        <w:pStyle w:val="BookText"/>
        <w:bidi w:val="0"/>
        <w:rPr/>
      </w:pPr>
      <w:bookmarkEnd w:id="17"/>
      <w:r>
        <w:rPr>
          <w:rFonts w:eastAsia="Times New Roman" w:cs="Times New Roman" w:ascii="Times New Roman" w:hAnsi="Times New Roman"/>
          <w:color w:val="111111"/>
          <w:sz w:val="28"/>
          <w:szCs w:val="28"/>
          <w:lang w:val="en-US"/>
        </w:rPr>
        <w:t>Madinah are hypocrites and they are obstinate in hypocrisy. You do not know them, We know them, twice shall We punish them and in addition they shall be sent to a grievous penalty. (9:101)</w:t>
      </w:r>
    </w:p>
    <w:p>
      <w:pPr>
        <w:pStyle w:val="Heading2"/>
        <w:numPr>
          <w:ilvl w:val="1"/>
          <w:numId w:val="1"/>
        </w:numPr>
        <w:bidi w:val="0"/>
        <w:jc w:val="left"/>
        <w:rPr/>
      </w:pPr>
      <w:bookmarkStart w:id="18" w:name="__RefHeading___Toc4074537_2749589250"/>
      <w:bookmarkStart w:id="19" w:name="_Toc7"/>
      <w:bookmarkEnd w:id="18"/>
      <w:r>
        <w:rPr/>
        <w:t>Chapter 2:  Quraysh Group</w:t>
      </w:r>
      <w:bookmarkEnd w:id="19"/>
    </w:p>
    <w:p>
      <w:pPr>
        <w:pStyle w:val="Heading3"/>
        <w:numPr>
          <w:ilvl w:val="2"/>
          <w:numId w:val="1"/>
        </w:numPr>
        <w:bidi w:val="0"/>
        <w:jc w:val="left"/>
        <w:rPr/>
      </w:pPr>
      <w:bookmarkStart w:id="20" w:name="__RefHeading___Toc4074539_2749589250"/>
      <w:bookmarkStart w:id="21" w:name="_Toc8"/>
      <w:bookmarkEnd w:id="20"/>
      <w:r>
        <w:rPr/>
        <w:t>point</w:t>
      </w:r>
      <w:bookmarkEnd w:id="2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أَصَابَکَ مِنْ حَسَنَةٍ فَمِنَ اللهِ وَمَا أَصَابَکَ مِن سَیِّئَةٍ فَمِنْ نَّفْسِکَ وَأَرْسَلْنَاکَ لِلنَّاسِ رَسُولاً وَکَفَی بِاللهِ شَهِیدًا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Whatever good happens to you is from Allah. But whatever evil (calamities) happens to you is from your (own) soul. And We have sent you as an apostle to (instruct) humankind. And enough is Allah as a witness. (Holy Qur’an, 4:79)</w:t>
      </w:r>
    </w:p>
    <w:p>
      <w:pPr>
        <w:pStyle w:val="Heading3"/>
        <w:numPr>
          <w:ilvl w:val="2"/>
          <w:numId w:val="1"/>
        </w:numPr>
        <w:bidi w:val="0"/>
        <w:jc w:val="left"/>
        <w:rPr/>
      </w:pPr>
      <w:bookmarkStart w:id="22" w:name="__RefHeading___Toc4074541_2749589250"/>
      <w:bookmarkStart w:id="23" w:name="_Toc9"/>
      <w:bookmarkEnd w:id="22"/>
      <w:r>
        <w:rPr/>
        <w:t>Development of the Quraysh Group</w:t>
      </w:r>
      <w:bookmarkEnd w:id="23"/>
    </w:p>
    <w:p>
      <w:pPr>
        <w:pStyle w:val="BookText"/>
        <w:bidi w:val="0"/>
        <w:jc w:val="both"/>
        <w:rPr/>
      </w:pPr>
      <w:r>
        <w:rPr>
          <w:rFonts w:eastAsia="Times New Roman" w:cs="Times New Roman" w:ascii="Times New Roman" w:hAnsi="Times New Roman"/>
          <w:color w:val="111111"/>
          <w:sz w:val="28"/>
          <w:szCs w:val="28"/>
          <w:lang w:val="en-US"/>
        </w:rPr>
        <w:t>While some of the Quraysh truly believed in and supported the message of Islam and the Messenger of God without any self-ambition, others also believed but aspired for more. They saw an opportunity on the horizon for future power and that path was through political means.</w:t>
      </w:r>
    </w:p>
    <w:p>
      <w:pPr>
        <w:pStyle w:val="BookText"/>
        <w:bidi w:val="0"/>
        <w:jc w:val="both"/>
        <w:rPr/>
      </w:pPr>
      <w:r>
        <w:rPr>
          <w:rFonts w:eastAsia="Times New Roman" w:cs="Times New Roman" w:ascii="Times New Roman" w:hAnsi="Times New Roman"/>
          <w:color w:val="111111"/>
          <w:sz w:val="28"/>
          <w:szCs w:val="28"/>
          <w:lang w:val="en-US"/>
        </w:rPr>
        <w:t>Thus, a group formed that consisted of several companions who belonged mainly to the Quraysh tribe. Amongst those who were at the forefront of this power group were some of the most prominent companions, such as Abu Bakr Abdullah Ibn Abi Quhafah, ‘Umar Ibn al-Khattab, ‘Uthman Ibn al-Affan, Al-Mugheerah Ibn Shu’bah, Abu Musa al-Ashari, Salim Mawla Abi Hudayfah, Husayd Ibn Hudayr, Basheer Ibn Sa’d, Muhammad Ibn Muslim, Ma’adh Ibn Jabal, and Zayd Ibn Thabit.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Quraysh group began its development at a time when the Prophet was setting roots in Madinah. In the span of a few years, the Prophet had revolutionized, empowered, and united dissident tribes to form an Islamic nation. His</w:t>
      </w:r>
      <w:bookmarkStart w:id="24" w:name="pg3581_21894"/>
    </w:p>
    <w:p>
      <w:pPr>
        <w:pStyle w:val="BookText"/>
        <w:bidi w:val="0"/>
        <w:rPr/>
      </w:pPr>
      <w:bookmarkEnd w:id="24"/>
      <w:r>
        <w:rPr>
          <w:rFonts w:eastAsia="Times New Roman" w:cs="Times New Roman" w:ascii="Times New Roman" w:hAnsi="Times New Roman"/>
          <w:color w:val="111111"/>
          <w:sz w:val="28"/>
          <w:szCs w:val="28"/>
          <w:lang w:val="en-US"/>
        </w:rPr>
        <w:t>word was the word of God and the faithful flocked to his calling.</w:t>
      </w:r>
    </w:p>
    <w:p>
      <w:pPr>
        <w:pStyle w:val="BookText"/>
        <w:bidi w:val="0"/>
        <w:jc w:val="both"/>
        <w:rPr/>
      </w:pPr>
      <w:r>
        <w:rPr>
          <w:rFonts w:eastAsia="Times New Roman" w:cs="Times New Roman" w:ascii="Times New Roman" w:hAnsi="Times New Roman"/>
          <w:color w:val="111111"/>
          <w:sz w:val="28"/>
          <w:szCs w:val="28"/>
          <w:lang w:val="en-US"/>
        </w:rPr>
        <w:t>All the same, he was still a mortal human being whose mortal life would eventually come to an end. The Quraysh group, who sought future ambition, knew that their power was limited, that is as long as the Prophet was alive. Aware that the Prophet was mortal, hence they bided their time and craftily considered the future structure of the Muslim leadership that would come after the death of the Prophet and what their role would be.</w:t>
      </w:r>
    </w:p>
    <w:p>
      <w:pPr>
        <w:pStyle w:val="Heading3"/>
        <w:numPr>
          <w:ilvl w:val="2"/>
          <w:numId w:val="1"/>
        </w:numPr>
        <w:bidi w:val="0"/>
        <w:jc w:val="left"/>
        <w:rPr/>
      </w:pPr>
      <w:bookmarkStart w:id="25" w:name="__RefHeading___Toc4074543_2749589250"/>
      <w:bookmarkStart w:id="26" w:name="_Toc10"/>
      <w:bookmarkEnd w:id="25"/>
      <w:r>
        <w:rPr/>
        <w:t>Objective of the Quraysh Group</w:t>
      </w:r>
      <w:bookmarkEnd w:id="26"/>
    </w:p>
    <w:p>
      <w:pPr>
        <w:pStyle w:val="BookText"/>
        <w:bidi w:val="0"/>
        <w:jc w:val="both"/>
        <w:rPr/>
      </w:pPr>
      <w:r>
        <w:rPr>
          <w:rFonts w:eastAsia="Times New Roman" w:cs="Times New Roman" w:ascii="Times New Roman" w:hAnsi="Times New Roman"/>
          <w:color w:val="111111"/>
          <w:sz w:val="28"/>
          <w:szCs w:val="28"/>
          <w:lang w:val="en-US"/>
        </w:rPr>
        <w:t>Having lost their past influence as the keepers to the House of Idols, the Quraysh group foresaw an even greater opportunity to master an entire nation and its sizable wealth upon the death of the Prophet. Thus, they patiently waited to seize control of the leadership after the death of the Prophet, and they succeeded in their plans, for they held the first three caliphates and spawned the first Muslim dynasty - the Bani Umayyah.</w:t>
      </w:r>
    </w:p>
    <w:p>
      <w:pPr>
        <w:pStyle w:val="BookText"/>
        <w:bidi w:val="0"/>
        <w:jc w:val="both"/>
        <w:rPr/>
      </w:pPr>
      <w:r>
        <w:rPr>
          <w:rFonts w:eastAsia="Times New Roman" w:cs="Times New Roman" w:ascii="Times New Roman" w:hAnsi="Times New Roman"/>
          <w:color w:val="111111"/>
          <w:sz w:val="28"/>
          <w:szCs w:val="28"/>
          <w:lang w:val="en-US"/>
        </w:rPr>
        <w:t>Consequently, this group resolved to complete rule of the Muslim ummah to be in their hands. They might have begun some internal conflicts had some not agreed amongst themselves to allow three subdivisions of the Quraysh to hold power successively: the tribe of Taym, the tribe of Uday, and the tribe of Fihr.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they planned to first allow Abu Bakr to represent his tribe of Taym; then ‘Umar Ibn al-Khattab would represent his tribe of Uday, and then Abu Ubaydah Ibn al-Jarrah would represent his tribe</w:t>
      </w:r>
      <w:bookmarkStart w:id="27" w:name="pg3581_21895"/>
    </w:p>
    <w:p>
      <w:pPr>
        <w:pStyle w:val="BookText"/>
        <w:bidi w:val="0"/>
        <w:rPr/>
      </w:pPr>
      <w:bookmarkEnd w:id="27"/>
      <w:r>
        <w:rPr>
          <w:rFonts w:eastAsia="Times New Roman" w:cs="Times New Roman" w:ascii="Times New Roman" w:hAnsi="Times New Roman"/>
          <w:color w:val="111111"/>
          <w:sz w:val="28"/>
          <w:szCs w:val="28"/>
          <w:lang w:val="en-US"/>
        </w:rPr>
        <w:t>of Fihr; however, as it happened, ‘Uthman Ibn al-Affan (from the Umayyah tribe) later replaced Abu Ubaydah Ibn al-Jarrah. Finally, after the tribe of Fihr had completed its turn, the tribe of Taym would then take control again and the cycle would continue. They felt that this rotating agreement would ensure harmony within the Quraysh group and preserve the stability of their order.</w:t>
      </w:r>
    </w:p>
    <w:p>
      <w:pPr>
        <w:pStyle w:val="BookText"/>
        <w:bidi w:val="0"/>
        <w:jc w:val="both"/>
        <w:rPr/>
      </w:pPr>
      <w:r>
        <w:rPr>
          <w:rFonts w:eastAsia="Times New Roman" w:cs="Times New Roman" w:ascii="Times New Roman" w:hAnsi="Times New Roman"/>
          <w:color w:val="111111"/>
          <w:sz w:val="28"/>
          <w:szCs w:val="28"/>
          <w:lang w:val="en-US"/>
        </w:rPr>
        <w:t>However, the group excluded one vital section of Quraysh, namely the Bani Hashim tribe, the one to which the Prophet belonged. They did so overtly, under the pretext that Bani Hashim was already too powerful since the Prophet sprang from them. As ‘Umar Ibn al-Khattab explained, “The reason we did not want Bani Hashim to assume power after the death of the Prophet was that Quraysh disliked seeing both prophethood and leadership (imamah) vested in the family of Bani Hashim.”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This is precisely where the start of the problem began for Muslims. Initially it did not stem from Islamic ideology, or interpretation of the revelations, or the sunnah, but rather, from the old Arab rivalry that was deeply entrenched and seeded into the jealous veins of some of the branches of the Quraysh tribes. Just as ‘Umar Ibn al-Khattab said, they “disliked” seeing another family invested with so much interest.</w:t>
      </w:r>
    </w:p>
    <w:p>
      <w:pPr>
        <w:pStyle w:val="Heading3"/>
        <w:numPr>
          <w:ilvl w:val="2"/>
          <w:numId w:val="1"/>
        </w:numPr>
        <w:bidi w:val="0"/>
        <w:jc w:val="left"/>
        <w:rPr/>
      </w:pPr>
      <w:bookmarkStart w:id="28" w:name="__RefHeading___Toc4074545_2749589250"/>
      <w:bookmarkStart w:id="29" w:name="_Toc11"/>
      <w:bookmarkEnd w:id="28"/>
      <w:r>
        <w:rPr/>
        <w:t>Emergence of the Quraysh Group</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early developing stages of the Islamic state, the Quraysh group had yet to crystallize. It was not until the departure of the Holy Prophet that the group fully emerged onto the scene. Two factors hastened its assembly and</w:t>
      </w:r>
    </w:p>
    <w:p>
      <w:pPr>
        <w:pStyle w:val="BookText"/>
        <w:bidi w:val="0"/>
        <w:rPr/>
      </w:pPr>
      <w:r>
        <w:rPr>
          <w:rFonts w:eastAsia="Times New Roman" w:cs="Times New Roman" w:ascii="Times New Roman" w:hAnsi="Times New Roman"/>
          <w:color w:val="111111"/>
          <w:sz w:val="28"/>
          <w:szCs w:val="28"/>
          <w:lang w:val="en-US"/>
        </w:rPr>
        <w:t>emergence: the first was the news of the Prophet’s impending death; and second was the Prophet’s repeated orders that ‘Ali Ibn Abi Talib was to succeed him in leading the Muslim ummah.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the tenth year of the Hijrah (632 CE), the day came when the Prophet stunned the ummah by indicating that he would soon leave the world while returning from his first and last pilgrimage, forever known as the “Farewell Pilgrimage.” Surrounded by over 100,000 hujjaj (pilgrims) in the blazing heat, near the oasis pond of Ghadir Khum,</w:t>
      </w:r>
      <w:r>
        <w:rPr>
          <w:rStyle w:val="FootnoteAnchor"/>
        </w:rPr>
        <w:footnoteReference w:id="14"/>
      </w:r>
      <w:r>
        <w:rPr>
          <w:rFonts w:eastAsia="Times New Roman" w:cs="Times New Roman" w:ascii="Times New Roman" w:hAnsi="Times New Roman"/>
          <w:color w:val="111111"/>
          <w:sz w:val="28"/>
          <w:szCs w:val="28"/>
          <w:lang w:val="en-US"/>
        </w:rPr>
        <w:t>the Prophet was intercepted with a revelation that forced him to stop the pilgrims in their track to hear a new revelation from Allah. The revelation was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Messenger! Convey what had been revealed to you from your Lord; if you do not do so, then [it would be as if] you have not conveyed His message [at all]. Allah will protect you from the people. (5:67)</w:t>
      </w:r>
    </w:p>
    <w:p>
      <w:pPr>
        <w:pStyle w:val="BookText"/>
        <w:bidi w:val="0"/>
        <w:jc w:val="both"/>
        <w:rPr/>
      </w:pPr>
      <w:r>
        <w:rPr>
          <w:rFonts w:eastAsia="Times New Roman" w:cs="Times New Roman" w:ascii="Times New Roman" w:hAnsi="Times New Roman"/>
          <w:color w:val="111111"/>
          <w:sz w:val="28"/>
          <w:szCs w:val="28"/>
          <w:lang w:val="en-US"/>
        </w:rPr>
        <w:t>After revealing this verse, the Prophet then gave his famous last sermon known as Khutbatul Widah (The Farewell Sermon).</w:t>
      </w:r>
    </w:p>
    <w:p>
      <w:pPr>
        <w:pStyle w:val="BookText"/>
        <w:bidi w:val="0"/>
        <w:jc w:val="both"/>
        <w:rPr/>
      </w:pPr>
      <w:r>
        <w:rPr>
          <w:rFonts w:eastAsia="Times New Roman" w:cs="Times New Roman" w:ascii="Times New Roman" w:hAnsi="Times New Roman"/>
          <w:color w:val="111111"/>
          <w:sz w:val="28"/>
          <w:szCs w:val="28"/>
          <w:lang w:val="en-US"/>
        </w:rPr>
        <w:t>After praising God, the Prophet openly spoke to the pilgrims that the Angel Gabriel had reviewed the Holy Qur’an with him twice that year instead of once, and this was a sign that his time of death was near.</w:t>
      </w:r>
      <w:r>
        <w:rPr>
          <w:rStyle w:val="FootnoteAnchor"/>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critical question was at hand, the Prophet asked the pilgrims if he</w:t>
      </w:r>
    </w:p>
    <w:p>
      <w:pPr>
        <w:pStyle w:val="BookText"/>
        <w:bidi w:val="0"/>
        <w:rPr/>
      </w:pPr>
      <w:r>
        <w:rPr>
          <w:rFonts w:eastAsia="Times New Roman" w:cs="Times New Roman" w:ascii="Times New Roman" w:hAnsi="Times New Roman"/>
          <w:color w:val="111111"/>
          <w:sz w:val="28"/>
          <w:szCs w:val="28"/>
          <w:lang w:val="en-US"/>
        </w:rPr>
        <w:t>had more authority (wilayah) over the believers than they had over themselves, to which they all replied, “yes.” Then the Prophet raised the hand of ‘Ali Ibn Abi Talib and said, “Whosoever’s master (mawla) I am, this ‘Ali is also his master (man kuntu mawlahu fa hadha Aliyun mawlahu).”</w:t>
      </w:r>
    </w:p>
    <w:p>
      <w:pPr>
        <w:pStyle w:val="BookText"/>
        <w:bidi w:val="0"/>
        <w:jc w:val="both"/>
        <w:rPr/>
      </w:pPr>
      <w:r>
        <w:rPr>
          <w:rFonts w:eastAsia="Times New Roman" w:cs="Times New Roman" w:ascii="Times New Roman" w:hAnsi="Times New Roman"/>
          <w:color w:val="111111"/>
          <w:sz w:val="28"/>
          <w:szCs w:val="28"/>
          <w:lang w:val="en-US"/>
        </w:rPr>
        <w:t>The order was sealed and ‘Ali Ibn Abi Talib became the Prophet’s successor by Divine order. At this point, the Prophet publicly took the oaths from those present, including Abu Bakr, ‘Umar Ibn al-Khattab,</w:t>
      </w:r>
      <w:r>
        <w:rPr>
          <w:rStyle w:val="FootnoteAnchor"/>
        </w:rPr>
        <w:footnoteReference w:id="16"/>
      </w:r>
      <w:r>
        <w:rPr>
          <w:rFonts w:eastAsia="Times New Roman" w:cs="Times New Roman" w:ascii="Times New Roman" w:hAnsi="Times New Roman"/>
          <w:color w:val="111111"/>
          <w:sz w:val="28"/>
          <w:szCs w:val="28"/>
          <w:lang w:val="en-US"/>
        </w:rPr>
        <w:t>Ammar Ibn Yasir, Abu Dharr al-Ghifari, Salman al-Farsi, al-Miqdaad Ibn al-Aswad, and Abdullah Ibn al-Abbas. Some even approached ‘Ali to congratulate him personally, like ‘Umar Ibn al-Khattab, who said, “Congratulations Ibn Abi Talib! Today you became the leader (mawla) of all believing men and women.”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 excerpt of the Prophet’s farewell sermon:</w:t>
      </w:r>
    </w:p>
    <w:p>
      <w:pPr>
        <w:pStyle w:val="BookText"/>
        <w:bidi w:val="0"/>
        <w:jc w:val="both"/>
        <w:rPr/>
      </w:pPr>
      <w:r>
        <w:rPr>
          <w:rFonts w:eastAsia="Times New Roman" w:cs="Times New Roman" w:ascii="Times New Roman" w:hAnsi="Times New Roman"/>
          <w:color w:val="111111"/>
          <w:sz w:val="28"/>
          <w:szCs w:val="28"/>
          <w:lang w:val="en-US"/>
        </w:rPr>
        <w:t>It is probable that I will be called soon and I will respond. So I leave behind me among you two weighty [very worthy and important] things: the Book of Allah, which is a rope stretched between the heavens and the Earth; and my progeny [Ahlul Bayt]. For verily Allah, the Merciful, the Aware informed me that these two would never become separated from each other until they meet at the Fount of Abundance.</w:t>
      </w:r>
      <w:r>
        <w:rPr>
          <w:rStyle w:val="FootnoteAnchor"/>
        </w:rPr>
        <w:footnoteReference w:id="18"/>
      </w:r>
      <w:r>
        <w:rPr>
          <w:rFonts w:eastAsia="Times New Roman" w:cs="Times New Roman" w:ascii="Times New Roman" w:hAnsi="Times New Roman"/>
          <w:color w:val="111111"/>
          <w:sz w:val="28"/>
          <w:szCs w:val="28"/>
          <w:lang w:val="en-US"/>
        </w:rPr>
        <w:t>Therefore, be careful how you will treat these two in my absence.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not the first time that the Holy Prophet had named ‘Ali Ibn Abi Talib as his successor (aside from referring to the designated members of his Ahlul Bayt that were</w:t>
      </w:r>
      <w:bookmarkStart w:id="30" w:name="pg3581_21898"/>
    </w:p>
    <w:p>
      <w:pPr>
        <w:pStyle w:val="BookText"/>
        <w:bidi w:val="0"/>
        <w:rPr/>
      </w:pPr>
      <w:bookmarkEnd w:id="30"/>
      <w:r>
        <w:rPr>
          <w:rFonts w:eastAsia="Times New Roman" w:cs="Times New Roman" w:ascii="Times New Roman" w:hAnsi="Times New Roman"/>
          <w:color w:val="111111"/>
          <w:sz w:val="28"/>
          <w:szCs w:val="28"/>
          <w:lang w:val="en-US"/>
        </w:rPr>
        <w:t>to succeed him) on numerous occasions, such as in the “Feast of the Clan” (al-Indhar).</w:t>
      </w:r>
      <w:r>
        <w:rPr>
          <w:rStyle w:val="FootnoteAnchor"/>
        </w:rPr>
        <w:footnoteReference w:id="19"/>
      </w:r>
      <w:r>
        <w:rPr>
          <w:rFonts w:eastAsia="Times New Roman" w:cs="Times New Roman" w:ascii="Times New Roman" w:hAnsi="Times New Roman"/>
          <w:color w:val="111111"/>
          <w:sz w:val="28"/>
          <w:szCs w:val="28"/>
          <w:lang w:val="en-US"/>
        </w:rPr>
        <w:t>Moreover, portions of the Holy Qur’an refer to ‘Ali Ibn Talib’s successionship.</w:t>
      </w:r>
      <w:r>
        <w:rPr>
          <w:rStyle w:val="FootnoteAnchor"/>
        </w:rPr>
        <w:footnoteReference w:id="20"/>
      </w:r>
    </w:p>
    <w:p>
      <w:pPr>
        <w:pStyle w:val="Heading3"/>
        <w:numPr>
          <w:ilvl w:val="2"/>
          <w:numId w:val="1"/>
        </w:numPr>
        <w:bidi w:val="0"/>
        <w:jc w:val="left"/>
        <w:rPr/>
      </w:pPr>
      <w:bookmarkStart w:id="31" w:name="__RefHeading___Toc4074547_2749589250"/>
      <w:bookmarkStart w:id="32" w:name="_Toc12"/>
      <w:bookmarkEnd w:id="31"/>
      <w:r>
        <w:rPr/>
        <w:t>Quraysh Group Appears on the Scene</w:t>
      </w:r>
      <w:bookmarkEnd w:id="32"/>
    </w:p>
    <w:p>
      <w:pPr>
        <w:pStyle w:val="BookText"/>
        <w:bidi w:val="0"/>
        <w:jc w:val="both"/>
        <w:rPr/>
      </w:pPr>
      <w:r>
        <w:rPr>
          <w:rFonts w:eastAsia="Times New Roman" w:cs="Times New Roman" w:ascii="Times New Roman" w:hAnsi="Times New Roman"/>
          <w:color w:val="111111"/>
          <w:sz w:val="28"/>
          <w:szCs w:val="28"/>
          <w:lang w:val="en-US"/>
        </w:rPr>
        <w:t>Prior to the Prophet’s departure, the Quraysh group had been quiescent. The time was nearing and they sensed it. The first wave of the emergence began when the group distinguished itself from the population by refusing the Prophet’s orders to join the dispatch of Usama Ibn Zayd to combat the Romans, which was one of the last military maneuvers during the Prophet’s lifetime.</w:t>
      </w:r>
    </w:p>
    <w:p>
      <w:pPr>
        <w:pStyle w:val="BookText"/>
        <w:bidi w:val="0"/>
        <w:jc w:val="both"/>
        <w:rPr/>
      </w:pPr>
      <w:r>
        <w:rPr>
          <w:rFonts w:eastAsia="Times New Roman" w:cs="Times New Roman" w:ascii="Times New Roman" w:hAnsi="Times New Roman"/>
          <w:color w:val="111111"/>
          <w:sz w:val="28"/>
          <w:szCs w:val="28"/>
          <w:lang w:val="en-US"/>
        </w:rPr>
        <w:t>Although critically ill and approaching his final days, the Prophet repeatedly ordered them to join the dispatch of Usama, but they (the first three-caliphs and other companions who were present) declined to do so. Sensing that the Prophet would soon depart, the elite members of the group wanted to be in Madinah for the moment of the Prophet’s death in order to assume power, quite possibly, the precise reason why the Prophet wanted them to be away.</w:t>
      </w:r>
    </w:p>
    <w:p>
      <w:pPr>
        <w:pStyle w:val="BookText"/>
        <w:bidi w:val="0"/>
        <w:jc w:val="both"/>
        <w:rPr/>
      </w:pPr>
      <w:r>
        <w:rPr>
          <w:rFonts w:eastAsia="Times New Roman" w:cs="Times New Roman" w:ascii="Times New Roman" w:hAnsi="Times New Roman"/>
          <w:color w:val="111111"/>
          <w:sz w:val="28"/>
          <w:szCs w:val="28"/>
          <w:lang w:val="en-US"/>
        </w:rPr>
        <w:t>The situation escalated to the point where the Prophet strongly warned them by saying, “May the curse of Allah be upon the one who stays behind and does not join the army of Usama.”</w:t>
      </w:r>
      <w:r>
        <w:rPr>
          <w:rStyle w:val="FootnoteAnchor"/>
        </w:rPr>
        <w:footnoteReference w:id="21"/>
      </w:r>
      <w:r>
        <w:rPr>
          <w:rFonts w:eastAsia="Times New Roman" w:cs="Times New Roman" w:ascii="Times New Roman" w:hAnsi="Times New Roman"/>
          <w:color w:val="111111"/>
          <w:sz w:val="28"/>
          <w:szCs w:val="28"/>
          <w:lang w:val="en-US"/>
        </w:rPr>
        <w:t>Aside from that, they still refused and the imminent time of the death of the Prophet was drawing near.</w:t>
      </w:r>
    </w:p>
    <w:p>
      <w:pPr>
        <w:pStyle w:val="Heading3"/>
        <w:numPr>
          <w:ilvl w:val="2"/>
          <w:numId w:val="1"/>
        </w:numPr>
        <w:bidi w:val="0"/>
        <w:jc w:val="left"/>
        <w:rPr/>
      </w:pPr>
      <w:bookmarkStart w:id="33" w:name="__RefHeading___Toc4074549_2749589250"/>
      <w:bookmarkStart w:id="34" w:name="_Toc13"/>
      <w:bookmarkEnd w:id="33"/>
      <w:r>
        <w:rPr/>
        <w:t>“</w:t>
      </w:r>
      <w:r>
        <w:rPr/>
        <w:t>Calamity of Thursday”</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later, after refusing to join the dispatch of Usama, was when that mournful day came and the Quraysh group was ready. As the Prophet was on his deathbed, they made their</w:t>
      </w:r>
    </w:p>
    <w:p>
      <w:pPr>
        <w:pStyle w:val="BookText"/>
        <w:bidi w:val="0"/>
        <w:rPr/>
      </w:pPr>
      <w:r>
        <w:rPr>
          <w:rFonts w:eastAsia="Times New Roman" w:cs="Times New Roman" w:ascii="Times New Roman" w:hAnsi="Times New Roman"/>
          <w:color w:val="111111"/>
          <w:sz w:val="28"/>
          <w:szCs w:val="28"/>
          <w:lang w:val="en-US"/>
        </w:rPr>
        <w:t>most decisive move that would ensure their transitory success - a shift that would eventually divert the course of Islamic history forever. This act later became known as the “Calamity of Thursday.” This event is recorded in Sahih al-Bukhari, which is considered to be the most authentic book after the Holy Qur’an in the Sunni tradition.</w:t>
      </w:r>
    </w:p>
    <w:p>
      <w:pPr>
        <w:pStyle w:val="BookText"/>
        <w:bidi w:val="0"/>
        <w:jc w:val="both"/>
        <w:rPr/>
      </w:pPr>
      <w:r>
        <w:rPr>
          <w:rFonts w:eastAsia="Times New Roman" w:cs="Times New Roman" w:ascii="Times New Roman" w:hAnsi="Times New Roman"/>
          <w:color w:val="111111"/>
          <w:sz w:val="28"/>
          <w:szCs w:val="28"/>
          <w:lang w:val="en-US"/>
        </w:rPr>
        <w:t>Gravely ill, and surrounded by some of the companions, the Prophet requested a pen and paper to narrate his will, a hadith he said that would guard the nation from misguidance.</w:t>
      </w:r>
      <w:r>
        <w:rPr>
          <w:rStyle w:val="FootnoteAnchor"/>
        </w:rPr>
        <w:footnoteReference w:id="22"/>
      </w:r>
      <w:r>
        <w:rPr>
          <w:rFonts w:eastAsia="Times New Roman" w:cs="Times New Roman" w:ascii="Times New Roman" w:hAnsi="Times New Roman"/>
          <w:color w:val="111111"/>
          <w:sz w:val="28"/>
          <w:szCs w:val="28"/>
          <w:lang w:val="en-US"/>
        </w:rPr>
        <w:t>Sensing that the Prophet again wanted to name his successor (‘Ali Ibn Abi Talib) one last time, the companion, ‘Umar Ibn al-Khattab spearheaded the Quraysh group by interceding and declaring, “We have the book of Allah, and it suffices for us.” He then accused the Prophet of Islam of hallucinating (yahjor) because of his illness.</w:t>
      </w:r>
      <w:r>
        <w:rPr>
          <w:rStyle w:val="FootnoteAnchor"/>
        </w:rPr>
        <w:footnoteReference w:id="23"/>
      </w:r>
      <w:r>
        <w:rPr>
          <w:rFonts w:eastAsia="Times New Roman" w:cs="Times New Roman" w:ascii="Times New Roman" w:hAnsi="Times New Roman"/>
          <w:color w:val="111111"/>
          <w:sz w:val="28"/>
          <w:szCs w:val="28"/>
          <w:lang w:val="en-US"/>
        </w:rPr>
        <w:t>An argument ensued over ‘Umar’s comment and the Prophet angrily requested them to leave.</w:t>
      </w:r>
      <w:r>
        <w:rPr>
          <w:rStyle w:val="FootnoteAnchor"/>
        </w:rPr>
        <w:footnoteReference w:id="24"/>
      </w:r>
      <w:r>
        <w:rPr>
          <w:rFonts w:eastAsia="Times New Roman" w:cs="Times New Roman" w:ascii="Times New Roman" w:hAnsi="Times New Roman"/>
          <w:color w:val="111111"/>
          <w:sz w:val="28"/>
          <w:szCs w:val="28"/>
          <w:lang w:val="en-US"/>
        </w:rPr>
        <w:t xml:space="preserve">&amp;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power ambition was too much to let pass, because long afterwards and during his reign, ‘Umar Ibn al-Khattab said regarding that day, “I knew the Prophet was going to mention the name of ‘Ali as his successor, so I objected to that and refused.”</w:t>
      </w:r>
      <w:r>
        <w:rPr>
          <w:rStyle w:val="FootnoteAnchor"/>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challenging the will of the Prophet, it is not surprising to witness centuries of unsettling political and ideological differences within the ummah. Perhaps, during the eras of the first four caliphs, Islam was still a spiritually inclined faith and united and bonded by primarily one following - one ummah</w:t>
      </w:r>
      <w:bookmarkStart w:id="35" w:name="pg3581_21900"/>
    </w:p>
    <w:p>
      <w:pPr>
        <w:pStyle w:val="BookText"/>
        <w:bidi w:val="0"/>
        <w:rPr/>
      </w:pPr>
      <w:bookmarkEnd w:id="35"/>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 aspirations of some permitted the way of division. The institute of the khalifah was reduced to a mere political acquisition and many Muslims began their slow turn away from what Islam had intended. Corruption and greed earmarked the powerhouses of government and institutes that later sprung up during the Bani Umayyah and Bani Abbas dynasties. It can be said that the era of corruption by these dynasties had been intricately connected to the “Calamity of Thursday.”</w:t>
      </w:r>
    </w:p>
    <w:p>
      <w:pPr>
        <w:pStyle w:val="Heading2"/>
        <w:numPr>
          <w:ilvl w:val="1"/>
          <w:numId w:val="1"/>
        </w:numPr>
        <w:bidi w:val="0"/>
        <w:jc w:val="left"/>
        <w:rPr/>
      </w:pPr>
      <w:bookmarkStart w:id="36" w:name="__RefHeading___Toc4074551_2749589250"/>
      <w:bookmarkStart w:id="37" w:name="_Toc14"/>
      <w:bookmarkEnd w:id="36"/>
      <w:r>
        <w:rPr/>
        <w:t>Chapter 3: The Saqifah Union</w:t>
      </w:r>
      <w:bookmarkEnd w:id="37"/>
    </w:p>
    <w:p>
      <w:pPr>
        <w:pStyle w:val="Heading3"/>
        <w:numPr>
          <w:ilvl w:val="2"/>
          <w:numId w:val="1"/>
        </w:numPr>
        <w:bidi w:val="0"/>
        <w:jc w:val="left"/>
        <w:rPr/>
      </w:pPr>
      <w:bookmarkStart w:id="38" w:name="__RefHeading___Toc4074553_2749589250"/>
      <w:bookmarkStart w:id="39" w:name="_Toc15"/>
      <w:bookmarkEnd w:id="38"/>
      <w:r>
        <w:rPr/>
        <w:t>point</w:t>
      </w:r>
      <w:bookmarkEnd w:id="3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إِنْقَلَبْتُمْ عَلَی أَعْقَابِکُمْ وَمَنْ یَنْقَلِبْ عَلَی عَقِبَیْهِ فَلَنْ یَضُرَّ اللهَ  َشَیْئًا وَسَیَجْزِی اللهُ الشَّاکِرِین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is no more than an apostle: many were the apostle that passed away before him. If he died or was slain, will you then turn back on your heels? If any did turn back on his heels, not the least harm will he do to Allah. But Allah (on the other hand) will swiftly reward those who (serve Him) with gratitude. (Holy Qur’an, 3:144)</w:t>
      </w:r>
    </w:p>
    <w:p>
      <w:pPr>
        <w:pStyle w:val="BookText"/>
        <w:bidi w:val="0"/>
        <w:jc w:val="both"/>
        <w:rPr/>
      </w:pPr>
      <w:r>
        <w:rPr>
          <w:rFonts w:eastAsia="Times New Roman" w:cs="Times New Roman" w:ascii="Times New Roman" w:hAnsi="Times New Roman"/>
          <w:color w:val="111111"/>
          <w:sz w:val="28"/>
          <w:szCs w:val="28"/>
          <w:lang w:val="en-US"/>
        </w:rPr>
        <w:t>Having faced hostile aggression, economic boycott and expulsion, an invitation was extended to the Prophet and his followers to uproot themselves from their homeland and migrate to the desert oasis of Yathrib (which was later renamed Madinah). The invitation came from the Ansar (Helpers) who were the inhabitants of Madinah.</w:t>
      </w:r>
      <w:r>
        <w:rPr>
          <w:rStyle w:val="FootnoteAnchor"/>
        </w:rPr>
        <w:footnoteReference w:id="27"/>
      </w:r>
      <w:r>
        <w:rPr>
          <w:rFonts w:eastAsia="Times New Roman" w:cs="Times New Roman" w:ascii="Times New Roman" w:hAnsi="Times New Roman"/>
          <w:color w:val="111111"/>
          <w:sz w:val="28"/>
          <w:szCs w:val="28"/>
          <w:lang w:val="en-US"/>
        </w:rPr>
        <w:t>In the year 622 CE, the Prophet and the Muhajireen</w:t>
      </w:r>
      <w:r>
        <w:rPr>
          <w:rStyle w:val="FootnoteAnchor"/>
        </w:rPr>
        <w:footnoteReference w:id="28"/>
      </w:r>
      <w:r>
        <w:rPr>
          <w:rFonts w:eastAsia="Times New Roman" w:cs="Times New Roman" w:ascii="Times New Roman" w:hAnsi="Times New Roman"/>
          <w:color w:val="111111"/>
          <w:sz w:val="28"/>
          <w:szCs w:val="28"/>
          <w:lang w:val="en-US"/>
        </w:rPr>
        <w:t>arrived in Madinah and along with the Ansar, they established the first official Muslim state.</w:t>
      </w:r>
    </w:p>
    <w:p>
      <w:pPr>
        <w:pStyle w:val="Heading3"/>
        <w:numPr>
          <w:ilvl w:val="2"/>
          <w:numId w:val="1"/>
        </w:numPr>
        <w:bidi w:val="0"/>
        <w:jc w:val="left"/>
        <w:rPr/>
      </w:pPr>
      <w:bookmarkStart w:id="40" w:name="__RefHeading___Toc4074555_2749589250"/>
      <w:bookmarkStart w:id="41" w:name="_Toc16"/>
      <w:bookmarkEnd w:id="40"/>
      <w:r>
        <w:rPr/>
        <w:t>Chronicles of Saqifah</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28th of Safar,</w:t>
      </w:r>
    </w:p>
    <w:p>
      <w:pPr>
        <w:pStyle w:val="BookText"/>
        <w:bidi w:val="0"/>
        <w:rPr/>
      </w:pPr>
      <w:r>
        <w:rPr>
          <w:rFonts w:eastAsia="Times New Roman" w:cs="Times New Roman" w:ascii="Times New Roman" w:hAnsi="Times New Roman"/>
          <w:color w:val="111111"/>
          <w:sz w:val="28"/>
          <w:szCs w:val="28"/>
          <w:lang w:val="en-US"/>
        </w:rPr>
        <w:t>632 CE (11 ah), four days after the “Calamity of Thursday” occurred, Prophet Muhammad, the Seal of the Messengers passed away. The believing men, women, and children wandered in shock as if one of their own family members had died. At the same time, a select few were anxious to gain power. They knew that they could not simply declare themselves as the new guardians of the ummah because the Prophet had already explicitly declared ‘Ali Ibn Abi Talib as his successor. Had they done so, even though the Muslims were still in a state of grief, they would have rejected them and their authority. Thus, they took a much more subtle approach.</w:t>
      </w:r>
    </w:p>
    <w:p>
      <w:pPr>
        <w:pStyle w:val="BookText"/>
        <w:bidi w:val="0"/>
        <w:jc w:val="both"/>
        <w:rPr/>
      </w:pPr>
      <w:r>
        <w:rPr>
          <w:rFonts w:eastAsia="Times New Roman" w:cs="Times New Roman" w:ascii="Times New Roman" w:hAnsi="Times New Roman"/>
          <w:color w:val="111111"/>
          <w:sz w:val="28"/>
          <w:szCs w:val="28"/>
          <w:lang w:val="en-US"/>
        </w:rPr>
        <w:t>As the Prophet’s body lay in wait, ‘Ali Ibn Abi Talib and the immediate family of the Bani Hashim were busy preparing the Prophet’s body for burial. With the family of the Prophet being preoccupied, several members of the Ansar tribe arranged for a private meeting far away from the Prophet’s mosque at a place called Saqifah Bani Sa’idah. They had grown concerned about the leadership (khalifah) of the ummah and wanted to ensure a smooth transition of ‘Ali Ibn Abi Talib’s office post.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having welcomed the Muhajireen into their town, the Ansar had all along been fearful and cautious of their domination in Madinah; even more, they were fearful of the power their relatives maintained in Mecca. Concerned that the Muhajireen might make the initial move to secure leadership of the ummah, the Ansar took a pre-emptive</w:t>
      </w:r>
    </w:p>
    <w:p>
      <w:pPr>
        <w:pStyle w:val="BookText"/>
        <w:bidi w:val="0"/>
        <w:rPr/>
      </w:pPr>
      <w:r>
        <w:rPr>
          <w:rFonts w:eastAsia="Times New Roman" w:cs="Times New Roman" w:ascii="Times New Roman" w:hAnsi="Times New Roman"/>
          <w:color w:val="111111"/>
          <w:sz w:val="28"/>
          <w:szCs w:val="28"/>
          <w:lang w:val="en-US"/>
        </w:rPr>
        <w:t>measure to discuss and uphold their support of ‘Ali Ibn Abi Talib. This was their initial plan; however, the meeting took a turn. Some members of the Ansar sensed that the leadership was going to slip away from ‘Ali Ibn Abi Talib, hence they began to discuss the seizing of leadership for themselves.</w:t>
      </w:r>
    </w:p>
    <w:p>
      <w:pPr>
        <w:pStyle w:val="BookText"/>
        <w:bidi w:val="0"/>
        <w:jc w:val="both"/>
        <w:rPr/>
      </w:pPr>
      <w:r>
        <w:rPr>
          <w:rFonts w:eastAsia="Times New Roman" w:cs="Times New Roman" w:ascii="Times New Roman" w:hAnsi="Times New Roman"/>
          <w:color w:val="111111"/>
          <w:sz w:val="28"/>
          <w:szCs w:val="28"/>
          <w:lang w:val="en-US"/>
        </w:rPr>
        <w:t>Large in numbers and a formidable tribe to contend with, some of them felt that the Ansar had rights for leadership since they were the ones who had fully participated in the battles of Badr, Uhud, Khaybar, and Hunayn, as well as the two “Bayahs of Ridhwan.”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Muslims camped at Hudaibiyah, ten miles from Mecca. An envoy was sent to the Meccans to obtain their permission for visiting the Ka’abah but it was rejected. Instead, the Meccans collected a force to prevent the Muslims from entering Mecca. The Quraysh sent Budayl of the tribe of Khuza’ah, to tell the Prophet that he was not allowed to visit the Ka’abah. The Prophet said that he had not gone there to fight but to perform the pilgrimage.</w:t>
      </w:r>
    </w:p>
    <w:p>
      <w:pPr>
        <w:pStyle w:val="BookText"/>
        <w:bidi w:val="0"/>
        <w:jc w:val="both"/>
        <w:rPr/>
      </w:pPr>
      <w:r>
        <w:rPr>
          <w:rFonts w:eastAsia="Times New Roman" w:cs="Times New Roman" w:ascii="Times New Roman" w:hAnsi="Times New Roman"/>
          <w:color w:val="111111"/>
          <w:sz w:val="28"/>
          <w:szCs w:val="28"/>
          <w:lang w:val="en-US"/>
        </w:rPr>
        <w:t>The Quraysh deputed ‘Urwah ibn Mas’ud al-Thaqafi to have a talk with the Prophet, but nothing came out of it. The Prophet then sent Karash ibn Umayyah to the Quraysh, but the messenger was mistreated, and it was only with difficulty that he escaped without being killed. The vanguard of the Quraysh attacked the Muslims, but it was captured.</w:t>
      </w:r>
    </w:p>
    <w:p>
      <w:pPr>
        <w:pStyle w:val="BookText"/>
        <w:bidi w:val="0"/>
        <w:jc w:val="both"/>
        <w:rPr/>
      </w:pPr>
      <w:r>
        <w:rPr>
          <w:rFonts w:eastAsia="Times New Roman" w:cs="Times New Roman" w:ascii="Times New Roman" w:hAnsi="Times New Roman"/>
          <w:color w:val="111111"/>
          <w:sz w:val="28"/>
          <w:szCs w:val="28"/>
          <w:lang w:val="en-US"/>
        </w:rPr>
        <w:t>The Prophet demonstrated great clemency and set the captives free. Ultimately, ‘Uthman (who belonged to the same clan in which Abu Sufyan belonged) was sent to persuade the Quraysh to allow the Muslims to visit the Ka’abah. News came that the Quraysh had killed ‘Uthman. The Muslims took a pledge on the hands of the Prophet, known as “Bay’at al-Ridhwan” to stand by him to the last. Referring to this pledge, the Qur’an says:</w:t>
      </w:r>
    </w:p>
    <w:p>
      <w:pPr>
        <w:pStyle w:val="BookText"/>
        <w:bidi w:val="0"/>
        <w:jc w:val="both"/>
        <w:rPr/>
      </w:pPr>
      <w:r>
        <w:rPr>
          <w:rFonts w:eastAsia="Times New Roman" w:cs="Times New Roman" w:ascii="Times New Roman" w:hAnsi="Times New Roman"/>
          <w:color w:val="111111"/>
          <w:sz w:val="28"/>
          <w:szCs w:val="28"/>
          <w:lang w:val="en-US"/>
        </w:rPr>
        <w:t>Indeed God was well pleased with the believers when they swore allegiance to thee under the tree, and He knew what was in their hearts, so He sent down tranquility on them and rewarded them with a near victory. (48:18)</w:t>
      </w:r>
    </w:p>
    <w:p>
      <w:pPr>
        <w:pStyle w:val="BookText"/>
        <w:bidi w:val="0"/>
        <w:jc w:val="both"/>
        <w:rPr/>
      </w:pPr>
      <w:r>
        <w:rPr>
          <w:rFonts w:eastAsia="Times New Roman" w:cs="Times New Roman" w:ascii="Times New Roman" w:hAnsi="Times New Roman"/>
          <w:color w:val="111111"/>
          <w:sz w:val="28"/>
          <w:szCs w:val="28"/>
          <w:lang w:val="en-US"/>
        </w:rPr>
        <w:t>In addition, the Holy Prophet had stated the following about the Ansar, “Only a believer loves the Ansar, and only a hypocrite dislikes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Moreover, they were quite familiar with the old rivalry of the Quraysh tribe.</w:t>
      </w:r>
    </w:p>
    <w:p>
      <w:pPr>
        <w:pStyle w:val="BookText"/>
        <w:bidi w:val="0"/>
        <w:jc w:val="both"/>
        <w:rPr/>
      </w:pPr>
      <w:r>
        <w:rPr>
          <w:rFonts w:eastAsia="Times New Roman" w:cs="Times New Roman" w:ascii="Times New Roman" w:hAnsi="Times New Roman"/>
          <w:color w:val="111111"/>
          <w:sz w:val="28"/>
          <w:szCs w:val="28"/>
          <w:lang w:val="en-US"/>
        </w:rPr>
        <w:t>Envy and blood feud, although dormant, was deeply felt amongst the Quraysh tribe. In particular, their jealousy was directed against ‘Ali Ibn Abi Talib for numerous reasons - including the fact that he stood as a stark reminder about the lives of the members of the Quraysh that he took away in defending Islam in the various battles.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battle alone, ‘Ali Ibn Abi Talib took the lives of seventy elite members of the Quraysh. This was ingrained too deep into the memory of those Quraysh families to ignore and no matter how much they embraced Islam, the loss of their family members was far greater for some or too fresh in their memories to</w:t>
      </w:r>
    </w:p>
    <w:p>
      <w:pPr>
        <w:pStyle w:val="BookText"/>
        <w:bidi w:val="0"/>
        <w:rPr/>
      </w:pPr>
      <w:r>
        <w:rPr>
          <w:rFonts w:eastAsia="Times New Roman" w:cs="Times New Roman" w:ascii="Times New Roman" w:hAnsi="Times New Roman"/>
          <w:color w:val="111111"/>
          <w:sz w:val="28"/>
          <w:szCs w:val="28"/>
          <w:lang w:val="en-US"/>
        </w:rPr>
        <w:t>forget. The Ansar were quite familiar with this, but on the other hand, they did not have to contend with such animosity and rivalry - they had no loss of relatives that could be traced back to ‘Ali Ibn Abi Talib’s valor and they had no township quarrels with the Quraysh tribe.</w:t>
      </w:r>
    </w:p>
    <w:p>
      <w:pPr>
        <w:pStyle w:val="BookText"/>
        <w:bidi w:val="0"/>
        <w:jc w:val="both"/>
        <w:rPr/>
      </w:pPr>
      <w:r>
        <w:rPr>
          <w:rFonts w:eastAsia="Times New Roman" w:cs="Times New Roman" w:ascii="Times New Roman" w:hAnsi="Times New Roman"/>
          <w:color w:val="111111"/>
          <w:sz w:val="28"/>
          <w:szCs w:val="28"/>
          <w:lang w:val="en-US"/>
        </w:rPr>
        <w:t>The shaded area of Saqifah belonged to Bani Sa’idah Ibn Ka’ab Ibn al-Khazraj from the tribe of Khazraj (from the Ansar of Madinah). The meeting location was not accidental, for it was there that the Khazraj, led by Sa’d Ibn Ibadah used to gather underneath the shaded canopy to legislate and resolve town matters.</w:t>
      </w:r>
    </w:p>
    <w:p>
      <w:pPr>
        <w:pStyle w:val="BookText"/>
        <w:bidi w:val="0"/>
        <w:jc w:val="both"/>
        <w:rPr/>
      </w:pPr>
      <w:r>
        <w:rPr>
          <w:rFonts w:eastAsia="Times New Roman" w:cs="Times New Roman" w:ascii="Times New Roman" w:hAnsi="Times New Roman"/>
          <w:color w:val="111111"/>
          <w:sz w:val="28"/>
          <w:szCs w:val="28"/>
          <w:lang w:val="en-US"/>
        </w:rPr>
        <w:t>That day, both tribes of the Ansar - the Khazraj and Aws were present at the meeting. At the beginning of the meeting, the following were in attendance: Sa’d Ibn Ibadah, Ibn al-Aas, Anas Ibn Malik, al-Mugheerah Ibn Shu’bah, Khalid Ibn al-Waleed, Abd al-Rahman Ibn Auf, Basheer Ibn Sa’d, Ma’adh Ibn Jabal, and Usayd Ibn Hudayr.</w:t>
      </w:r>
      <w:r>
        <w:rPr>
          <w:rStyle w:val="FootnoteAnchor"/>
        </w:rPr>
        <w:footnoteReference w:id="30"/>
      </w:r>
      <w:r>
        <w:rPr>
          <w:rFonts w:eastAsia="Times New Roman" w:cs="Times New Roman" w:ascii="Times New Roman" w:hAnsi="Times New Roman"/>
          <w:color w:val="111111"/>
          <w:sz w:val="28"/>
          <w:szCs w:val="28"/>
          <w:lang w:val="en-US"/>
        </w:rPr>
        <w:t>Other individuals from the Muhajireen who found out about the meeting came later, such as Abu Bakr, ‘Umar Ibn al-Khattab, and Abu Ubaydah Ibn al-Jarrah.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meeting, the Ansar initially recruited Sa’d Ibn Ibadah for the leadership of the Muslim community, however on that day he was extremely ill to the point that he could barely speak or move.</w:t>
      </w:r>
      <w:r>
        <w:rPr>
          <w:rStyle w:val="FootnoteAnchor"/>
        </w:rPr>
        <w:footnoteReference w:id="31"/>
      </w:r>
      <w:r>
        <w:rPr>
          <w:rFonts w:eastAsia="Times New Roman" w:cs="Times New Roman" w:ascii="Times New Roman" w:hAnsi="Times New Roman"/>
          <w:color w:val="111111"/>
          <w:sz w:val="28"/>
          <w:szCs w:val="28"/>
          <w:lang w:val="en-US"/>
        </w:rPr>
        <w:t>He was the only man other than ‘Ali Ibn Abi Talib that the Quraysh group feared during the time of the Holy Prophet. Sa’d Ibn Ibadah was also popular amongst the</w:t>
      </w:r>
    </w:p>
    <w:p>
      <w:pPr>
        <w:pStyle w:val="BookText"/>
        <w:bidi w:val="0"/>
        <w:rPr/>
      </w:pPr>
      <w:r>
        <w:rPr>
          <w:rFonts w:eastAsia="Times New Roman" w:cs="Times New Roman" w:ascii="Times New Roman" w:hAnsi="Times New Roman"/>
          <w:color w:val="111111"/>
          <w:sz w:val="28"/>
          <w:szCs w:val="28"/>
          <w:lang w:val="en-US"/>
        </w:rPr>
        <w:t>Muslims - both the Muhajireen and the Ansar, due to the fact that during the battles he used to carry the flag of Islam until combat started, at which point he would pass it over to ‘Ali Ibn Abi Talib.</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However, not everyone at the meeting agreed to his nomination. Some of those present began to bicker, hence the old rivalry between the two tribes surfaced. When they realized that a mutual consensus would not be reached, they resounded to the following statement, “We will never pay allegiance (to anyone) except to ‘Ali Ibn Abi Talib.”</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As the tension grew at the meeting, two members from the Aws tribe, Awaim Ibn Sa’ad and Maen Ibn Obed left the meeting unnoticed. Fearing that the leadership of the Muslim community would fall into the hands of their former rivals, the Khazraj, they sought to inform ‘Umar Ibn al-Khattab about what was taking place.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After the two men informed ‘Umar Ibn al-Khattab about the private meeting, ‘Umar grew anxiously impatient. As it so happened, ‘Umar had intended for Abu Bakr to be present when the death of the Holy Prophet would occur, but Abu Bakr was away in an outlying area of Madinah called al-Samh.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as the news of the Prophet’s death began to spread quickly and the shock and sadness amongst the Muslims grew, ‘Umar needed to react in order to buy some time to join the meeting - and there were two reasons for this. First, ‘Umar needed Abu Bakr to return</w:t>
      </w:r>
    </w:p>
    <w:p>
      <w:pPr>
        <w:pStyle w:val="BookText"/>
        <w:bidi w:val="0"/>
        <w:rPr/>
      </w:pPr>
      <w:r>
        <w:rPr>
          <w:rFonts w:eastAsia="Times New Roman" w:cs="Times New Roman" w:ascii="Times New Roman" w:hAnsi="Times New Roman"/>
          <w:color w:val="111111"/>
          <w:sz w:val="28"/>
          <w:szCs w:val="28"/>
          <w:lang w:val="en-US"/>
        </w:rPr>
        <w:t>so that both of them could attend the private meeting at Saqifah; and the other reason was to act as if the Prophet was not dead in order to delay the official appointment of ‘Ali Ibn Abi Talib.</w:t>
      </w:r>
    </w:p>
    <w:p>
      <w:pPr>
        <w:pStyle w:val="BookText"/>
        <w:bidi w:val="0"/>
        <w:jc w:val="both"/>
        <w:rPr/>
      </w:pPr>
      <w:r>
        <w:rPr>
          <w:rFonts w:eastAsia="Times New Roman" w:cs="Times New Roman" w:ascii="Times New Roman" w:hAnsi="Times New Roman"/>
          <w:color w:val="111111"/>
          <w:sz w:val="28"/>
          <w:szCs w:val="28"/>
          <w:lang w:val="en-US"/>
        </w:rPr>
        <w:t>Thus, ‘Umar Ibn al-Khattab came out of the Prophet’s mosque and into the streets shouting and negating the news that the Prophet had died and even threatened to dismember anyone who said otherwise! ‘Umar cried out, “Verily, the Messenger of Allah - by Allah - has not died, and will never die.”</w:t>
      </w:r>
      <w:r>
        <w:rPr>
          <w:rStyle w:val="FootnoteAnchor"/>
        </w:rPr>
        <w:footnoteReference w:id="35"/>
      </w:r>
      <w:r>
        <w:rPr>
          <w:rFonts w:eastAsia="Times New Roman" w:cs="Times New Roman" w:ascii="Times New Roman" w:hAnsi="Times New Roman"/>
          <w:color w:val="111111"/>
          <w:sz w:val="28"/>
          <w:szCs w:val="28"/>
          <w:lang w:val="en-US"/>
        </w:rPr>
        <w:t>Although the Holy Prophet’s body lay in wait, ‘Umar continued to say that his soul had gone to Heaven like the soul of Prophet Isa</w:t>
      </w:r>
      <w:r>
        <w:rPr>
          <w:rStyle w:val="FootnoteAnchor"/>
        </w:rPr>
        <w:footnoteReference w:id="36"/>
      </w:r>
      <w:r>
        <w:rPr>
          <w:rFonts w:eastAsia="Times New Roman" w:cs="Times New Roman" w:ascii="Times New Roman" w:hAnsi="Times New Roman"/>
          <w:color w:val="111111"/>
          <w:sz w:val="28"/>
          <w:szCs w:val="28"/>
          <w:lang w:val="en-US"/>
        </w:rPr>
        <w:t>and promised a resurrection by saying, “The Prophet will come back.”</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Upon Abu Bakr’s return, ‘Umar informed him about the undisclosed meeting at Saqifah and both of them headed out, along with Abu Ubaydah Ibn al-Jarrah, to the meeting.</w:t>
      </w:r>
    </w:p>
    <w:p>
      <w:pPr>
        <w:pStyle w:val="BookText"/>
        <w:bidi w:val="0"/>
        <w:jc w:val="both"/>
        <w:rPr/>
      </w:pPr>
      <w:r>
        <w:rPr>
          <w:rFonts w:eastAsia="Times New Roman" w:cs="Times New Roman" w:ascii="Times New Roman" w:hAnsi="Times New Roman"/>
          <w:color w:val="111111"/>
          <w:sz w:val="28"/>
          <w:szCs w:val="28"/>
          <w:lang w:val="en-US"/>
        </w:rPr>
        <w:t>The Saqifah meeting played out like a well-rehearsed theatrical production. Having been given some details about the meeting, ‘Umar and Abu Bakr entered and found the Ansar locked in a bitter dispute. Sensing that the leadership was about to fall into the hands of Sa’d Ibn Ibadah from the Tribe of Khazraj, Abu Bakr immediately began to play on the emotions of the Tribe of Aws to provoke them so that they would not pay allegiance to their opponent, however his ultimate intention was to put forward his own proposal.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sympathizing with the Aws, Abu Bakr then turned the</w:t>
      </w:r>
    </w:p>
    <w:p>
      <w:pPr>
        <w:pStyle w:val="BookText"/>
        <w:bidi w:val="0"/>
        <w:rPr/>
      </w:pPr>
      <w:r>
        <w:rPr>
          <w:rFonts w:eastAsia="Times New Roman" w:cs="Times New Roman" w:ascii="Times New Roman" w:hAnsi="Times New Roman"/>
          <w:color w:val="111111"/>
          <w:sz w:val="28"/>
          <w:szCs w:val="28"/>
          <w:lang w:val="en-US"/>
        </w:rPr>
        <w:t>tables and said that they (the Quraysh) were better suited for leadership than any other group. Abu Bakr said, “We, the Muhajireen were the first to accept Islam; we possess the most notable pedigree; our abode is the most central; we have the best leaders; and we are nearest of kin to the Prophet of Allah.” Abu Bakr then appeased both tribes by saying that they too were worthy for some form of leadership of the ummah but that ultimate authority must reside with the Muhajireen. Abu Bakr continued his argument by quoting the words of the Prophet, “My successors are twelve…,” but instead of saying, “…and all of them are from Bani Hashim,”</w:t>
      </w:r>
      <w:r>
        <w:rPr>
          <w:rStyle w:val="FootnoteAnchor"/>
        </w:rPr>
        <w:footnoteReference w:id="38"/>
      </w:r>
      <w:r>
        <w:rPr>
          <w:rFonts w:eastAsia="Times New Roman" w:cs="Times New Roman" w:ascii="Times New Roman" w:hAnsi="Times New Roman"/>
          <w:color w:val="111111"/>
          <w:sz w:val="28"/>
          <w:szCs w:val="28"/>
          <w:lang w:val="en-US"/>
        </w:rPr>
        <w:t>he changed it and said, “…and all of them are from Quraysh.”</w:t>
      </w:r>
      <w:r>
        <w:rPr>
          <w:rStyle w:val="FootnoteAnchor"/>
        </w:rPr>
        <w:footnoteReference w:id="39"/>
      </w:r>
      <w:r>
        <w:rPr>
          <w:rFonts w:eastAsia="Times New Roman" w:cs="Times New Roman" w:ascii="Times New Roman" w:hAnsi="Times New Roman"/>
          <w:color w:val="111111"/>
          <w:sz w:val="28"/>
          <w:szCs w:val="28"/>
          <w:lang w:val="en-US"/>
        </w:rPr>
        <w:t>To which ‘Umar seconded his statement.</w:t>
      </w:r>
    </w:p>
    <w:p>
      <w:pPr>
        <w:pStyle w:val="BookText"/>
        <w:bidi w:val="0"/>
        <w:jc w:val="both"/>
        <w:rPr/>
      </w:pPr>
      <w:r>
        <w:rPr>
          <w:rFonts w:eastAsia="Times New Roman" w:cs="Times New Roman" w:ascii="Times New Roman" w:hAnsi="Times New Roman"/>
          <w:color w:val="111111"/>
          <w:sz w:val="28"/>
          <w:szCs w:val="28"/>
          <w:lang w:val="en-US"/>
        </w:rPr>
        <w:t>However, a member of the Ansar, al-Habbab Ibn al-Mandhar, saw through Abu Bakr’s facade. He realized the ploy being undertaken and quickly discredited their claim to leadership. Al-Habbab claimed that since the Ansar were the ones who approached the Prophet and supported him throughout his entire mission, that they had the first right for leadership.</w:t>
      </w:r>
    </w:p>
    <w:p>
      <w:pPr>
        <w:pStyle w:val="BookText"/>
        <w:bidi w:val="0"/>
        <w:jc w:val="both"/>
        <w:rPr/>
      </w:pPr>
      <w:r>
        <w:rPr>
          <w:rFonts w:eastAsia="Times New Roman" w:cs="Times New Roman" w:ascii="Times New Roman" w:hAnsi="Times New Roman"/>
          <w:color w:val="111111"/>
          <w:sz w:val="28"/>
          <w:szCs w:val="28"/>
          <w:lang w:val="en-US"/>
        </w:rPr>
        <w:t>After his statement, the tone of the meeting rapidly intensified as fiery words were exchanged between him and ‘Umar Ibn al-Khattab, which eventually led to ‘Umar physically assaulting him and breaking his nose.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immediately pacified the firestorm and proposed two candidates from the Quraysh for the position of caliph, Abu Ubaydah Ibn al-Jarrah and ‘Umar Ibn al-Khattab. Abu Bakr declared, “I advise you</w:t>
      </w:r>
    </w:p>
    <w:p>
      <w:pPr>
        <w:pStyle w:val="BookText"/>
        <w:bidi w:val="0"/>
        <w:rPr/>
      </w:pPr>
      <w:r>
        <w:rPr>
          <w:rFonts w:eastAsia="Times New Roman" w:cs="Times New Roman" w:ascii="Times New Roman" w:hAnsi="Times New Roman"/>
          <w:color w:val="111111"/>
          <w:sz w:val="28"/>
          <w:szCs w:val="28"/>
          <w:lang w:val="en-US"/>
        </w:rPr>
        <w:t>to choose one of those two men, so pay allegiance to whomsoever you like.”</w:t>
      </w:r>
    </w:p>
    <w:p>
      <w:pPr>
        <w:pStyle w:val="BookText"/>
        <w:bidi w:val="0"/>
        <w:jc w:val="both"/>
        <w:rPr/>
      </w:pPr>
      <w:r>
        <w:rPr>
          <w:rFonts w:eastAsia="Times New Roman" w:cs="Times New Roman" w:ascii="Times New Roman" w:hAnsi="Times New Roman"/>
          <w:color w:val="111111"/>
          <w:sz w:val="28"/>
          <w:szCs w:val="28"/>
          <w:lang w:val="en-US"/>
        </w:rPr>
        <w:t>By offering the caliphate to others, Abu Bakr absolved himself of any accusations that he might be seeking the caliphate for himself. However, Abu Ubaydah Ibn al-Jarrah immediately declined the offer, and ‘Umar Ibn al-Khattab promptly interrupted Abu Bakr by taking up the Arab custom of respecting the elderly and stated, “God forbid that we do that, while you are alive amongst us,” to Abu Bakr.</w:t>
      </w:r>
    </w:p>
    <w:p>
      <w:pPr>
        <w:pStyle w:val="BookText"/>
        <w:bidi w:val="0"/>
        <w:jc w:val="both"/>
        <w:rPr/>
      </w:pPr>
      <w:r>
        <w:rPr>
          <w:rFonts w:eastAsia="Times New Roman" w:cs="Times New Roman" w:ascii="Times New Roman" w:hAnsi="Times New Roman"/>
          <w:color w:val="111111"/>
          <w:sz w:val="28"/>
          <w:szCs w:val="28"/>
          <w:lang w:val="en-US"/>
        </w:rPr>
        <w:t>Then ‘Umar, as if on cue, abruptly held out his hand towards Abu Bakr and said, “Stretch out your hand, and I will pay allegiance to you.” Some of the Ansar agreed, namely: Ma’adh Ibn Jabal, Usayd Ibn Hudayr, Basheer Ibn Sa’d, and Zayd Ibn Thabit. They stood up and declared (on the grounds that the Prophet was from the Muhajireen, hence his successor should also be from the Muhajireen), “As we supported the Prophet, we will support his successor.”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Upon seeing the members of the Ansar offer allegiance to Abu Bakr, ‘Umar related, “My heart was strengthened and others followed them.”</w:t>
      </w:r>
      <w:r>
        <w:rPr>
          <w:rStyle w:val="FootnoteAnchor"/>
        </w:rPr>
        <w:footnoteReference w:id="41"/>
      </w:r>
      <w:r>
        <w:rPr>
          <w:rFonts w:eastAsia="Times New Roman" w:cs="Times New Roman" w:ascii="Times New Roman" w:hAnsi="Times New Roman"/>
          <w:color w:val="111111"/>
          <w:sz w:val="28"/>
          <w:szCs w:val="28"/>
          <w:lang w:val="en-US"/>
        </w:rPr>
        <w:t>Hence, that ended the nomination process by confirming Abu Bakr as the khalifah of the ummah.</w:t>
      </w:r>
      <w:r>
        <w:rPr>
          <w:rStyle w:val="FootnoteAnchor"/>
        </w:rPr>
        <w:footnoteReference w:id="42"/>
      </w:r>
      <w:r>
        <w:rPr>
          <w:rFonts w:eastAsia="Times New Roman" w:cs="Times New Roman" w:ascii="Times New Roman" w:hAnsi="Times New Roman"/>
          <w:color w:val="111111"/>
          <w:sz w:val="28"/>
          <w:szCs w:val="28"/>
          <w:lang w:val="en-US"/>
        </w:rPr>
        <w:t>Abu Bakr accepted gracefully saying, “May Allah reward you with goodness, O people of the Ansar.”</w:t>
      </w:r>
      <w:r>
        <w:rPr>
          <w:rStyle w:val="FootnoteAnchor"/>
        </w:rPr>
        <w:footnoteReference w:id="43"/>
      </w:r>
      <w:r>
        <w:rPr>
          <w:rFonts w:eastAsia="Times New Roman" w:cs="Times New Roman" w:ascii="Times New Roman" w:hAnsi="Times New Roman"/>
          <w:color w:val="111111"/>
          <w:sz w:val="28"/>
          <w:szCs w:val="28"/>
          <w:lang w:val="en-US"/>
        </w:rPr>
        <w:t>Afterwards, in his own words, ‘Umar Ibn al-Khattab stated, “The Quraysh examined [the situation] and chose a leader for themselves, and they were successful in their choice.”</w:t>
      </w:r>
      <w:r>
        <w:rPr>
          <w:rStyle w:val="FootnoteAnchor"/>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can be seen that the caliphate was predetermined and confined to</w:t>
      </w:r>
    </w:p>
    <w:p>
      <w:pPr>
        <w:pStyle w:val="BookText"/>
        <w:bidi w:val="0"/>
        <w:rPr/>
      </w:pPr>
      <w:r>
        <w:rPr>
          <w:rFonts w:eastAsia="Times New Roman" w:cs="Times New Roman" w:ascii="Times New Roman" w:hAnsi="Times New Roman"/>
          <w:color w:val="111111"/>
          <w:sz w:val="28"/>
          <w:szCs w:val="28"/>
          <w:lang w:val="en-US"/>
        </w:rPr>
        <w:t>three people: Abu Bakr, ‘Umar Ibn al-Khattab, and Abu Ubaydah Ibn al-Jarrah - hence, their conversation was not spontaneous.</w:t>
      </w:r>
    </w:p>
    <w:p>
      <w:pPr>
        <w:pStyle w:val="BookText"/>
        <w:bidi w:val="0"/>
        <w:jc w:val="both"/>
        <w:rPr/>
      </w:pPr>
      <w:r>
        <w:rPr>
          <w:rFonts w:eastAsia="Times New Roman" w:cs="Times New Roman" w:ascii="Times New Roman" w:hAnsi="Times New Roman"/>
          <w:color w:val="111111"/>
          <w:sz w:val="28"/>
          <w:szCs w:val="28"/>
          <w:lang w:val="en-US"/>
        </w:rPr>
        <w:t>As mentioned earlier, the members of the Quraysh, in particular: Abu Bakr, ‘Umar Ibn al-Khattab, Abu Ubaydah Ibn al-Jarrah, al-Mugheerah Ibn Shu’bah, Abd al-Rahman Ibn Auf, Khalid Ibn al-Waleed, Muhammad Ibn Muslim, Ma’adh Ibn Jabal, Basheer Ibn Sa’d, and Usayd Ibn Hudayr had already agreed to this sequence of events long before the Saqifah meeting occurred, just like they had agreed that Abu Bakr would take control on behalf of the Tribe of Taym first.</w:t>
      </w:r>
    </w:p>
    <w:p>
      <w:pPr>
        <w:pStyle w:val="BookText"/>
        <w:bidi w:val="0"/>
        <w:jc w:val="both"/>
        <w:rPr/>
      </w:pPr>
      <w:r>
        <w:rPr>
          <w:rFonts w:eastAsia="Times New Roman" w:cs="Times New Roman" w:ascii="Times New Roman" w:hAnsi="Times New Roman"/>
          <w:color w:val="111111"/>
          <w:sz w:val="28"/>
          <w:szCs w:val="28"/>
          <w:lang w:val="en-US"/>
        </w:rPr>
        <w:t>Most of the others present followed ‘Umar in giving their allegiance to Abu Bakr,</w:t>
      </w:r>
      <w:r>
        <w:rPr>
          <w:rStyle w:val="FootnoteAnchor"/>
        </w:rPr>
        <w:footnoteReference w:id="45"/>
      </w:r>
      <w:r>
        <w:rPr>
          <w:rFonts w:eastAsia="Times New Roman" w:cs="Times New Roman" w:ascii="Times New Roman" w:hAnsi="Times New Roman"/>
          <w:color w:val="111111"/>
          <w:sz w:val="28"/>
          <w:szCs w:val="28"/>
          <w:lang w:val="en-US"/>
        </w:rPr>
        <w:t>but the core of the Ansar who supported ‘Ali Ibn Abi Talib refused, maintaining, “We will not pay allegiance to anyone except ‘Ali Ibn Abi Talib.”</w:t>
      </w:r>
      <w:r>
        <w:rPr>
          <w:rStyle w:val="FootnoteAnchor"/>
        </w:rPr>
        <w:footnoteReference w:id="46"/>
      </w:r>
      <w:r>
        <w:rPr>
          <w:rFonts w:eastAsia="Times New Roman" w:cs="Times New Roman" w:ascii="Times New Roman" w:hAnsi="Times New Roman"/>
          <w:color w:val="111111"/>
          <w:sz w:val="28"/>
          <w:szCs w:val="28"/>
          <w:lang w:val="en-US"/>
        </w:rPr>
        <w:t>The only leader of the Ansar who remained steadfast and refused to pay allegiance to Abu Bakr was Sa’d Ibn Ibadah, who was ill and unable to move.</w:t>
      </w:r>
    </w:p>
    <w:p>
      <w:pPr>
        <w:pStyle w:val="BookText"/>
        <w:bidi w:val="0"/>
        <w:jc w:val="both"/>
        <w:rPr/>
      </w:pPr>
      <w:r>
        <w:rPr>
          <w:rFonts w:eastAsia="Times New Roman" w:cs="Times New Roman" w:ascii="Times New Roman" w:hAnsi="Times New Roman"/>
          <w:color w:val="111111"/>
          <w:sz w:val="28"/>
          <w:szCs w:val="28"/>
          <w:lang w:val="en-US"/>
        </w:rPr>
        <w:t>He told ‘Umar, “By Allah, if I was able to stand, you would have heard from me a roaring which would have filled the streets and alleyways of Madinah and would have been painful to you and your companions.”</w:t>
      </w:r>
      <w:r>
        <w:rPr>
          <w:rStyle w:val="FootnoteAnchor"/>
        </w:rPr>
        <w:footnoteReference w:id="47"/>
      </w:r>
      <w:r>
        <w:rPr>
          <w:rFonts w:eastAsia="Times New Roman" w:cs="Times New Roman" w:ascii="Times New Roman" w:hAnsi="Times New Roman"/>
          <w:color w:val="111111"/>
          <w:sz w:val="28"/>
          <w:szCs w:val="28"/>
          <w:lang w:val="en-US"/>
        </w:rPr>
        <w:t>He then turned to Abu Bakr and said, “I will never pay allegiance to you! Even if ‘Ali pays allegiance, I still will not do so.” In return, despite his illness, ‘Umar assaulted him just as he had accosted al-Habbab Ibn al-Mandhar.</w:t>
      </w:r>
      <w:r>
        <w:rPr>
          <w:rStyle w:val="FootnoteAnchor"/>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‘Umar recounted, “We attacked Sa’d Ibn Ibadah,</w:t>
      </w:r>
    </w:p>
    <w:p>
      <w:pPr>
        <w:pStyle w:val="BookText"/>
        <w:bidi w:val="0"/>
        <w:rPr/>
      </w:pPr>
      <w:r>
        <w:rPr>
          <w:rFonts w:eastAsia="Times New Roman" w:cs="Times New Roman" w:ascii="Times New Roman" w:hAnsi="Times New Roman"/>
          <w:color w:val="111111"/>
          <w:sz w:val="28"/>
          <w:szCs w:val="28"/>
          <w:lang w:val="en-US"/>
        </w:rPr>
        <w:t>and he was then trampled and the people said, ‘Sa’d has been killed.’” Therefore, ‘Umar said, “May Allah kill Sa’d.” Perceiving him as a threat, ‘Umar accused Sa’d Ibn Ibadah of hypocrisy and wanting the leadership for himself and hence wanted to kill him, but Abu Bakr restrained him.</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If Sa’d Ibn Ibadah had really sought leadership, he could have obtained it easily since the Saqifah (shaded area) was his home territory and he was favored among the Muslims. Most likely, he would have obtained the caliphate much easier than Abu Bakr, but like ‘Ali Ibn Abi Talib later said, Sa’d Ibn Ibadah was upset when he saw the people giving allegiance to Abu Bakr, not because he wanted the leadership for himself, but because he wanted the leadership to go to ‘Ali, as the Prophet had dictated. Thereafter, Sa’d Ibn Ibadah rode to Huran in Syria, where after the death of Abu Bakr, ‘Umar determined his fate by sending Muhammad Ibn Muslim to kill him.</w:t>
      </w:r>
      <w:r>
        <w:rPr>
          <w:rStyle w:val="FootnoteAnchor"/>
        </w:rPr>
        <w:footnoteReference w:id="50"/>
      </w:r>
      <w:r>
        <w:rPr>
          <w:rFonts w:eastAsia="Times New Roman" w:cs="Times New Roman" w:ascii="Times New Roman" w:hAnsi="Times New Roman"/>
          <w:color w:val="111111"/>
          <w:sz w:val="28"/>
          <w:szCs w:val="28"/>
          <w:lang w:val="en-US"/>
        </w:rPr>
        <w:t xml:space="preserve">&amp;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events of Saqifah did not end on that day. ‘Umar’s primary concern was not to channel the political leadership towards Abu Bakr, but rather to keep it away from ‘Ali Ibn Abi Talib. ‘Umar sought to prevent ‘Ali and the Bani Hashim from reaching the khalifah by any means possible. Thus after he became khalifah, ‘Umar ensured that ‘Uthman would succeed him, despite knowing that he would bring his tribesmen from the Bani Umayyah to power.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later said to ‘Uthman, “‘Uthman, what</w:t>
      </w:r>
    </w:p>
    <w:p>
      <w:pPr>
        <w:pStyle w:val="BookText"/>
        <w:bidi w:val="0"/>
        <w:rPr/>
      </w:pPr>
      <w:r>
        <w:rPr>
          <w:rFonts w:eastAsia="Times New Roman" w:cs="Times New Roman" w:ascii="Times New Roman" w:hAnsi="Times New Roman"/>
          <w:color w:val="111111"/>
          <w:sz w:val="28"/>
          <w:szCs w:val="28"/>
          <w:lang w:val="en-US"/>
        </w:rPr>
        <w:t>keeps me from appointing you is your bigotry (asabiyah), and the preference that you give to your family and clan over other Muslims.”</w:t>
      </w:r>
      <w:r>
        <w:rPr>
          <w:rStyle w:val="FootnoteAnchor"/>
        </w:rPr>
        <w:footnoteReference w:id="52"/>
      </w:r>
      <w:r>
        <w:rPr>
          <w:rFonts w:eastAsia="Times New Roman" w:cs="Times New Roman" w:ascii="Times New Roman" w:hAnsi="Times New Roman"/>
          <w:color w:val="111111"/>
          <w:sz w:val="28"/>
          <w:szCs w:val="28"/>
          <w:lang w:val="en-US"/>
        </w:rPr>
        <w:t>Still, ‘Umar handed the rein of khalifah to ‘Uthman, who as ‘Umar had predicted, ruled by nepotism and favoritism until a defiant faction of the Muslims murdered him.</w:t>
      </w:r>
    </w:p>
    <w:p>
      <w:pPr>
        <w:pStyle w:val="BookText"/>
        <w:bidi w:val="0"/>
        <w:jc w:val="both"/>
        <w:rPr/>
      </w:pPr>
      <w:r>
        <w:rPr>
          <w:rFonts w:eastAsia="Times New Roman" w:cs="Times New Roman" w:ascii="Times New Roman" w:hAnsi="Times New Roman"/>
          <w:color w:val="111111"/>
          <w:sz w:val="28"/>
          <w:szCs w:val="28"/>
          <w:lang w:val="en-US"/>
        </w:rPr>
        <w:t>Overall, as Ibn Abil Hadid says,</w:t>
      </w:r>
      <w:r>
        <w:rPr>
          <w:rStyle w:val="FootnoteAnchor"/>
        </w:rPr>
        <w:footnoteReference w:id="53"/>
      </w:r>
      <w:r>
        <w:rPr>
          <w:rFonts w:eastAsia="Times New Roman" w:cs="Times New Roman" w:ascii="Times New Roman" w:hAnsi="Times New Roman"/>
          <w:color w:val="111111"/>
          <w:sz w:val="28"/>
          <w:szCs w:val="28"/>
          <w:lang w:val="en-US"/>
        </w:rPr>
        <w:t>“It was ‘Umar who stood strongly behind Abu Bakr and paved the way for him to assume the leadership. If he had not backed him, it would have been impossible for Abu Bakr to reach where he reached [the khalifah].” Nonetheless, the fate of the ummah was sealed on that day, a day which ‘Umar Ibn al-Khattab himself later called, “One of the errors of pre-Islamic times (Faltah</w:t>
      </w:r>
      <w:r>
        <w:rPr>
          <w:rStyle w:val="FootnoteAnchor"/>
        </w:rPr>
        <w:footnoteReference w:id="54"/>
      </w:r>
      <w:r>
        <w:rPr>
          <w:rFonts w:eastAsia="Times New Roman" w:cs="Times New Roman" w:ascii="Times New Roman" w:hAnsi="Times New Roman"/>
          <w:color w:val="111111"/>
          <w:sz w:val="28"/>
          <w:szCs w:val="28"/>
          <w:lang w:val="en-US"/>
        </w:rPr>
        <w:t>min falataat al-jahiliyyah).”</w:t>
      </w:r>
      <w:r>
        <w:rPr>
          <w:rStyle w:val="FootnoteAnchor"/>
        </w:rPr>
        <w:footnoteReference w:id="55"/>
      </w:r>
      <w:r>
        <w:rPr>
          <w:rFonts w:eastAsia="Times New Roman" w:cs="Times New Roman" w:ascii="Times New Roman" w:hAnsi="Times New Roman"/>
          <w:color w:val="111111"/>
          <w:sz w:val="28"/>
          <w:szCs w:val="28"/>
          <w:lang w:val="en-US"/>
        </w:rPr>
        <w:t>Even more he said, “Whoever goes back to it [the same method used to select Abu Bakr as the khalifah], then kill him.”</w:t>
      </w:r>
      <w:r>
        <w:rPr>
          <w:rStyle w:val="FootnoteAnchor"/>
        </w:rPr>
        <w:footnoteReference w:id="56"/>
      </w:r>
      <w:r>
        <w:rPr>
          <w:rFonts w:eastAsia="Times New Roman" w:cs="Times New Roman" w:ascii="Times New Roman" w:hAnsi="Times New Roman"/>
          <w:color w:val="111111"/>
          <w:sz w:val="28"/>
          <w:szCs w:val="28"/>
          <w:lang w:val="en-US"/>
        </w:rPr>
        <w:t>‘Umar also admitted his mistake by saying, “God protected the Muslims from the dangers and risks of this immense error [meaning having elected Abu Bakr].”</w:t>
      </w:r>
      <w:r>
        <w:rPr>
          <w:rStyle w:val="FootnoteAnchor"/>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the effects of Saqifah are felt even today. Had the Saqifah not happened and had the Muslims followed the Prophet’s command, then most likely, there would be no Sunni or Shi’a Muslim. The Muslims would have been united under the banner of obedience to Allah and the leadership that Allah Himself ordained. Instead, once others obtained power, they held it firmly and did not allow anyone else outside their circle to share in it. As</w:t>
      </w:r>
    </w:p>
    <w:p>
      <w:pPr>
        <w:pStyle w:val="BookText"/>
        <w:bidi w:val="0"/>
        <w:rPr/>
      </w:pPr>
      <w:r>
        <w:rPr>
          <w:rFonts w:eastAsia="Times New Roman" w:cs="Times New Roman" w:ascii="Times New Roman" w:hAnsi="Times New Roman"/>
          <w:color w:val="111111"/>
          <w:sz w:val="28"/>
          <w:szCs w:val="28"/>
          <w:lang w:val="en-US"/>
        </w:rPr>
        <w:t>a result, they held absolute control over the ummah until the fall of the Bani Umayyah.</w:t>
      </w:r>
    </w:p>
    <w:p>
      <w:pPr>
        <w:pStyle w:val="BookText"/>
        <w:bidi w:val="0"/>
        <w:jc w:val="both"/>
        <w:rPr/>
      </w:pPr>
      <w:r>
        <w:rPr>
          <w:rFonts w:eastAsia="Times New Roman" w:cs="Times New Roman" w:ascii="Times New Roman" w:hAnsi="Times New Roman"/>
          <w:color w:val="111111"/>
          <w:sz w:val="28"/>
          <w:szCs w:val="28"/>
          <w:lang w:val="en-US"/>
        </w:rPr>
        <w:t>It can be argued that the issue of political leadership is solely a political issue and something to be left, buried in the past. Nevertheless, the influence of the ruling group extended beyond politics because for nearly 100 years they banned the transcription of the Prophet’s sayings for fear that the narrations referring to the right and merits of ‘Ali Ibn Abi Talib to the caliphate spread among the masses.</w:t>
      </w:r>
    </w:p>
    <w:p>
      <w:pPr>
        <w:pStyle w:val="BookText"/>
        <w:bidi w:val="0"/>
        <w:jc w:val="both"/>
        <w:rPr/>
      </w:pPr>
      <w:r>
        <w:rPr>
          <w:rFonts w:eastAsia="Times New Roman" w:cs="Times New Roman" w:ascii="Times New Roman" w:hAnsi="Times New Roman"/>
          <w:color w:val="111111"/>
          <w:sz w:val="28"/>
          <w:szCs w:val="28"/>
          <w:lang w:val="en-US"/>
        </w:rPr>
        <w:t>As a result of not recording the hadith until centuries later, scholars had to argue over which statements of the Holy Prophet were authentic and which were fabrications and this led to the need to develop the Science of Hadith. Perhaps the most damaging of all was that the ummah was deprived from a valuable source of Divinely inspired guidance.</w:t>
      </w:r>
    </w:p>
    <w:p>
      <w:pPr>
        <w:pStyle w:val="BookText"/>
        <w:bidi w:val="0"/>
        <w:jc w:val="both"/>
        <w:rPr/>
      </w:pPr>
      <w:r>
        <w:rPr>
          <w:rFonts w:eastAsia="Times New Roman" w:cs="Times New Roman" w:ascii="Times New Roman" w:hAnsi="Times New Roman"/>
          <w:color w:val="111111"/>
          <w:sz w:val="28"/>
          <w:szCs w:val="28"/>
          <w:lang w:val="en-US"/>
        </w:rPr>
        <w:t>Given the severe calamity that the shift in leadership brought, one might ask: Why did ‘Ali Ibn Abi Talib not fight for his right to lead the ummah? The answer is best given in his own words:</w:t>
      </w:r>
    </w:p>
    <w:p>
      <w:pPr>
        <w:pStyle w:val="BookText"/>
        <w:bidi w:val="0"/>
        <w:jc w:val="both"/>
        <w:rPr/>
      </w:pPr>
      <w:r>
        <w:rPr>
          <w:rFonts w:eastAsia="Times New Roman" w:cs="Times New Roman" w:ascii="Times New Roman" w:hAnsi="Times New Roman"/>
          <w:color w:val="111111"/>
          <w:sz w:val="28"/>
          <w:szCs w:val="28"/>
          <w:lang w:val="en-US"/>
        </w:rPr>
        <w:t>O Allah! I beseech Thee to take revenge on the Quraysh and those who are assisting them, for they have cut asunder my kinship and overturned my cup and have collaborated to contest a right to which I was entitled more than anyone else. They said to me, ‘If you get your right, that will be just, but if you are denied the right that too will be just.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Endure it</w:t>
      </w:r>
      <w:bookmarkStart w:id="42" w:name="pg3581_21912"/>
    </w:p>
    <w:p>
      <w:pPr>
        <w:pStyle w:val="BookText"/>
        <w:bidi w:val="0"/>
        <w:rPr/>
      </w:pPr>
      <w:bookmarkEnd w:id="42"/>
      <w:r>
        <w:rPr>
          <w:rFonts w:eastAsia="Times New Roman" w:cs="Times New Roman" w:ascii="Times New Roman" w:hAnsi="Times New Roman"/>
          <w:color w:val="111111"/>
          <w:sz w:val="28"/>
          <w:szCs w:val="28"/>
          <w:lang w:val="en-US"/>
        </w:rPr>
        <w:t>with sadness or kill yourself in grief.’ I looked around but found no one to shield me, protect me, or help me except the members of my family. I refrained from flinging them into death and therefore closed my eyes despite the dust; kept swallowing saliva despite the suffocation of grief; and endured pangs of anger although it was bitterer than colocynth and more grievous than the bite of knives.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Although ‘Ali Ibn Abi Talib knew that the ummah would suffer without his leadership, he also knew that it would destroy itself if he attempted to take the leadership by force; and thus he abstained from the caliphate until the murder of ‘Uthman. Even then, he was still hesitant, but at that moment in time, Islam was on the brink of annihilation and there was no one else to save it except for him. However, the extent of the damage done by the group, unfortunately, had already severely crippled the Muslim ummah.</w:t>
      </w:r>
    </w:p>
    <w:p>
      <w:pPr>
        <w:pStyle w:val="Heading2"/>
        <w:numPr>
          <w:ilvl w:val="1"/>
          <w:numId w:val="1"/>
        </w:numPr>
        <w:bidi w:val="0"/>
        <w:jc w:val="left"/>
        <w:rPr/>
      </w:pPr>
      <w:bookmarkStart w:id="43" w:name="__RefHeading___Toc4074557_2749589250"/>
      <w:bookmarkStart w:id="44" w:name="_Toc17"/>
      <w:bookmarkEnd w:id="43"/>
      <w:r>
        <w:rPr/>
        <w:t>Chapter 4: Political Policies of Quraysh</w:t>
      </w:r>
      <w:bookmarkEnd w:id="44"/>
    </w:p>
    <w:p>
      <w:pPr>
        <w:pStyle w:val="Heading3"/>
        <w:numPr>
          <w:ilvl w:val="2"/>
          <w:numId w:val="1"/>
        </w:numPr>
        <w:bidi w:val="0"/>
        <w:jc w:val="left"/>
        <w:rPr/>
      </w:pPr>
      <w:bookmarkStart w:id="45" w:name="__RefHeading___Toc4074559_2749589250"/>
      <w:bookmarkStart w:id="46" w:name="_Toc18"/>
      <w:bookmarkEnd w:id="45"/>
      <w:r>
        <w:rPr/>
        <w:t>point</w:t>
      </w:r>
      <w:bookmarkEnd w:id="4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Those who hearken to their Lord, and establish regular prayer; who (conduct) their affairs by mutual consultation; who spend out of what We bestow on them for sustenance. (Holy Qur’an, 42:38)</w:t>
      </w:r>
    </w:p>
    <w:p>
      <w:pPr>
        <w:pStyle w:val="Heading3"/>
        <w:numPr>
          <w:ilvl w:val="2"/>
          <w:numId w:val="1"/>
        </w:numPr>
        <w:bidi w:val="0"/>
        <w:jc w:val="left"/>
        <w:rPr/>
      </w:pPr>
      <w:bookmarkStart w:id="47" w:name="__RefHeading___Toc4074561_2749589250"/>
      <w:bookmarkStart w:id="48" w:name="_Toc19"/>
      <w:bookmarkEnd w:id="47"/>
      <w:r>
        <w:rPr/>
        <w:t>Political Practices of the Quraysh Group</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securing the caliphate, the Quraysh group turned its attention to seizing authority of the various regions. Thus, whoever posed a threat or was uncooperative with the new powers was quickly removed from their positions. This meant the removal of competent and experienced people, including members of</w:t>
      </w:r>
    </w:p>
    <w:p>
      <w:pPr>
        <w:pStyle w:val="BookText"/>
        <w:bidi w:val="0"/>
        <w:rPr/>
      </w:pPr>
      <w:r>
        <w:rPr>
          <w:rFonts w:eastAsia="Times New Roman" w:cs="Times New Roman" w:ascii="Times New Roman" w:hAnsi="Times New Roman"/>
          <w:color w:val="111111"/>
          <w:sz w:val="28"/>
          <w:szCs w:val="28"/>
          <w:lang w:val="en-US"/>
        </w:rPr>
        <w:t>their own families, such as the removal of ‘Umar Ibn al-Khattab’s two sons, Zayd Ibn al-Khattab and Ubaydallah Ibn al-Khattab, as well as the removal of Abu Bakr’s son, Abdul Rahman Ibn Abu Bakr.</w:t>
      </w:r>
    </w:p>
    <w:p>
      <w:pPr>
        <w:pStyle w:val="BookText"/>
        <w:bidi w:val="0"/>
        <w:jc w:val="both"/>
        <w:rPr/>
      </w:pPr>
      <w:r>
        <w:rPr>
          <w:rFonts w:eastAsia="Times New Roman" w:cs="Times New Roman" w:ascii="Times New Roman" w:hAnsi="Times New Roman"/>
          <w:color w:val="111111"/>
          <w:sz w:val="28"/>
          <w:szCs w:val="28"/>
          <w:lang w:val="en-US"/>
        </w:rPr>
        <w:t>In their place, ‘Umar appointed more conforming men, such as Sa’d Ibn Abi al-Waqqas to govern Kufa, Abu Musa al-Ashari to govern Basra, and Mu’awiyah Ibn Abu Sufyan to govern Shaam (Syria). By including non-Quraysh members into the administration, the party reflected an illusionary bi-partisan government.</w:t>
      </w:r>
    </w:p>
    <w:p>
      <w:pPr>
        <w:pStyle w:val="BookText"/>
        <w:bidi w:val="0"/>
        <w:jc w:val="both"/>
        <w:rPr/>
      </w:pPr>
      <w:r>
        <w:rPr>
          <w:rFonts w:eastAsia="Times New Roman" w:cs="Times New Roman" w:ascii="Times New Roman" w:hAnsi="Times New Roman"/>
          <w:color w:val="111111"/>
          <w:sz w:val="28"/>
          <w:szCs w:val="28"/>
          <w:lang w:val="en-US"/>
        </w:rPr>
        <w:t>Before assuming the role of the third caliph, ‘Uthman Ibn al-Affan had agreed to follow all of the policies of his predecessors, Abu Bakr and ‘Umar Ibn al-Khattab; however, after becoming caliph, he reverted to the pre-Islamic Arab custom of nepotism.</w:t>
      </w:r>
    </w:p>
    <w:p>
      <w:pPr>
        <w:pStyle w:val="BookText"/>
        <w:bidi w:val="0"/>
        <w:jc w:val="both"/>
        <w:rPr/>
      </w:pPr>
      <w:r>
        <w:rPr>
          <w:rFonts w:eastAsia="Times New Roman" w:cs="Times New Roman" w:ascii="Times New Roman" w:hAnsi="Times New Roman"/>
          <w:color w:val="111111"/>
          <w:sz w:val="28"/>
          <w:szCs w:val="28"/>
          <w:lang w:val="en-US"/>
        </w:rPr>
        <w:t>Fully aware of ‘Uthman’s tendencies to backslide and knowing that the masses despised favoritism, ‘Umar warned him that the Quraysh would lose their power if he did not refrain from nepotism,</w:t>
      </w:r>
      <w:r>
        <w:rPr>
          <w:rStyle w:val="FootnoteAnchor"/>
        </w:rPr>
        <w:footnoteReference w:id="59"/>
      </w:r>
      <w:r>
        <w:rPr>
          <w:rFonts w:eastAsia="Times New Roman" w:cs="Times New Roman" w:ascii="Times New Roman" w:hAnsi="Times New Roman"/>
          <w:color w:val="111111"/>
          <w:sz w:val="28"/>
          <w:szCs w:val="28"/>
          <w:lang w:val="en-US"/>
        </w:rPr>
        <w:t>however ‘Uthman did not heed his warning. Unlike Abu Bakr and ‘Umar, ‘Uthman filled the official positions with his own tribesmen - people who were undeniably incompetent individuals, such as Abu Sufyan, Marwan Ibn al-Hakam, Mu’awiyah Ibn Abu Sufyan, Al-Waleed Ibn Uqbah, Abdullah Ibn Abi Sarh, and Sa’ed Ibn al-Aas.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doing so, he incensed many companions of the Prophet - even those who had previously sided with the Quraysh such as Lady Aishah, the wife of the Prophet. Particularly upset were those who lost power - not because of their incompetence, but rather, due to ‘Uthman’s nepotism - people such as</w:t>
      </w:r>
      <w:bookmarkStart w:id="49" w:name="pg3581_21914"/>
    </w:p>
    <w:p>
      <w:pPr>
        <w:pStyle w:val="BookText"/>
        <w:bidi w:val="0"/>
        <w:rPr/>
      </w:pPr>
      <w:bookmarkEnd w:id="4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al-Aas, who lost Egypt; al-Mugheerah Ibn Shu’bah, who lost Kufa; and Abu Musa al-Ashari, who lost Basra. To replace them, ‘Uthman appointed other inept and corrupt individuals from the Bani Umayyah.</w:t>
      </w:r>
    </w:p>
    <w:p>
      <w:pPr>
        <w:pStyle w:val="BookText"/>
        <w:bidi w:val="0"/>
        <w:jc w:val="both"/>
        <w:rPr/>
      </w:pPr>
      <w:r>
        <w:rPr>
          <w:rFonts w:eastAsia="Times New Roman" w:cs="Times New Roman" w:ascii="Times New Roman" w:hAnsi="Times New Roman"/>
          <w:color w:val="111111"/>
          <w:sz w:val="28"/>
          <w:szCs w:val="28"/>
          <w:lang w:val="en-US"/>
        </w:rPr>
        <w:t>As a result, some of those townships revolted, and in Kufa for example, the people ousted ‘Uthman’s choice and reinstated Abu Musa al-Ashari.</w:t>
      </w:r>
      <w:r>
        <w:rPr>
          <w:rStyle w:val="FootnoteAnchor"/>
        </w:rPr>
        <w:footnoteReference w:id="60"/>
      </w:r>
      <w:r>
        <w:rPr>
          <w:rFonts w:eastAsia="Times New Roman" w:cs="Times New Roman" w:ascii="Times New Roman" w:hAnsi="Times New Roman"/>
          <w:color w:val="111111"/>
          <w:sz w:val="28"/>
          <w:szCs w:val="28"/>
          <w:lang w:val="en-US"/>
        </w:rPr>
        <w:t>It appears that ‘Uthman was not interested in restoring order and credibility to the government, but rather, to fill the offices with his own family members, even though they had no qualification, experience, or integrity.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Uthman’s nepotism eventually led to his assassination and the awaited succession of ‘Ali Ibn Abi Talib to the caliphate in 35 ah. After the Khawarij murdered ‘Ali Ibn Abi Talib during his caliphate, the power base once again shifted to the Quraysh group under the rule of Mu’awiyah Ibn Abu Sufyan.</w:t>
      </w:r>
    </w:p>
    <w:p>
      <w:pPr>
        <w:pStyle w:val="BookText"/>
        <w:bidi w:val="0"/>
        <w:jc w:val="both"/>
        <w:rPr/>
      </w:pPr>
      <w:r>
        <w:rPr>
          <w:rFonts w:eastAsia="Times New Roman" w:cs="Times New Roman" w:ascii="Times New Roman" w:hAnsi="Times New Roman"/>
          <w:color w:val="111111"/>
          <w:sz w:val="28"/>
          <w:szCs w:val="28"/>
          <w:lang w:val="en-US"/>
        </w:rPr>
        <w:t>Learning from ‘Uthman’s errors, Mu’awiyah balanced political office by incorporating tribal groups and making use of ‘Umar’s practice of appointing allies from outside his tribe to official positions. Hence, ‘Amr Ibn al-Aas, al-Mugheerah Ibn al-Shu’bah, Abu Huraira, al-Numan Ibn Basheer, and Abdul Rahman Ibn Khalid all found places in the new administration of Mu’awiyah. He went as far as learning how to appease Lady Aishah, a woman who was known to voice her opposition against those whom she deemed as a roadblock in the way of her own objectives, such as ‘Ali Ibn Abi Talib and ‘Uthman Ibn al-Affan.</w:t>
      </w:r>
    </w:p>
    <w:p>
      <w:pPr>
        <w:pStyle w:val="Heading3"/>
        <w:numPr>
          <w:ilvl w:val="2"/>
          <w:numId w:val="1"/>
        </w:numPr>
        <w:bidi w:val="0"/>
        <w:jc w:val="left"/>
        <w:rPr/>
      </w:pPr>
      <w:bookmarkStart w:id="50" w:name="__RefHeading___Toc4074563_2749589250"/>
      <w:bookmarkStart w:id="51" w:name="_Toc20"/>
      <w:bookmarkEnd w:id="50"/>
      <w:r>
        <w:rPr/>
        <w:t>Selection of the First Six Caliphs</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Somewhere along the line of Muslim history, a misconception arose that the</w:t>
      </w:r>
    </w:p>
    <w:p>
      <w:pPr>
        <w:pStyle w:val="BookText"/>
        <w:bidi w:val="0"/>
        <w:rPr/>
      </w:pPr>
      <w:r>
        <w:rPr>
          <w:rFonts w:eastAsia="Times New Roman" w:cs="Times New Roman" w:ascii="Times New Roman" w:hAnsi="Times New Roman"/>
          <w:color w:val="111111"/>
          <w:sz w:val="28"/>
          <w:szCs w:val="28"/>
          <w:lang w:val="en-US"/>
        </w:rPr>
        <w:t>caliphate was first instituted by shura (free and popular election). Although, this misconception concurs very well with contemporary democratic theories and promotes Islam as being a conventional and democratic religion, the truth of the matter is that the office of “caliphate” was not brought into being by a popular vote, nor was it supposed to be. The office of the caliph, like the governance of prophethood, is not one to be determined by consultation, but rather by Divine ordination.</w:t>
      </w:r>
    </w:p>
    <w:p>
      <w:pPr>
        <w:pStyle w:val="BookText"/>
        <w:bidi w:val="0"/>
        <w:jc w:val="both"/>
        <w:rPr/>
      </w:pPr>
      <w:r>
        <w:rPr>
          <w:rFonts w:eastAsia="Times New Roman" w:cs="Times New Roman" w:ascii="Times New Roman" w:hAnsi="Times New Roman"/>
          <w:color w:val="111111"/>
          <w:sz w:val="28"/>
          <w:szCs w:val="28"/>
          <w:lang w:val="en-US"/>
        </w:rPr>
        <w:t>In Islam, governance encompasses all facets of life - social, religious, political, economical, judicial, etc. and thus, it is based on Allah’s laws and instructions. Hence, the notion that a democratic process (an assembly of men “chosen” by the people) occurred in the appointment of Abu Bakr’s leadership is not accurate.</w:t>
      </w:r>
    </w:p>
    <w:p>
      <w:pPr>
        <w:pStyle w:val="BookText"/>
        <w:bidi w:val="0"/>
        <w:jc w:val="both"/>
        <w:rPr/>
      </w:pPr>
      <w:r>
        <w:rPr>
          <w:rFonts w:eastAsia="Times New Roman" w:cs="Times New Roman" w:ascii="Times New Roman" w:hAnsi="Times New Roman"/>
          <w:color w:val="111111"/>
          <w:sz w:val="28"/>
          <w:szCs w:val="28"/>
          <w:lang w:val="en-US"/>
        </w:rPr>
        <w:t>As mentioned earlier, the first caliph was decided by two people: ‘Umar Ibn al-Khattab and Abu Ubayd Ibn al-Jarrah who both declined their bid for election and instead nominated Abu Bakr and coaxed the others to follow suit at Saqifah.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Saqifah, ‘Ali Ibn Abi Talib said to ‘Umar Ibn al-Khattab, “Today you are consolidating and supporting Abu Bakr so that tomorrow he will support you and bring you as his successor.”</w:t>
      </w:r>
      <w:r>
        <w:rPr>
          <w:rStyle w:val="FootnoteAnchor"/>
        </w:rPr>
        <w:footnoteReference w:id="61"/>
      </w:r>
      <w:r>
        <w:rPr>
          <w:rFonts w:eastAsia="Times New Roman" w:cs="Times New Roman" w:ascii="Times New Roman" w:hAnsi="Times New Roman"/>
          <w:color w:val="111111"/>
          <w:sz w:val="28"/>
          <w:szCs w:val="28"/>
          <w:lang w:val="en-US"/>
        </w:rPr>
        <w:t>His words rang true since two and a half years later, ‘Umar reaped the benefits of his stance when Abu Bakr appointed him as his successor before his death. Their pact did not escape going unnoticed by others because even Mu’awiyah Ibn Abu Sufyan concluded, “They agreed upon that and there</w:t>
      </w:r>
    </w:p>
    <w:p>
      <w:pPr>
        <w:pStyle w:val="BookText"/>
        <w:bidi w:val="0"/>
        <w:rPr/>
      </w:pPr>
      <w:r>
        <w:rPr>
          <w:rFonts w:eastAsia="Times New Roman" w:cs="Times New Roman" w:ascii="Times New Roman" w:hAnsi="Times New Roman"/>
          <w:color w:val="111111"/>
          <w:sz w:val="28"/>
          <w:szCs w:val="28"/>
          <w:lang w:val="en-US"/>
        </w:rPr>
        <w:t>was harmony between them.”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selection of the third caliph, ‘Uthman Ibn al-Affan also tends to be a subject of some misconception. As the death of the second caliph ‘Umar neared, he called on a council of six people to determine the next leader. On the surface, this may seem like a semi-electoral body; however, ‘Umar instructed his son Abdullah, “If they appoint ‘Uthman as their leader, they will get the most out of it.”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Earlier, when Hudayfah, a scribe of the Qur’an asked ‘Umar Ibn al-Khattab who would succeed him, ‘Umar said, “‘Uthman Ibn al-Affan.”</w:t>
      </w:r>
      <w:r>
        <w:rPr>
          <w:rStyle w:val="FootnoteAnchor"/>
        </w:rPr>
        <w:footnoteReference w:id="64"/>
      </w:r>
      <w:r>
        <w:rPr>
          <w:rFonts w:eastAsia="Times New Roman" w:cs="Times New Roman" w:ascii="Times New Roman" w:hAnsi="Times New Roman"/>
          <w:color w:val="111111"/>
          <w:sz w:val="28"/>
          <w:szCs w:val="28"/>
          <w:lang w:val="en-US"/>
        </w:rPr>
        <w:t>As in the previous accord of Abu Bakr and ‘Umar, ‘Uthman Ibn al-Affan allied with his cousin, Abdul Rahman Ibn Auf to mutually support each other for the position of the caliphate during the six council “election” meeting.</w:t>
      </w:r>
    </w:p>
    <w:p>
      <w:pPr>
        <w:pStyle w:val="BookText"/>
        <w:bidi w:val="0"/>
        <w:jc w:val="both"/>
        <w:rPr/>
      </w:pPr>
      <w:r>
        <w:rPr>
          <w:rFonts w:eastAsia="Times New Roman" w:cs="Times New Roman" w:ascii="Times New Roman" w:hAnsi="Times New Roman"/>
          <w:color w:val="111111"/>
          <w:sz w:val="28"/>
          <w:szCs w:val="28"/>
          <w:lang w:val="en-US"/>
        </w:rPr>
        <w:t>As ‘Ali Ibn Abi Talib narrates, “There was a council of six, and the Muslims were supposed to choose one out of those six, but Abdul Rahman Ibn Auf favored ‘Uthman, so that tomorrow ‘Uthman would favor him and make him his successor.”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After the appointment of ‘Uthman, and later into his office, Abdul Rahman incited the people to revolt against ‘Uthman, and thus ‘Uthman excluded him from ever being appointed as caliph, which severed their relationship to the point where they never spoke to one another throughout the remainder of their lives.</w:t>
      </w:r>
      <w:r>
        <w:rPr>
          <w:rStyle w:val="FootnoteAnchor"/>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subtleties of this arrangement, the appointment of ‘Uthman to the caliphate continues until today to be seen as a form of election by some. History</w:t>
      </w:r>
    </w:p>
    <w:p>
      <w:pPr>
        <w:pStyle w:val="BookText"/>
        <w:bidi w:val="0"/>
        <w:rPr/>
      </w:pPr>
      <w:r>
        <w:rPr>
          <w:rFonts w:eastAsia="Times New Roman" w:cs="Times New Roman" w:ascii="Times New Roman" w:hAnsi="Times New Roman"/>
          <w:color w:val="111111"/>
          <w:sz w:val="28"/>
          <w:szCs w:val="28"/>
          <w:lang w:val="en-US"/>
        </w:rPr>
        <w:t>is clear that when Mu’awiyah Ibn Abu Sufyan came into power, he reserved the caliphate exclusively for his own son and began the first dynasty in the history of Islam.</w:t>
      </w:r>
    </w:p>
    <w:p>
      <w:pPr>
        <w:pStyle w:val="BookText"/>
        <w:bidi w:val="0"/>
        <w:jc w:val="both"/>
        <w:rPr/>
      </w:pPr>
      <w:r>
        <w:rPr>
          <w:rFonts w:eastAsia="Times New Roman" w:cs="Times New Roman" w:ascii="Times New Roman" w:hAnsi="Times New Roman"/>
          <w:color w:val="111111"/>
          <w:sz w:val="28"/>
          <w:szCs w:val="28"/>
          <w:lang w:val="en-US"/>
        </w:rPr>
        <w:t>What history reports less of is that he also maintained the same political ties as the Quraysh group who had diverted the flow of political power to their advantage. To that end, he made pacts with ‘Amr Ibn al-Aas, Talha Ibn Ubaydillah,</w:t>
      </w:r>
      <w:r>
        <w:rPr>
          <w:rStyle w:val="FootnoteAnchor"/>
        </w:rPr>
        <w:footnoteReference w:id="67"/>
      </w:r>
      <w:r>
        <w:rPr>
          <w:rFonts w:eastAsia="Times New Roman" w:cs="Times New Roman" w:ascii="Times New Roman" w:hAnsi="Times New Roman"/>
          <w:color w:val="111111"/>
          <w:sz w:val="28"/>
          <w:szCs w:val="28"/>
          <w:lang w:val="en-US"/>
        </w:rPr>
        <w:t>Zubayr Ibn al-Awam,</w:t>
      </w:r>
      <w:r>
        <w:rPr>
          <w:rStyle w:val="FootnoteAnchor"/>
        </w:rPr>
        <w:footnoteReference w:id="68"/>
      </w:r>
      <w:r>
        <w:rPr>
          <w:rFonts w:eastAsia="Times New Roman" w:cs="Times New Roman" w:ascii="Times New Roman" w:hAnsi="Times New Roman"/>
          <w:color w:val="111111"/>
          <w:sz w:val="28"/>
          <w:szCs w:val="28"/>
          <w:lang w:val="en-US"/>
        </w:rPr>
        <w:t>and Abu Musa al-Ashari, all of whom disfavored ‘Ali, by offering them governorships in exchange for service.</w:t>
      </w:r>
    </w:p>
    <w:p>
      <w:pPr>
        <w:pStyle w:val="BookText"/>
        <w:bidi w:val="0"/>
        <w:jc w:val="both"/>
        <w:rPr/>
      </w:pPr>
      <w:r>
        <w:rPr>
          <w:rFonts w:eastAsia="Times New Roman" w:cs="Times New Roman" w:ascii="Times New Roman" w:hAnsi="Times New Roman"/>
          <w:color w:val="111111"/>
          <w:sz w:val="28"/>
          <w:szCs w:val="28"/>
          <w:lang w:val="en-US"/>
        </w:rPr>
        <w:t>When he asked ‘Amr Ibn al-Aas to fight against ‘Ali Ibn Abi Talib for him, ‘Amr Ibn al-Aas replied, “I will not sell my faith to you unless you give me something in this world here.” Hence, Mu’awiyah appointed him as the governor of Egypt.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Similarly, Mu’awiyah enlisted Talha and Zubayr in the fight against Imam ‘Ali in return for rule over some of the other states.</w:t>
      </w:r>
      <w:r>
        <w:rPr>
          <w:rStyle w:val="FootnoteAnchor"/>
        </w:rPr>
        <w:footnoteReference w:id="70"/>
      </w:r>
      <w:r>
        <w:rPr>
          <w:rFonts w:eastAsia="Times New Roman" w:cs="Times New Roman" w:ascii="Times New Roman" w:hAnsi="Times New Roman"/>
          <w:color w:val="111111"/>
          <w:sz w:val="28"/>
          <w:szCs w:val="28"/>
          <w:lang w:val="en-US"/>
        </w:rPr>
        <w:t>Mu’awiyah also promised Abu Musa al-Ashari, “If you pay allegiance to me and support my position, I will utilize your two sons; one of them will be the governor of Kufa, and the other will be the governor of Basra.”</w:t>
      </w:r>
      <w:r>
        <w:rPr>
          <w:rStyle w:val="FootnoteAnchor"/>
        </w:rPr>
        <w:footnoteReference w:id="71"/>
      </w:r>
      <w:r>
        <w:rPr>
          <w:rFonts w:eastAsia="Times New Roman" w:cs="Times New Roman" w:ascii="Times New Roman" w:hAnsi="Times New Roman"/>
          <w:color w:val="111111"/>
          <w:sz w:val="28"/>
          <w:szCs w:val="28"/>
          <w:lang w:val="en-US"/>
        </w:rPr>
        <w:t>In this way, Mu’awiyah continued the work that his predecessors had begun in channeling the political authority and wealth of the Muslims into a pre-determined and selected group of hands.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caliphate was the main prize, the Quraysh group did not limit their efforts to it. After installing Abu Bakr as the first</w:t>
      </w:r>
    </w:p>
    <w:p>
      <w:pPr>
        <w:pStyle w:val="BookText"/>
        <w:bidi w:val="0"/>
        <w:rPr/>
      </w:pPr>
      <w:r>
        <w:rPr>
          <w:rFonts w:eastAsia="Times New Roman" w:cs="Times New Roman" w:ascii="Times New Roman" w:hAnsi="Times New Roman"/>
          <w:color w:val="111111"/>
          <w:sz w:val="28"/>
          <w:szCs w:val="28"/>
          <w:lang w:val="en-US"/>
        </w:rPr>
        <w:t>caliph, they slowly began acquiring governorships of the outlying provinces. As is the case in the modus operandi of the Quraysh, they appointed their political allies to the governorships. The main objective of their appointments was to enlist individuals that did not oppose them and any inclination of strife towards their leadership would be met with expulsion, even at the expense of their own relatives.</w:t>
      </w:r>
    </w:p>
    <w:p>
      <w:pPr>
        <w:pStyle w:val="BookText"/>
        <w:bidi w:val="0"/>
        <w:jc w:val="both"/>
        <w:rPr/>
      </w:pPr>
      <w:r>
        <w:rPr>
          <w:rFonts w:eastAsia="Times New Roman" w:cs="Times New Roman" w:ascii="Times New Roman" w:hAnsi="Times New Roman"/>
          <w:color w:val="111111"/>
          <w:sz w:val="28"/>
          <w:szCs w:val="28"/>
          <w:lang w:val="en-US"/>
        </w:rPr>
        <w:t>As noted earlier, ‘Umar Ibn al-Khattab’s two sons, Zayd Ibn al-Khattab and Ubaydallah Ibn al-Khattab were both ostracized, as was Abdul Rahman Ibn Abu Bakr, the son of Abu Bakr. Instead, ‘Umar appointed Sa’d Ibn Abi al-Waqqas to govern Kufa, Abu Musa al-Ashari to govern Basra, and Mu’awiyah Ibn Abu Sufyan to govern Syria. Their true intention was to maintain control of the rapidly expanding Muslim empire among themselves. The issue was not one of election or selection; it was one of maintaining political hegemony within a select group of people.</w:t>
      </w:r>
    </w:p>
    <w:p>
      <w:pPr>
        <w:pStyle w:val="BookText"/>
        <w:bidi w:val="0"/>
        <w:jc w:val="both"/>
        <w:rPr/>
      </w:pPr>
      <w:r>
        <w:rPr>
          <w:rFonts w:eastAsia="Times New Roman" w:cs="Times New Roman" w:ascii="Times New Roman" w:hAnsi="Times New Roman"/>
          <w:color w:val="111111"/>
          <w:sz w:val="28"/>
          <w:szCs w:val="28"/>
          <w:lang w:val="en-US"/>
        </w:rPr>
        <w:t>Harmony or otherwise, the important fact to note is that ‘Umar was appointed by Abu Bakr, not elected to the caliphate, unlike the case with Abu Bakr.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sheer number of hadith in both Sunni and Shi’a sources, which declared ‘Ali Ibn Abi Talib to be the rightful political successor to the Prophet, still many opponents of the Ahlul Bayt in modern times object to the concept of an appointed successor on the basis that it is nepotistic and undemocratic. If so, then how do they explain and accept the fact that none of the first</w:t>
      </w:r>
      <w:bookmarkStart w:id="52" w:name="pg3581_21919"/>
    </w:p>
    <w:p>
      <w:pPr>
        <w:pStyle w:val="BookText"/>
        <w:bidi w:val="0"/>
        <w:rPr/>
      </w:pPr>
      <w:bookmarkEnd w:id="52"/>
      <w:r>
        <w:rPr>
          <w:rFonts w:eastAsia="Times New Roman" w:cs="Times New Roman" w:ascii="Times New Roman" w:hAnsi="Times New Roman"/>
          <w:color w:val="111111"/>
          <w:sz w:val="28"/>
          <w:szCs w:val="28"/>
          <w:lang w:val="en-US"/>
        </w:rPr>
        <w:t>three caliphs arrived at the caliphate through a “democratic” election?</w:t>
      </w:r>
    </w:p>
    <w:p>
      <w:pPr>
        <w:pStyle w:val="BookText"/>
        <w:bidi w:val="0"/>
        <w:jc w:val="both"/>
        <w:rPr/>
      </w:pPr>
      <w:r>
        <w:rPr>
          <w:rFonts w:eastAsia="Times New Roman" w:cs="Times New Roman" w:ascii="Times New Roman" w:hAnsi="Times New Roman"/>
          <w:color w:val="111111"/>
          <w:sz w:val="28"/>
          <w:szCs w:val="28"/>
          <w:lang w:val="en-US"/>
        </w:rPr>
        <w:t>Muslim history has noted that the Saqifah meeting in itself turned into an ad-hoc assembly, and that the explicit appointment of the three caliphs was a premeditated maneuver by a group to bypass the leadership of ‘Ali. Yet still, they argued against the Prophet appointing ‘Ali.</w:t>
      </w:r>
    </w:p>
    <w:p>
      <w:pPr>
        <w:pStyle w:val="BookText"/>
        <w:bidi w:val="0"/>
        <w:jc w:val="both"/>
        <w:rPr/>
      </w:pPr>
      <w:r>
        <w:rPr>
          <w:rFonts w:eastAsia="Times New Roman" w:cs="Times New Roman" w:ascii="Times New Roman" w:hAnsi="Times New Roman"/>
          <w:color w:val="111111"/>
          <w:sz w:val="28"/>
          <w:szCs w:val="28"/>
          <w:lang w:val="en-US"/>
        </w:rPr>
        <w:t>Furthermore, if nepotism is cited (because ‘Ali was a relative of the Prophet) then the same argument can be posed when ‘Uthman’s relatives, such as Mu’awiyah, Yazid, and others were chosen as caliphs. Hence, it would be unfounded to claim that the caliphate was first instituted by shura (consultation).</w:t>
      </w:r>
    </w:p>
    <w:p>
      <w:pPr>
        <w:pStyle w:val="Heading3"/>
        <w:numPr>
          <w:ilvl w:val="2"/>
          <w:numId w:val="1"/>
        </w:numPr>
        <w:bidi w:val="0"/>
        <w:jc w:val="left"/>
        <w:rPr/>
      </w:pPr>
      <w:bookmarkStart w:id="53" w:name="__RefHeading___Toc4074565_2749589250"/>
      <w:bookmarkStart w:id="54" w:name="_Toc21"/>
      <w:bookmarkEnd w:id="53"/>
      <w:r>
        <w:rPr/>
        <w:t>Dialogue between Abdullah Ibn al-Abbas and ‘Umar Ibn al-Khattab</w:t>
      </w:r>
      <w:bookmarkEnd w:id="54"/>
    </w:p>
    <w:p>
      <w:pPr>
        <w:pStyle w:val="BookText"/>
        <w:bidi w:val="0"/>
        <w:jc w:val="both"/>
        <w:rPr/>
      </w:pPr>
      <w:r>
        <w:rPr>
          <w:rFonts w:eastAsia="Times New Roman" w:cs="Times New Roman" w:ascii="Times New Roman" w:hAnsi="Times New Roman"/>
          <w:color w:val="111111"/>
          <w:sz w:val="28"/>
          <w:szCs w:val="28"/>
          <w:lang w:val="en-US"/>
        </w:rPr>
        <w:t>Abdullah Ibn al-Abbas (who is from the tribe of Bani Hashim and was the first cousin of ‘Ali and the Prophet) and ‘Umar Ibn al-Khattab held many discussions. On one occasion, during the caliphate of ‘Umar they debated whether the Bani Hashim should hold the caliphate. This dialogue is of particular interest, since it highlights the issues at hand.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“Do you know why the people did not elect you [the family of the Prophet] to the caliphate?”</w:t>
      </w:r>
    </w:p>
    <w:p>
      <w:pPr>
        <w:pStyle w:val="BookText"/>
        <w:bidi w:val="0"/>
        <w:jc w:val="both"/>
        <w:rPr/>
      </w:pPr>
      <w:r>
        <w:rPr>
          <w:rFonts w:eastAsia="Times New Roman" w:cs="Times New Roman" w:ascii="Times New Roman" w:hAnsi="Times New Roman"/>
          <w:color w:val="111111"/>
          <w:sz w:val="28"/>
          <w:szCs w:val="28"/>
          <w:lang w:val="en-US"/>
        </w:rPr>
        <w:t>Ibn Abbas, “No, I do not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 know what the reason was.”</w:t>
      </w:r>
    </w:p>
    <w:p>
      <w:pPr>
        <w:pStyle w:val="BookText"/>
        <w:bidi w:val="0"/>
        <w:jc w:val="both"/>
        <w:rPr/>
      </w:pPr>
      <w:r>
        <w:rPr>
          <w:rFonts w:eastAsia="Times New Roman" w:cs="Times New Roman" w:ascii="Times New Roman" w:hAnsi="Times New Roman"/>
          <w:color w:val="111111"/>
          <w:sz w:val="28"/>
          <w:szCs w:val="28"/>
          <w:lang w:val="en-US"/>
        </w:rPr>
        <w:t>Ibn Abbas, “What was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 Quraysh hated to see the prophethood and caliphate vested in one house. If that would have happened, you would have wronged the people!”</w:t>
      </w:r>
    </w:p>
    <w:p>
      <w:pPr>
        <w:pStyle w:val="BookText"/>
        <w:bidi w:val="0"/>
        <w:jc w:val="both"/>
        <w:rPr/>
      </w:pPr>
      <w:r>
        <w:rPr>
          <w:rFonts w:eastAsia="Times New Roman" w:cs="Times New Roman" w:ascii="Times New Roman" w:hAnsi="Times New Roman"/>
          <w:color w:val="111111"/>
          <w:sz w:val="28"/>
          <w:szCs w:val="28"/>
          <w:lang w:val="en-US"/>
        </w:rPr>
        <w:t>Ibn Abbas, “Can Amir al-Mumineen (‘Umar) control his anger if I want to say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“Feel free to say whatever you want to say.”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“If you say that Quraysh hated to</w:t>
      </w:r>
    </w:p>
    <w:p>
      <w:pPr>
        <w:pStyle w:val="BookText"/>
        <w:bidi w:val="0"/>
        <w:rPr/>
      </w:pPr>
      <w:r>
        <w:rPr>
          <w:rFonts w:eastAsia="Times New Roman" w:cs="Times New Roman" w:ascii="Times New Roman" w:hAnsi="Times New Roman"/>
          <w:color w:val="111111"/>
          <w:sz w:val="28"/>
          <w:szCs w:val="28"/>
          <w:lang w:val="en-US"/>
        </w:rPr>
        <w:t>see this [prophethood and caliphate vested in one family] then (know that) in the Qur’an, Allah has said about some of the companions [who had lived during the time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they hate the revelation of Allah, so He has made their deeds fruitless.”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And if you say that we [Bani Hashim] will do injustice if both the prophethood and caliphate are vested in our family, then if we are supposed to do mischief, we will do mischief even without being caliphs or successors, simply because we are the family of the Prophet and the closest people to him. However, we will not do that because our stance, morality, and attitude mirror the attitude of the Prophet, about whom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stand on an exalted standard of character.”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Also Allah said, “Lower your wing to the believers who follow you.”</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We will not depart from him (the Prophet), so why are you worried that if we become caliphs we will do mischief? If you say, “The Quraysh chose Abu Bakr and ‘Umar,” then Allah answers,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creates and chooses as He pleases. No choices have they in the matter.”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Plus you know ‘Umar, that Allah has chosen certain people from among His creatures to lead humanity. If the Quraysh had joined their vision with the plan of Allah, then the community would have been prosperous and successful.”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“Calm down Ibn Abbas. You members of the Bani Hashim, your heart only wanted to deceive the</w:t>
      </w:r>
    </w:p>
    <w:p>
      <w:pPr>
        <w:pStyle w:val="BookText"/>
        <w:bidi w:val="0"/>
        <w:rPr/>
      </w:pPr>
      <w:r>
        <w:rPr>
          <w:rFonts w:eastAsia="Times New Roman" w:cs="Times New Roman" w:ascii="Times New Roman" w:hAnsi="Times New Roman"/>
          <w:color w:val="111111"/>
          <w:sz w:val="28"/>
          <w:szCs w:val="28"/>
          <w:lang w:val="en-US"/>
        </w:rPr>
        <w:t>Quraysh permanently, and you hold perpetual hatred and animosity towards the Quraysh.”</w:t>
      </w:r>
    </w:p>
    <w:p>
      <w:pPr>
        <w:pStyle w:val="BookText"/>
        <w:bidi w:val="0"/>
        <w:jc w:val="both"/>
        <w:rPr/>
      </w:pPr>
      <w:r>
        <w:rPr>
          <w:rFonts w:eastAsia="Times New Roman" w:cs="Times New Roman" w:ascii="Times New Roman" w:hAnsi="Times New Roman"/>
          <w:color w:val="111111"/>
          <w:sz w:val="28"/>
          <w:szCs w:val="28"/>
          <w:lang w:val="en-US"/>
        </w:rPr>
        <w:t>Ibn Abbas, “Calm down ‘Umar, do not say that the hearts of Bani Hashim are deceitful. Their hearts are part of the heart of the Messenger of Allah. It is the same heart of the Messenger of Allah that Allah has cleansed and purified, and they are the family of the Prophet whom Allah describes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wishes to remove all abomination from you, O members of the family of the Prophet, and to make you pure and immaculate.”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If you speak about animosity and grudges in our hearts, this would be natural given that our right has been usurped from us and it is in the hands of a transgressor.”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“What are you saying Ibn Abbas? I have heard some bad things about you, and if I mention them to you, I would lose respect for you in my eyes.”</w:t>
      </w:r>
    </w:p>
    <w:p>
      <w:pPr>
        <w:pStyle w:val="BookText"/>
        <w:bidi w:val="0"/>
        <w:jc w:val="both"/>
        <w:rPr/>
      </w:pPr>
      <w:r>
        <w:rPr>
          <w:rFonts w:eastAsia="Times New Roman" w:cs="Times New Roman" w:ascii="Times New Roman" w:hAnsi="Times New Roman"/>
          <w:color w:val="111111"/>
          <w:sz w:val="28"/>
          <w:szCs w:val="28"/>
          <w:lang w:val="en-US"/>
        </w:rPr>
        <w:t>Ibn Abbas, “What have you heard about me? Tell me. If it is false, I will defend myself. If it is true, I will never lose respect for you in my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 have heard you telling people that this issue [the khalifah] was taken from the family of the Prophet out of jealousy and by way of injustice.”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“Regarding jealousy, yes it is true because Iblis (Satan) was jealous of Adam and forced him out of Paradise. We are the children of Adam, and there is always jealousy among us. If you say “transgression,” you know better</w:t>
      </w:r>
      <w:bookmarkStart w:id="55" w:name="pg3581_21922"/>
    </w:p>
    <w:p>
      <w:pPr>
        <w:pStyle w:val="BookText"/>
        <w:bidi w:val="0"/>
        <w:rPr/>
      </w:pPr>
      <w:bookmarkEnd w:id="55"/>
      <w:r>
        <w:rPr>
          <w:rFonts w:eastAsia="Times New Roman" w:cs="Times New Roman" w:ascii="Times New Roman" w:hAnsi="Times New Roman"/>
          <w:color w:val="111111"/>
          <w:sz w:val="28"/>
          <w:szCs w:val="28"/>
          <w:lang w:val="en-US"/>
        </w:rPr>
        <w:t>who has the right in this matter [the khalifah], and you ‘Umar are the best person to answer this question.</w:t>
      </w:r>
    </w:p>
    <w:p>
      <w:pPr>
        <w:pStyle w:val="BookText"/>
        <w:bidi w:val="0"/>
        <w:jc w:val="both"/>
        <w:rPr/>
      </w:pPr>
      <w:r>
        <w:rPr>
          <w:rFonts w:eastAsia="Times New Roman" w:cs="Times New Roman" w:ascii="Times New Roman" w:hAnsi="Times New Roman"/>
          <w:color w:val="111111"/>
          <w:sz w:val="28"/>
          <w:szCs w:val="28"/>
          <w:lang w:val="en-US"/>
        </w:rPr>
        <w:t>Did you not say that the Arabs are closer to the non-Arabs to the Prophet, and did you not say that the Quraysh are closer than the other tribes are to the Prophet? If you have said that and if you come to the Quraysh, then who among them is closest to the Prophet? Of course, they are the Bani Hashim. I am using the same analogy that you used. We have more right to the caliphate than anyone from the Quraysh.”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“Stand up and go home.”</w:t>
      </w:r>
    </w:p>
    <w:p>
      <w:pPr>
        <w:pStyle w:val="BookText"/>
        <w:bidi w:val="0"/>
        <w:jc w:val="both"/>
        <w:rPr/>
      </w:pPr>
      <w:r>
        <w:rPr>
          <w:rFonts w:eastAsia="Times New Roman" w:cs="Times New Roman" w:ascii="Times New Roman" w:hAnsi="Times New Roman"/>
          <w:color w:val="111111"/>
          <w:sz w:val="28"/>
          <w:szCs w:val="28"/>
          <w:lang w:val="en-US"/>
        </w:rPr>
        <w:t>Ibn Abbas stood up and as he was leaving ‘Umar said, “You who are leaving, come back! Despite what has happened between us, you are still respected in my eyes.”</w:t>
      </w:r>
    </w:p>
    <w:p>
      <w:pPr>
        <w:pStyle w:val="BookText"/>
        <w:bidi w:val="0"/>
        <w:jc w:val="both"/>
        <w:rPr/>
      </w:pPr>
      <w:r>
        <w:rPr>
          <w:rFonts w:eastAsia="Times New Roman" w:cs="Times New Roman" w:ascii="Times New Roman" w:hAnsi="Times New Roman"/>
          <w:color w:val="111111"/>
          <w:sz w:val="28"/>
          <w:szCs w:val="28"/>
          <w:lang w:val="en-US"/>
        </w:rPr>
        <w:t>Ibn Abbas answered, “You who are the caliph now, we also have to preserve your right.”</w:t>
      </w:r>
    </w:p>
    <w:p>
      <w:pPr>
        <w:pStyle w:val="BookText"/>
        <w:bidi w:val="0"/>
        <w:jc w:val="both"/>
        <w:rPr/>
      </w:pPr>
      <w:r>
        <w:rPr>
          <w:rFonts w:eastAsia="Times New Roman" w:cs="Times New Roman" w:ascii="Times New Roman" w:hAnsi="Times New Roman"/>
          <w:color w:val="111111"/>
          <w:sz w:val="28"/>
          <w:szCs w:val="28"/>
          <w:lang w:val="en-US"/>
        </w:rPr>
        <w:t>After Ibn Abbas left, ‘Umar turned to the people around him and said, “I never saw Ibn Abbas discuss something with anyone and not defeat him.”</w:t>
      </w:r>
    </w:p>
    <w:p>
      <w:pPr>
        <w:pStyle w:val="Heading2"/>
        <w:numPr>
          <w:ilvl w:val="1"/>
          <w:numId w:val="1"/>
        </w:numPr>
        <w:bidi w:val="0"/>
        <w:jc w:val="left"/>
        <w:rPr/>
      </w:pPr>
      <w:bookmarkStart w:id="56" w:name="__RefHeading___Toc4074567_2749589250"/>
      <w:bookmarkStart w:id="57" w:name="_Toc22"/>
      <w:bookmarkEnd w:id="56"/>
      <w:r>
        <w:rPr/>
        <w:t>Chapter 5: Backlash</w:t>
      </w:r>
      <w:bookmarkEnd w:id="57"/>
    </w:p>
    <w:p>
      <w:pPr>
        <w:pStyle w:val="Heading3"/>
        <w:numPr>
          <w:ilvl w:val="2"/>
          <w:numId w:val="1"/>
        </w:numPr>
        <w:bidi w:val="0"/>
        <w:jc w:val="left"/>
        <w:rPr/>
      </w:pPr>
      <w:bookmarkStart w:id="58" w:name="__RefHeading___Toc4074569_2749589250"/>
      <w:bookmarkStart w:id="59" w:name="_Toc23"/>
      <w:bookmarkEnd w:id="58"/>
      <w:r>
        <w:rPr/>
        <w:t>point</w:t>
      </w:r>
      <w:bookmarkEnd w:id="5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ٱللهُ لِیُذْهِبَ عَنکُـمُ ٱلرِّجْسَ أَهْلَ ٱلْبَیْتِ وَیُطَهِّرَکُمْ تَطْهِیــراً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only wishes to remove all abomination from you, O members of the Family, and to make you pure and immaculate. (Holy Qur’an, 33:33)</w:t>
      </w:r>
    </w:p>
    <w:p>
      <w:pPr>
        <w:pStyle w:val="Heading3"/>
        <w:numPr>
          <w:ilvl w:val="2"/>
          <w:numId w:val="1"/>
        </w:numPr>
        <w:bidi w:val="0"/>
        <w:jc w:val="left"/>
        <w:rPr/>
      </w:pPr>
      <w:bookmarkStart w:id="60" w:name="__RefHeading___Toc4074571_2749589250"/>
      <w:bookmarkStart w:id="61" w:name="_Toc24"/>
      <w:bookmarkEnd w:id="60"/>
      <w:r>
        <w:rPr/>
        <w:t>Attempt to Burn the House of Fatima al-Zahra</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after the Saqifah, ‘Umar Ibn al-Khattab, along with a group of individuals came to the house of the daughter of the Holy Prophet. In the house, there was ‘Ali Ibn Abi Talib, Fatima, and their two sons, Hasan and Husayn,</w:t>
      </w:r>
    </w:p>
    <w:p>
      <w:pPr>
        <w:pStyle w:val="BookText"/>
        <w:bidi w:val="0"/>
        <w:rPr/>
      </w:pPr>
      <w:r>
        <w:rPr>
          <w:rFonts w:eastAsia="Times New Roman" w:cs="Times New Roman" w:ascii="Times New Roman" w:hAnsi="Times New Roman"/>
          <w:color w:val="111111"/>
          <w:sz w:val="28"/>
          <w:szCs w:val="28"/>
          <w:lang w:val="en-US"/>
        </w:rPr>
        <w:t>who were still in a state of deep sorrow over the death of the Prophet.</w:t>
      </w:r>
    </w:p>
    <w:p>
      <w:pPr>
        <w:pStyle w:val="BookText"/>
        <w:bidi w:val="0"/>
        <w:jc w:val="both"/>
        <w:rPr/>
      </w:pPr>
      <w:r>
        <w:rPr>
          <w:rFonts w:eastAsia="Times New Roman" w:cs="Times New Roman" w:ascii="Times New Roman" w:hAnsi="Times New Roman"/>
          <w:color w:val="111111"/>
          <w:sz w:val="28"/>
          <w:szCs w:val="28"/>
          <w:lang w:val="en-US"/>
        </w:rPr>
        <w:t>Fatima opened the door and asked ‘Umar, “Did you come here to burn our house?” ‘Umar retorted, “Yes, unless you enter into what the nation entered in [meaning allegiance to Abu Bakr].”</w:t>
      </w:r>
      <w:r>
        <w:rPr>
          <w:rStyle w:val="FootnoteAnchor"/>
        </w:rPr>
        <w:footnoteReference w:id="78"/>
      </w:r>
      <w:r>
        <w:rPr>
          <w:rFonts w:eastAsia="Times New Roman" w:cs="Times New Roman" w:ascii="Times New Roman" w:hAnsi="Times New Roman"/>
          <w:color w:val="111111"/>
          <w:sz w:val="28"/>
          <w:szCs w:val="28"/>
          <w:lang w:val="en-US"/>
        </w:rPr>
        <w:t>‘Umar then slammed open the door against Fatima at which point she found herself being squeezed between the door and the wall of her house, causing one of her ribs to break. At that time, she was pregnant with the third grandson of the Holy Prophet; however, the force that ‘Umar applied on the door caused her to have a miscarriage, and the baby who had been named Muhsin by the Prophet, was stillborn only a few days after the death of his grandfather.</w:t>
      </w:r>
    </w:p>
    <w:p>
      <w:pPr>
        <w:pStyle w:val="BookText"/>
        <w:bidi w:val="0"/>
        <w:jc w:val="both"/>
        <w:rPr/>
      </w:pPr>
      <w:r>
        <w:rPr>
          <w:rFonts w:eastAsia="Times New Roman" w:cs="Times New Roman" w:ascii="Times New Roman" w:hAnsi="Times New Roman"/>
          <w:color w:val="111111"/>
          <w:sz w:val="28"/>
          <w:szCs w:val="28"/>
          <w:lang w:val="en-US"/>
        </w:rPr>
        <w:t>Many historians have narrated this event with some of them providing details that others omit. Ibn Abd Rabah al-Andalusi says:</w:t>
      </w:r>
      <w:r>
        <w:rPr>
          <w:rStyle w:val="FootnoteAnchor"/>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refrained from giving the bayah (allegiance) to Abu Bakr were ‘Ali, Abbas (the uncle of the Prophet), Zubayr Ibn al-Awam (cousin of the Prophet) and Sa’d Ibn Ibadah. As for ‘Ali and Abbas, they sat in the house of Fatima until Abu Bakr sent ‘Umar to take them out of the house of Fatima, and he (Abu Bakr) said to him (‘Umar), “If they refuse, then fight them.” Thus, he (‘Umar) came with a torch of fire to engulf the house on them and upon arriving, he encountered Fatima. She said, “O Ibn al-Khattab, did you come to burn our</w:t>
      </w:r>
    </w:p>
    <w:p>
      <w:pPr>
        <w:pStyle w:val="BookText"/>
        <w:bidi w:val="0"/>
        <w:rPr/>
      </w:pPr>
      <w:r>
        <w:rPr>
          <w:rFonts w:eastAsia="Times New Roman" w:cs="Times New Roman" w:ascii="Times New Roman" w:hAnsi="Times New Roman"/>
          <w:color w:val="111111"/>
          <w:sz w:val="28"/>
          <w:szCs w:val="28"/>
          <w:lang w:val="en-US"/>
        </w:rPr>
        <w:t>house?” He said, “Yes, unless you enter into what the ummah entered into.”</w:t>
      </w:r>
    </w:p>
    <w:p>
      <w:pPr>
        <w:pStyle w:val="BookText"/>
        <w:bidi w:val="0"/>
        <w:jc w:val="both"/>
        <w:rPr/>
      </w:pPr>
      <w:r>
        <w:rPr>
          <w:rFonts w:eastAsia="Times New Roman" w:cs="Times New Roman" w:ascii="Times New Roman" w:hAnsi="Times New Roman"/>
          <w:color w:val="111111"/>
          <w:sz w:val="28"/>
          <w:szCs w:val="28"/>
          <w:lang w:val="en-US"/>
        </w:rPr>
        <w:t>Al-Tabari also relates the story; however, he says that Talha, Zubayr, and some men from the Muhajireen were also in the house. He goes on to say that ‘Umar told them, “By Allah, I will burn the house unless you come out for the bayah (allegiance).” Raising his sword, Zubayr came out of the house, but he fell to the ground and was attacked. In the ensuing chaos, his sword was taken away.</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Ibn Abil Hadid says:</w:t>
      </w:r>
    </w:p>
    <w:p>
      <w:pPr>
        <w:pStyle w:val="BookText"/>
        <w:bidi w:val="0"/>
        <w:jc w:val="both"/>
        <w:rPr/>
      </w:pPr>
      <w:r>
        <w:rPr>
          <w:rFonts w:eastAsia="Times New Roman" w:cs="Times New Roman" w:ascii="Times New Roman" w:hAnsi="Times New Roman"/>
          <w:color w:val="111111"/>
          <w:sz w:val="28"/>
          <w:szCs w:val="28"/>
          <w:lang w:val="en-US"/>
        </w:rPr>
        <w:t>When Fatima saw what ‘Umar did, she cried and wailed, and many women from Bani Hashim gathered with her. They came to her and she said, “O Abu Bakr, how fast you launched your strike on the family of the Prophet after the death of the Prophet. By Allah, I will never speak to you until I meet Allah!”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historian, al-Baladri reports:</w:t>
      </w:r>
    </w:p>
    <w:p>
      <w:pPr>
        <w:pStyle w:val="BookText"/>
        <w:bidi w:val="0"/>
        <w:jc w:val="both"/>
        <w:rPr/>
      </w:pPr>
      <w:r>
        <w:rPr>
          <w:rFonts w:eastAsia="Times New Roman" w:cs="Times New Roman" w:ascii="Times New Roman" w:hAnsi="Times New Roman"/>
          <w:color w:val="111111"/>
          <w:sz w:val="28"/>
          <w:szCs w:val="28"/>
          <w:lang w:val="en-US"/>
        </w:rPr>
        <w:t>Abu Bakr sent for ‘Ali, asking him to pay allegiance. He didn’t pay allegiance and thus ‘Umar came with a torch to the house of ‘Ali and Fatima. He came face to face with Fatima and she said to him, “Are you really going to burn the door of the house?” ‘Umar answered, “Yes indeed.”</w:t>
      </w:r>
      <w:r>
        <w:rPr>
          <w:rStyle w:val="FootnoteAnchor"/>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Sunni authors go on to state that had Fatima al-Zahra not opened the door, ‘Umar would have proceeded to burn down the entire house. They say that ‘Umar was shouting from outside the house saying, “Burn the house with the people inside it!”</w:t>
      </w:r>
      <w:r>
        <w:rPr>
          <w:rStyle w:val="FootnoteAnchor"/>
        </w:rPr>
        <w:footnoteReference w:id="83"/>
      </w:r>
      <w:r>
        <w:rPr>
          <w:rFonts w:eastAsia="Times New Roman" w:cs="Times New Roman" w:ascii="Times New Roman" w:hAnsi="Times New Roman"/>
          <w:color w:val="111111"/>
          <w:sz w:val="28"/>
          <w:szCs w:val="28"/>
          <w:lang w:val="en-US"/>
        </w:rPr>
        <w:t>The companions who were</w:t>
      </w:r>
    </w:p>
    <w:p>
      <w:pPr>
        <w:pStyle w:val="BookText"/>
        <w:bidi w:val="0"/>
        <w:rPr/>
      </w:pPr>
      <w:r>
        <w:rPr>
          <w:rFonts w:eastAsia="Times New Roman" w:cs="Times New Roman" w:ascii="Times New Roman" w:hAnsi="Times New Roman"/>
          <w:color w:val="111111"/>
          <w:sz w:val="28"/>
          <w:szCs w:val="28"/>
          <w:lang w:val="en-US"/>
        </w:rPr>
        <w:t>around ‘Umar saw him gathering wood and warned him, “‘Umar, you know that Fatima lives in this house.” ‘Umar answered, “Still, even if she lives here I am going to burn the house!”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Some other narrations have unsubstantially claimed that an opposition group had gathered at the house of Fatima ready to act against Abu Bakr. However, the truth is that some of the previously mentioned prominent Sunni historians do not mention this at all – scholars such as al-Shahristani, al-Baladri, al-Safti, al-Jawhari, Ibn Abd Rabbah al-Andalusi, and Urwat Ibn Zubayr. Thus, this claim was just an excuse put forth later on in order to justify the actions of ‘Umar and his group.</w:t>
      </w:r>
    </w:p>
    <w:p>
      <w:pPr>
        <w:pStyle w:val="BookText"/>
        <w:bidi w:val="0"/>
        <w:jc w:val="both"/>
        <w:rPr/>
      </w:pPr>
      <w:r>
        <w:rPr>
          <w:rFonts w:eastAsia="Times New Roman" w:cs="Times New Roman" w:ascii="Times New Roman" w:hAnsi="Times New Roman"/>
          <w:color w:val="111111"/>
          <w:sz w:val="28"/>
          <w:szCs w:val="28"/>
          <w:lang w:val="en-US"/>
        </w:rPr>
        <w:t>These prominent Sunni scholars also name the individuals who participated with ‘Umar in the attack on Fatima al-Zahra’s home and they include the following: Ubayd Ibn Hubayr, Thabit Ibn Qays, Muhammad Ibn Muslim, Khalid Ibn al-Waleed, al-Mugheerah Ibn Shu’bah, Abu Ubaydah Ibn al-Jarrah, Sa’d Mawla Abi Udaybah, Ma’adh Ibn Jabal, Qunfud, ‘Uthman, Abd al-Rahman Ibn Auf, Ziyad Ibn Ubayd, Mu’awiyah Ibn Abu Sufyan, and ‘Amr Ibn al-Aas.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years later at a meeting between Imam Hasan (the first grandson of the Prophet and son of Fatima and ‘Ali) and Mu’awiyah Ibn Abu Sufyan in the presence of Mugheerah Ibn Shu’bah, the Imam said to Mugheerah, “You are the one who hit Fatima,</w:t>
      </w:r>
      <w:r>
        <w:rPr>
          <w:rStyle w:val="FootnoteAnchor"/>
        </w:rPr>
        <w:footnoteReference w:id="85"/>
      </w:r>
      <w:r>
        <w:rPr>
          <w:rFonts w:eastAsia="Times New Roman" w:cs="Times New Roman" w:ascii="Times New Roman" w:hAnsi="Times New Roman"/>
          <w:color w:val="111111"/>
          <w:sz w:val="28"/>
          <w:szCs w:val="28"/>
          <w:lang w:val="en-US"/>
        </w:rPr>
        <w:t>the daughter of the Prophet until you made her bleed and she miscarried her baby. You wanted to humiliate the Prophet, and you opposed his teachings and violated</w:t>
      </w:r>
    </w:p>
    <w:p>
      <w:pPr>
        <w:pStyle w:val="BookText"/>
        <w:bidi w:val="0"/>
        <w:rPr/>
      </w:pPr>
      <w:r>
        <w:rPr>
          <w:rFonts w:eastAsia="Times New Roman" w:cs="Times New Roman" w:ascii="Times New Roman" w:hAnsi="Times New Roman"/>
          <w:color w:val="111111"/>
          <w:sz w:val="28"/>
          <w:szCs w:val="28"/>
          <w:lang w:val="en-US"/>
        </w:rPr>
        <w:t>the respect of the Prophet. You know that the Prophet said to Fatima al-Zahra, ‘You are the leader of the women of Paradise.’ By Allah, your fate will be the Fire.”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Other Sunni historians who narrate this meeting are Ibn Qutaybah,</w:t>
      </w:r>
      <w:r>
        <w:rPr>
          <w:rStyle w:val="FootnoteAnchor"/>
        </w:rPr>
        <w:footnoteReference w:id="87"/>
      </w:r>
      <w:r>
        <w:rPr>
          <w:rFonts w:eastAsia="Times New Roman" w:cs="Times New Roman" w:ascii="Times New Roman" w:hAnsi="Times New Roman"/>
          <w:color w:val="111111"/>
          <w:sz w:val="28"/>
          <w:szCs w:val="28"/>
          <w:lang w:val="en-US"/>
        </w:rPr>
        <w:t>Ibn Abil Hadid,</w:t>
      </w:r>
      <w:r>
        <w:rPr>
          <w:rStyle w:val="FootnoteAnchor"/>
        </w:rPr>
        <w:footnoteReference w:id="88"/>
      </w:r>
      <w:r>
        <w:rPr>
          <w:rFonts w:eastAsia="Times New Roman" w:cs="Times New Roman" w:ascii="Times New Roman" w:hAnsi="Times New Roman"/>
          <w:color w:val="111111"/>
          <w:sz w:val="28"/>
          <w:szCs w:val="28"/>
          <w:lang w:val="en-US"/>
        </w:rPr>
        <w:t>and al-Mahqari.</w:t>
      </w:r>
      <w:r>
        <w:rPr>
          <w:rStyle w:val="FootnoteAnchor"/>
        </w:rPr>
        <w:footnoteReference w:id="89"/>
      </w:r>
      <w:r>
        <w:rPr>
          <w:rFonts w:eastAsia="Times New Roman" w:cs="Times New Roman" w:ascii="Times New Roman" w:hAnsi="Times New Roman"/>
          <w:color w:val="111111"/>
          <w:sz w:val="28"/>
          <w:szCs w:val="28"/>
          <w:lang w:val="en-US"/>
        </w:rPr>
        <w:t>However, as for Fatima’s unborn son (who was killed during the attack), Ibn Qutaybah says that Muhsin Ibn ‘Ali perished when he was a baby, but he does not mention how.</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Setting aside the events that occurred at the door of Fatima’s home, did ‘Umar have the right to enter her home? According to the Holy Qur’an, no one may enter another person’s house without permission, as Allah orders: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یاأَیُّهَا ٱلَّذِینَ آمَنُواْ لاَ تَدْخُلُواْ بُیُوتاً غَیْرَ بُیُوتِکُمْ حَتَّی تَسْتَأْنِسُواْ وَتُسَلِّمُواْ عَلیٰ أَهْلِهَا ذَلِکُمْ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فِیهَآ أَحَداً فَلاَ تَدْخُلُوهَا حَتَّی یُؤْذَنَ لَکُمُ وَإِن قِیلَ لَکُمْ ٱرْجِعُواْ فَٱرْجِعُواْ هُوَ أَزْکی لَکُمْ وَٱللهُ بِمَا تَعْمَلُونَ عَلِیمٌ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Enter not the houses other than your [own] houses until you have sought familiarity and saluted their inhabitants; this is best for you; haply you may remember. But if you do not find anyone in there, then enter them not until permission is given to you; and if it is said unto you ‘Go you back’ then go back, for it is purer for you; and God knows what all of you do. (24:27-28)</w:t>
      </w:r>
    </w:p>
    <w:p>
      <w:pPr>
        <w:pStyle w:val="BookText"/>
        <w:bidi w:val="0"/>
        <w:jc w:val="both"/>
        <w:rPr/>
      </w:pPr>
      <w:r>
        <w:rPr>
          <w:rFonts w:eastAsia="Times New Roman" w:cs="Times New Roman" w:ascii="Times New Roman" w:hAnsi="Times New Roman"/>
          <w:color w:val="111111"/>
          <w:sz w:val="28"/>
          <w:szCs w:val="28"/>
          <w:lang w:val="en-US"/>
        </w:rPr>
        <w:t>Even the Messenger of Allah did not enter the house of his daughter and grandchildren without first asking permission!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disheartening</w:t>
      </w:r>
      <w:bookmarkStart w:id="62" w:name="pg3581_21927"/>
    </w:p>
    <w:p>
      <w:pPr>
        <w:pStyle w:val="BookText"/>
        <w:bidi w:val="0"/>
        <w:rPr/>
      </w:pPr>
      <w:bookmarkEnd w:id="62"/>
      <w:r>
        <w:rPr>
          <w:rFonts w:eastAsia="Times New Roman" w:cs="Times New Roman" w:ascii="Times New Roman" w:hAnsi="Times New Roman"/>
          <w:color w:val="111111"/>
          <w:sz w:val="28"/>
          <w:szCs w:val="28"/>
          <w:lang w:val="en-US"/>
        </w:rPr>
        <w:t>that such an event occurred despite Allah’s commandment that the ummah is to treat the family of the Prophet with adoration: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أَسْأَلُکُمْ عَلَیْهِ أَجْراً إِلاَّ ٱلْمَوَدَّةَ فِی ٱلْقُرْبَی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 demand not of you any recompense for it (the toils of the apostleship) save the love of (my) relatives.’ (42:23)</w:t>
      </w:r>
    </w:p>
    <w:p>
      <w:pPr>
        <w:pStyle w:val="Heading3"/>
        <w:numPr>
          <w:ilvl w:val="2"/>
          <w:numId w:val="1"/>
        </w:numPr>
        <w:bidi w:val="0"/>
        <w:jc w:val="left"/>
        <w:rPr/>
      </w:pPr>
      <w:bookmarkStart w:id="63" w:name="__RefHeading___Toc4074573_2749589250"/>
      <w:bookmarkStart w:id="64" w:name="_Toc25"/>
      <w:bookmarkEnd w:id="63"/>
      <w:r>
        <w:rPr/>
        <w:t>Regret for the Actions Taken Against Fatima</w:t>
      </w:r>
      <w:bookmarkEnd w:id="64"/>
    </w:p>
    <w:p>
      <w:pPr>
        <w:pStyle w:val="BookText"/>
        <w:bidi w:val="0"/>
        <w:jc w:val="both"/>
        <w:rPr/>
      </w:pPr>
      <w:r>
        <w:rPr>
          <w:rFonts w:eastAsia="Times New Roman" w:cs="Times New Roman" w:ascii="Times New Roman" w:hAnsi="Times New Roman"/>
          <w:color w:val="111111"/>
          <w:sz w:val="28"/>
          <w:szCs w:val="28"/>
          <w:lang w:val="en-US"/>
        </w:rPr>
        <w:t>As time passed, Abu Bakr felt the pangs of remorse about the incident at Fatima al-Zahra’s home and said, “Every man sleeps next to his wife, embracing her, enjoying his family, and you left me with my misery. I don’t need your bayah, I don’t need it, take it away from me.” Near the end of his life he also mentioned, “I was sad for three things that I did, and I wish I hadn’t done them. One of them is that I exposed the house of Fatima.”</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Perhaps Abu Bakr’s guilt came from the fact that he had ordered ‘Umar to subdue whoever was in the house if they did not surrender, even though he knew that those in the house included Fatima al-Zahra - the beloved daughter of the Holy Prophet and his grandsons, Hasan and Husayn. The guilt drove Abu Bakr to seek reconciliation, so he asked ‘Umar to accompany him to reconcile with Fatima al-Zahra and said to ‘Umar, “Since we have angered Fatima, let us go and make her happy.”</w:t>
      </w:r>
      <w:r>
        <w:rPr>
          <w:rStyle w:val="FootnoteAnchor"/>
        </w:rPr>
        <w:footnoteReference w:id="9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they sought permission from her to enter her house, but she refused, so they asked ‘Ali and he allowed them in. Both Abu Bakr and ‘Umar Ibn</w:t>
      </w:r>
    </w:p>
    <w:p>
      <w:pPr>
        <w:pStyle w:val="BookText"/>
        <w:bidi w:val="0"/>
        <w:rPr/>
      </w:pPr>
      <w:r>
        <w:rPr>
          <w:rFonts w:eastAsia="Times New Roman" w:cs="Times New Roman" w:ascii="Times New Roman" w:hAnsi="Times New Roman"/>
          <w:color w:val="111111"/>
          <w:sz w:val="28"/>
          <w:szCs w:val="28"/>
          <w:lang w:val="en-US"/>
        </w:rPr>
        <w:t>Khattab sat in front of Fatima al-Zahra, but she turned her head towards the wall.</w:t>
      </w:r>
    </w:p>
    <w:p>
      <w:pPr>
        <w:pStyle w:val="BookText"/>
        <w:bidi w:val="0"/>
        <w:jc w:val="both"/>
        <w:rPr/>
      </w:pPr>
      <w:r>
        <w:rPr>
          <w:rFonts w:eastAsia="Times New Roman" w:cs="Times New Roman" w:ascii="Times New Roman" w:hAnsi="Times New Roman"/>
          <w:color w:val="111111"/>
          <w:sz w:val="28"/>
          <w:szCs w:val="28"/>
          <w:lang w:val="en-US"/>
        </w:rPr>
        <w:t>Abu Bakr said to her, “O beloved daughter of the Prophet, you are dearer to me than my daughter Aishah, and I wish that on the day your father died, I would have died instead and that I would not have remained (alive) after him. You are angry because we did not grant you your inheritance since we heard your father say, ‘We don’t leave any inheritance; whatever we leave is charity.’”</w:t>
      </w:r>
    </w:p>
    <w:p>
      <w:pPr>
        <w:pStyle w:val="BookText"/>
        <w:bidi w:val="0"/>
        <w:jc w:val="both"/>
        <w:rPr/>
      </w:pPr>
      <w:r>
        <w:rPr>
          <w:rFonts w:eastAsia="Times New Roman" w:cs="Times New Roman" w:ascii="Times New Roman" w:hAnsi="Times New Roman"/>
          <w:color w:val="111111"/>
          <w:sz w:val="28"/>
          <w:szCs w:val="28"/>
          <w:lang w:val="en-US"/>
        </w:rPr>
        <w:t>With her head still turned against them, Fatima al-Zahra replied, “If I remind you of a saying of my father, would you acknowledge it, and if you acknowledge it, would you practice and implement it?” Both of them said they would and thus she said, “I ask you by Allah, did you not hear the Prophet of Allah saying, ‘The pleasure of Fatima is my pleasure, and her wrath and anger is my anger, and whoever loves my daughter Fatima loves me, and whoever pleases her pleases me, and whoever angers her angers me?’”</w:t>
      </w:r>
      <w:r>
        <w:rPr>
          <w:rStyle w:val="FootnoteAnchor"/>
        </w:rPr>
        <w:footnoteReference w:id="93"/>
      </w:r>
      <w:r>
        <w:rPr>
          <w:rFonts w:eastAsia="Times New Roman" w:cs="Times New Roman" w:ascii="Times New Roman" w:hAnsi="Times New Roman"/>
          <w:color w:val="111111"/>
          <w:sz w:val="28"/>
          <w:szCs w:val="28"/>
          <w:lang w:val="en-US"/>
        </w:rPr>
        <w:t>They said, “Yes, we heard this from the Messenger of Allah.” She continued, “Then I testify before Allah and His angels that you have angered me, and when I meet the Prophet, I will raise my grievances with you to him.”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al-Tabari,</w:t>
      </w:r>
      <w:r>
        <w:rPr>
          <w:rStyle w:val="FootnoteAnchor"/>
        </w:rPr>
        <w:footnoteReference w:id="94"/>
      </w:r>
      <w:r>
        <w:rPr>
          <w:rFonts w:eastAsia="Times New Roman" w:cs="Times New Roman" w:ascii="Times New Roman" w:hAnsi="Times New Roman"/>
          <w:color w:val="111111"/>
          <w:sz w:val="28"/>
          <w:szCs w:val="28"/>
          <w:lang w:val="en-US"/>
        </w:rPr>
        <w:t>al-Bukhari,</w:t>
      </w:r>
      <w:r>
        <w:rPr>
          <w:rStyle w:val="FootnoteAnchor"/>
        </w:rPr>
        <w:footnoteReference w:id="95"/>
      </w:r>
      <w:r>
        <w:rPr>
          <w:rFonts w:eastAsia="Times New Roman" w:cs="Times New Roman" w:ascii="Times New Roman" w:hAnsi="Times New Roman"/>
          <w:color w:val="111111"/>
          <w:sz w:val="28"/>
          <w:szCs w:val="28"/>
          <w:lang w:val="en-US"/>
        </w:rPr>
        <w:t>and al-Muslim,</w:t>
      </w:r>
      <w:r>
        <w:rPr>
          <w:rStyle w:val="FootnoteAnchor"/>
        </w:rPr>
        <w:footnoteReference w:id="96"/>
      </w:r>
      <w:r>
        <w:rPr>
          <w:rFonts w:eastAsia="Times New Roman" w:cs="Times New Roman" w:ascii="Times New Roman" w:hAnsi="Times New Roman"/>
          <w:color w:val="111111"/>
          <w:sz w:val="28"/>
          <w:szCs w:val="28"/>
          <w:lang w:val="en-US"/>
        </w:rPr>
        <w:t>Fatima al-Zahra refused to speak with Abu Bakr until she died. Even at her funeral, her wishes were for them not to be present, thus</w:t>
      </w:r>
      <w:bookmarkStart w:id="65" w:name="pg3581_21929"/>
    </w:p>
    <w:p>
      <w:pPr>
        <w:pStyle w:val="BookText"/>
        <w:bidi w:val="0"/>
        <w:rPr/>
      </w:pPr>
      <w:bookmarkEnd w:id="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buried her at night according to her wishes and did not allow Abu Bakr and ‘Umar to participate in her burial.</w:t>
      </w:r>
    </w:p>
    <w:p>
      <w:pPr>
        <w:pStyle w:val="BookText"/>
        <w:bidi w:val="0"/>
        <w:jc w:val="both"/>
        <w:rPr/>
      </w:pPr>
      <w:r>
        <w:rPr>
          <w:rFonts w:eastAsia="Times New Roman" w:cs="Times New Roman" w:ascii="Times New Roman" w:hAnsi="Times New Roman"/>
          <w:color w:val="111111"/>
          <w:sz w:val="28"/>
          <w:szCs w:val="28"/>
          <w:lang w:val="en-US"/>
        </w:rPr>
        <w:t>The exact date when Fatima al-Zahra died is uncertain. According to Abul Faraj al-Isfahani,</w:t>
      </w:r>
      <w:r>
        <w:rPr>
          <w:rStyle w:val="FootnoteAnchor"/>
        </w:rPr>
        <w:footnoteReference w:id="97"/>
      </w:r>
      <w:r>
        <w:rPr>
          <w:rFonts w:eastAsia="Times New Roman" w:cs="Times New Roman" w:ascii="Times New Roman" w:hAnsi="Times New Roman"/>
          <w:color w:val="111111"/>
          <w:sz w:val="28"/>
          <w:szCs w:val="28"/>
          <w:lang w:val="en-US"/>
        </w:rPr>
        <w:t>she lived a maximum of six months after the death of her father, while others mention a minimum period of forty days. What the author upholds is that of the narration of Imam Muhammad al-Baqir, in which he stated she died three months after the departure of the Messenger of Allah.</w:t>
      </w:r>
    </w:p>
    <w:p>
      <w:pPr>
        <w:pStyle w:val="Heading3"/>
        <w:numPr>
          <w:ilvl w:val="2"/>
          <w:numId w:val="1"/>
        </w:numPr>
        <w:bidi w:val="0"/>
        <w:jc w:val="left"/>
        <w:rPr/>
      </w:pPr>
      <w:bookmarkStart w:id="66" w:name="__RefHeading___Toc4074575_2749589250"/>
      <w:bookmarkStart w:id="67" w:name="_Toc26"/>
      <w:bookmarkEnd w:id="66"/>
      <w:r>
        <w:rPr/>
        <w:t>Usurping the Land of Fadak</w:t>
      </w:r>
      <w:bookmarkEnd w:id="67"/>
    </w:p>
    <w:p>
      <w:pPr>
        <w:pStyle w:val="BookText"/>
        <w:bidi w:val="0"/>
        <w:jc w:val="both"/>
        <w:rPr/>
      </w:pPr>
      <w:r>
        <w:rPr>
          <w:rFonts w:eastAsia="Times New Roman" w:cs="Times New Roman" w:ascii="Times New Roman" w:hAnsi="Times New Roman"/>
          <w:color w:val="111111"/>
          <w:sz w:val="28"/>
          <w:szCs w:val="28"/>
          <w:lang w:val="en-US"/>
        </w:rPr>
        <w:t>Muslim commentators report that when the verse, “And give your kin their rightful due” was revealed,</w:t>
      </w:r>
      <w:r>
        <w:rPr>
          <w:rStyle w:val="FootnoteAnchor"/>
        </w:rPr>
        <w:footnoteReference w:id="98"/>
      </w:r>
      <w:r>
        <w:rPr>
          <w:rFonts w:eastAsia="Times New Roman" w:cs="Times New Roman" w:ascii="Times New Roman" w:hAnsi="Times New Roman"/>
          <w:color w:val="111111"/>
          <w:sz w:val="28"/>
          <w:szCs w:val="28"/>
          <w:lang w:val="en-US"/>
        </w:rPr>
        <w:t>the Holy Prophet asked the Angel Gabriel what he was being directed to do, and Gabriel replied that Allah was commanding him to give Fadak, a piece of land north of Madinah, to his daughter Fatima al-Zahra and the Holy Prophet avidly complied.</w:t>
      </w:r>
    </w:p>
    <w:p>
      <w:pPr>
        <w:pStyle w:val="BookText"/>
        <w:bidi w:val="0"/>
        <w:jc w:val="both"/>
        <w:rPr/>
      </w:pPr>
      <w:r>
        <w:rPr>
          <w:rFonts w:eastAsia="Times New Roman" w:cs="Times New Roman" w:ascii="Times New Roman" w:hAnsi="Times New Roman"/>
          <w:color w:val="111111"/>
          <w:sz w:val="28"/>
          <w:szCs w:val="28"/>
          <w:lang w:val="en-US"/>
        </w:rPr>
        <w:t>However, after the death of the Prophet, Abu Bakr confiscated the land from Fatima on the pretext that the Holy Prophet had said, “We the prophets, do not leave any inheritance. Whatever we leave behind is charity.” This is a statement that not only contradicts the wishes of the Prophet, but also a precedent of the Qur’an that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Sulayman inherited from Dawud.”</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Nevertheless, when Abu Bakr and ‘Umar later came to power, they both gave preference to Lady Aishah. History narrates that on several occasions, the exception to their rule that “prophets do not leave inheritance” was enacted.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both Abu Bakr and ‘Umar allowed Lady</w:t>
      </w:r>
    </w:p>
    <w:p>
      <w:pPr>
        <w:pStyle w:val="BookText"/>
        <w:bidi w:val="0"/>
        <w:rPr/>
      </w:pPr>
      <w:r>
        <w:rPr>
          <w:rFonts w:eastAsia="Times New Roman" w:cs="Times New Roman" w:ascii="Times New Roman" w:hAnsi="Times New Roman"/>
          <w:color w:val="111111"/>
          <w:sz w:val="28"/>
          <w:szCs w:val="28"/>
          <w:lang w:val="en-US"/>
        </w:rPr>
        <w:t>Aishah to inherit the house of the Holy Prophet, although she did not have the absolute right to inherit the home exclusively, considering that she was merely one out of the nine wives of the Prophet, while the other wives were renounced of their share of the home inheritance. The property was hers and she exercised her control of it by permitting the burial of her father, Abu Bakr in the room of the Holy Prophet, next to the Prophet, while refusing the grandson of the Holy Prophet, Hasan to be buried next to his grandfather.</w:t>
      </w:r>
    </w:p>
    <w:p>
      <w:pPr>
        <w:pStyle w:val="BookText"/>
        <w:bidi w:val="0"/>
        <w:jc w:val="both"/>
        <w:rPr/>
      </w:pPr>
      <w:r>
        <w:rPr>
          <w:rFonts w:eastAsia="Times New Roman" w:cs="Times New Roman" w:ascii="Times New Roman" w:hAnsi="Times New Roman"/>
          <w:color w:val="111111"/>
          <w:sz w:val="28"/>
          <w:szCs w:val="28"/>
          <w:lang w:val="en-US"/>
        </w:rPr>
        <w:t>When ‘Uthman came to power, Lady Aishah and Hafsah (two wives of the Prophet) asked him to grant them more of the inheritance of the Prophet, however ‘Uthman rebuked Lady Aishah by saying, “Didn’t you come here with another man named Malik Ibn Aus al-Nadhari and say that the Prophet said, ‘We don’t leave inheritance?’ Didn’t you prevent Fatima al-Zahra from taking her share of the inheritance of the Prophet, and now you have come to ask for your share?”</w:t>
      </w:r>
    </w:p>
    <w:p>
      <w:pPr>
        <w:pStyle w:val="BookText"/>
        <w:bidi w:val="0"/>
        <w:jc w:val="both"/>
        <w:rPr/>
      </w:pPr>
      <w:r>
        <w:rPr>
          <w:rFonts w:eastAsia="Times New Roman" w:cs="Times New Roman" w:ascii="Times New Roman" w:hAnsi="Times New Roman"/>
          <w:color w:val="111111"/>
          <w:sz w:val="28"/>
          <w:szCs w:val="28"/>
          <w:lang w:val="en-US"/>
        </w:rPr>
        <w:t>Enraged, Lady Aishah went to the Mosque of the Holy Prophet, raised the Prophet’s shirt and cried that ‘Uthman had disagreed with “the owner of this shirt.” In turn, ‘Uthman cited verse 66:10 of the Qur’an drawing a parallel about the disobedient wives of the prophets Nuh and Lut to her.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Ironically, ‘Uthman did not return the land of Fadak to the children of Fatima al-Zahra nor allow Lady Aishah to have it, nor did he give</w:t>
      </w:r>
      <w:bookmarkStart w:id="68" w:name="pg3581_21931"/>
    </w:p>
    <w:p>
      <w:pPr>
        <w:pStyle w:val="BookText"/>
        <w:bidi w:val="0"/>
        <w:rPr/>
      </w:pPr>
      <w:bookmarkEnd w:id="68"/>
      <w:r>
        <w:rPr>
          <w:rFonts w:eastAsia="Times New Roman" w:cs="Times New Roman" w:ascii="Times New Roman" w:hAnsi="Times New Roman"/>
          <w:color w:val="111111"/>
          <w:sz w:val="28"/>
          <w:szCs w:val="28"/>
          <w:lang w:val="en-US"/>
        </w:rPr>
        <w:t>it as charity, as the hadith that he was claiming to act under said. Instead, ‘Uthman gave it as a gift to one of his family members named Marwan Ibn al-Hakam, whom the Holy Prophet had cursed and exiled from Madinah for his sedition and rampage against Islam.</w:t>
      </w:r>
      <w:r>
        <w:rPr>
          <w:rStyle w:val="FootnoteAnchor"/>
        </w:rPr>
        <w:footnoteReference w:id="100"/>
      </w:r>
    </w:p>
    <w:p>
      <w:pPr>
        <w:pStyle w:val="Heading3"/>
        <w:numPr>
          <w:ilvl w:val="2"/>
          <w:numId w:val="1"/>
        </w:numPr>
        <w:bidi w:val="0"/>
        <w:jc w:val="left"/>
        <w:rPr/>
      </w:pPr>
      <w:bookmarkStart w:id="69" w:name="__RefHeading___Toc4074577_2749589250"/>
      <w:bookmarkStart w:id="70" w:name="_Toc27"/>
      <w:bookmarkEnd w:id="69"/>
      <w:r>
        <w:rPr/>
        <w:t>Story of Fadak</w:t>
      </w:r>
      <w:bookmarkEnd w:id="70"/>
    </w:p>
    <w:p>
      <w:pPr>
        <w:pStyle w:val="BookText"/>
        <w:bidi w:val="0"/>
        <w:jc w:val="both"/>
        <w:rPr/>
      </w:pPr>
      <w:r>
        <w:rPr>
          <w:rFonts w:eastAsia="Times New Roman" w:cs="Times New Roman" w:ascii="Times New Roman" w:hAnsi="Times New Roman"/>
          <w:color w:val="111111"/>
          <w:sz w:val="28"/>
          <w:szCs w:val="28"/>
          <w:lang w:val="en-US"/>
        </w:rPr>
        <w:t>In the once populated Jewish territory of Khaybar, which is north of Madinah in a town known as Fadak, lay the start of one of the most contentious issues in the history of Islam - the right of inheritance of the Prophet’s daughter, Fatima al-Zahra.</w:t>
      </w:r>
    </w:p>
    <w:p>
      <w:pPr>
        <w:pStyle w:val="BookText"/>
        <w:bidi w:val="0"/>
        <w:jc w:val="both"/>
        <w:rPr/>
      </w:pPr>
      <w:r>
        <w:rPr>
          <w:rFonts w:eastAsia="Times New Roman" w:cs="Times New Roman" w:ascii="Times New Roman" w:hAnsi="Times New Roman"/>
          <w:color w:val="111111"/>
          <w:sz w:val="28"/>
          <w:szCs w:val="28"/>
          <w:lang w:val="en-US"/>
        </w:rPr>
        <w:t>Both schools of thought (The School of the Ahlul Bayt - also known as the Shi’a; and The School of the Companions - also known as the Sunni) have their own version on how the episode regarding Fadak unfolded.</w:t>
      </w:r>
    </w:p>
    <w:p>
      <w:pPr>
        <w:pStyle w:val="BookText"/>
        <w:bidi w:val="0"/>
        <w:jc w:val="both"/>
        <w:rPr/>
      </w:pPr>
      <w:r>
        <w:rPr>
          <w:rFonts w:eastAsia="Times New Roman" w:cs="Times New Roman" w:ascii="Times New Roman" w:hAnsi="Times New Roman"/>
          <w:color w:val="111111"/>
          <w:sz w:val="28"/>
          <w:szCs w:val="28"/>
          <w:lang w:val="en-US"/>
        </w:rPr>
        <w:t>The position of the School of the Companions is that the family of the Prophet had no right to inherit Fadak because the Prophet himself narrated that he does not leave behind any bequests; while the School of the Ahlul Bayt claim otherwise and add that Fadak was not only Fatima al-Zahra’s right to inherit, but also that her father bestowed it to her during his lifetime by the decree of Allah. In addition, scholars who follow the Ahlul Bayt contest that by stripping Fatima of her resources also meant the weakening of ‘Ali Ibn Abi Talib of the means to defend his rightful entitlement to the leadership of the community.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schools of thought relate that Fadak was a well-developed and</w:t>
      </w:r>
    </w:p>
    <w:p>
      <w:pPr>
        <w:pStyle w:val="BookText"/>
        <w:bidi w:val="0"/>
        <w:rPr/>
      </w:pPr>
      <w:r>
        <w:rPr>
          <w:rFonts w:eastAsia="Times New Roman" w:cs="Times New Roman" w:ascii="Times New Roman" w:hAnsi="Times New Roman"/>
          <w:color w:val="111111"/>
          <w:sz w:val="28"/>
          <w:szCs w:val="28"/>
          <w:lang w:val="en-US"/>
        </w:rPr>
        <w:t>productive farmland owned by the Jews of the Bani Nadir tribe (the Jews of Madinah) near Khaybar. The Jews who lived in Khaybar posed a persistent threat to the newly established Islamic community. Several attempts were made by them to destabilize and destroy the Islamic community, and thus the Prophet sent his army, led by ‘Ali Ibn Abi Talib, to conquer their castle in the seventh year of the Hijrah. What remained after the acquisition was the Jewish village of Fadak.</w:t>
      </w:r>
    </w:p>
    <w:p>
      <w:pPr>
        <w:pStyle w:val="BookText"/>
        <w:bidi w:val="0"/>
        <w:jc w:val="both"/>
        <w:rPr/>
      </w:pPr>
      <w:r>
        <w:rPr>
          <w:rFonts w:eastAsia="Times New Roman" w:cs="Times New Roman" w:ascii="Times New Roman" w:hAnsi="Times New Roman"/>
          <w:color w:val="111111"/>
          <w:sz w:val="28"/>
          <w:szCs w:val="28"/>
          <w:lang w:val="en-US"/>
        </w:rPr>
        <w:t>After witnessing the defeat of Khaybar, the Jews of Fadak met with an envoy of the Prophet. Preferring survival, these Jews struck a settlement with the Prophet, and in this deal, they relinquished half of the settlement of Fadak. In addition, they also agreed to deliver half of their part of Fadak’s yearly production to the Prophet, and in return, the Jewish villagers could live peacefully under the protection of the Islamic state.</w:t>
      </w:r>
    </w:p>
    <w:p>
      <w:pPr>
        <w:pStyle w:val="BookText"/>
        <w:bidi w:val="0"/>
        <w:jc w:val="both"/>
        <w:rPr/>
      </w:pPr>
      <w:r>
        <w:rPr>
          <w:rFonts w:eastAsia="Times New Roman" w:cs="Times New Roman" w:ascii="Times New Roman" w:hAnsi="Times New Roman"/>
          <w:color w:val="111111"/>
          <w:sz w:val="28"/>
          <w:szCs w:val="28"/>
          <w:lang w:val="en-US"/>
        </w:rPr>
        <w:t>Therefore, after conquering Khaybar and taking possession of half of the land of Fadak and its yearly revenues without embattlement, the attention then turned towards the issue of its ownership. In accordance with Islam, land or wealth acquired through military intervention becomes the property of the Muslim community; but in all other circumstances, land or wealth acquired without the use of military might becomes the sole property of the Prophet, as indicated in the Qur’an where Allah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یَشَآءُ وَ</w:t>
      </w:r>
    </w:p>
    <w:p>
      <w:pPr>
        <w:pStyle w:val="BookText"/>
        <w:bidi w:val="0"/>
        <w:rPr/>
      </w:pPr>
      <w:r>
        <w:rPr>
          <w:rFonts w:ascii="Amiri" w:hAnsi="Amiri" w:eastAsia="Amiri" w:cs="Amiri"/>
          <w:color w:val="111111"/>
          <w:sz w:val="28"/>
          <w:sz w:val="28"/>
          <w:szCs w:val="28"/>
          <w:rtl w:val="true"/>
          <w:lang w:bidi="ar-SA"/>
        </w:rPr>
        <w:t>اللهُ عَلَی کُلِّ شَیْءٍ قَدِیرٌ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God has bestowed on His Apostle and taken away from them - for this you made no expedition with either cavalry or camels: but God gives power to His apostles over any He pleases: and God has power over all things. (59:6)</w:t>
      </w:r>
    </w:p>
    <w:p>
      <w:pPr>
        <w:pStyle w:val="BookText"/>
        <w:bidi w:val="0"/>
        <w:jc w:val="both"/>
        <w:rPr/>
      </w:pPr>
      <w:r>
        <w:rPr>
          <w:rFonts w:eastAsia="Times New Roman" w:cs="Times New Roman" w:ascii="Times New Roman" w:hAnsi="Times New Roman"/>
          <w:color w:val="111111"/>
          <w:sz w:val="28"/>
          <w:szCs w:val="28"/>
          <w:lang w:val="en-US"/>
        </w:rPr>
        <w:t>Allah further adds in the following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أَفَاءَ اللهُ عَلَی رَسُولِهِ مِنْ أَهْلِ الْقُرَی فَالِلَّهِ وَلِلرَّسُولِ وَلِذِی الْقُرْبَی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What God has bestowed on His Apostle and taken away from the people of the townships belongs to God, to His Apostle and to kindred and orphans… (59:7)</w:t>
      </w:r>
    </w:p>
    <w:p>
      <w:pPr>
        <w:pStyle w:val="BookText"/>
        <w:bidi w:val="0"/>
        <w:jc w:val="both"/>
        <w:rPr/>
      </w:pPr>
      <w:r>
        <w:rPr>
          <w:rFonts w:eastAsia="Times New Roman" w:cs="Times New Roman" w:ascii="Times New Roman" w:hAnsi="Times New Roman"/>
          <w:color w:val="111111"/>
          <w:sz w:val="28"/>
          <w:szCs w:val="28"/>
          <w:lang w:val="en-US"/>
        </w:rPr>
        <w:t>Thus, the followers of the Ahlul Bayt have long claimed that Fadak belonged to the Prophet and their belief is based on the Qur’anic verses mentioned above (c. 59:6-7), in addition to the recorded traditions.</w:t>
      </w:r>
    </w:p>
    <w:p>
      <w:pPr>
        <w:pStyle w:val="BookText"/>
        <w:bidi w:val="0"/>
        <w:jc w:val="both"/>
        <w:rPr/>
      </w:pPr>
      <w:r>
        <w:rPr>
          <w:rFonts w:eastAsia="Times New Roman" w:cs="Times New Roman" w:ascii="Times New Roman" w:hAnsi="Times New Roman"/>
          <w:color w:val="111111"/>
          <w:sz w:val="28"/>
          <w:szCs w:val="28"/>
          <w:lang w:val="en-US"/>
        </w:rPr>
        <w:t>According to the School of the Companions, they too believe that Fadak was the property of the Prophet since it was acquired without the use of force.</w:t>
      </w:r>
      <w:r>
        <w:rPr>
          <w:rStyle w:val="FootnoteAnchor"/>
        </w:rPr>
        <w:footnoteReference w:id="101"/>
      </w:r>
      <w:r>
        <w:rPr>
          <w:rFonts w:eastAsia="Times New Roman" w:cs="Times New Roman" w:ascii="Times New Roman" w:hAnsi="Times New Roman"/>
          <w:color w:val="111111"/>
          <w:sz w:val="28"/>
          <w:szCs w:val="28"/>
          <w:lang w:val="en-US"/>
        </w:rPr>
        <w:t>For example, it is narrated in the Sunni books of tradition that ‘Umar is reported to have said, “The property of Bani Nadir was among that which Allah bestowed on His Messenger; against them neither horses nor camels were pricked, but they belonged specifically to the Messenger of Allah.”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Therefore, the matter of Allah granting ownership of Fadak to the Prophet is not disputed in either school of thought. The disagreement amongst the schools began in regards to what the Prophet did with Fadak during his lifetime, and thus, they narrate the story of Fadak differently.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scholars believe that</w:t>
      </w:r>
    </w:p>
    <w:p>
      <w:pPr>
        <w:pStyle w:val="BookText"/>
        <w:bidi w:val="0"/>
        <w:rPr/>
      </w:pPr>
      <w:r>
        <w:rPr>
          <w:rFonts w:eastAsia="Times New Roman" w:cs="Times New Roman" w:ascii="Times New Roman" w:hAnsi="Times New Roman"/>
          <w:color w:val="111111"/>
          <w:sz w:val="28"/>
          <w:szCs w:val="28"/>
          <w:lang w:val="en-US"/>
        </w:rPr>
        <w:t>during his lifetime, the Prophet bestowed Fadak upon his daughter Fatima al-Zahra. These scholars cite a letter written by ‘Ali Ibn Abi Talib to the governor of Basra, ‘Uthman Ibn Hunaif in which he stated, “Yes, Fadak was the only land under the heavens which was in our possession; but the inclinations of certain men lusted for it and the souls of others relinquished it.”</w:t>
      </w:r>
    </w:p>
    <w:p>
      <w:pPr>
        <w:pStyle w:val="BookText"/>
        <w:bidi w:val="0"/>
        <w:jc w:val="both"/>
        <w:rPr/>
      </w:pPr>
      <w:r>
        <w:rPr>
          <w:rFonts w:eastAsia="Times New Roman" w:cs="Times New Roman" w:ascii="Times New Roman" w:hAnsi="Times New Roman"/>
          <w:color w:val="111111"/>
          <w:sz w:val="28"/>
          <w:szCs w:val="28"/>
          <w:lang w:val="en-US"/>
        </w:rPr>
        <w:t>On the other hand, those who deny that the Prophet presented Fadak to Fatima al-Zahra reason that the notion that the Prophet would grant one of his children such an abundant gift and would neglect the others is unimaginable.</w:t>
      </w:r>
    </w:p>
    <w:p>
      <w:pPr>
        <w:pStyle w:val="BookText"/>
        <w:bidi w:val="0"/>
        <w:jc w:val="both"/>
        <w:rPr/>
      </w:pPr>
      <w:r>
        <w:rPr>
          <w:rFonts w:eastAsia="Times New Roman" w:cs="Times New Roman" w:ascii="Times New Roman" w:hAnsi="Times New Roman"/>
          <w:color w:val="111111"/>
          <w:sz w:val="28"/>
          <w:szCs w:val="28"/>
          <w:lang w:val="en-US"/>
        </w:rPr>
        <w:t>They reason that  this would mean that the Prophet would have acted contrary to the Islamic concept of parental fairness, since he had more children other than Fatima. In order to defend this theory, they cite the following tradition, “The companion Basheer Ibn Sa’d came to the Prophet telling him that he had given one of his sons a garden as a gift and requested the Prophet to be a witness thereto. The Prophet asked whether he had given a similar gift to all of his children. When he replied that he had not done so, then the Prophet told him, ‘Go away, for I will not be a witness to injustice.’”</w:t>
      </w:r>
      <w:r>
        <w:rPr>
          <w:rStyle w:val="FootnoteAnchor"/>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Bayt rebut that the Prophet acted fairly when he presented Fadak to Fatima al-Zahra for several reasons. Firstly, Fatima was no ordinary child from the Prophet’s children; and he showed her a lofty</w:t>
      </w:r>
    </w:p>
    <w:p>
      <w:pPr>
        <w:pStyle w:val="BookText"/>
        <w:bidi w:val="0"/>
        <w:rPr/>
      </w:pPr>
      <w:r>
        <w:rPr>
          <w:rFonts w:eastAsia="Times New Roman" w:cs="Times New Roman" w:ascii="Times New Roman" w:hAnsi="Times New Roman"/>
          <w:color w:val="111111"/>
          <w:sz w:val="28"/>
          <w:szCs w:val="28"/>
          <w:lang w:val="en-US"/>
        </w:rPr>
        <w:t>position through his exceptional treatment towards her. For example, he would stand up to greet her, offer his seat to her, and only permit the door to her home to be adjacent to his home and the mosque.</w:t>
      </w:r>
    </w:p>
    <w:p>
      <w:pPr>
        <w:pStyle w:val="BookText"/>
        <w:bidi w:val="0"/>
        <w:jc w:val="both"/>
        <w:rPr/>
      </w:pPr>
      <w:r>
        <w:rPr>
          <w:rFonts w:eastAsia="Times New Roman" w:cs="Times New Roman" w:ascii="Times New Roman" w:hAnsi="Times New Roman"/>
          <w:color w:val="111111"/>
          <w:sz w:val="28"/>
          <w:szCs w:val="28"/>
          <w:lang w:val="en-US"/>
        </w:rPr>
        <w:t>The Prophet used to say the following about her, “Fatima is the mother of her father (Umme Abeeha).”</w:t>
      </w:r>
      <w:r>
        <w:rPr>
          <w:rStyle w:val="FootnoteAnchor"/>
        </w:rPr>
        <w:footnoteReference w:id="104"/>
      </w:r>
      <w:r>
        <w:rPr>
          <w:rFonts w:eastAsia="Times New Roman" w:cs="Times New Roman" w:ascii="Times New Roman" w:hAnsi="Times New Roman"/>
          <w:color w:val="111111"/>
          <w:sz w:val="28"/>
          <w:szCs w:val="28"/>
          <w:lang w:val="en-US"/>
        </w:rPr>
        <w:t>Secondly, she was the only daughter regarded and revered in the Qur’an and sunnah as the leader of all the women. Thirdly, she was the only child of the Prophet whom Allah had purified.</w:t>
      </w:r>
      <w:r>
        <w:rPr>
          <w:rStyle w:val="FootnoteAnchor"/>
        </w:rPr>
        <w:footnoteReference w:id="105"/>
      </w:r>
      <w:r>
        <w:rPr>
          <w:rFonts w:eastAsia="Times New Roman" w:cs="Times New Roman" w:ascii="Times New Roman" w:hAnsi="Times New Roman"/>
          <w:color w:val="111111"/>
          <w:sz w:val="28"/>
          <w:szCs w:val="28"/>
          <w:lang w:val="en-US"/>
        </w:rPr>
        <w:t>Fourthly, through her came the Prophet’s eleven descendents and successors. Lastly and most importantly, it was the decree of Allah to gift Fatima al-Zahra the land of Fadak.</w:t>
      </w:r>
    </w:p>
    <w:p>
      <w:pPr>
        <w:pStyle w:val="BookText"/>
        <w:bidi w:val="0"/>
        <w:jc w:val="both"/>
        <w:rPr/>
      </w:pPr>
      <w:r>
        <w:rPr>
          <w:rFonts w:eastAsia="Times New Roman" w:cs="Times New Roman" w:ascii="Times New Roman" w:hAnsi="Times New Roman"/>
          <w:color w:val="111111"/>
          <w:sz w:val="28"/>
          <w:szCs w:val="28"/>
          <w:lang w:val="en-US"/>
        </w:rPr>
        <w:t>The Ahlul Bayt scholars also draw upon Sunni references to solidify their belief that Fadak was indeed a gift to Fatima al-Zahra. For instance, when chapter 17, verse 26 was revealed in the Qur’an,</w:t>
      </w:r>
      <w:r>
        <w:rPr>
          <w:rStyle w:val="FootnoteAnchor"/>
        </w:rPr>
        <w:footnoteReference w:id="106"/>
      </w:r>
      <w:r>
        <w:rPr>
          <w:rFonts w:eastAsia="Times New Roman" w:cs="Times New Roman" w:ascii="Times New Roman" w:hAnsi="Times New Roman"/>
          <w:color w:val="111111"/>
          <w:sz w:val="28"/>
          <w:szCs w:val="28"/>
          <w:lang w:val="en-US"/>
        </w:rPr>
        <w:t>Sunni commentators say that it pertained to the Prophet bestowing Fadak upon his daughter Fatima al-Zahra. Sunni traditionalists narrated that the Prophet asked the Angel Gabriel in reference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render to the kindred their rights” (17:26)</w:t>
      </w:r>
    </w:p>
    <w:p>
      <w:pPr>
        <w:pStyle w:val="BookText"/>
        <w:bidi w:val="0"/>
        <w:jc w:val="both"/>
        <w:rPr/>
      </w:pPr>
      <w:r>
        <w:rPr>
          <w:rFonts w:eastAsia="Times New Roman" w:cs="Times New Roman" w:ascii="Times New Roman" w:hAnsi="Times New Roman"/>
          <w:color w:val="111111"/>
          <w:sz w:val="28"/>
          <w:szCs w:val="28"/>
          <w:lang w:val="en-US"/>
        </w:rPr>
        <w:t>the following, “Who are the kinsmen and what is their due?” The Angel Gabriel replied, “Give Fadak to Fatima for it is her due, and whatever is due to Allah and the Prophet out of Fadak also belongs to her, so entrust it to her also.”</w:t>
      </w:r>
      <w:r>
        <w:rPr>
          <w:rStyle w:val="FootnoteAnchor"/>
        </w:rPr>
        <w:footnoteReference w:id="1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according to both schools of thought, Fadak belonged to the Prophet who then presented it</w:t>
      </w:r>
    </w:p>
    <w:p>
      <w:pPr>
        <w:pStyle w:val="BookText"/>
        <w:bidi w:val="0"/>
        <w:rPr/>
      </w:pPr>
      <w:r>
        <w:rPr>
          <w:rFonts w:eastAsia="Times New Roman" w:cs="Times New Roman" w:ascii="Times New Roman" w:hAnsi="Times New Roman"/>
          <w:color w:val="111111"/>
          <w:sz w:val="28"/>
          <w:szCs w:val="28"/>
          <w:lang w:val="en-US"/>
        </w:rPr>
        <w:t>to Fatima al-Zahra.</w:t>
      </w:r>
      <w:r>
        <w:rPr>
          <w:rStyle w:val="FootnoteAnchor"/>
        </w:rPr>
        <w:footnoteReference w:id="108"/>
      </w:r>
      <w:r>
        <w:rPr>
          <w:rFonts w:eastAsia="Times New Roman" w:cs="Times New Roman" w:ascii="Times New Roman" w:hAnsi="Times New Roman"/>
          <w:color w:val="111111"/>
          <w:sz w:val="28"/>
          <w:szCs w:val="28"/>
          <w:lang w:val="en-US"/>
        </w:rPr>
        <w:t>According to the Sunni version of events, after the departure of the Prophet and the succession of Abu Bakr, he (Abu Bakr) was obligated by the Prophet’s tradition to seize his (the Prophet’s) assets as public property. The Shi’a version argues that confiscation of Fadak and other properties were unwarranted based on the Qur’an and that Abu Bakr’s tradition was unfounded.</w:t>
      </w:r>
    </w:p>
    <w:p>
      <w:pPr>
        <w:pStyle w:val="BookText"/>
        <w:bidi w:val="0"/>
        <w:jc w:val="both"/>
        <w:rPr/>
      </w:pPr>
      <w:r>
        <w:rPr>
          <w:rFonts w:eastAsia="Times New Roman" w:cs="Times New Roman" w:ascii="Times New Roman" w:hAnsi="Times New Roman"/>
          <w:color w:val="111111"/>
          <w:sz w:val="28"/>
          <w:szCs w:val="28"/>
          <w:lang w:val="en-US"/>
        </w:rPr>
        <w:t>According to the teachings of the Ahlul Bayt, Fadak had been in Fatima al-Zahra’s possession for four years prior to the death of the Prophet. They also make a strong point that Abu Bakr had known all along that the Prophet gifted Fadak to Fatima al-Zahra because he had been present during the conquest of Khaybar and had known what the Prophet did with Fadak afterwards.</w:t>
      </w:r>
    </w:p>
    <w:p>
      <w:pPr>
        <w:pStyle w:val="BookText"/>
        <w:bidi w:val="0"/>
        <w:jc w:val="both"/>
        <w:rPr/>
      </w:pPr>
      <w:r>
        <w:rPr>
          <w:rFonts w:eastAsia="Times New Roman" w:cs="Times New Roman" w:ascii="Times New Roman" w:hAnsi="Times New Roman"/>
          <w:color w:val="111111"/>
          <w:sz w:val="28"/>
          <w:szCs w:val="28"/>
          <w:lang w:val="en-US"/>
        </w:rPr>
        <w:t>According to both schools of thought, upon becoming caliph, Abu Bakr ousted Fatima’s hired residents from the land of Fadak and confiscated the land along with other properties that she owned in Madinah. Fatima immediately went to Abu Bakr to protest the seizures and he dismissed her claim by citing the following tradition of the Prophet, “We, the folk of prophets do not leave bequests; what we leave is for alms.”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Fatima al-Zahra employed various means to prove her entitlement to the land. First, she came seeking Fadak as an entitlement of a gift by her father; however, Abu Bakr refused her claim on the account of him hearing from the Prophet that prophets do not leave inheritance.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rebutted his argument by stating</w:t>
      </w:r>
    </w:p>
    <w:p>
      <w:pPr>
        <w:pStyle w:val="BookText"/>
        <w:bidi w:val="0"/>
        <w:rPr/>
      </w:pPr>
      <w:r>
        <w:rPr>
          <w:rFonts w:eastAsia="Times New Roman" w:cs="Times New Roman" w:ascii="Times New Roman" w:hAnsi="Times New Roman"/>
          <w:color w:val="111111"/>
          <w:sz w:val="28"/>
          <w:szCs w:val="28"/>
          <w:lang w:val="en-US"/>
        </w:rPr>
        <w:t>that the land was a gift, thus not considered a bequest. After Abu Bakr’s continued refusal to relinquish her property, Fatima then requested her right to inheritance according to the Qur’an for which Abu Bakr asked her to bring forth witnesses.</w:t>
      </w:r>
    </w:p>
    <w:p>
      <w:pPr>
        <w:pStyle w:val="BookText"/>
        <w:bidi w:val="0"/>
        <w:jc w:val="both"/>
        <w:rPr/>
      </w:pPr>
      <w:r>
        <w:rPr>
          <w:rFonts w:eastAsia="Times New Roman" w:cs="Times New Roman" w:ascii="Times New Roman" w:hAnsi="Times New Roman"/>
          <w:color w:val="111111"/>
          <w:sz w:val="28"/>
          <w:szCs w:val="28"/>
          <w:lang w:val="en-US"/>
        </w:rPr>
        <w:t>Some Sunni scholars question as to why Fatima al-Zahra claimed Fadak as her inheritance if it was a gift. The response is that Fatima al-Zahra was compelled to claim her right as an inheritance according to the Qur’an because Abu Bakr would not recognize it as a gift. Besides, if both schools of thought have recorded narrations that Fadak was gifted to Fatima al-Zahra during the life of the Prophet then Abu Bakr’s narration does not apply to this case. He had no grounds to claim it as the Prophet’s property because it no longer belonged to the Prophet.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other reports, Fatima al-Zahra claimed Fadak as being a gift from the Prophet, which Abu Bakr requested witnesses in which Fatima al-Zahra brought forward witnesses.</w:t>
      </w:r>
      <w:r>
        <w:rPr>
          <w:rStyle w:val="FootnoteAnchor"/>
        </w:rPr>
        <w:footnoteReference w:id="110"/>
      </w:r>
      <w:r>
        <w:rPr>
          <w:rFonts w:eastAsia="Times New Roman" w:cs="Times New Roman" w:ascii="Times New Roman" w:hAnsi="Times New Roman"/>
          <w:color w:val="111111"/>
          <w:sz w:val="28"/>
          <w:szCs w:val="28"/>
          <w:lang w:val="en-US"/>
        </w:rPr>
        <w:t>In some accounts, the witnesses were ‘Ali Ibn Abi Talib, Umme Ayman (the wife of the Prophet), and Rabah, a freed slave of the Prophet.</w:t>
      </w:r>
      <w:r>
        <w:rPr>
          <w:rStyle w:val="FootnoteAnchor"/>
        </w:rPr>
        <w:footnoteReference w:id="111"/>
      </w:r>
      <w:r>
        <w:rPr>
          <w:rFonts w:eastAsia="Times New Roman" w:cs="Times New Roman" w:ascii="Times New Roman" w:hAnsi="Times New Roman"/>
          <w:color w:val="111111"/>
          <w:sz w:val="28"/>
          <w:szCs w:val="28"/>
          <w:lang w:val="en-US"/>
        </w:rPr>
        <w:t>In other accounts, the witnesses were ‘Ali and Umme Ayman.</w:t>
      </w:r>
      <w:r>
        <w:rPr>
          <w:rStyle w:val="FootnoteAnchor"/>
        </w:rPr>
        <w:footnoteReference w:id="112"/>
      </w:r>
      <w:r>
        <w:rPr>
          <w:rFonts w:eastAsia="Times New Roman" w:cs="Times New Roman" w:ascii="Times New Roman" w:hAnsi="Times New Roman"/>
          <w:color w:val="111111"/>
          <w:sz w:val="28"/>
          <w:szCs w:val="28"/>
          <w:lang w:val="en-US"/>
        </w:rPr>
        <w:t>While in others, the witnesses were ‘Ali, Hasan, and Husayn; and in some traditions, Umme Ayman</w:t>
      </w:r>
      <w:r>
        <w:rPr>
          <w:rStyle w:val="FootnoteAnchor"/>
        </w:rPr>
        <w:footnoteReference w:id="113"/>
      </w:r>
      <w:r>
        <w:rPr>
          <w:rFonts w:eastAsia="Times New Roman" w:cs="Times New Roman" w:ascii="Times New Roman" w:hAnsi="Times New Roman"/>
          <w:color w:val="111111"/>
          <w:sz w:val="28"/>
          <w:szCs w:val="28"/>
          <w:lang w:val="en-US"/>
        </w:rPr>
        <w:t>is also included, however Abu Bakr rejected all of these people. In some of the reports, Abu Bakr refused Fatima al-Zahra’s witnesses on account of them being her immediate family members. In other reports,</w:t>
      </w:r>
    </w:p>
    <w:p>
      <w:pPr>
        <w:pStyle w:val="BookText"/>
        <w:bidi w:val="0"/>
        <w:rPr/>
      </w:pPr>
      <w:r>
        <w:rPr>
          <w:rFonts w:eastAsia="Times New Roman" w:cs="Times New Roman" w:ascii="Times New Roman" w:hAnsi="Times New Roman"/>
          <w:color w:val="111111"/>
          <w:sz w:val="28"/>
          <w:szCs w:val="28"/>
          <w:lang w:val="en-US"/>
        </w:rPr>
        <w:t>he denied her witnesses on account that they fell short of the criteria needed to be witnesses.</w:t>
      </w:r>
    </w:p>
    <w:p>
      <w:pPr>
        <w:pStyle w:val="BookText"/>
        <w:bidi w:val="0"/>
        <w:jc w:val="both"/>
        <w:rPr/>
      </w:pPr>
      <w:r>
        <w:rPr>
          <w:rFonts w:eastAsia="Times New Roman" w:cs="Times New Roman" w:ascii="Times New Roman" w:hAnsi="Times New Roman"/>
          <w:color w:val="111111"/>
          <w:sz w:val="28"/>
          <w:szCs w:val="28"/>
          <w:lang w:val="en-US"/>
        </w:rPr>
        <w:t>In regards to the witnesses, Shi’a scholars disapprove of Abu Bakr requesting Fatima al-Zahra to bring forth witnesses on account of the following arguments: Fatima’s testimony alone should have sufficed, and there was no need for any witnesses on the account of Allah having purified her, which was also extended to ‘Ali, Hasan, and Husayn.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In contrast, on a different occasion, Abu Bakr had accepted the testimony of one person, such as Jabir Ibn Abdullah al-Ansari, so why did he then deny Fatima al-Zahra’s testimony? The event is recorded in history as follows:</w:t>
      </w:r>
    </w:p>
    <w:p>
      <w:pPr>
        <w:pStyle w:val="BookText"/>
        <w:bidi w:val="0"/>
        <w:jc w:val="both"/>
        <w:rPr/>
      </w:pPr>
      <w:r>
        <w:rPr>
          <w:rFonts w:eastAsia="Times New Roman" w:cs="Times New Roman" w:ascii="Times New Roman" w:hAnsi="Times New Roman"/>
          <w:color w:val="111111"/>
          <w:sz w:val="28"/>
          <w:szCs w:val="28"/>
          <w:lang w:val="en-US"/>
        </w:rPr>
        <w:t>When the Prophet died, Abu Bakr received some property from al-Ala al-Hadrami. Abu Bakr said to the people, “Whoever has a money claim on the Prophet or was promised something by him should come to us (so that we may pay him his right).” Jabir added, I said (to Abu Bakr), “Allah’s Apostle promised me that he would give me this much, and this much, and this much (spreading his hands three times).” Jabir added, “Abu Bakr counted for me and handed me five hundred gold pieces, and then five hundred, and then five hundred (more).”</w:t>
      </w:r>
      <w:r>
        <w:rPr>
          <w:rStyle w:val="FootnoteAnchor"/>
        </w:rPr>
        <w:footnoteReference w:id="11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more exceptions to the ‘verse of evidence,’ (c. 2:282) as recorded in the traditions narrated by the School of the Companions can be seen, such as in the example of Khazima Ibn Thabit. This individual gave evidence in support of the Prophet in a case concerning</w:t>
      </w:r>
    </w:p>
    <w:p>
      <w:pPr>
        <w:pStyle w:val="BookText"/>
        <w:bidi w:val="0"/>
        <w:rPr/>
      </w:pPr>
      <w:r>
        <w:rPr>
          <w:rFonts w:eastAsia="Times New Roman" w:cs="Times New Roman" w:ascii="Times New Roman" w:hAnsi="Times New Roman"/>
          <w:color w:val="111111"/>
          <w:sz w:val="28"/>
          <w:szCs w:val="28"/>
          <w:lang w:val="en-US"/>
        </w:rPr>
        <w:t>the sale of a horse, in which an Arab man had made a claim against the Prophet and his (Khazima’s) single testimony was considered sufficient, and through this the Prophet gave him the title of “Dhush Shahadatain” (the person whose single testimony is equivalent to two people) because he was regarded as being equal to two just witnesses.”</w:t>
      </w:r>
      <w:r>
        <w:rPr>
          <w:rStyle w:val="FootnoteAnchor"/>
        </w:rPr>
        <w:footnoteReference w:id="116"/>
      </w:r>
      <w:r>
        <w:rPr>
          <w:rFonts w:eastAsia="Times New Roman" w:cs="Times New Roman" w:ascii="Times New Roman" w:hAnsi="Times New Roman"/>
          <w:color w:val="111111"/>
          <w:sz w:val="28"/>
          <w:szCs w:val="28"/>
          <w:lang w:val="en-US"/>
        </w:rPr>
        <w:t>Thus, again why is it that Abu Bakr could not make an exception for Fatima al-Zahra?</w:t>
      </w:r>
    </w:p>
    <w:p>
      <w:pPr>
        <w:pStyle w:val="BookText"/>
        <w:bidi w:val="0"/>
        <w:jc w:val="both"/>
        <w:rPr/>
      </w:pPr>
      <w:r>
        <w:rPr>
          <w:rFonts w:eastAsia="Times New Roman" w:cs="Times New Roman" w:ascii="Times New Roman" w:hAnsi="Times New Roman"/>
          <w:color w:val="111111"/>
          <w:sz w:val="28"/>
          <w:szCs w:val="28"/>
          <w:lang w:val="en-US"/>
        </w:rPr>
        <w:t>A critical examination into Abu Bakr’s narration shows us the reason. Abu Bakr said, “I heard the Messenger saying, ‘We do not leave inheritance. What we leave behind is charity.’”</w:t>
      </w:r>
      <w:r>
        <w:rPr>
          <w:rStyle w:val="FootnoteAnchor"/>
        </w:rPr>
        <w:footnoteReference w:id="117"/>
      </w:r>
      <w:r>
        <w:rPr>
          <w:rFonts w:eastAsia="Times New Roman" w:cs="Times New Roman" w:ascii="Times New Roman" w:hAnsi="Times New Roman"/>
          <w:color w:val="111111"/>
          <w:sz w:val="28"/>
          <w:szCs w:val="28"/>
          <w:lang w:val="en-US"/>
        </w:rPr>
        <w:t>The Shi’a scholars deny such a tradition because it goes against the Qur’anic injunction regarding inheritance</w:t>
      </w:r>
      <w:r>
        <w:rPr>
          <w:rStyle w:val="FootnoteAnchor"/>
        </w:rPr>
        <w:footnoteReference w:id="118"/>
      </w:r>
      <w:r>
        <w:rPr>
          <w:rFonts w:eastAsia="Times New Roman" w:cs="Times New Roman" w:ascii="Times New Roman" w:hAnsi="Times New Roman"/>
          <w:color w:val="111111"/>
          <w:sz w:val="28"/>
          <w:szCs w:val="28"/>
          <w:lang w:val="en-US"/>
        </w:rPr>
        <w:t>and the verses that mention about past prophets inheriting.</w:t>
      </w:r>
      <w:r>
        <w:rPr>
          <w:rStyle w:val="FootnoteAnchor"/>
        </w:rPr>
        <w:footnoteReference w:id="119"/>
      </w:r>
      <w:r>
        <w:rPr>
          <w:rFonts w:eastAsia="Times New Roman" w:cs="Times New Roman" w:ascii="Times New Roman" w:hAnsi="Times New Roman"/>
          <w:color w:val="111111"/>
          <w:sz w:val="28"/>
          <w:szCs w:val="28"/>
          <w:lang w:val="en-US"/>
        </w:rPr>
        <w:t>Nonetheless, Abu Bakr upheld the above quoted alleged tradition in the face of Fatima al-Zahra’s claim and the clear verses of the Qur’an.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Sunni tradition, the hadith Abu Bakr quoted is considered as genuine, since it can be found in what they describe as sahih (authentic) books, such as Sahih al-Bukhari and Sahih al-Muslim, thus making the tradition irrefutable. In addition to their own sources, they also refer to traditions from Shi’a books on the subject. For example, from one of the major four books of the Shi’a, al-Kafi by Shaykh al-Kulayni, Imam Jafar as-Sadiq has been quoted as saying that the Prophet said, “…And the ulama (Islamic scholars) are the heirs of the anbiya (prophets); and the anbiya did not</w:t>
      </w:r>
    </w:p>
    <w:p>
      <w:pPr>
        <w:pStyle w:val="BookText"/>
        <w:bidi w:val="0"/>
        <w:rPr/>
      </w:pPr>
      <w:r>
        <w:rPr>
          <w:rFonts w:eastAsia="Times New Roman" w:cs="Times New Roman" w:ascii="Times New Roman" w:hAnsi="Times New Roman"/>
          <w:color w:val="111111"/>
          <w:sz w:val="28"/>
          <w:szCs w:val="28"/>
          <w:lang w:val="en-US"/>
        </w:rPr>
        <w:t>leave dinars and dirhams (money) as inheritance; but they do leave knowledge. Therefore, whosoever takes knowledge has taken a great portion.”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addition, in order to justify that Abu Bakr acted rightfully in denying Fadak to Fatima al-Zahra, Sunni scholars also cite the following tradition mentioned in the Shi’a books, “Women do not inherit anything of the land or fixed property.”</w:t>
      </w:r>
      <w:r>
        <w:rPr>
          <w:rStyle w:val="FootnoteAnchor"/>
        </w:rPr>
        <w:footnoteReference w:id="121"/>
      </w:r>
      <w:r>
        <w:rPr>
          <w:rFonts w:eastAsia="Times New Roman" w:cs="Times New Roman" w:ascii="Times New Roman" w:hAnsi="Times New Roman"/>
          <w:color w:val="111111"/>
          <w:sz w:val="28"/>
          <w:szCs w:val="28"/>
          <w:lang w:val="en-US"/>
        </w:rPr>
        <w:t>They also cite the following hadith, “They (women) will get the value of the bricks, the building, the wood and the bamboo. As for the land and the fixed property, they will get no inheritance from that.”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However, the Shi’a scholars do not remain silent when hadith are cited from their books in order to justify actions taken against Fatima al-Zahra. The scholars explain that the tradition regarding the “anbiya (prophets) not leaving inheritance” is not in reference to the traditional inheritance of heirs; but rather, it is in the context of inheriting the spirit and knowledge of Islam.</w:t>
      </w:r>
    </w:p>
    <w:p>
      <w:pPr>
        <w:pStyle w:val="BookText"/>
        <w:bidi w:val="0"/>
        <w:jc w:val="both"/>
        <w:rPr/>
      </w:pPr>
      <w:r>
        <w:rPr>
          <w:rFonts w:eastAsia="Times New Roman" w:cs="Times New Roman" w:ascii="Times New Roman" w:hAnsi="Times New Roman"/>
          <w:color w:val="111111"/>
          <w:sz w:val="28"/>
          <w:szCs w:val="28"/>
          <w:lang w:val="en-US"/>
        </w:rPr>
        <w:t>Moreover, Shi’a scholars point not only towards the Qur’anic verses that mention prophets inheriting, such as Prophet Sulayman inheriting from Prophet Dawud,</w:t>
      </w:r>
      <w:r>
        <w:rPr>
          <w:rStyle w:val="FootnoteAnchor"/>
        </w:rPr>
        <w:footnoteReference w:id="123"/>
      </w:r>
      <w:r>
        <w:rPr>
          <w:rFonts w:eastAsia="Times New Roman" w:cs="Times New Roman" w:ascii="Times New Roman" w:hAnsi="Times New Roman"/>
          <w:color w:val="111111"/>
          <w:sz w:val="28"/>
          <w:szCs w:val="28"/>
          <w:lang w:val="en-US"/>
        </w:rPr>
        <w:t>but also, that Prophet Muhammad himself inherited from his father. Abdullah Ibn Abdul Muttalib (the Prophet’s father) left to Aminah (the Prophet’s mother) a legacy of five colored camels and a small flock of sheep which was inherited by the Prophet.</w:t>
      </w:r>
      <w:r>
        <w:rPr>
          <w:rStyle w:val="FootnoteAnchor"/>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the tradition that women are not permitted to inherit land or property, Shi’a scholars say that the tradition only applies to the inheritance of a wife</w:t>
      </w:r>
    </w:p>
    <w:p>
      <w:pPr>
        <w:pStyle w:val="BookText"/>
        <w:bidi w:val="0"/>
        <w:rPr/>
      </w:pPr>
      <w:r>
        <w:rPr>
          <w:rFonts w:eastAsia="Times New Roman" w:cs="Times New Roman" w:ascii="Times New Roman" w:hAnsi="Times New Roman"/>
          <w:color w:val="111111"/>
          <w:sz w:val="28"/>
          <w:szCs w:val="28"/>
          <w:lang w:val="en-US"/>
        </w:rPr>
        <w:t>from her husband. Thus, it is not applicable to Abu Bakr’s action in denying Fatima her right to inherit from her father. Plus they argue that had Abu Bakr’s tradition been accurate then Fatima al-Zahra and ‘Ali Ibn Abi Talib would have known about it for several reasons.</w:t>
      </w:r>
    </w:p>
    <w:p>
      <w:pPr>
        <w:pStyle w:val="BookText"/>
        <w:bidi w:val="0"/>
        <w:jc w:val="both"/>
        <w:rPr/>
      </w:pPr>
      <w:r>
        <w:rPr>
          <w:rFonts w:eastAsia="Times New Roman" w:cs="Times New Roman" w:ascii="Times New Roman" w:hAnsi="Times New Roman"/>
          <w:color w:val="111111"/>
          <w:sz w:val="28"/>
          <w:szCs w:val="28"/>
          <w:lang w:val="en-US"/>
        </w:rPr>
        <w:t>First, they were closest to the Prophet and such a tradition would have affected them both. In addition, ‘Ali would have certainly been aware of the hadith since he was the “gateway” of Islamic knowledge. The Prophet used to refer to ‘Ali as, “I am the city of knowledge and ‘Ali is its gate.” Secondly, they would have never come forward with such a claim if the tradition was accurate.</w:t>
      </w:r>
    </w:p>
    <w:p>
      <w:pPr>
        <w:pStyle w:val="BookText"/>
        <w:bidi w:val="0"/>
        <w:jc w:val="both"/>
        <w:rPr/>
      </w:pPr>
      <w:r>
        <w:rPr>
          <w:rFonts w:eastAsia="Times New Roman" w:cs="Times New Roman" w:ascii="Times New Roman" w:hAnsi="Times New Roman"/>
          <w:color w:val="111111"/>
          <w:sz w:val="28"/>
          <w:szCs w:val="28"/>
          <w:lang w:val="en-US"/>
        </w:rPr>
        <w:t>For the most part, Shi’a theologians and historians present undisputable arguments and we see that in all accounts, Fadak was rightfully the property of Fatima al-Zahra as it had been gifted to her; and if we presume that it was not gifted to her, then still, if analyzed objectively, one would conclude that she had a right to claim it as an inheritance.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Fatima al-Zahra’s stature, her testimony, coupled with the Qur’an, take precedence over Abu Bakr’s tradition and position. Thus, to justify Abu Bakr’s action falls short before Fatima al-Zahra’s grandeur. Although various reasons are cited by others to justify Abu Bakr’s claim, but the main intent behind the confiscation of Fadak is closely tied to the usurpation of the Islamic leadership after the Prophet, and thus the underlying reason</w:t>
      </w:r>
      <w:bookmarkStart w:id="71" w:name="pg3581_21942"/>
    </w:p>
    <w:p>
      <w:pPr>
        <w:pStyle w:val="BookText"/>
        <w:bidi w:val="0"/>
        <w:rPr/>
      </w:pPr>
      <w:bookmarkEnd w:id="71"/>
      <w:r>
        <w:rPr>
          <w:rFonts w:eastAsia="Times New Roman" w:cs="Times New Roman" w:ascii="Times New Roman" w:hAnsi="Times New Roman"/>
          <w:color w:val="111111"/>
          <w:sz w:val="28"/>
          <w:szCs w:val="28"/>
          <w:lang w:val="en-US"/>
        </w:rPr>
        <w:t>for the confiscation of Fadak was to deny ‘Ali and Fatima al-Zahra any economic power which would have enabled them to forge a greater stand against Abu Bakr’s leadership.</w:t>
      </w:r>
    </w:p>
    <w:p>
      <w:pPr>
        <w:pStyle w:val="Heading3"/>
        <w:numPr>
          <w:ilvl w:val="2"/>
          <w:numId w:val="1"/>
        </w:numPr>
        <w:bidi w:val="0"/>
        <w:jc w:val="left"/>
        <w:rPr/>
      </w:pPr>
      <w:bookmarkStart w:id="72" w:name="__RefHeading___Toc4074579_2749589250"/>
      <w:bookmarkStart w:id="73" w:name="_Toc28"/>
      <w:bookmarkEnd w:id="72"/>
      <w:r>
        <w:rPr/>
        <w:t>Stand Against Imam ‘Ali</w:t>
      </w:r>
      <w:bookmarkEnd w:id="73"/>
    </w:p>
    <w:p>
      <w:pPr>
        <w:pStyle w:val="BookText"/>
        <w:bidi w:val="0"/>
        <w:jc w:val="both"/>
        <w:rPr/>
      </w:pPr>
      <w:r>
        <w:rPr>
          <w:rFonts w:eastAsia="Times New Roman" w:cs="Times New Roman" w:ascii="Times New Roman" w:hAnsi="Times New Roman"/>
          <w:color w:val="111111"/>
          <w:sz w:val="28"/>
          <w:szCs w:val="28"/>
          <w:lang w:val="en-US"/>
        </w:rPr>
        <w:t>Since power remained firm in the hands of the Quraysh group, and they limited their ranks to those who had refused to pay allegiance to ‘Ali Ibn Abi Talib, ‘Ali bore the brunt of this group’s enmity.</w:t>
      </w:r>
    </w:p>
    <w:p>
      <w:pPr>
        <w:pStyle w:val="BookText"/>
        <w:bidi w:val="0"/>
        <w:jc w:val="both"/>
        <w:rPr/>
      </w:pPr>
      <w:r>
        <w:rPr>
          <w:rFonts w:eastAsia="Times New Roman" w:cs="Times New Roman" w:ascii="Times New Roman" w:hAnsi="Times New Roman"/>
          <w:color w:val="111111"/>
          <w:sz w:val="28"/>
          <w:szCs w:val="28"/>
          <w:lang w:val="en-US"/>
        </w:rPr>
        <w:t>The only individuals who could move up in the ranks were those who had refused to pay allegiance to ‘Ali - people such as al-Mugheerah Ibn Shu’bah, ‘Amr Ibn al-Aas, Abu Musa al-Ashari, Sa’d Ibn Abil Waqqas, Mu’awiyah Ibn Abu Sufyan, Abu Huraira, Utbah Ibn Abu Sufyan, Sa’ed Ibn al-Aas, and al-Waleed Ibn Uqbah.</w:t>
      </w:r>
    </w:p>
    <w:p>
      <w:pPr>
        <w:pStyle w:val="BookText"/>
        <w:bidi w:val="0"/>
        <w:jc w:val="both"/>
        <w:rPr/>
      </w:pPr>
      <w:r>
        <w:rPr>
          <w:rFonts w:eastAsia="Times New Roman" w:cs="Times New Roman" w:ascii="Times New Roman" w:hAnsi="Times New Roman"/>
          <w:color w:val="111111"/>
          <w:sz w:val="28"/>
          <w:szCs w:val="28"/>
          <w:lang w:val="en-US"/>
        </w:rPr>
        <w:t>For forty years, the leadership who bore deep animosity towards ‘Ali, forced mercenary speakers to ascend the pulpit and curse him in addition to the daughter of the Holy Prophet and their children, Hasan and Husayn.</w:t>
      </w:r>
      <w:r>
        <w:rPr>
          <w:rStyle w:val="FootnoteAnchor"/>
        </w:rPr>
        <w:footnoteReference w:id="125"/>
      </w:r>
      <w:r>
        <w:rPr>
          <w:rFonts w:eastAsia="Times New Roman" w:cs="Times New Roman" w:ascii="Times New Roman" w:hAnsi="Times New Roman"/>
          <w:color w:val="111111"/>
          <w:sz w:val="28"/>
          <w:szCs w:val="28"/>
          <w:lang w:val="en-US"/>
        </w:rPr>
        <w:t>If anyone ventured outside of this jurisdiction and tried to mention the virtues of ‘Ali, they were warned that that was a crime punishable by death.</w:t>
      </w:r>
    </w:p>
    <w:p>
      <w:pPr>
        <w:pStyle w:val="BookText"/>
        <w:bidi w:val="0"/>
        <w:jc w:val="both"/>
        <w:rPr/>
      </w:pPr>
      <w:r>
        <w:rPr>
          <w:rFonts w:eastAsia="Times New Roman" w:cs="Times New Roman" w:ascii="Times New Roman" w:hAnsi="Times New Roman"/>
          <w:color w:val="111111"/>
          <w:sz w:val="28"/>
          <w:szCs w:val="28"/>
          <w:lang w:val="en-US"/>
        </w:rPr>
        <w:t>This forced scholars, such as Hasan al-Basri to refer to the fourth caliph, ‘Ali, as “Abu Zaynab (the father of Zaynab).” Their vindictiveness continued despite the agreed upon saying of Prophet Muhammad, narrated by both Sunni and Shi’a that, “O ‘Ali, no one likes you except a believer, and no one hates you except a hypocrite.”</w:t>
      </w:r>
      <w:r>
        <w:rPr>
          <w:rStyle w:val="FootnoteAnchor"/>
        </w:rPr>
        <w:footnoteReference w:id="1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of such a high status in the sight of the Holy Prophet that when</w:t>
      </w:r>
    </w:p>
    <w:p>
      <w:pPr>
        <w:pStyle w:val="BookText"/>
        <w:bidi w:val="0"/>
        <w:rPr/>
      </w:pPr>
      <w:r>
        <w:rPr>
          <w:rFonts w:eastAsia="Times New Roman" w:cs="Times New Roman" w:ascii="Times New Roman" w:hAnsi="Times New Roman"/>
          <w:color w:val="111111"/>
          <w:sz w:val="28"/>
          <w:szCs w:val="28"/>
          <w:lang w:val="en-US"/>
        </w:rPr>
        <w:t>Surah al-Bara’at (The Disavowal, also known as al-Tawbah (The Repentance)) was revealed, the Prophet sent Abu Bakr as the amir (caravan leader) of the Hajj to recite it (and thus to offer the Quraysh a stern warning).</w:t>
      </w:r>
    </w:p>
    <w:p>
      <w:pPr>
        <w:pStyle w:val="BookText"/>
        <w:bidi w:val="0"/>
        <w:jc w:val="both"/>
        <w:rPr/>
      </w:pPr>
      <w:r>
        <w:rPr>
          <w:rFonts w:eastAsia="Times New Roman" w:cs="Times New Roman" w:ascii="Times New Roman" w:hAnsi="Times New Roman"/>
          <w:color w:val="111111"/>
          <w:sz w:val="28"/>
          <w:szCs w:val="28"/>
          <w:lang w:val="en-US"/>
        </w:rPr>
        <w:t>However while on the way to Mecca, Abu Bakr was intercepted by ‘Ali Ibn Abi Talib through the Divine decree given by Allah to Prophet Muhammad. The Angel Gabriel instructed the Prophet with Allah’s order, “No one delivers on your behalf except yourself or a man from you.” Afterwards the Prophet commented, “‘Ali is from me, and I am from him, and no one delivers (the revelation) except me or ‘Ali.”</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In reality, the intense opposition towards ‘Ali Ibn Abi Talib proves that without a doubt, the Quraysh group did recognize that ‘Ali was bound to succeed the Prophet. What other reason could they possibly have had for ritualizing invocations against him? If nothing else, he was a companion with the highest recorded caliber of service to Islam and the Prophet.</w:t>
      </w:r>
    </w:p>
    <w:p>
      <w:pPr>
        <w:pStyle w:val="BookText"/>
        <w:bidi w:val="0"/>
        <w:jc w:val="both"/>
        <w:rPr/>
      </w:pPr>
      <w:r>
        <w:rPr>
          <w:rFonts w:eastAsia="Times New Roman" w:cs="Times New Roman" w:ascii="Times New Roman" w:hAnsi="Times New Roman"/>
          <w:color w:val="111111"/>
          <w:sz w:val="28"/>
          <w:szCs w:val="28"/>
          <w:lang w:val="en-US"/>
        </w:rPr>
        <w:t>He was the father of the Prophet’s grandchildren and he was never known to have committed any wrong act. Although he maintained that the caliphate should have gone to him, he did not raise arms, and he only assumed the caliphate after the institution itself had crumbled. Had he been only a mere contender, the ruling powers would have exiled him - even annihilated him, just as they did to companions such as Abu Dharr al-Ghifari.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the Quraysh group was more concerned with assassinating</w:t>
      </w:r>
      <w:bookmarkStart w:id="74" w:name="pg3581_21944"/>
    </w:p>
    <w:p>
      <w:pPr>
        <w:pStyle w:val="BookText"/>
        <w:bidi w:val="0"/>
        <w:rPr/>
      </w:pPr>
      <w:bookmarkEnd w:id="74"/>
      <w:r>
        <w:rPr>
          <w:rFonts w:eastAsia="Times New Roman" w:cs="Times New Roman" w:ascii="Times New Roman" w:hAnsi="Times New Roman"/>
          <w:color w:val="111111"/>
          <w:sz w:val="28"/>
          <w:szCs w:val="28"/>
          <w:lang w:val="en-US"/>
        </w:rPr>
        <w:t>the character of ‘Ali, and in hindsight, their propaganda campaign points all the more clearly to the reality that they were trying to cover up the Prophet’s command that ‘Ali was to be his successor.</w:t>
      </w:r>
    </w:p>
    <w:p>
      <w:pPr>
        <w:pStyle w:val="BookText"/>
        <w:bidi w:val="0"/>
        <w:jc w:val="both"/>
        <w:rPr/>
      </w:pPr>
      <w:r>
        <w:rPr>
          <w:rFonts w:eastAsia="Times New Roman" w:cs="Times New Roman" w:ascii="Times New Roman" w:hAnsi="Times New Roman"/>
          <w:color w:val="111111"/>
          <w:sz w:val="28"/>
          <w:szCs w:val="28"/>
          <w:lang w:val="en-US"/>
        </w:rPr>
        <w:t>In the end, this intense hatred turned into violent bloodshed when the wife of the Prophet, Lady Aishah, despite having been warned by the Prophet not to transgress against ‘Ali,</w:t>
      </w:r>
      <w:r>
        <w:rPr>
          <w:rStyle w:val="FootnoteAnchor"/>
        </w:rPr>
        <w:footnoteReference w:id="128"/>
      </w:r>
      <w:r>
        <w:rPr>
          <w:rFonts w:eastAsia="Times New Roman" w:cs="Times New Roman" w:ascii="Times New Roman" w:hAnsi="Times New Roman"/>
          <w:color w:val="111111"/>
          <w:sz w:val="28"/>
          <w:szCs w:val="28"/>
          <w:lang w:val="en-US"/>
        </w:rPr>
        <w:t>mobilized 30,000 fighters and marched from Madinah to Basra in a confrontation known as the Battle of Camel (Battle of Jamal). Lady Aishah instigated the first battle in Islam in which Muslims raised swords against one another, and as a result, she caused the death of 20,000 Muslims from her side and another 500 from the defense of ‘Ali’s army.</w:t>
      </w:r>
    </w:p>
    <w:p>
      <w:pPr>
        <w:pStyle w:val="BookText"/>
        <w:bidi w:val="0"/>
        <w:jc w:val="both"/>
        <w:rPr/>
      </w:pPr>
      <w:r>
        <w:rPr>
          <w:rFonts w:eastAsia="Times New Roman" w:cs="Times New Roman" w:ascii="Times New Roman" w:hAnsi="Times New Roman"/>
          <w:color w:val="111111"/>
          <w:sz w:val="28"/>
          <w:szCs w:val="28"/>
          <w:lang w:val="en-US"/>
        </w:rPr>
        <w:t>Following her lead, Mu’awiyah also took arms against ‘Ali during his caliphate resulting in the Battle of Siffeen, in which 70,000 Muslims lost their lives. Indeed, she did not take heed to what the Prophet had said to ‘Ali, “May God fight the one who fights you and may God be hostile to the one who is hostile towards you.”</w:t>
      </w:r>
      <w:r>
        <w:rPr>
          <w:rStyle w:val="FootnoteAnchor"/>
        </w:rPr>
        <w:footnoteReference w:id="129"/>
      </w:r>
    </w:p>
    <w:p>
      <w:pPr>
        <w:pStyle w:val="Heading2"/>
        <w:numPr>
          <w:ilvl w:val="1"/>
          <w:numId w:val="1"/>
        </w:numPr>
        <w:bidi w:val="0"/>
        <w:jc w:val="left"/>
        <w:rPr/>
      </w:pPr>
      <w:bookmarkStart w:id="75" w:name="__RefHeading___Toc4074581_2749589250"/>
      <w:bookmarkStart w:id="76" w:name="_Toc29"/>
      <w:bookmarkEnd w:id="75"/>
      <w:r>
        <w:rPr/>
        <w:t>Chapter 6: Transition of the Group</w:t>
      </w:r>
      <w:bookmarkEnd w:id="76"/>
    </w:p>
    <w:p>
      <w:pPr>
        <w:pStyle w:val="Heading3"/>
        <w:numPr>
          <w:ilvl w:val="2"/>
          <w:numId w:val="1"/>
        </w:numPr>
        <w:bidi w:val="0"/>
        <w:jc w:val="left"/>
        <w:rPr/>
      </w:pPr>
      <w:bookmarkStart w:id="77" w:name="__RefHeading___Toc4074583_2749589250"/>
      <w:bookmarkStart w:id="78" w:name="_Toc30"/>
      <w:bookmarkEnd w:id="77"/>
      <w:r>
        <w:rPr/>
        <w:t>point</w:t>
      </w:r>
      <w:bookmarkEnd w:id="7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وَمَثلُ کَلِمَةٍ خَبِیثَةٍ کَشَجَرَةٍ خَبِیثَةٍ اجْتُثَّتْ مِن فَوْقِ الأَرْضِ مَا لَهَا مِن قَرَارٍ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parable of an evil word is that of an evil tree: It is torn up by the root from the surface of the earth: it has no stability. (Holy Qur’an, 14:26)</w:t>
      </w:r>
    </w:p>
    <w:p>
      <w:pPr>
        <w:pStyle w:val="Heading3"/>
        <w:numPr>
          <w:ilvl w:val="2"/>
          <w:numId w:val="1"/>
        </w:numPr>
        <w:bidi w:val="0"/>
        <w:jc w:val="left"/>
        <w:rPr/>
      </w:pPr>
      <w:bookmarkStart w:id="79" w:name="__RefHeading___Toc4074585_2749589250"/>
      <w:bookmarkStart w:id="80" w:name="_Toc31"/>
      <w:bookmarkEnd w:id="79"/>
      <w:r>
        <w:rPr/>
        <w:t>The Cursed Tree</w:t>
      </w:r>
      <w:bookmarkEnd w:id="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advent of the revelation of the Qur’an, the Bani Umayyah spearheaded a calculated fight against Islam. Having received full knowledge</w:t>
      </w:r>
    </w:p>
    <w:p>
      <w:pPr>
        <w:pStyle w:val="BookText"/>
        <w:bidi w:val="0"/>
        <w:rPr/>
      </w:pPr>
      <w:r>
        <w:rPr>
          <w:rFonts w:eastAsia="Times New Roman" w:cs="Times New Roman" w:ascii="Times New Roman" w:hAnsi="Times New Roman"/>
          <w:color w:val="111111"/>
          <w:sz w:val="28"/>
          <w:szCs w:val="28"/>
          <w:lang w:val="en-US"/>
        </w:rPr>
        <w:t>of their evil traits through revelation, the Holy Prophet repeatedly cursed them,</w:t>
      </w:r>
      <w:r>
        <w:rPr>
          <w:rStyle w:val="FootnoteAnchor"/>
        </w:rPr>
        <w:footnoteReference w:id="130"/>
      </w:r>
      <w:r>
        <w:rPr>
          <w:rFonts w:eastAsia="Times New Roman" w:cs="Times New Roman" w:ascii="Times New Roman" w:hAnsi="Times New Roman"/>
          <w:color w:val="111111"/>
          <w:sz w:val="28"/>
          <w:szCs w:val="28"/>
          <w:lang w:val="en-US"/>
        </w:rPr>
        <w:t>specifically Abu Sufyan Ibn Harb.</w:t>
      </w:r>
      <w:r>
        <w:rPr>
          <w:rStyle w:val="FootnoteAnchor"/>
        </w:rPr>
        <w:footnoteReference w:id="131"/>
      </w:r>
      <w:r>
        <w:rPr>
          <w:rFonts w:eastAsia="Times New Roman" w:cs="Times New Roman" w:ascii="Times New Roman" w:hAnsi="Times New Roman"/>
          <w:color w:val="111111"/>
          <w:sz w:val="28"/>
          <w:szCs w:val="28"/>
          <w:lang w:val="en-US"/>
        </w:rPr>
        <w:t>Even Allah, referring to them metaphorically in the Qur’an cursed them when He said, “And the cursed tree in the Qur’an...” (c. 17:60) Both Sunni and Shi’a commentators agree that this “cursed tree” is none other than the Bani Umayyah.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Generation after generation, they perpetuated their hatred towards the religion of Islam and their attempts to overcome it. Initially, in Mecca and Madinah, Abu Sufyan and his son Mu’awiyah severely tormented the Muslims. The attacks by Abu Sufyan led the reputable Sunni historian, Ibn Abd al-Birr to declare that, “Abu Sufyan was a shelter for all the hypocrites who were against the Muslims after he embraced Islam and what is correct (to say) is that he did not embrace Islam, but rather he unwillingly surrendered to the Muslims.”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His animosity prevailed some fourteen years after his “conversion” when he kicked the grave of the martyred uncle of the Prophet, Hamzah, and mocked him saying, “O Aba Imarah, the issue [Islamic leadership] which you fought against us with the sword is now in the hands of our children who are playing with it.”</w:t>
      </w:r>
      <w:r>
        <w:rPr>
          <w:rStyle w:val="FootnoteAnchor"/>
        </w:rPr>
        <w:footnoteReference w:id="13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on the other hand, took a less vocal stance during his caliphate and simply killed those prominent companions of the Prophet who disagreed with his totalitarian policies. Among the souls whom he escorted out of the life of this world were the grandson of the Prophet, Imam Hasan, Hijr Ibn Uday, Malik</w:t>
      </w:r>
    </w:p>
    <w:p>
      <w:pPr>
        <w:pStyle w:val="BookText"/>
        <w:bidi w:val="0"/>
        <w:rPr/>
      </w:pPr>
      <w:r>
        <w:rPr>
          <w:rFonts w:eastAsia="Times New Roman" w:cs="Times New Roman" w:ascii="Times New Roman" w:hAnsi="Times New Roman"/>
          <w:color w:val="111111"/>
          <w:sz w:val="28"/>
          <w:szCs w:val="28"/>
          <w:lang w:val="en-US"/>
        </w:rPr>
        <w:t>al-Ashtar, Muhammad Ibn Abu Bakr, Ammar Ibn Yasir, Abd al-Rahman Ibn Abu Bakr, and Sa’d Ibn Abu al-Waqqas.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Mu’awiyah continued his mayhem by killing many of the Ansar and memorizers of the Holy Qur’an. Mu’awiyah’s son Yazid continued the trend years later by murdering the other grandson of the Prophet, Imam Husayn in the tragic massacre at Karbala in the year 61 ah, in which he then took the women and children of the Prophet’s household captive and dishonored them by parading them through Iraq and Syria. Yazid broadened his reign of terror and havoc by allowing his soldiers to rape the women and pillage the city of Madinah in the year 62 ah and topped his rule of tyranny with setting out to destroy the Ka’abah in the year 63 ah.</w:t>
      </w:r>
    </w:p>
    <w:p>
      <w:pPr>
        <w:pStyle w:val="BookText"/>
        <w:bidi w:val="0"/>
        <w:jc w:val="both"/>
        <w:rPr/>
      </w:pPr>
      <w:r>
        <w:rPr>
          <w:rFonts w:eastAsia="Times New Roman" w:cs="Times New Roman" w:ascii="Times New Roman" w:hAnsi="Times New Roman"/>
          <w:color w:val="111111"/>
          <w:sz w:val="28"/>
          <w:szCs w:val="28"/>
          <w:lang w:val="en-US"/>
        </w:rPr>
        <w:t>Anyone who indulges in such vile practices should not only have been banned from leading the Islamic government, but should have also been ostracized from the nation. Yet, despite the inclinations of the Bani Umayyah and the curse of Allah upon them, both the first and the second caliphs involved them in their power structure and exposed the ummah to their treachery.</w:t>
      </w:r>
    </w:p>
    <w:p>
      <w:pPr>
        <w:pStyle w:val="BookText"/>
        <w:bidi w:val="0"/>
        <w:jc w:val="both"/>
        <w:rPr/>
      </w:pPr>
      <w:r>
        <w:rPr>
          <w:rFonts w:eastAsia="Times New Roman" w:cs="Times New Roman" w:ascii="Times New Roman" w:hAnsi="Times New Roman"/>
          <w:color w:val="111111"/>
          <w:sz w:val="28"/>
          <w:szCs w:val="28"/>
          <w:lang w:val="en-US"/>
        </w:rPr>
        <w:t>They made ‘Uthman a senior aide (vizier) and made use of others, such as Mu’awiyah, Utbah, Yazid, Sa’eed Ibn al-Aas, al-Waleed Ibn Uqbah, and Uttab Ibn Usayd, while other worthy men went unrepresented.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Ironically, at one time, the first caliph confided to al-Mugheerah Ibn Shu’bah his fear that the Bani Umayyah posed a serious threat to Islam and said, “By</w:t>
      </w:r>
    </w:p>
    <w:p>
      <w:pPr>
        <w:pStyle w:val="BookText"/>
        <w:bidi w:val="0"/>
        <w:rPr/>
      </w:pPr>
      <w:r>
        <w:rPr>
          <w:rFonts w:eastAsia="Times New Roman" w:cs="Times New Roman" w:ascii="Times New Roman" w:hAnsi="Times New Roman"/>
          <w:color w:val="111111"/>
          <w:sz w:val="28"/>
          <w:szCs w:val="28"/>
          <w:lang w:val="en-US"/>
        </w:rPr>
        <w:t>Allah, Bani Umayyah will cause Islam to become one-eyed.”</w:t>
      </w:r>
      <w:r>
        <w:rPr>
          <w:rStyle w:val="FootnoteAnchor"/>
        </w:rPr>
        <w:footnoteReference w:id="136"/>
      </w:r>
      <w:r>
        <w:rPr>
          <w:rFonts w:eastAsia="Times New Roman" w:cs="Times New Roman" w:ascii="Times New Roman" w:hAnsi="Times New Roman"/>
          <w:color w:val="111111"/>
          <w:sz w:val="28"/>
          <w:szCs w:val="28"/>
          <w:lang w:val="en-US"/>
        </w:rPr>
        <w:t>Yet ironically, ‘Umar privileged people from the Bani Umayyah over others in his government.</w:t>
      </w:r>
    </w:p>
    <w:p>
      <w:pPr>
        <w:pStyle w:val="BookText"/>
        <w:bidi w:val="0"/>
        <w:jc w:val="both"/>
        <w:rPr/>
      </w:pPr>
      <w:r>
        <w:rPr>
          <w:rFonts w:eastAsia="Times New Roman" w:cs="Times New Roman" w:ascii="Times New Roman" w:hAnsi="Times New Roman"/>
          <w:color w:val="111111"/>
          <w:sz w:val="28"/>
          <w:szCs w:val="28"/>
          <w:lang w:val="en-US"/>
        </w:rPr>
        <w:t>When Mu’awiyah was only 18 years old, ‘Umar appointed him governor of Syria, although ‘Umar himself had refused to join the dispatch of Usama Ibn Zayd upon the order of the Holy Prophet on the pretext that Usama was only 18; and he also objected to the caliphate of ‘Ali Ibn Abi Talib because ‘Ali was too young - 33 years old.</w:t>
      </w:r>
      <w:r>
        <w:rPr>
          <w:rStyle w:val="FootnoteAnchor"/>
        </w:rPr>
        <w:footnoteReference w:id="137"/>
      </w:r>
      <w:r>
        <w:rPr>
          <w:rFonts w:eastAsia="Times New Roman" w:cs="Times New Roman" w:ascii="Times New Roman" w:hAnsi="Times New Roman"/>
          <w:color w:val="111111"/>
          <w:sz w:val="28"/>
          <w:szCs w:val="28"/>
          <w:lang w:val="en-US"/>
        </w:rPr>
        <w:t>In response to the criticism that Mu’awiyah was too young to govern, ‘Umar retorted, “Are you criticizing me for appointing him? I heard the Prophet say about Mu’awiyah, ‘God, make a guide (hadi), a guided one (mahdi), and guide the people by him.’”</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even knighted some well-known enemies of the Prophet and Islam with honored titles. Abu Sufyan was given the title of “Sayyid Quraysh (Leader of the Quraysh),” while he called Mu’awiyah, “Kisra al-Arab” - “kisra” being the word for a noble Persian king, and he called Hind, the mother of Mu’awiyah, “Karemat Quraysh (the Honorable Lady of Quraysh).” In reality, reports on Hind say otherwise about her honor as the report according to Ibn al-Katheer shows:</w:t>
      </w:r>
    </w:p>
    <w:p>
      <w:pPr>
        <w:pStyle w:val="BookText"/>
        <w:bidi w:val="0"/>
        <w:jc w:val="both"/>
        <w:rPr/>
      </w:pPr>
      <w:r>
        <w:rPr>
          <w:rFonts w:eastAsia="Times New Roman" w:cs="Times New Roman" w:ascii="Times New Roman" w:hAnsi="Times New Roman"/>
          <w:color w:val="111111"/>
          <w:sz w:val="28"/>
          <w:szCs w:val="28"/>
          <w:lang w:val="en-US"/>
        </w:rPr>
        <w:t>In the Battle of Uhud, Hind, the mother of Mu’awiyah who was the wife of Abu Sufyan was butchering the martyrs of the Muslims - including Hamzah the uncle of the Prophet - and amputating their limbs.</w:t>
      </w:r>
      <w:r>
        <w:rPr>
          <w:rStyle w:val="FootnoteAnchor"/>
        </w:rPr>
        <w:footnoteReference w:id="1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someone who had committed such horrendous acts be</w:t>
      </w:r>
      <w:bookmarkStart w:id="81" w:name="pg3581_21948"/>
    </w:p>
    <w:p>
      <w:pPr>
        <w:pStyle w:val="BookText"/>
        <w:bidi w:val="0"/>
        <w:rPr/>
      </w:pPr>
      <w:bookmarkEnd w:id="81"/>
      <w:r>
        <w:rPr>
          <w:rFonts w:eastAsia="Times New Roman" w:cs="Times New Roman" w:ascii="Times New Roman" w:hAnsi="Times New Roman"/>
          <w:color w:val="111111"/>
          <w:sz w:val="28"/>
          <w:szCs w:val="28"/>
          <w:lang w:val="en-US"/>
        </w:rPr>
        <w:t>entitled as an “honorable woman?” Little evidence exists to indicate that Hind was sincere when she later embraced Islam. The Bani Umayyah remained as the Qur’an had described them - “the Cursed Tree.”</w:t>
      </w:r>
    </w:p>
    <w:p>
      <w:pPr>
        <w:pStyle w:val="BookText"/>
        <w:bidi w:val="0"/>
        <w:jc w:val="both"/>
        <w:rPr/>
      </w:pPr>
      <w:r>
        <w:rPr>
          <w:rFonts w:eastAsia="Times New Roman" w:cs="Times New Roman" w:ascii="Times New Roman" w:hAnsi="Times New Roman"/>
          <w:color w:val="111111"/>
          <w:sz w:val="28"/>
          <w:szCs w:val="28"/>
          <w:lang w:val="en-US"/>
        </w:rPr>
        <w:t>How easily did the Quraysh group forget the admonitions of the Holy Qur’an and the Noble Prophet, and yet they were to become the ruling dynasty of the Muslim world. Instead of the hadith of the Prophet warning the people against Bani Umayyah - or even the words of ‘Umar Ibn al-Khattab warning himself against them - an exorbitant amount of false hadith began to appear claiming the high status of the Bani Umayyah in the sight of Allah. Indeed, the “evil word” of the “cursed tree” had begun to spread its roots.</w:t>
      </w:r>
    </w:p>
    <w:p>
      <w:pPr>
        <w:pStyle w:val="Heading2"/>
        <w:numPr>
          <w:ilvl w:val="1"/>
          <w:numId w:val="1"/>
        </w:numPr>
        <w:bidi w:val="0"/>
        <w:jc w:val="left"/>
        <w:rPr/>
      </w:pPr>
      <w:bookmarkStart w:id="82" w:name="__RefHeading___Toc4074587_2749589250"/>
      <w:bookmarkStart w:id="83" w:name="_Toc32"/>
      <w:bookmarkEnd w:id="82"/>
      <w:r>
        <w:rPr/>
        <w:t>Chapter 7: Prohibition of Transcribing the Hadith</w:t>
      </w:r>
      <w:bookmarkEnd w:id="8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sent them) with Clear Signs and Scriptures; and We have sent down unto thee (also) the Message; that you may explain clearly to men what is sent for them, and that they may reflect. (Holy Qur’an, 16:44)</w:t>
      </w:r>
    </w:p>
    <w:p>
      <w:pPr>
        <w:pStyle w:val="BookText"/>
        <w:bidi w:val="0"/>
        <w:jc w:val="both"/>
        <w:rPr/>
      </w:pPr>
      <w:r>
        <w:rPr>
          <w:rFonts w:eastAsia="Times New Roman" w:cs="Times New Roman" w:ascii="Times New Roman" w:hAnsi="Times New Roman"/>
          <w:color w:val="111111"/>
          <w:sz w:val="28"/>
          <w:szCs w:val="28"/>
          <w:lang w:val="en-US"/>
        </w:rPr>
        <w:t>Without a doubt, the art of writing separates the truth from falsehood, maintains agreements, and reminds people of what has passed and many other important things. Even during the pre-Islamic era, writing was a rare but honored skill. According to Ibn Sa’d, “The accomplished among them in the time before Islam were those who wrote Arabic, mastered swimming, and mounted archery.”</w:t>
      </w:r>
      <w:r>
        <w:rPr>
          <w:rStyle w:val="FootnoteAnchor"/>
        </w:rPr>
        <w:footnoteReference w:id="140"/>
      </w:r>
      <w:r>
        <w:rPr>
          <w:rFonts w:eastAsia="Times New Roman" w:cs="Times New Roman" w:ascii="Times New Roman" w:hAnsi="Times New Roman"/>
          <w:color w:val="111111"/>
          <w:sz w:val="28"/>
          <w:szCs w:val="28"/>
          <w:lang w:val="en-US"/>
        </w:rPr>
        <w:t>Various schools in Mecca, Madinah and Taif taught the difficult art of the Arabic script.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Islam came, its teachings prioritized writing and the advancement of knowledge and imagery of books and writing permeate the verses of the Qur’an. One of the first verses which Allah revealed was, “[He] Who taught by the use of the pen,”</w:t>
      </w:r>
      <w:r>
        <w:rPr>
          <w:rStyle w:val="FootnoteAnchor"/>
        </w:rPr>
        <w:footnoteReference w:id="141"/>
      </w:r>
      <w:r>
        <w:rPr>
          <w:rFonts w:eastAsia="Times New Roman" w:cs="Times New Roman" w:ascii="Times New Roman" w:hAnsi="Times New Roman"/>
          <w:color w:val="111111"/>
          <w:sz w:val="28"/>
          <w:szCs w:val="28"/>
          <w:lang w:val="en-US"/>
        </w:rPr>
        <w:t>thus making the pen as an instrument used for a binding oath, such as in Surah al-Qalam, “By the pen and by what they write.”</w:t>
      </w:r>
      <w:r>
        <w:rPr>
          <w:rStyle w:val="FootnoteAnchor"/>
        </w:rPr>
        <w:footnoteReference w:id="142"/>
      </w:r>
      <w:r>
        <w:rPr>
          <w:rFonts w:eastAsia="Times New Roman" w:cs="Times New Roman" w:ascii="Times New Roman" w:hAnsi="Times New Roman"/>
          <w:color w:val="111111"/>
          <w:sz w:val="28"/>
          <w:szCs w:val="28"/>
          <w:lang w:val="en-US"/>
        </w:rPr>
        <w:t>Therefore, despite the difficulties of writing at that time, gradually the jahiliyyah (pre-Islamic) society slowly became literate.</w:t>
      </w:r>
    </w:p>
    <w:p>
      <w:pPr>
        <w:pStyle w:val="BookText"/>
        <w:bidi w:val="0"/>
        <w:jc w:val="both"/>
        <w:rPr/>
      </w:pPr>
      <w:r>
        <w:rPr>
          <w:rFonts w:eastAsia="Times New Roman" w:cs="Times New Roman" w:ascii="Times New Roman" w:hAnsi="Times New Roman"/>
          <w:color w:val="111111"/>
          <w:sz w:val="28"/>
          <w:szCs w:val="28"/>
          <w:lang w:val="en-US"/>
        </w:rPr>
        <w:t>After establishing the mosque in Madinah, one of the priorities of the Prophet had was to appoint a teacher, Abdullah Ibn Sa’d al-Aas to teach reading and writing. This skill was so important that the Prophet even allowed some of the captives taken during the Battle of Badr to earn their freedom in exchange for teaching ten Muslims how to read and write.</w:t>
      </w:r>
      <w:r>
        <w:rPr>
          <w:rStyle w:val="FootnoteAnchor"/>
        </w:rPr>
        <w:footnoteReference w:id="143"/>
      </w:r>
      <w:r>
        <w:rPr>
          <w:rFonts w:eastAsia="Times New Roman" w:cs="Times New Roman" w:ascii="Times New Roman" w:hAnsi="Times New Roman"/>
          <w:color w:val="111111"/>
          <w:sz w:val="28"/>
          <w:szCs w:val="28"/>
          <w:lang w:val="en-US"/>
        </w:rPr>
        <w:t>Between forty-three and forty-five scribes recorded the revelations of the Qur’an at the Prophet’s request, and in addition, he would constantly urge the people to “write (uktubu)”</w:t>
      </w:r>
      <w:r>
        <w:rPr>
          <w:rStyle w:val="FootnoteAnchor"/>
        </w:rPr>
        <w:footnoteReference w:id="144"/>
      </w:r>
      <w:r>
        <w:rPr>
          <w:rFonts w:eastAsia="Times New Roman" w:cs="Times New Roman" w:ascii="Times New Roman" w:hAnsi="Times New Roman"/>
          <w:color w:val="111111"/>
          <w:sz w:val="28"/>
          <w:szCs w:val="28"/>
          <w:lang w:val="en-US"/>
        </w:rPr>
        <w:t>and “document (qayyidu),”</w:t>
      </w:r>
      <w:r>
        <w:rPr>
          <w:rStyle w:val="FootnoteAnchor"/>
        </w:rPr>
        <w:footnoteReference w:id="145"/>
      </w:r>
      <w:r>
        <w:rPr>
          <w:rFonts w:eastAsia="Times New Roman" w:cs="Times New Roman" w:ascii="Times New Roman" w:hAnsi="Times New Roman"/>
          <w:color w:val="111111"/>
          <w:sz w:val="28"/>
          <w:szCs w:val="28"/>
          <w:lang w:val="en-US"/>
        </w:rPr>
        <w:t>and would advise, “Help yourself to memorize by writing.”</w:t>
      </w:r>
      <w:r>
        <w:rPr>
          <w:rStyle w:val="FootnoteAnchor"/>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significant, the Prophet commanded that his hadith (sayings and actions) be written down. He instructed the Muslims, “Write everything that comes out of my mouth, for by the One whose Hands my soul is in, nothing comes from it except the truth.”</w:t>
      </w:r>
      <w:r>
        <w:rPr>
          <w:rStyle w:val="FootnoteAnchor"/>
        </w:rPr>
        <w:footnoteReference w:id="147"/>
      </w:r>
      <w:r>
        <w:rPr>
          <w:rFonts w:eastAsia="Times New Roman" w:cs="Times New Roman" w:ascii="Times New Roman" w:hAnsi="Times New Roman"/>
          <w:color w:val="111111"/>
          <w:sz w:val="28"/>
          <w:szCs w:val="28"/>
          <w:lang w:val="en-US"/>
        </w:rPr>
        <w:t>Abu Bakr narrates from the Holy Prophet that, “Whoever writes down a piece of knowledge from me or a hadith will receive ajr (reward)</w:t>
      </w:r>
    </w:p>
    <w:p>
      <w:pPr>
        <w:pStyle w:val="BookText"/>
        <w:bidi w:val="0"/>
        <w:rPr/>
      </w:pPr>
      <w:r>
        <w:rPr>
          <w:rFonts w:eastAsia="Times New Roman" w:cs="Times New Roman" w:ascii="Times New Roman" w:hAnsi="Times New Roman"/>
          <w:color w:val="111111"/>
          <w:sz w:val="28"/>
          <w:szCs w:val="28"/>
          <w:lang w:val="en-US"/>
        </w:rPr>
        <w:t>as long as it (the writing) exists.”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 companion, Abdullah Ibn al-Aas used to put everything the Prophet said in writing to such an extent that some companions of the Prophet ordered him to stop doing so because they felt that the Prophet was just a human being whose utterance should not be recorded. He consulted with the Prophet and the Prophet replied, “Yes, write down everything that I say.”</w:t>
      </w:r>
      <w:r>
        <w:rPr>
          <w:rStyle w:val="FootnoteAnchor"/>
        </w:rPr>
        <w:footnoteReference w:id="149"/>
      </w:r>
      <w:r>
        <w:rPr>
          <w:rFonts w:eastAsia="Times New Roman" w:cs="Times New Roman" w:ascii="Times New Roman" w:hAnsi="Times New Roman"/>
          <w:color w:val="111111"/>
          <w:sz w:val="28"/>
          <w:szCs w:val="28"/>
          <w:lang w:val="en-US"/>
        </w:rPr>
        <w:t>Similarly, on the authority of Rafi Ibn Khadij we read that:</w:t>
      </w:r>
    </w:p>
    <w:p>
      <w:pPr>
        <w:pStyle w:val="BookText"/>
        <w:bidi w:val="0"/>
        <w:jc w:val="both"/>
        <w:rPr/>
      </w:pPr>
      <w:r>
        <w:rPr>
          <w:rFonts w:eastAsia="Times New Roman" w:cs="Times New Roman" w:ascii="Times New Roman" w:hAnsi="Times New Roman"/>
          <w:color w:val="111111"/>
          <w:sz w:val="28"/>
          <w:szCs w:val="28"/>
          <w:lang w:val="en-US"/>
        </w:rPr>
        <w:t>The Prophet of Allah passed by us one day and we were talking. He said, “What are you talking about?” We replied, “What we heard from you.” He said, “So talk about it, but whoever deliberately attributes false statements to me reserves his place in the hell-fire,” and then the people stopped talking.</w:t>
      </w:r>
    </w:p>
    <w:p>
      <w:pPr>
        <w:pStyle w:val="BookText"/>
        <w:bidi w:val="0"/>
        <w:jc w:val="both"/>
        <w:rPr/>
      </w:pPr>
      <w:r>
        <w:rPr>
          <w:rFonts w:eastAsia="Times New Roman" w:cs="Times New Roman" w:ascii="Times New Roman" w:hAnsi="Times New Roman"/>
          <w:color w:val="111111"/>
          <w:sz w:val="28"/>
          <w:szCs w:val="28"/>
          <w:lang w:val="en-US"/>
        </w:rPr>
        <w:t>The Prophet asked why they were not talking anymore, and they replied that they had stopped talking because of his serious words. He said, “I did not say not to talk. I said, ‘speak, but speak the truth.’ I only ask you not to attribute false statements to me.” They said to him, “O Prophet of God, we hear things from you, should we write them down?” He said, “Yes, by all means, write them down. By thy Lord, everything that comes out of my mouth is the truth.”</w:t>
      </w:r>
      <w:r>
        <w:rPr>
          <w:rStyle w:val="FootnoteAnchor"/>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Prophet emphasized the transmission of his teachings through other means. He repeated twice saying, “Therefore, the witness must inform the absent,”</w:t>
      </w:r>
      <w:r>
        <w:rPr>
          <w:rStyle w:val="FootnoteAnchor"/>
        </w:rPr>
        <w:footnoteReference w:id="151"/>
      </w:r>
      <w:r>
        <w:rPr>
          <w:rFonts w:eastAsia="Times New Roman" w:cs="Times New Roman" w:ascii="Times New Roman" w:hAnsi="Times New Roman"/>
          <w:color w:val="111111"/>
          <w:sz w:val="28"/>
          <w:szCs w:val="28"/>
          <w:lang w:val="en-US"/>
        </w:rPr>
        <w:t>regarding those who were not present</w:t>
      </w:r>
    </w:p>
    <w:p>
      <w:pPr>
        <w:pStyle w:val="BookText"/>
        <w:bidi w:val="0"/>
        <w:rPr/>
      </w:pPr>
      <w:r>
        <w:rPr>
          <w:rFonts w:eastAsia="Times New Roman" w:cs="Times New Roman" w:ascii="Times New Roman" w:hAnsi="Times New Roman"/>
          <w:color w:val="111111"/>
          <w:sz w:val="28"/>
          <w:szCs w:val="28"/>
          <w:lang w:val="en-US"/>
        </w:rPr>
        <w:t>to hear his words. He also encouraged the Muslims to memorize his sayings in order to transmit them and as a way to verify their authenticity. In this regard, the Prophet would say, “Whoever memorizes and conveys forty hadith from my tradition, I will admit him into my intercession on the Day of Judgment,”</w:t>
      </w:r>
      <w:r>
        <w:rPr>
          <w:rStyle w:val="FootnoteAnchor"/>
        </w:rPr>
        <w:footnoteReference w:id="152"/>
      </w:r>
      <w:r>
        <w:rPr>
          <w:rFonts w:eastAsia="Times New Roman" w:cs="Times New Roman" w:ascii="Times New Roman" w:hAnsi="Times New Roman"/>
          <w:color w:val="111111"/>
          <w:sz w:val="28"/>
          <w:szCs w:val="28"/>
          <w:lang w:val="en-US"/>
        </w:rPr>
        <w:t>and “Whoever from my ummah memorizes forty hadith, Allah will raise him on the Day of Judgment as a scholar.”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Despite all this significance and attention given to recording the hadith of the Prophet, during the reign of the first three caliphs, the Muslims were absolutely forbidden from recording any hadith.</w:t>
      </w:r>
      <w:r>
        <w:rPr>
          <w:rStyle w:val="FootnoteAnchor"/>
        </w:rPr>
        <w:footnoteReference w:id="154"/>
      </w:r>
      <w:r>
        <w:rPr>
          <w:rFonts w:eastAsia="Times New Roman" w:cs="Times New Roman" w:ascii="Times New Roman" w:hAnsi="Times New Roman"/>
          <w:color w:val="111111"/>
          <w:sz w:val="28"/>
          <w:szCs w:val="28"/>
          <w:lang w:val="en-US"/>
        </w:rPr>
        <w:t>In the words of Lady Aishah:</w:t>
      </w:r>
    </w:p>
    <w:p>
      <w:pPr>
        <w:pStyle w:val="BookText"/>
        <w:bidi w:val="0"/>
        <w:jc w:val="both"/>
        <w:rPr/>
      </w:pPr>
      <w:r>
        <w:rPr>
          <w:rFonts w:eastAsia="Times New Roman" w:cs="Times New Roman" w:ascii="Times New Roman" w:hAnsi="Times New Roman"/>
          <w:color w:val="111111"/>
          <w:sz w:val="28"/>
          <w:szCs w:val="28"/>
          <w:lang w:val="en-US"/>
        </w:rPr>
        <w:t>My father collected the hadith of the Messenger of Allah and they numbered five hundred. He spent the night turning back and forth. He saddened me and I said to him, “Are you turning around because of pain, or because of bad news which you have received?” In the morning, he said to me, “Bring me the hadith of the Prophet which I have left with you.” I brought him all the hadith. At this point, he asked for fire and burned all the hadith in the fire. I said to him, “Why do you burn these hadith?” He said, “I fear that I will die while I have these hadith. I took them from the man I trusted, but maybe some hadith are not his or maybe the sayings are not authentic.”</w:t>
      </w:r>
      <w:r>
        <w:rPr>
          <w:rStyle w:val="FootnoteAnchor"/>
        </w:rPr>
        <w:footnoteReference w:id="1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excuse proffered in the above quote is that</w:t>
      </w:r>
    </w:p>
    <w:p>
      <w:pPr>
        <w:pStyle w:val="BookText"/>
        <w:bidi w:val="0"/>
        <w:rPr/>
      </w:pPr>
      <w:r>
        <w:rPr>
          <w:rFonts w:eastAsia="Times New Roman" w:cs="Times New Roman" w:ascii="Times New Roman" w:hAnsi="Times New Roman"/>
          <w:color w:val="111111"/>
          <w:sz w:val="28"/>
          <w:szCs w:val="28"/>
          <w:lang w:val="en-US"/>
        </w:rPr>
        <w:t>the hadith might not have been authentic. However, Abu Bakr could hardly have had reason to doubt traditions that he heard with his own ears and from other companions whom he himself says he trusted.</w:t>
      </w:r>
    </w:p>
    <w:p>
      <w:pPr>
        <w:pStyle w:val="BookText"/>
        <w:bidi w:val="0"/>
        <w:jc w:val="both"/>
        <w:rPr/>
      </w:pPr>
      <w:r>
        <w:rPr>
          <w:rFonts w:eastAsia="Times New Roman" w:cs="Times New Roman" w:ascii="Times New Roman" w:hAnsi="Times New Roman"/>
          <w:color w:val="111111"/>
          <w:sz w:val="28"/>
          <w:szCs w:val="28"/>
          <w:lang w:val="en-US"/>
        </w:rPr>
        <w:t>This position becomes even more difficult to accept when coupled with the idea subsequently introduced by scholars, such as Ibn Hajar that Allah did not allow the companions to lie or make mistakes!</w:t>
      </w:r>
    </w:p>
    <w:p>
      <w:pPr>
        <w:pStyle w:val="BookText"/>
        <w:bidi w:val="0"/>
        <w:jc w:val="both"/>
        <w:rPr/>
      </w:pPr>
      <w:r>
        <w:rPr>
          <w:rFonts w:eastAsia="Times New Roman" w:cs="Times New Roman" w:ascii="Times New Roman" w:hAnsi="Times New Roman"/>
          <w:color w:val="111111"/>
          <w:sz w:val="28"/>
          <w:szCs w:val="28"/>
          <w:lang w:val="en-US"/>
        </w:rPr>
        <w:t>In later times, in order to support Abu Bakr’s action, a false saying was cited on the authority of Abu Sa’id al-Khudri stating, “Whoever took from me other than the Qur’an and wrote it down, let him erase it.”</w:t>
      </w:r>
      <w:r>
        <w:rPr>
          <w:rStyle w:val="FootnoteAnchor"/>
        </w:rPr>
        <w:footnoteReference w:id="156"/>
      </w:r>
      <w:r>
        <w:rPr>
          <w:rFonts w:eastAsia="Times New Roman" w:cs="Times New Roman" w:ascii="Times New Roman" w:hAnsi="Times New Roman"/>
          <w:color w:val="111111"/>
          <w:sz w:val="28"/>
          <w:szCs w:val="28"/>
          <w:lang w:val="en-US"/>
        </w:rPr>
        <w:t>Aside from the fact that this hadith contradicts previous hadith in which the Prophet ordered the Muslims to write down his traditions and the spirit of the Holy Qur’an which encourages writing, if this hadith was authentic then Abu Bakr would certainly have been aware of it and would never have narrated any hadith.</w:t>
      </w:r>
    </w:p>
    <w:p>
      <w:pPr>
        <w:pStyle w:val="BookText"/>
        <w:bidi w:val="0"/>
        <w:jc w:val="both"/>
        <w:rPr/>
      </w:pPr>
      <w:r>
        <w:rPr>
          <w:rFonts w:eastAsia="Times New Roman" w:cs="Times New Roman" w:ascii="Times New Roman" w:hAnsi="Times New Roman"/>
          <w:color w:val="111111"/>
          <w:sz w:val="28"/>
          <w:szCs w:val="28"/>
          <w:lang w:val="en-US"/>
        </w:rPr>
        <w:t>To placate the people, Abu Bakr said, “Between us and you is the book of Allah, so follow the lawful in it and refrain from the prohibited.” Across the board, both Shi’a and Sunni scholars believe that the Qur’an alone does not suffice for a comprehensive explanation of Islam and it is in need of the Prophet’s explanation as a supplement.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more, the verses of the Qur’an fall into many categories, such as mujmal (having equal possibilities) and mubayan (clearly recognized); muhkam (fundamental or basic) and mutashabih (vague); aam (general) and</w:t>
      </w:r>
    </w:p>
    <w:p>
      <w:pPr>
        <w:pStyle w:val="BookText"/>
        <w:bidi w:val="0"/>
        <w:rPr/>
      </w:pPr>
      <w:r>
        <w:rPr>
          <w:rFonts w:eastAsia="Times New Roman" w:cs="Times New Roman" w:ascii="Times New Roman" w:hAnsi="Times New Roman"/>
          <w:color w:val="111111"/>
          <w:sz w:val="28"/>
          <w:szCs w:val="28"/>
          <w:lang w:val="en-US"/>
        </w:rPr>
        <w:t>khass (specific); and naasikh (abrogating) and mansukh (abrogated). It is for this reason that Allah did not leave the Muslims without a guide to the proper interpretation thereof.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Prophet has obeyed Allah,”</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(Muhammad) errs not, nor is he led astray, nor does he speaks of his own inclination.”</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Similarly, the Prophet said, “By Allah, I have commanded and admonished and prohibited things, and just like the Qur’an, you have to follow what I say,”</w:t>
      </w:r>
      <w:r>
        <w:rPr>
          <w:rStyle w:val="FootnoteAnchor"/>
        </w:rPr>
        <w:footnoteReference w:id="159"/>
      </w:r>
      <w:r>
        <w:rPr>
          <w:rFonts w:eastAsia="Times New Roman" w:cs="Times New Roman" w:ascii="Times New Roman" w:hAnsi="Times New Roman"/>
          <w:color w:val="111111"/>
          <w:sz w:val="28"/>
          <w:szCs w:val="28"/>
          <w:lang w:val="en-US"/>
        </w:rPr>
        <w:t>and “Verily, I have been given the Qur’an and something equivalent to it [the hadith].”</w:t>
      </w:r>
      <w:r>
        <w:rPr>
          <w:rStyle w:val="FootnoteAnchor"/>
        </w:rPr>
        <w:footnoteReference w:id="160"/>
      </w:r>
      <w:r>
        <w:rPr>
          <w:rFonts w:eastAsia="Times New Roman" w:cs="Times New Roman" w:ascii="Times New Roman" w:hAnsi="Times New Roman"/>
          <w:color w:val="111111"/>
          <w:sz w:val="28"/>
          <w:szCs w:val="28"/>
          <w:lang w:val="en-US"/>
        </w:rPr>
        <w:t>One of his final injunctions to the Muslims was, “I am leaving among you the Book of Allah and my family (itrati);” “itrati,” also refers to the hadith of the Prophet and his family.</w:t>
      </w:r>
    </w:p>
    <w:p>
      <w:pPr>
        <w:pStyle w:val="BookText"/>
        <w:bidi w:val="0"/>
        <w:jc w:val="both"/>
        <w:rPr/>
      </w:pPr>
      <w:r>
        <w:rPr>
          <w:rFonts w:eastAsia="Times New Roman" w:cs="Times New Roman" w:ascii="Times New Roman" w:hAnsi="Times New Roman"/>
          <w:color w:val="111111"/>
          <w:sz w:val="28"/>
          <w:szCs w:val="28"/>
          <w:lang w:val="en-US"/>
        </w:rPr>
        <w:t>In a hadith narrated in the Sunni books, the Messenger of Allah prophesized:</w:t>
      </w:r>
    </w:p>
    <w:p>
      <w:pPr>
        <w:pStyle w:val="BookText"/>
        <w:bidi w:val="0"/>
        <w:jc w:val="both"/>
        <w:rPr/>
      </w:pPr>
      <w:r>
        <w:rPr>
          <w:rFonts w:eastAsia="Times New Roman" w:cs="Times New Roman" w:ascii="Times New Roman" w:hAnsi="Times New Roman"/>
          <w:color w:val="111111"/>
          <w:sz w:val="28"/>
          <w:szCs w:val="28"/>
          <w:lang w:val="en-US"/>
        </w:rPr>
        <w:t>It is imminent that a man will narrate from me while leaning on his couch and then he will say, ‘Between us and between you is the Book of Allah. When we find something permissible in it, we will follow it, and when we find something impermissible in it, we will refrain from it.’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continued the hadith precedent of Abu Bakr during his caliphate. However, at one point, he consulted the companions of the Prophet about recording hadith and they encouraged him to do so. After considering the matter for a month, ‘Umar then declared: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intention was to record hadith but then I realized that some</w:t>
      </w:r>
    </w:p>
    <w:p>
      <w:pPr>
        <w:pStyle w:val="BookText"/>
        <w:bidi w:val="0"/>
        <w:rPr/>
      </w:pPr>
      <w:r>
        <w:rPr>
          <w:rFonts w:eastAsia="Times New Roman" w:cs="Times New Roman" w:ascii="Times New Roman" w:hAnsi="Times New Roman"/>
          <w:color w:val="111111"/>
          <w:sz w:val="28"/>
          <w:szCs w:val="28"/>
          <w:lang w:val="en-US"/>
        </w:rPr>
        <w:t xml:space="preserve">people (nations) before you kept writing down the sayings of their prophets, and kept reading them; as a result, they forgot the book of Allah (their scriptures). I fear that the same will happen if I order you to document the sayings of the Prophet, or if I do it myself. I do not want to make the Book of Allah a victim here because of the hadith; nothing has precedence over the Book of Allah.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He then wrote to the Ansar, “Whoever has anything should erase it.”</w:t>
      </w:r>
      <w:r>
        <w:rPr>
          <w:rStyle w:val="FootnoteAnchor"/>
        </w:rPr>
        <w:footnoteReference w:id="163"/>
      </w:r>
      <w:r>
        <w:rPr>
          <w:rFonts w:eastAsia="Times New Roman" w:cs="Times New Roman" w:ascii="Times New Roman" w:hAnsi="Times New Roman"/>
          <w:color w:val="111111"/>
          <w:sz w:val="28"/>
          <w:szCs w:val="28"/>
          <w:lang w:val="en-US"/>
        </w:rPr>
        <w:t>Even afterwards ‘Umar decreed, “These (the hadith of the Prophet) are just like the Jewish scripts (mushnat), and they must be burnt.”</w:t>
      </w:r>
      <w:r>
        <w:rPr>
          <w:rStyle w:val="FootnoteAnchor"/>
        </w:rPr>
        <w:footnoteReference w:id="164"/>
      </w:r>
      <w:r>
        <w:rPr>
          <w:rFonts w:eastAsia="Times New Roman" w:cs="Times New Roman" w:ascii="Times New Roman" w:hAnsi="Times New Roman"/>
          <w:color w:val="111111"/>
          <w:sz w:val="28"/>
          <w:szCs w:val="28"/>
          <w:lang w:val="en-US"/>
        </w:rPr>
        <w:t>He then gathered all of the hadith written on leather, tablets, and pieces of wood and ordered them to be burnt.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However, it is important to note that the People of the Book (Jews and Christians) did not neglect their scriptures (Holy Revelations) in favor of the sayings of their prophets [hadith]. Their problem was not that they were overly fastidious in transcribing the sayings of their prophets. Instead, they neglected almost all of the traditions of their prophets, as well as the commands of their Divinely sent books (i.e. the Tawrah). They also refused to follow the successors that their prophets named, such as Asif Ibn Barkhiyah, the successor of Prophet Sulayman, and Yushaa, the successor of Prophet Musa.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agreed by both schools of thought, the Messenger of Allah forewarned that the Muslims would follow the pattern of previous generations</w:t>
      </w:r>
    </w:p>
    <w:p>
      <w:pPr>
        <w:pStyle w:val="BookText"/>
        <w:bidi w:val="0"/>
        <w:rPr/>
      </w:pPr>
      <w:r>
        <w:rPr>
          <w:rFonts w:eastAsia="Times New Roman" w:cs="Times New Roman" w:ascii="Times New Roman" w:hAnsi="Times New Roman"/>
          <w:color w:val="111111"/>
          <w:sz w:val="28"/>
          <w:szCs w:val="28"/>
          <w:lang w:val="en-US"/>
        </w:rPr>
        <w:t>when he said, “You will follow the footsteps and tradition of the nations before you step by step.”</w:t>
      </w:r>
      <w:r>
        <w:rPr>
          <w:rStyle w:val="FootnoteAnchor"/>
        </w:rPr>
        <w:footnoteReference w:id="166"/>
      </w:r>
      <w:r>
        <w:rPr>
          <w:rFonts w:eastAsia="Times New Roman" w:cs="Times New Roman" w:ascii="Times New Roman" w:hAnsi="Times New Roman"/>
          <w:color w:val="111111"/>
          <w:sz w:val="28"/>
          <w:szCs w:val="28"/>
          <w:lang w:val="en-US"/>
        </w:rPr>
        <w:t>Since the first three caliphs enforced the policy of not recording the sayings, fabricators such as Ka’ab al-Ahbar</w:t>
      </w:r>
      <w:r>
        <w:rPr>
          <w:rStyle w:val="FootnoteAnchor"/>
        </w:rPr>
        <w:footnoteReference w:id="167"/>
      </w:r>
      <w:r>
        <w:rPr>
          <w:rFonts w:eastAsia="Times New Roman" w:cs="Times New Roman" w:ascii="Times New Roman" w:hAnsi="Times New Roman"/>
          <w:color w:val="111111"/>
          <w:sz w:val="28"/>
          <w:szCs w:val="28"/>
          <w:lang w:val="en-US"/>
        </w:rPr>
        <w:t>and Tamim Ibn Aus al-Dari</w:t>
      </w:r>
      <w:r>
        <w:rPr>
          <w:rStyle w:val="FootnoteAnchor"/>
        </w:rPr>
        <w:footnoteReference w:id="168"/>
      </w:r>
      <w:r>
        <w:rPr>
          <w:rFonts w:eastAsia="Times New Roman" w:cs="Times New Roman" w:ascii="Times New Roman" w:hAnsi="Times New Roman"/>
          <w:color w:val="111111"/>
          <w:sz w:val="28"/>
          <w:szCs w:val="28"/>
          <w:lang w:val="en-US"/>
        </w:rPr>
        <w:t>flourished and spread thousands of false hadith, forever affecting Islam.</w:t>
      </w:r>
    </w:p>
    <w:p>
      <w:pPr>
        <w:pStyle w:val="BookText"/>
        <w:bidi w:val="0"/>
        <w:jc w:val="both"/>
        <w:rPr/>
      </w:pPr>
      <w:r>
        <w:rPr>
          <w:rFonts w:eastAsia="Times New Roman" w:cs="Times New Roman" w:ascii="Times New Roman" w:hAnsi="Times New Roman"/>
          <w:color w:val="111111"/>
          <w:sz w:val="28"/>
          <w:szCs w:val="28"/>
          <w:lang w:val="en-US"/>
        </w:rPr>
        <w:t>Furthermore, fearing that they would spread the sayings of the Prophet outside Madinah, the second caliph summoned many of the prominent companions, such as Abdullah Ibn Hudaafah, Ibn Masud,</w:t>
      </w:r>
      <w:r>
        <w:rPr>
          <w:rStyle w:val="FootnoteAnchor"/>
        </w:rPr>
        <w:footnoteReference w:id="169"/>
      </w:r>
      <w:r>
        <w:rPr>
          <w:rFonts w:eastAsia="Times New Roman" w:cs="Times New Roman" w:ascii="Times New Roman" w:hAnsi="Times New Roman"/>
          <w:color w:val="111111"/>
          <w:sz w:val="28"/>
          <w:szCs w:val="28"/>
          <w:lang w:val="en-US"/>
        </w:rPr>
        <w:t>Abu Dardah,</w:t>
      </w:r>
      <w:r>
        <w:rPr>
          <w:rStyle w:val="FootnoteAnchor"/>
        </w:rPr>
        <w:footnoteReference w:id="170"/>
      </w:r>
      <w:r>
        <w:rPr>
          <w:rFonts w:eastAsia="Times New Roman" w:cs="Times New Roman" w:ascii="Times New Roman" w:hAnsi="Times New Roman"/>
          <w:color w:val="111111"/>
          <w:sz w:val="28"/>
          <w:szCs w:val="28"/>
          <w:lang w:val="en-US"/>
        </w:rPr>
        <w:t>Abu Dharr al-Ghifari,</w:t>
      </w:r>
      <w:r>
        <w:rPr>
          <w:rStyle w:val="FootnoteAnchor"/>
        </w:rPr>
        <w:footnoteReference w:id="171"/>
      </w:r>
      <w:r>
        <w:rPr>
          <w:rFonts w:eastAsia="Times New Roman" w:cs="Times New Roman" w:ascii="Times New Roman" w:hAnsi="Times New Roman"/>
          <w:color w:val="111111"/>
          <w:sz w:val="28"/>
          <w:szCs w:val="28"/>
          <w:lang w:val="en-US"/>
        </w:rPr>
        <w:t>and Uqbaah Ibn Aamir to Madinah and rebuked them saying, “What is it that you have done! You spread the hadith of the Prophet in other places. You have to stay here (in Madinah) and you will not depart or separate from me as long as I live.” Thus, they were confined to Madinah until ‘Umar was assassinated.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Al-Shibi says that the Muhajireen from the Quraysh despised ‘Umar for confining them to Madinah, so that they would not spread the hadith elsewhere. The situation reached to a point that some of the men would ask permission to accompany the ghazw (military dispatch) and ‘Umar would tell them, “No, you had your share with the Prophet, and you had enough reward for that, so today it is better for you that you do not see the world and for the world not to see you either.”</w:t>
      </w:r>
      <w:r>
        <w:rPr>
          <w:rStyle w:val="FootnoteAnchor"/>
        </w:rPr>
        <w:footnoteReference w:id="1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others who were not known for their honesty in conveying the hadith of the Prophet, such as al-Waleed Ibn</w:t>
      </w:r>
    </w:p>
    <w:p>
      <w:pPr>
        <w:pStyle w:val="BookText"/>
        <w:bidi w:val="0"/>
        <w:rPr/>
      </w:pPr>
      <w:r>
        <w:rPr>
          <w:rFonts w:eastAsia="Times New Roman" w:cs="Times New Roman" w:ascii="Times New Roman" w:hAnsi="Times New Roman"/>
          <w:color w:val="111111"/>
          <w:sz w:val="28"/>
          <w:szCs w:val="28"/>
          <w:lang w:val="en-US"/>
        </w:rPr>
        <w:t>Uqbah, Hanbal Ibn Abu Sufyan, and Abdullah Ibn Abi Sarh were permitted to travel wherever they wanted, even to the conquered lands of Iraq and Persia. However, those who were known for their integrity in transmitting the hadith of the Prophet were forced to remain behind.</w:t>
      </w:r>
    </w:p>
    <w:p>
      <w:pPr>
        <w:pStyle w:val="BookText"/>
        <w:bidi w:val="0"/>
        <w:jc w:val="both"/>
        <w:rPr/>
      </w:pPr>
      <w:r>
        <w:rPr>
          <w:rFonts w:eastAsia="Times New Roman" w:cs="Times New Roman" w:ascii="Times New Roman" w:hAnsi="Times New Roman"/>
          <w:color w:val="111111"/>
          <w:sz w:val="28"/>
          <w:szCs w:val="28"/>
          <w:lang w:val="en-US"/>
        </w:rPr>
        <w:t>Unlike Abu Bakr who expressed fear that the hadith he possessed were not authentic, ‘Umar argued that the hadith should be destroyed because the people might follow them instead of the Qur’an or that they might confuse them with the Qur’an. However, the true hadith hardly led people away from the Qur’an. In fact, the hadith contain an explanation of the Qur’an itself and the more people know about the hadith, the more one would heed to the Qur’an. Allah assigned the Prophet to “make clear to humankind what has been sent down to them,”</w:t>
      </w:r>
      <w:r>
        <w:rPr>
          <w:rStyle w:val="FootnoteAnchor"/>
        </w:rPr>
        <w:footnoteReference w:id="174"/>
      </w:r>
      <w:r>
        <w:rPr>
          <w:rFonts w:eastAsia="Times New Roman" w:cs="Times New Roman" w:ascii="Times New Roman" w:hAnsi="Times New Roman"/>
          <w:color w:val="111111"/>
          <w:sz w:val="28"/>
          <w:szCs w:val="28"/>
          <w:lang w:val="en-US"/>
        </w:rPr>
        <w:t>hence the hadith are extremely vital to understanding the Qur’an.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fear that people might mix up the Qur’an and the hadith is also difficult to understand, since even the average modern reader can readily distinguish between the text of the Qur’an and that of a hadith. The style of the Qur’an is inimitable among human beings and the Qur’an itself says that it is a miracle, and challenges human beings to produce one verse like it - a challenge that the Prophet never issued for his hadith. Such a fear, were it genuine, would imply a severe lack of confidence in the reasoning abilities of the sahabahs (companions) who</w:t>
      </w:r>
    </w:p>
    <w:p>
      <w:pPr>
        <w:pStyle w:val="BookText"/>
        <w:bidi w:val="0"/>
        <w:rPr/>
      </w:pPr>
      <w:r>
        <w:rPr>
          <w:rFonts w:eastAsia="Times New Roman" w:cs="Times New Roman" w:ascii="Times New Roman" w:hAnsi="Times New Roman"/>
          <w:color w:val="111111"/>
          <w:sz w:val="28"/>
          <w:szCs w:val="28"/>
          <w:lang w:val="en-US"/>
        </w:rPr>
        <w:t>had the additional advantage of hearing the Prophet himself speak.</w:t>
      </w:r>
    </w:p>
    <w:p>
      <w:pPr>
        <w:pStyle w:val="BookText"/>
        <w:bidi w:val="0"/>
        <w:jc w:val="both"/>
        <w:rPr/>
      </w:pPr>
      <w:r>
        <w:rPr>
          <w:rFonts w:eastAsia="Times New Roman" w:cs="Times New Roman" w:ascii="Times New Roman" w:hAnsi="Times New Roman"/>
          <w:color w:val="111111"/>
          <w:sz w:val="28"/>
          <w:szCs w:val="28"/>
          <w:lang w:val="en-US"/>
        </w:rPr>
        <w:t>Muslim analysts believe that the real reason why there was a calculated ploy to prevent the hadith from being recorded was that there were innumerable hadith about the virtues of the household of the Prophet and their right to the leadership after the Holy Prophet’s death. Had these sayings circulated in written form amongst the predominant sahih books then they would have undermined the political legitimacy of the first three caliphs.</w:t>
      </w:r>
    </w:p>
    <w:p>
      <w:pPr>
        <w:pStyle w:val="BookText"/>
        <w:bidi w:val="0"/>
        <w:jc w:val="both"/>
        <w:rPr/>
      </w:pPr>
      <w:r>
        <w:rPr>
          <w:rFonts w:eastAsia="Times New Roman" w:cs="Times New Roman" w:ascii="Times New Roman" w:hAnsi="Times New Roman"/>
          <w:color w:val="111111"/>
          <w:sz w:val="28"/>
          <w:szCs w:val="28"/>
          <w:lang w:val="en-US"/>
        </w:rPr>
        <w:t>As a result, the sad reality developed that, although, the hadith are second only to the Qur’an in Islamic legislation, many authentic sayings of Prophet Muhammad were lost, while many others were forged.</w:t>
      </w:r>
    </w:p>
    <w:p>
      <w:pPr>
        <w:pStyle w:val="BookText"/>
        <w:bidi w:val="0"/>
        <w:jc w:val="both"/>
        <w:rPr/>
      </w:pPr>
      <w:r>
        <w:rPr>
          <w:rFonts w:eastAsia="Times New Roman" w:cs="Times New Roman" w:ascii="Times New Roman" w:hAnsi="Times New Roman"/>
          <w:color w:val="111111"/>
          <w:sz w:val="28"/>
          <w:szCs w:val="28"/>
          <w:lang w:val="en-US"/>
        </w:rPr>
        <w:t>The situation degenerated to the level where Mu’awiyah Ibn Abu Sufyan ordered Kab al-Ahbar to sit in the mosque and invent hadith to read to the people, and no one could disprove what he said because no written sources existed among those masses. It was not until the time of the Umayyah caliph, ‘Umar Ibn Abd al-Aziz (99 ah) that Muslims were allowed, for a short but unsuccessful period, to record the hadith.</w:t>
      </w:r>
      <w:r>
        <w:rPr>
          <w:rStyle w:val="FootnoteAnchor"/>
        </w:rPr>
        <w:footnoteReference w:id="1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tried to compile the hadith of the Prophet faced severe punishment and this state of affair lasted for more than a century - spanning from the periods of the first four</w:t>
      </w:r>
      <w:r>
        <w:rPr>
          <w:rStyle w:val="FootnoteAnchor"/>
        </w:rPr>
        <w:footnoteReference w:id="176"/>
      </w:r>
      <w:r>
        <w:rPr>
          <w:rFonts w:eastAsia="Times New Roman" w:cs="Times New Roman" w:ascii="Times New Roman" w:hAnsi="Times New Roman"/>
          <w:color w:val="111111"/>
          <w:sz w:val="28"/>
          <w:szCs w:val="28"/>
          <w:lang w:val="en-US"/>
        </w:rPr>
        <w:t>caliphs thru to the Bani Umayyah dynasty and until the time of Abu Ja’far al-Mansur of the Abbasid dynasty. Ironically, Mu’awiyah told the people, “Narrate less from the Prophet, and if you want to</w:t>
      </w:r>
      <w:bookmarkStart w:id="84" w:name="pg3581_21958"/>
    </w:p>
    <w:p>
      <w:pPr>
        <w:pStyle w:val="BookText"/>
        <w:bidi w:val="0"/>
        <w:rPr/>
      </w:pPr>
      <w:bookmarkEnd w:id="84"/>
      <w:r>
        <w:rPr>
          <w:rFonts w:eastAsia="Times New Roman" w:cs="Times New Roman" w:ascii="Times New Roman" w:hAnsi="Times New Roman"/>
          <w:color w:val="111111"/>
          <w:sz w:val="28"/>
          <w:szCs w:val="28"/>
          <w:lang w:val="en-US"/>
        </w:rPr>
        <w:t>mention a hadith from him, say what used to be said about him during the time of ‘Umar.”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reality, the policy of not writing hadith took form right before the death of the Prophet when ‘Umar prevented the Prophet from writing his will while the Messenger was on his deathbed, as recorded in prominent Sunni sources, ‘Umar proclaimed that, “The Book of Allah is enough for us.”</w:t>
      </w:r>
      <w:r>
        <w:rPr>
          <w:rStyle w:val="FootnoteAnchor"/>
        </w:rPr>
        <w:footnoteReference w:id="178"/>
      </w:r>
    </w:p>
    <w:p>
      <w:pPr>
        <w:pStyle w:val="Heading2"/>
        <w:numPr>
          <w:ilvl w:val="1"/>
          <w:numId w:val="1"/>
        </w:numPr>
        <w:bidi w:val="0"/>
        <w:jc w:val="left"/>
        <w:rPr/>
      </w:pPr>
      <w:bookmarkStart w:id="85" w:name="__RefHeading___Toc4074589_2749589250"/>
      <w:bookmarkStart w:id="86" w:name="_Toc33"/>
      <w:bookmarkEnd w:id="85"/>
      <w:r>
        <w:rPr/>
        <w:t>Chapter 8: Legacy of the Quraysh on the Hadith</w:t>
      </w:r>
      <w:bookmarkEnd w:id="86"/>
    </w:p>
    <w:p>
      <w:pPr>
        <w:pStyle w:val="Heading3"/>
        <w:numPr>
          <w:ilvl w:val="2"/>
          <w:numId w:val="1"/>
        </w:numPr>
        <w:bidi w:val="0"/>
        <w:jc w:val="left"/>
        <w:rPr/>
      </w:pPr>
      <w:bookmarkStart w:id="87" w:name="__RefHeading___Toc4074591_2749589250"/>
      <w:bookmarkStart w:id="88" w:name="_Toc34"/>
      <w:bookmarkEnd w:id="87"/>
      <w:r>
        <w:rPr/>
        <w:t>point</w:t>
      </w:r>
      <w:bookmarkEnd w:id="8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Truth has arrived, and falsehood has perished; verily falsehood by its nature perishes. (Holy Qur’an, 17:81)</w:t>
      </w:r>
    </w:p>
    <w:p>
      <w:pPr>
        <w:pStyle w:val="BookText"/>
        <w:bidi w:val="0"/>
        <w:jc w:val="both"/>
        <w:rPr/>
      </w:pPr>
      <w:r>
        <w:rPr>
          <w:rFonts w:eastAsia="Times New Roman" w:cs="Times New Roman" w:ascii="Times New Roman" w:hAnsi="Times New Roman"/>
          <w:color w:val="111111"/>
          <w:sz w:val="28"/>
          <w:szCs w:val="28"/>
          <w:lang w:val="en-US"/>
        </w:rPr>
        <w:t>The critical influence of the Quraysh group was not confined to the temporary prohibition of the compilation of hadith. This group and the Bani Umayyah came and went, however the results of their propaganda tactics survive until today in the invented practices that have found their way into the books of hadith.</w:t>
      </w:r>
    </w:p>
    <w:p>
      <w:pPr>
        <w:pStyle w:val="BookText"/>
        <w:bidi w:val="0"/>
        <w:jc w:val="both"/>
        <w:rPr/>
      </w:pPr>
      <w:r>
        <w:rPr>
          <w:rFonts w:eastAsia="Times New Roman" w:cs="Times New Roman" w:ascii="Times New Roman" w:hAnsi="Times New Roman"/>
          <w:color w:val="111111"/>
          <w:sz w:val="28"/>
          <w:szCs w:val="28"/>
          <w:lang w:val="en-US"/>
        </w:rPr>
        <w:t>Under the employment of the Bani Umayyah, individuals such as Abu Huraira al-Dusi and al-Mugheerah Ibn Shu’bah composed stories ridiculing the household of the Prophet and exaggerating other companions. They even attributed some false hadith to Imam ‘Ali. As a result, the sources of Islamic shariah (legal law) and legislation became tainted which lead to many people within the ummah becoming misinformed.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believe that if one rejects any hadith narrated in the six books of hadith called the Sahih as-Sittah (the six authentic books of hadith), then they are actually rejecting their faith. Few people realize that belief in the validity of these six sahih hadith books</w:t>
      </w:r>
    </w:p>
    <w:p>
      <w:pPr>
        <w:pStyle w:val="BookText"/>
        <w:bidi w:val="0"/>
        <w:rPr/>
      </w:pPr>
      <w:r>
        <w:rPr>
          <w:rFonts w:eastAsia="Times New Roman" w:cs="Times New Roman" w:ascii="Times New Roman" w:hAnsi="Times New Roman"/>
          <w:color w:val="111111"/>
          <w:sz w:val="28"/>
          <w:szCs w:val="28"/>
          <w:lang w:val="en-US"/>
        </w:rPr>
        <w:t>is not a prerequisite for faith and that another option does exist.</w:t>
      </w:r>
    </w:p>
    <w:p>
      <w:pPr>
        <w:pStyle w:val="BookText"/>
        <w:bidi w:val="0"/>
        <w:jc w:val="both"/>
        <w:rPr/>
      </w:pPr>
      <w:r>
        <w:rPr>
          <w:rFonts w:eastAsia="Times New Roman" w:cs="Times New Roman" w:ascii="Times New Roman" w:hAnsi="Times New Roman"/>
          <w:color w:val="111111"/>
          <w:sz w:val="28"/>
          <w:szCs w:val="28"/>
          <w:lang w:val="en-US"/>
        </w:rPr>
        <w:t>Where did all of these fabricated hadith come from? A major source is the man whom ‘Umar Ibn al-Khattab accused of stealing the wealth of the Muslims and called him “the enemy of Allah and the enemy of the Book of Allah”</w:t>
      </w:r>
      <w:r>
        <w:rPr>
          <w:rStyle w:val="FootnoteAnchor"/>
        </w:rPr>
        <w:footnoteReference w:id="179"/>
      </w:r>
      <w:r>
        <w:rPr>
          <w:rFonts w:eastAsia="Times New Roman" w:cs="Times New Roman" w:ascii="Times New Roman" w:hAnsi="Times New Roman"/>
          <w:color w:val="111111"/>
          <w:sz w:val="28"/>
          <w:szCs w:val="28"/>
          <w:lang w:val="en-US"/>
        </w:rPr>
        <w:t>and that man was Abu Huraira, who is known to have narrated over 5,700 hadith. In fact, in regards to him, ‘Umar said, “Most likely because of the abundance of the hadith you have delivered, you are lying about the Prophet.”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Abu Huraira used to tell stories in which the Prophet would say absurd things and when the Muslims stared at him dumbfounded, he would affirm, “I believe in this hadith, and so do Abu Bakr and ‘Umar.” By his own statement, he was implying that no one else had faith to believe in his narrations!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Abu Huraira was not the only person who composed his own hadith and attributed the sayings to Prophet Muhammad. Another prominent storyteller was ‘Amr Ibn al-Aas.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he who hates you, he will be cut off from prosterity (children).”(c. 108:3)</w:t>
      </w:r>
    </w:p>
    <w:p>
      <w:pPr>
        <w:pStyle w:val="BookText"/>
        <w:bidi w:val="0"/>
        <w:jc w:val="both"/>
        <w:rPr/>
      </w:pPr>
      <w:r>
        <w:rPr>
          <w:rFonts w:eastAsia="Times New Roman" w:cs="Times New Roman" w:ascii="Times New Roman" w:hAnsi="Times New Roman"/>
          <w:color w:val="111111"/>
          <w:sz w:val="28"/>
          <w:szCs w:val="28"/>
          <w:lang w:val="en-US"/>
        </w:rPr>
        <w:t>He was cursed by the Prophet when he was seen singing and drinking alcohol. Mu’awiyah appointed him to be the governor of Egypt and it was he who  fought against Imam ‘Ali in the Battle of Siffeen in 37 ah. He died in Egypt in 43 ah.</w:t>
      </w:r>
    </w:p>
    <w:p>
      <w:pPr>
        <w:pStyle w:val="BookText"/>
        <w:bidi w:val="0"/>
        <w:jc w:val="both"/>
        <w:rPr/>
      </w:pPr>
      <w:r>
        <w:rPr>
          <w:rFonts w:eastAsia="Times New Roman" w:cs="Times New Roman" w:ascii="Times New Roman" w:hAnsi="Times New Roman"/>
          <w:color w:val="111111"/>
          <w:sz w:val="28"/>
          <w:szCs w:val="28"/>
          <w:lang w:val="en-US"/>
        </w:rPr>
        <w:t>For example, ‘Amr Ibn al-Aas narrates that when Lady Aishah was asked who was the closest person to the heart of the Prophet, she said, “My father.” When asked who else, she said, “‘Umar,” and then after him, she named other people.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However, Lady Aishah had always maintained that amongst men, the closest person to the Prophet was ‘Ali Ibn Abi Talib, and that amongst the women it was his daughter, Lady Fatima al-Zahra.</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scholars who</w:t>
      </w:r>
      <w:bookmarkStart w:id="89" w:name="pg3581_21960"/>
    </w:p>
    <w:p>
      <w:pPr>
        <w:pStyle w:val="BookText"/>
        <w:bidi w:val="0"/>
        <w:rPr/>
      </w:pPr>
      <w:bookmarkEnd w:id="89"/>
      <w:r>
        <w:rPr>
          <w:rFonts w:eastAsia="Times New Roman" w:cs="Times New Roman" w:ascii="Times New Roman" w:hAnsi="Times New Roman"/>
          <w:color w:val="111111"/>
          <w:sz w:val="28"/>
          <w:szCs w:val="28"/>
          <w:lang w:val="en-US"/>
        </w:rPr>
        <w:t>carefully examine the sahih books would automatically question the authenticity of some of the problematic hadith. Of course, had the Bani Umayyah not begun the practice of forging their own hadith, then the entire science of hadith classification may never have developed. Nevertheless, since they did, the science of hadith classification was developed.</w:t>
      </w:r>
    </w:p>
    <w:p>
      <w:pPr>
        <w:pStyle w:val="BookText"/>
        <w:bidi w:val="0"/>
        <w:jc w:val="both"/>
        <w:rPr/>
      </w:pPr>
      <w:r>
        <w:rPr>
          <w:rFonts w:eastAsia="Times New Roman" w:cs="Times New Roman" w:ascii="Times New Roman" w:hAnsi="Times New Roman"/>
          <w:color w:val="111111"/>
          <w:sz w:val="28"/>
          <w:szCs w:val="28"/>
          <w:lang w:val="en-US"/>
        </w:rPr>
        <w:t>One of the primary principles, which both Sunni and Shi’a scholars use in the science of hadith, is that if one narrator in a chain of narrators is unreliable then all of his hadiths are meaningless.</w:t>
      </w:r>
      <w:r>
        <w:rPr>
          <w:rStyle w:val="FootnoteAnchor"/>
        </w:rPr>
        <w:footnoteReference w:id="183"/>
      </w:r>
      <w:r>
        <w:rPr>
          <w:rFonts w:eastAsia="Times New Roman" w:cs="Times New Roman" w:ascii="Times New Roman" w:hAnsi="Times New Roman"/>
          <w:color w:val="111111"/>
          <w:sz w:val="28"/>
          <w:szCs w:val="28"/>
          <w:lang w:val="en-US"/>
        </w:rPr>
        <w:t>In this case, why did the fables of Abu Huraira, and those that insulted the Prophet, remain in the sahih books? By their own inclusion of a few shortsighted narrators, these false and fabricated hadiths affected Muslim thought forever.</w:t>
      </w:r>
    </w:p>
    <w:p>
      <w:pPr>
        <w:pStyle w:val="Heading3"/>
        <w:numPr>
          <w:ilvl w:val="2"/>
          <w:numId w:val="1"/>
        </w:numPr>
        <w:bidi w:val="0"/>
        <w:jc w:val="left"/>
        <w:rPr/>
      </w:pPr>
      <w:bookmarkStart w:id="90" w:name="__RefHeading___Toc4074593_2749589250"/>
      <w:bookmarkStart w:id="91" w:name="_Toc35"/>
      <w:bookmarkEnd w:id="90"/>
      <w:r>
        <w:rPr/>
        <w:t>Hadith of the “Ten People Guaranteed Paradise”</w:t>
      </w:r>
      <w:bookmarkEnd w:id="91"/>
    </w:p>
    <w:p>
      <w:pPr>
        <w:pStyle w:val="BookText"/>
        <w:bidi w:val="0"/>
        <w:jc w:val="both"/>
        <w:rPr/>
      </w:pPr>
      <w:r>
        <w:rPr>
          <w:rFonts w:eastAsia="Times New Roman" w:cs="Times New Roman" w:ascii="Times New Roman" w:hAnsi="Times New Roman"/>
          <w:color w:val="111111"/>
          <w:sz w:val="28"/>
          <w:szCs w:val="28"/>
          <w:lang w:val="en-US"/>
        </w:rPr>
        <w:t>One of the most infamous hadith a fabrication is referred to as, “Ten People Guaranteed Paradise (al-Asharah Mubashsharah bil-Jannah).”</w:t>
      </w:r>
    </w:p>
    <w:p>
      <w:pPr>
        <w:pStyle w:val="BookText"/>
        <w:bidi w:val="0"/>
        <w:jc w:val="both"/>
        <w:rPr/>
      </w:pPr>
      <w:r>
        <w:rPr>
          <w:rFonts w:eastAsia="Times New Roman" w:cs="Times New Roman" w:ascii="Times New Roman" w:hAnsi="Times New Roman"/>
          <w:color w:val="111111"/>
          <w:sz w:val="28"/>
          <w:szCs w:val="28"/>
          <w:lang w:val="en-US"/>
        </w:rPr>
        <w:t>According to this hadith the “ten people guaranteed Paradise” are: (1) Abu Bakr Ibn Abi Qahafah (2) ‘Umar Ibn al-Khattab (3) ‘Uthman Ibn al-Affan (4) Talha Ibn Ubaydillah (5) Zubayr Ibn al-Awam (6) Abd al-Rahman Ibn Auf (7) Sa’d Ibn Abi Waqqas (8) Abdullah Ibn Masoud (9) Abu Obaydah Ibn al-Jarrah and (10) ‘Ali Ibn Abi Talib. Collectively granting them all paradise puts us in a great dilemma because many of these individuals are known for their questionable character.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only al-Tirmidhi includes this hadith, whereas al-Bukhari, al-Muslim, and al-Dhahabi all reject it.</w:t>
      </w:r>
      <w:r>
        <w:rPr>
          <w:rStyle w:val="FootnoteAnchor"/>
        </w:rPr>
        <w:footnoteReference w:id="184"/>
      </w:r>
      <w:r>
        <w:rPr>
          <w:rFonts w:eastAsia="Times New Roman" w:cs="Times New Roman" w:ascii="Times New Roman" w:hAnsi="Times New Roman"/>
          <w:color w:val="111111"/>
          <w:sz w:val="28"/>
          <w:szCs w:val="28"/>
          <w:lang w:val="en-US"/>
        </w:rPr>
        <w:t>It behooves us to ask why the other prominent hadith recorders did</w:t>
      </w:r>
    </w:p>
    <w:p>
      <w:pPr>
        <w:pStyle w:val="BookText"/>
        <w:bidi w:val="0"/>
        <w:rPr/>
      </w:pPr>
      <w:r>
        <w:rPr>
          <w:rFonts w:eastAsia="Times New Roman" w:cs="Times New Roman" w:ascii="Times New Roman" w:hAnsi="Times New Roman"/>
          <w:color w:val="111111"/>
          <w:sz w:val="28"/>
          <w:szCs w:val="28"/>
          <w:lang w:val="en-US"/>
        </w:rPr>
        <w:t>not mention this hadith, since being guaranteed Paradise assures that their course of life was traveled correctly. Then who narrated this “hadith?” Near the top of the chain of narrators lies Sa’ed Ibn Zayd, the son-in-law of the second caliph - a man who refused to pay allegiance to Imam ‘Ali during his caliphate.</w:t>
      </w:r>
    </w:p>
    <w:p>
      <w:pPr>
        <w:pStyle w:val="BookText"/>
        <w:bidi w:val="0"/>
        <w:jc w:val="both"/>
        <w:rPr/>
      </w:pPr>
      <w:r>
        <w:rPr>
          <w:rFonts w:eastAsia="Times New Roman" w:cs="Times New Roman" w:ascii="Times New Roman" w:hAnsi="Times New Roman"/>
          <w:color w:val="111111"/>
          <w:sz w:val="28"/>
          <w:szCs w:val="28"/>
          <w:lang w:val="en-US"/>
        </w:rPr>
        <w:t>Another point to consider is that those guaranteed Paradise should include those who sacrificed their lives and properties in the path of Allah, so why were not the hundreds of martyrs and companions included in this hadith? For example, the “Leader of the Martyrs (Sayyid al-Shuhada),” Hamzah, the uncle of the Holy Prophet is not included in this hadith, nor are any of the Ansar whom the Holy Prophet constantly praised.</w:t>
      </w:r>
    </w:p>
    <w:p>
      <w:pPr>
        <w:pStyle w:val="BookText"/>
        <w:bidi w:val="0"/>
        <w:jc w:val="both"/>
        <w:rPr/>
      </w:pPr>
      <w:r>
        <w:rPr>
          <w:rFonts w:eastAsia="Times New Roman" w:cs="Times New Roman" w:ascii="Times New Roman" w:hAnsi="Times New Roman"/>
          <w:color w:val="111111"/>
          <w:sz w:val="28"/>
          <w:szCs w:val="28"/>
          <w:lang w:val="en-US"/>
        </w:rPr>
        <w:t>Above that, to guarantee Paradise to Talha, Zubayr, Abd al-Rahman Ibn Auf, and ‘Uthman Ibn al-Affan would bring about a problem for several reasons. First, Talha, Zubayr, and Abd al-Rahman Ibn Auf used to call ‘Uthman a “fasiq” (indecent), and they eventually revolted against him during his caliphate. In addition, Talha and Zubayr pressed for a civil war by supporting and joining Lady Aishah in the Battle of the Camel, in which both of them were killed in the battle. Secondly, ‘Uthman and Abd al-Rahman Ibn Auf (whom ‘Umar nicknamed “the Pharaoh of this nation”</w:t>
      </w:r>
      <w:r>
        <w:rPr>
          <w:rStyle w:val="FootnoteAnchor"/>
        </w:rPr>
        <w:footnoteReference w:id="185"/>
      </w:r>
      <w:r>
        <w:rPr>
          <w:rFonts w:eastAsia="Times New Roman" w:cs="Times New Roman" w:ascii="Times New Roman" w:hAnsi="Times New Roman"/>
          <w:color w:val="111111"/>
          <w:sz w:val="28"/>
          <w:szCs w:val="28"/>
          <w:lang w:val="en-US"/>
        </w:rPr>
        <w:t>), after a falling out, did not speak to one another until death.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after ‘Uthman’s assassination, the Muslims were so angry with ‘Uthman that they did not allow for his body to be</w:t>
      </w:r>
      <w:bookmarkStart w:id="92" w:name="pg3581_21962"/>
    </w:p>
    <w:p>
      <w:pPr>
        <w:pStyle w:val="BookText"/>
        <w:bidi w:val="0"/>
        <w:rPr/>
      </w:pPr>
      <w:bookmarkEnd w:id="92"/>
      <w:r>
        <w:rPr>
          <w:rFonts w:eastAsia="Times New Roman" w:cs="Times New Roman" w:ascii="Times New Roman" w:hAnsi="Times New Roman"/>
          <w:color w:val="111111"/>
          <w:sz w:val="28"/>
          <w:szCs w:val="28"/>
          <w:lang w:val="en-US"/>
        </w:rPr>
        <w:t>buried in al-Baqi cemetery; hence, his remains were buried in the Jewish cemetery of Kokab.</w:t>
      </w:r>
      <w:r>
        <w:rPr>
          <w:rStyle w:val="FootnoteAnchor"/>
        </w:rPr>
        <w:footnoteReference w:id="186"/>
      </w:r>
      <w:r>
        <w:rPr>
          <w:rFonts w:eastAsia="Times New Roman" w:cs="Times New Roman" w:ascii="Times New Roman" w:hAnsi="Times New Roman"/>
          <w:color w:val="111111"/>
          <w:sz w:val="28"/>
          <w:szCs w:val="28"/>
          <w:lang w:val="en-US"/>
        </w:rPr>
        <w:t>He remained buried there until Mu’awiyah came to power and included him in the common cemetery of al-Baqi, in Madinah. To add, Sa’d Ibn Abi al-Waqqas refused to pay allegiance to Imam ‘Ali even when the rest of the ummah accepted him as their fourth caliph. Nevertheless, many Muslim leaders still cite this fabricated hadith, and many Muslims embrace it unquestioningly.</w:t>
      </w:r>
    </w:p>
    <w:p>
      <w:pPr>
        <w:pStyle w:val="Heading3"/>
        <w:numPr>
          <w:ilvl w:val="2"/>
          <w:numId w:val="1"/>
        </w:numPr>
        <w:bidi w:val="0"/>
        <w:jc w:val="left"/>
        <w:rPr/>
      </w:pPr>
      <w:bookmarkStart w:id="93" w:name="__RefHeading___Toc4074595_2749589250"/>
      <w:bookmarkStart w:id="94" w:name="_Toc36"/>
      <w:bookmarkEnd w:id="93"/>
      <w:r>
        <w:rPr/>
        <w:t>‘</w:t>
      </w:r>
      <w:r>
        <w:rPr/>
        <w:t>Umar Ibn al-Khattab</w:t>
      </w:r>
      <w:bookmarkEnd w:id="94"/>
    </w:p>
    <w:p>
      <w:pPr>
        <w:pStyle w:val="BookText"/>
        <w:bidi w:val="0"/>
        <w:jc w:val="both"/>
        <w:rPr/>
      </w:pPr>
      <w:r>
        <w:rPr>
          <w:rFonts w:eastAsia="Times New Roman" w:cs="Times New Roman" w:ascii="Times New Roman" w:hAnsi="Times New Roman"/>
          <w:color w:val="111111"/>
          <w:sz w:val="28"/>
          <w:szCs w:val="28"/>
          <w:lang w:val="en-US"/>
        </w:rPr>
        <w:t>Many of the fabricated hadith were introduced to provide religious legitimacy for the government of the caliphs. In fact, that could be seen as the primary motive for inventing hadith. For this reason, many posthumous narrations are recorded in praise of ‘Umar Ibn al-Khattab; some of which are attributed to the Prophet having said them, others to Imam ‘Ali, and some are attributed to various companions.</w:t>
      </w:r>
    </w:p>
    <w:p>
      <w:pPr>
        <w:pStyle w:val="BookText"/>
        <w:bidi w:val="0"/>
        <w:jc w:val="both"/>
        <w:rPr/>
      </w:pPr>
      <w:r>
        <w:rPr>
          <w:rFonts w:eastAsia="Times New Roman" w:cs="Times New Roman" w:ascii="Times New Roman" w:hAnsi="Times New Roman"/>
          <w:color w:val="111111"/>
          <w:sz w:val="28"/>
          <w:szCs w:val="28"/>
          <w:lang w:val="en-US"/>
        </w:rPr>
        <w:t>However, almost all of these hadith are flawed as either they contradict the Qur’an, the sunnah or other established facts, or one or more of their narrators are known to be unreliable, according to the standards of recognizing the hadith in the Sunni tradition.</w:t>
      </w:r>
    </w:p>
    <w:p>
      <w:pPr>
        <w:pStyle w:val="BookText"/>
        <w:bidi w:val="0"/>
        <w:jc w:val="both"/>
        <w:rPr/>
      </w:pPr>
      <w:r>
        <w:rPr>
          <w:rFonts w:eastAsia="Times New Roman" w:cs="Times New Roman" w:ascii="Times New Roman" w:hAnsi="Times New Roman"/>
          <w:color w:val="111111"/>
          <w:sz w:val="28"/>
          <w:szCs w:val="28"/>
          <w:lang w:val="en-US"/>
        </w:rPr>
        <w:t>Virtually all of the fabricated sayings in praise of ‘Umar appeared during the time of Bani Umayyah, particularly during the rule of Mu’awiyah Ibn Abu Sufyan, for obvious reasons, since the Bani Umayyah was attempting to consolidate their rule. In contrast, most of the reliable hadith about ‘Umar that appeared during his lifetime and have been included in the Sunni books are not overly favorable for him.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is recorded to have said about himself, “All people are more knowledgeable than ‘Umar, even the housewives.”</w:t>
      </w:r>
      <w:r>
        <w:rPr>
          <w:rStyle w:val="FootnoteAnchor"/>
        </w:rPr>
        <w:footnoteReference w:id="187"/>
      </w:r>
      <w:r>
        <w:rPr>
          <w:rFonts w:eastAsia="Times New Roman" w:cs="Times New Roman" w:ascii="Times New Roman" w:hAnsi="Times New Roman"/>
          <w:color w:val="111111"/>
          <w:sz w:val="28"/>
          <w:szCs w:val="28"/>
          <w:lang w:val="en-US"/>
        </w:rPr>
        <w:t>He asks, “Doesn’t it surprise you that your leader erred and a lady in his audience corrected him?”</w:t>
      </w:r>
      <w:r>
        <w:rPr>
          <w:rStyle w:val="FootnoteAnchor"/>
        </w:rPr>
        <w:footnoteReference w:id="188"/>
      </w:r>
      <w:r>
        <w:rPr>
          <w:rFonts w:eastAsia="Times New Roman" w:cs="Times New Roman" w:ascii="Times New Roman" w:hAnsi="Times New Roman"/>
          <w:color w:val="111111"/>
          <w:sz w:val="28"/>
          <w:szCs w:val="28"/>
          <w:lang w:val="en-US"/>
        </w:rPr>
        <w:t>He also spoke about himself saying, “All the people are more knowledgeable than you, ‘Umar.”</w:t>
      </w:r>
      <w:r>
        <w:rPr>
          <w:rStyle w:val="FootnoteAnchor"/>
        </w:rPr>
        <w:footnoteReference w:id="189"/>
      </w:r>
      <w:r>
        <w:rPr>
          <w:rFonts w:eastAsia="Times New Roman" w:cs="Times New Roman" w:ascii="Times New Roman" w:hAnsi="Times New Roman"/>
          <w:color w:val="111111"/>
          <w:sz w:val="28"/>
          <w:szCs w:val="28"/>
          <w:lang w:val="en-US"/>
        </w:rPr>
        <w:t>In regards to the claims of ‘Ali supposedly praising ‘Umar’s knowledge, Sunni and Shi’a agree that ‘Umar said, “If it were not for ‘Ali, ‘Umar would have perished.”</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From the viewpoint of other companions, “‘Umar Ibn al-Khattab took twelve years to learn Surah al-Baqarah, and when he learned it, he sacrificed a cow.”</w:t>
      </w:r>
      <w:r>
        <w:rPr>
          <w:rStyle w:val="FootnoteAnchor"/>
        </w:rPr>
        <w:footnoteReference w:id="191"/>
      </w:r>
      <w:r>
        <w:rPr>
          <w:rFonts w:eastAsia="Times New Roman" w:cs="Times New Roman" w:ascii="Times New Roman" w:hAnsi="Times New Roman"/>
          <w:color w:val="111111"/>
          <w:sz w:val="28"/>
          <w:szCs w:val="28"/>
          <w:lang w:val="en-US"/>
        </w:rPr>
        <w:t>One of the transcribers of the Qur’an, Ubay Ibn Ka’ab said to ‘Umar, “The reason for your lack of knowledge about the Qur’an is that the Qur’an was keeping me busy (with it), while you were busy in the marketplace.”</w:t>
      </w:r>
      <w:r>
        <w:rPr>
          <w:rStyle w:val="FootnoteAnchor"/>
        </w:rPr>
        <w:footnoteReference w:id="192"/>
      </w:r>
      <w:r>
        <w:rPr>
          <w:rFonts w:eastAsia="Times New Roman" w:cs="Times New Roman" w:ascii="Times New Roman" w:hAnsi="Times New Roman"/>
          <w:color w:val="111111"/>
          <w:sz w:val="28"/>
          <w:szCs w:val="28"/>
          <w:lang w:val="en-US"/>
        </w:rPr>
        <w:t>Al-Bayhaqi says, “Since the house of ‘Umar was far from the Mosque of the Prophet in the area of al-Awali, he used to go to the Mosque of the Prophet once every two days.”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Conversely, many unreliable hadith grossly exaggerate ‘Umar’s position and knowledge. One says, “If all of the knowledge of humanity was put on one side of a scale, and the knowledge of ‘Umar was put on the other, then the knowledge of ‘Umar would outweigh the knowledge belonging to all of humanity.”</w:t>
      </w:r>
      <w:r>
        <w:rPr>
          <w:rStyle w:val="FootnoteAnchor"/>
        </w:rPr>
        <w:footnoteReference w:id="1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hadith was true, then what would be the need for the Prophet if ‘Umar had all of this knowledge? Another “hadith”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an earthquake hit Madinah, and ‘Umar hit the ground with his stick and said, ‘Be calm, by the permission of Allah,’ and the earthquake ceased because ‘Umar told it to.”</w:t>
      </w:r>
      <w:r>
        <w:rPr>
          <w:rStyle w:val="FootnoteAnchor"/>
        </w:rPr>
        <w:footnoteReference w:id="195"/>
      </w:r>
      <w:r>
        <w:rPr>
          <w:rFonts w:eastAsia="Times New Roman" w:cs="Times New Roman" w:ascii="Times New Roman" w:hAnsi="Times New Roman"/>
          <w:color w:val="111111"/>
          <w:sz w:val="28"/>
          <w:szCs w:val="28"/>
          <w:lang w:val="en-US"/>
        </w:rPr>
        <w:t>Moreover, another “hadith” claims that the Prophet said, “If I had never been sent to you as a prophet, ‘Umar would have been sent by Allah as a prophet.”</w:t>
      </w:r>
      <w:r>
        <w:rPr>
          <w:rStyle w:val="FootnoteAnchor"/>
        </w:rPr>
        <w:footnoteReference w:id="196"/>
      </w:r>
      <w:r>
        <w:rPr>
          <w:rFonts w:eastAsia="Times New Roman" w:cs="Times New Roman" w:ascii="Times New Roman" w:hAnsi="Times New Roman"/>
          <w:color w:val="111111"/>
          <w:sz w:val="28"/>
          <w:szCs w:val="28"/>
          <w:lang w:val="en-US"/>
        </w:rPr>
        <w:t>One hadith goes as far as to state, “In the nations before us, there were some people whom the angels would talk to, and if there is one person in our ummah that one is ‘Umar.”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Although ‘Umar looked to ‘Ali for guidance during his caliphate, still ‘Ali is purported to have said, “We used to say there is an angel speaking through the tongue of ‘Umar.”</w:t>
      </w:r>
      <w:r>
        <w:rPr>
          <w:rStyle w:val="FootnoteAnchor"/>
        </w:rPr>
        <w:footnoteReference w:id="198"/>
      </w:r>
      <w:r>
        <w:rPr>
          <w:rFonts w:eastAsia="Times New Roman" w:cs="Times New Roman" w:ascii="Times New Roman" w:hAnsi="Times New Roman"/>
          <w:color w:val="111111"/>
          <w:sz w:val="28"/>
          <w:szCs w:val="28"/>
          <w:lang w:val="en-US"/>
        </w:rPr>
        <w:t>While hadith pointing to the realistic good qualities of the second caliph would not be out of the ordinary; nonetheless, these traditions go beyond the bounds of credibility and suggest that ‘Umar himself was higher than the Prophet was, and this is definitely an unacceptable belief.</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all hadith regarding the second caliph came out of nowhere. Some hadith were specifically introduced to either counterbalance or share a similar tone in praising Ahlul Bayt or the immediate household of the Prophet. For example, Sunni and Shi’a both agree that the Prophet said about his daughter, “Fatima is part of me. Whoever angers her angers me, and whoever angers me angers Allah.”</w:t>
      </w:r>
      <w:r>
        <w:rPr>
          <w:rStyle w:val="FootnoteAnchor"/>
        </w:rPr>
        <w:footnoteReference w:id="199"/>
      </w:r>
      <w:r>
        <w:rPr>
          <w:rFonts w:eastAsia="Times New Roman" w:cs="Times New Roman" w:ascii="Times New Roman" w:hAnsi="Times New Roman"/>
          <w:color w:val="111111"/>
          <w:sz w:val="28"/>
          <w:szCs w:val="28"/>
          <w:lang w:val="en-US"/>
        </w:rPr>
        <w:t>Therefore, the appearance of a similar hadith about ‘Umar is not surprising -</w:t>
      </w:r>
    </w:p>
    <w:p>
      <w:pPr>
        <w:pStyle w:val="BookText"/>
        <w:bidi w:val="0"/>
        <w:rPr/>
      </w:pPr>
      <w:r>
        <w:rPr>
          <w:rFonts w:eastAsia="Times New Roman" w:cs="Times New Roman" w:ascii="Times New Roman" w:hAnsi="Times New Roman"/>
          <w:color w:val="111111"/>
          <w:sz w:val="28"/>
          <w:szCs w:val="28"/>
          <w:lang w:val="en-US"/>
        </w:rPr>
        <w:t>it reads, “Avoid angering ‘Umar, for if he becomes angry, Allah will become angry.”</w:t>
      </w:r>
      <w:r>
        <w:rPr>
          <w:rStyle w:val="FootnoteAnchor"/>
        </w:rPr>
        <w:footnoteReference w:id="200"/>
      </w:r>
      <w:r>
        <w:rPr>
          <w:rFonts w:eastAsia="Times New Roman" w:cs="Times New Roman" w:ascii="Times New Roman" w:hAnsi="Times New Roman"/>
          <w:color w:val="111111"/>
          <w:sz w:val="28"/>
          <w:szCs w:val="28"/>
          <w:lang w:val="en-US"/>
        </w:rPr>
        <w:t>Regarding one of the narrators of this hadith, Abu Luqman Ibn Asakir says, “He narrates false narrations and attributes them to people who are honest and trustworthy.”</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Fortunately, many authentic hadith passed the test of time; nevertheless, numerous unfounded hadith remain. Moreover, such hadith continue to cause friction among the schools of thought. As an example, one fabrication that al-Dhahabi dismisses, in fact, he says, “This is a clear fabrication,” is the hadith that reports:</w:t>
      </w:r>
    </w:p>
    <w:p>
      <w:pPr>
        <w:pStyle w:val="BookText"/>
        <w:bidi w:val="0"/>
        <w:jc w:val="both"/>
        <w:rPr/>
      </w:pPr>
      <w:r>
        <w:rPr>
          <w:rFonts w:eastAsia="Times New Roman" w:cs="Times New Roman" w:ascii="Times New Roman" w:hAnsi="Times New Roman"/>
          <w:color w:val="111111"/>
          <w:sz w:val="28"/>
          <w:szCs w:val="28"/>
          <w:lang w:val="en-US"/>
        </w:rPr>
        <w:t>The first thing that Allah will embrace on the Day of Judgment is ‘Umar Ibn al-Khattab, and the first thing that Allah will shake hands with is ‘Umar Ibn al-Khattab, and the first who Allah will take his hand and go with him to Paradise is ‘Umar Ibn al-Khattab.</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Another instance of a clearly erroneous hadith in the established books comes to us by Ibn al-Atheer who relates from Muhammad Ibn Khaleel, who al-Atheer himself said that he, Khaleel fabricates hadith</w:t>
      </w:r>
      <w:r>
        <w:rPr>
          <w:rStyle w:val="FootnoteAnchor"/>
        </w:rPr>
        <w:footnoteReference w:id="203"/>
      </w:r>
      <w:r>
        <w:rPr>
          <w:rFonts w:eastAsia="Times New Roman" w:cs="Times New Roman" w:ascii="Times New Roman" w:hAnsi="Times New Roman"/>
          <w:color w:val="111111"/>
          <w:sz w:val="28"/>
          <w:szCs w:val="28"/>
          <w:lang w:val="en-US"/>
        </w:rPr>
        <w:t>states:</w:t>
      </w:r>
    </w:p>
    <w:p>
      <w:pPr>
        <w:pStyle w:val="BookText"/>
        <w:bidi w:val="0"/>
        <w:jc w:val="both"/>
        <w:rPr/>
      </w:pPr>
      <w:r>
        <w:rPr>
          <w:rFonts w:eastAsia="Times New Roman" w:cs="Times New Roman" w:ascii="Times New Roman" w:hAnsi="Times New Roman"/>
          <w:color w:val="111111"/>
          <w:sz w:val="28"/>
          <w:szCs w:val="28"/>
          <w:lang w:val="en-US"/>
        </w:rPr>
        <w:t>The Prophet climbed Mount Uhud with Abu Bakr, ‘Umar, and ‘Uthman. The mountain was shaking, so the Prophet kicked the mountain and said, “Stop it Uhud, climbing you are only a prophet, a siddiq (truthful person), and two shaheeds (martyrs).”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In Sahih al-Muslim, Ibn Abbas says: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died and was lying on his bed, people were coming and praying for him. I felt a man holding my shoulders from my back. I saw that the man was ‘Ali Ibn Abi Talib. He (‘Ali) began</w:t>
      </w:r>
    </w:p>
    <w:p>
      <w:pPr>
        <w:pStyle w:val="BookText"/>
        <w:bidi w:val="0"/>
        <w:rPr/>
      </w:pPr>
      <w:r>
        <w:rPr>
          <w:rFonts w:eastAsia="Times New Roman" w:cs="Times New Roman" w:ascii="Times New Roman" w:hAnsi="Times New Roman"/>
          <w:color w:val="111111"/>
          <w:sz w:val="28"/>
          <w:szCs w:val="28"/>
          <w:lang w:val="en-US"/>
        </w:rPr>
        <w:t>seeking forgiveness for ‘Umar and said, “I wish I could meet Allah with the same deeds that ‘Umar is meeting him with.” Then he continued to say, “I hope that Allah will gather you (‘Umar) with your two companions (the Prophet and Abu Bakr) because I always heard the Prophet say, “I came with Abu Bakr and ‘Umar; I left with Abu Bakr and ‘Umar.”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Since ‘Ali grew up side by side with the Prophet and spent virtually every moment with him, it is unlikely that the Prophet named others as being closer to him, especially since ‘Umar himself narrated that the Prophet said, “‘Ali is the guardian (mawla) of every male and female believer.”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Attempting to prove that ‘Umar was more insightful than the Prophet was someone related the following story:</w:t>
      </w:r>
    </w:p>
    <w:p>
      <w:pPr>
        <w:pStyle w:val="BookText"/>
        <w:bidi w:val="0"/>
        <w:jc w:val="both"/>
        <w:rPr/>
      </w:pPr>
      <w:r>
        <w:rPr>
          <w:rFonts w:eastAsia="Times New Roman" w:cs="Times New Roman" w:ascii="Times New Roman" w:hAnsi="Times New Roman"/>
          <w:color w:val="111111"/>
          <w:sz w:val="28"/>
          <w:szCs w:val="28"/>
          <w:lang w:val="en-US"/>
        </w:rPr>
        <w:t>One day, ‘Umar saw the Prophet ordering the Muslims to destroy the palm trees of Khaybar, so ‘Umar asked the Prophet to stop doing that. The Prophet listened to ‘Umar and asked the people not to cut down the palm trees of Khaybar.</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Unfortunately, this particular narration has been used to lower the status of the Prophet, whereas in fact, it is extremely unlikely that Allah would send His final Messenger, perfect him in every way, and then leave him in need of basic guidance.</w:t>
      </w:r>
    </w:p>
    <w:p>
      <w:pPr>
        <w:pStyle w:val="BookText"/>
        <w:bidi w:val="0"/>
        <w:jc w:val="both"/>
        <w:rPr/>
      </w:pPr>
      <w:r>
        <w:rPr>
          <w:rFonts w:eastAsia="Times New Roman" w:cs="Times New Roman" w:ascii="Times New Roman" w:hAnsi="Times New Roman"/>
          <w:color w:val="111111"/>
          <w:sz w:val="28"/>
          <w:szCs w:val="28"/>
          <w:lang w:val="en-US"/>
        </w:rPr>
        <w:t>In another peculiar myth: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Egypt was conquered during the time of ‘Umar Ibn al-Khattab, the people of Egypt came to the first governor, ‘Amr Ibn al-Aas. They told him, “We have a tradition regarding the Nile River. On</w:t>
      </w:r>
    </w:p>
    <w:p>
      <w:pPr>
        <w:pStyle w:val="BookText"/>
        <w:bidi w:val="0"/>
        <w:rPr/>
      </w:pPr>
      <w:r>
        <w:rPr>
          <w:rFonts w:eastAsia="Times New Roman" w:cs="Times New Roman" w:ascii="Times New Roman" w:hAnsi="Times New Roman"/>
          <w:color w:val="111111"/>
          <w:sz w:val="28"/>
          <w:szCs w:val="28"/>
          <w:lang w:val="en-US"/>
        </w:rPr>
        <w:t>the eleventh of this month, we find a virgin woman and after seeking her parents’ permission and satisfying them, we put the best clothing and ornaments on her, and then we throw her into the Nile. If we do not do this, then the river will not run.” ‘Amr Ibn al-Aas said, “No, this is against Islam, for this is injustice,” and he banned them from this act.</w:t>
      </w:r>
    </w:p>
    <w:p>
      <w:pPr>
        <w:pStyle w:val="BookText"/>
        <w:bidi w:val="0"/>
        <w:jc w:val="both"/>
        <w:rPr/>
      </w:pPr>
      <w:r>
        <w:rPr>
          <w:rFonts w:eastAsia="Times New Roman" w:cs="Times New Roman" w:ascii="Times New Roman" w:hAnsi="Times New Roman"/>
          <w:color w:val="111111"/>
          <w:sz w:val="28"/>
          <w:szCs w:val="28"/>
          <w:lang w:val="en-US"/>
        </w:rPr>
        <w:t>Since they did not throw a virgin woman into the Nile that year, it did not run and they had a drought so severe that they had to move (locations) due to a lack of water. When ‘Amr Ibn al-Aas saw this, he wrote to ‘Umar and asked him what to do. ‘Umar wrote a letter to the river and asked his governor to throw the letter into the river.</w:t>
      </w:r>
    </w:p>
    <w:p>
      <w:pPr>
        <w:pStyle w:val="BookText"/>
        <w:bidi w:val="0"/>
        <w:jc w:val="both"/>
        <w:rPr/>
      </w:pPr>
      <w:r>
        <w:rPr>
          <w:rFonts w:eastAsia="Times New Roman" w:cs="Times New Roman" w:ascii="Times New Roman" w:hAnsi="Times New Roman"/>
          <w:color w:val="111111"/>
          <w:sz w:val="28"/>
          <w:szCs w:val="28"/>
          <w:lang w:val="en-US"/>
        </w:rPr>
        <w:t>He wrote in the letter that he told the river, “If you are running by your own permission, then it is better that you do not run, but if you are running by the permission of Allah, then I ask that Allah make you run.” They threw the letter into the river, and suddenly the river began running.</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While many fabrications focus on ‘Umar, numerous others exist exaggerating the status of Abu Bakr and ‘Uthman and sadly belittling the Holy Prophet. For example, in Sahih al-Muslim: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thighs and legs were uncovered. Abu Bakr came, but the Prophet did not cover himself. ‘Umar came, but he also did not cover himself. But when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came, the Prophet sat and covered himself. When Lady Aishah asked him why he did that, the Prophet said, “Should I not be modest in front of a man that the angels are shy in front of?”</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This narration is not in concordance with the high moral character of the Prophet. Seeing as the Prophet described Islam as a religion of modesty; it is difficult to imagine that he himself would be violating his own description of the path that he taught.</w:t>
      </w:r>
    </w:p>
    <w:p>
      <w:pPr>
        <w:pStyle w:val="BookText"/>
        <w:bidi w:val="0"/>
        <w:jc w:val="both"/>
        <w:rPr/>
      </w:pPr>
      <w:r>
        <w:rPr>
          <w:rFonts w:eastAsia="Times New Roman" w:cs="Times New Roman" w:ascii="Times New Roman" w:hAnsi="Times New Roman"/>
          <w:color w:val="111111"/>
          <w:sz w:val="28"/>
          <w:szCs w:val="28"/>
          <w:lang w:val="en-US"/>
        </w:rPr>
        <w:t>Similarly, in Sahih al-Muslim it says:</w:t>
      </w:r>
    </w:p>
    <w:p>
      <w:pPr>
        <w:pStyle w:val="BookText"/>
        <w:bidi w:val="0"/>
        <w:jc w:val="both"/>
        <w:rPr/>
      </w:pPr>
      <w:r>
        <w:rPr>
          <w:rFonts w:eastAsia="Times New Roman" w:cs="Times New Roman" w:ascii="Times New Roman" w:hAnsi="Times New Roman"/>
          <w:color w:val="111111"/>
          <w:sz w:val="28"/>
          <w:szCs w:val="28"/>
          <w:lang w:val="en-US"/>
        </w:rPr>
        <w:t>One day, Lady Aishah was sitting next to the Prophet. Abu Bakr sought permission to enter while the Prophet was lying on his bed and Lady Aishah was sitting there. He came and the Prophet attended to Abu Bakr, and then Abu Bakr left. Then ‘Umar came and the Prophet attended to him. Then ‘Uthman came. When ‘Uthman came, the Prophet told Lady Aishah, “Cover yourself.” So she covered herself and the Prophet attended to ‘Uthman.</w:t>
      </w:r>
    </w:p>
    <w:p>
      <w:pPr>
        <w:pStyle w:val="BookText"/>
        <w:bidi w:val="0"/>
        <w:jc w:val="both"/>
        <w:rPr/>
      </w:pPr>
      <w:r>
        <w:rPr>
          <w:rFonts w:eastAsia="Times New Roman" w:cs="Times New Roman" w:ascii="Times New Roman" w:hAnsi="Times New Roman"/>
          <w:color w:val="111111"/>
          <w:sz w:val="28"/>
          <w:szCs w:val="28"/>
          <w:lang w:val="en-US"/>
        </w:rPr>
        <w:t xml:space="preserve">Then the Prophet turned to Lady Aishah and asked her, “Why were you not afraid when ‘Umar and Abu Bakr came like you were when ‘Uthman came?” She said, “Due to the fact that ‘Uthman is a man with shame (rajulun hayy), and if I had remained (uncovered), then he would not have come and asked for what he needed, and I did not want to deprive him of obtaining what he required.” </w:t>
      </w:r>
      <w:r>
        <w:rPr>
          <w:rStyle w:val="FootnoteAnchor"/>
        </w:rPr>
        <w:footnoteReference w:id="2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story narrates that Allah sent the Angel Gabriel to ask Abu Bakr, “Are you happy</w:t>
      </w:r>
    </w:p>
    <w:p>
      <w:pPr>
        <w:pStyle w:val="BookText"/>
        <w:bidi w:val="0"/>
        <w:rPr/>
      </w:pPr>
      <w:r>
        <w:rPr>
          <w:rFonts w:eastAsia="Times New Roman" w:cs="Times New Roman" w:ascii="Times New Roman" w:hAnsi="Times New Roman"/>
          <w:color w:val="111111"/>
          <w:sz w:val="28"/>
          <w:szCs w:val="28"/>
          <w:lang w:val="en-US"/>
        </w:rPr>
        <w:t>with Allah? You are poor, do you accept this poverty?” Abu Bakr replied, “Should I be angry with Allah? No, I am happy with my God’s decision. I am happy with my God’s decision. I am happy with my God’s decision.” Al-Suyuti says regarding this hadith, “It is strange and the chain of narrators is weak.”</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another hadith it says, “Allah ordered the angels to penetrate the skies just like Abu Bakr is penetrating the earth.” Regarding this claim, Ibn Kathir says, “This hadith is wrong and evil (munkaran jiddan).”</w:t>
      </w:r>
    </w:p>
    <w:p>
      <w:pPr>
        <w:pStyle w:val="BookText"/>
        <w:bidi w:val="0"/>
        <w:jc w:val="both"/>
        <w:rPr/>
      </w:pPr>
      <w:r>
        <w:rPr>
          <w:rFonts w:eastAsia="Times New Roman" w:cs="Times New Roman" w:ascii="Times New Roman" w:hAnsi="Times New Roman"/>
          <w:color w:val="111111"/>
          <w:sz w:val="28"/>
          <w:szCs w:val="28"/>
          <w:lang w:val="en-US"/>
        </w:rPr>
        <w:t>Al-Bukhari and Ahmad Ibn al-Hanbal relate that Lady Aishah said, “The Prophet was affected by magic by someone from Bani Zareeq named Lubayd Ibn al-Asal; and because of this spell, the Prophet would imagine that he had done something, but in fact he had not done it.”</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Despite the poor performance of certain companions during the military excursions, fabrications about their bravery became abundant. When asked who was the bravest of the companions, ‘Ali Ibn Abi Talib is said to have replied, “Abu Bakr - because on the day of Badr, we set up a tent for the Prophet, and we asked someone to stand next to him, so the mushrikeen (non-believers) would not attack him, none came forward except Abu Bakr. He raised his sword and stood there, thus he is the bravest person.”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Sunni historian, al-Tabari alludes to the unwillingness of Abu Bakr and ‘Umar to fight, in addition to their frequent fleeing away from battles, such as in</w:t>
      </w:r>
      <w:bookmarkStart w:id="95" w:name="pg3581_21970"/>
    </w:p>
    <w:p>
      <w:pPr>
        <w:pStyle w:val="BookText"/>
        <w:bidi w:val="0"/>
        <w:rPr/>
      </w:pPr>
      <w:bookmarkEnd w:id="95"/>
      <w:r>
        <w:rPr>
          <w:rFonts w:eastAsia="Times New Roman" w:cs="Times New Roman" w:ascii="Times New Roman" w:hAnsi="Times New Roman"/>
          <w:color w:val="111111"/>
          <w:sz w:val="28"/>
          <w:szCs w:val="28"/>
          <w:lang w:val="en-US"/>
        </w:rPr>
        <w:t>the Battle of Uhud and Hunain. Thus, the narrations that speak about their bravery are unjustifiable.</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Since Abu Bakr, ‘Umar, ‘Uthman, and Lady Aishah were the center of focus of such narrations, thus it may point to an element of untruth in them, since innumerable devoted companions, more than 100,000, aided the Prophet. Other books, such as Kitab al-Maghazi by al-Waqidi illustrates the same bias, mentioning ‘Umar Ibn al-Khattab in 166 pages, and Abu Bakr in 143 pages, while he mentions only a few times other great companions such as Ammar  Ibn Yasir, Musab Ibn Umair, Abdullah Ibn Masud, Khuzaymah Ibn Thabit, and Zayd Ibn al-Khattab (the brother of ‘Umar).</w:t>
      </w:r>
    </w:p>
    <w:p>
      <w:pPr>
        <w:pStyle w:val="Heading3"/>
        <w:numPr>
          <w:ilvl w:val="2"/>
          <w:numId w:val="1"/>
        </w:numPr>
        <w:bidi w:val="0"/>
        <w:jc w:val="left"/>
        <w:rPr/>
      </w:pPr>
      <w:bookmarkStart w:id="96" w:name="__RefHeading___Toc4074597_2749589250"/>
      <w:bookmarkStart w:id="97" w:name="_Toc37"/>
      <w:bookmarkEnd w:id="96"/>
      <w:r>
        <w:rPr/>
        <w:t>Fabrications Involving the Qur’an</w:t>
      </w:r>
      <w:bookmarkEnd w:id="97"/>
    </w:p>
    <w:p>
      <w:pPr>
        <w:pStyle w:val="BookText"/>
        <w:bidi w:val="0"/>
        <w:jc w:val="both"/>
        <w:rPr/>
      </w:pPr>
      <w:r>
        <w:rPr>
          <w:rFonts w:eastAsia="Times New Roman" w:cs="Times New Roman" w:ascii="Times New Roman" w:hAnsi="Times New Roman"/>
          <w:color w:val="111111"/>
          <w:sz w:val="28"/>
          <w:szCs w:val="28"/>
          <w:lang w:val="en-US"/>
        </w:rPr>
        <w:t>Some of the Umayyah clan went so far as to claim that some of the Qur’anic verses descended because of ‘Umar’s wishes, actions, and suggestions. For instance, al-Suyuti says:</w:t>
      </w:r>
    </w:p>
    <w:p>
      <w:pPr>
        <w:pStyle w:val="BookText"/>
        <w:bidi w:val="0"/>
        <w:jc w:val="both"/>
        <w:rPr/>
      </w:pPr>
      <w:r>
        <w:rPr>
          <w:rFonts w:eastAsia="Times New Roman" w:cs="Times New Roman" w:ascii="Times New Roman" w:hAnsi="Times New Roman"/>
          <w:color w:val="111111"/>
          <w:sz w:val="28"/>
          <w:szCs w:val="28"/>
          <w:lang w:val="en-US"/>
        </w:rPr>
        <w:t>When ‘Umar gave his opinion about something, the Qur’an would come with a verse supporting his opinion. Whenever there was a disagreement between the people and ‘Umar, the Qur’an came and supported what ‘Umar said... Allah supported ‘Umar and confirmed his views in 21 places in the Qur’an.</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Such narrations claim that because ‘Umar had instructed the Prophet not to seek forgiveness for the hypocrites that Allah revealed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seek forgiveness for them or not, Allah will never forgive them.” (9:80)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say that ‘Umar suggested to the Muslims to prepare themselves for the Battle of Badr, and the Qur’an came in support of ‘Umar’s idea. However, these reports ironically</w:t>
      </w:r>
      <w:bookmarkStart w:id="98" w:name="pg3581_21971"/>
    </w:p>
    <w:p>
      <w:pPr>
        <w:pStyle w:val="BookText"/>
        <w:bidi w:val="0"/>
        <w:rPr/>
      </w:pPr>
      <w:bookmarkEnd w:id="98"/>
      <w:r>
        <w:rPr>
          <w:rFonts w:eastAsia="Times New Roman" w:cs="Times New Roman" w:ascii="Times New Roman" w:hAnsi="Times New Roman"/>
          <w:color w:val="111111"/>
          <w:sz w:val="28"/>
          <w:szCs w:val="28"/>
          <w:lang w:val="en-US"/>
        </w:rPr>
        <w:t>neglect the fact that ‘Umar is recorded to have been against the military engagement for the Battle of Badr.</w:t>
      </w:r>
    </w:p>
    <w:p>
      <w:pPr>
        <w:pStyle w:val="BookText"/>
        <w:bidi w:val="0"/>
        <w:jc w:val="both"/>
        <w:rPr/>
      </w:pPr>
      <w:r>
        <w:rPr>
          <w:rFonts w:eastAsia="Times New Roman" w:cs="Times New Roman" w:ascii="Times New Roman" w:hAnsi="Times New Roman"/>
          <w:color w:val="111111"/>
          <w:sz w:val="28"/>
          <w:szCs w:val="28"/>
          <w:lang w:val="en-US"/>
        </w:rPr>
        <w:t>In addition, it is alleged that Allah revealed, “And whoever is the enemy of Allah and His angels and His Messengers and Gabriel and Michael, Lo! Allah is an enemy to those who reject faith,” (c. 2:98) because ‘Umar was defending the Angel Gabriel against a Jewish man who called the angel their enemy. Moreover, they maintain that the verse requiring people to seek permission before entering a person’s chamber also came at the request of ‘Umar.</w:t>
      </w:r>
      <w:r>
        <w:rPr>
          <w:rStyle w:val="FootnoteAnchor"/>
        </w:rPr>
        <w:footnoteReference w:id="215"/>
      </w:r>
      <w:r>
        <w:rPr>
          <w:rFonts w:eastAsia="Times New Roman" w:cs="Times New Roman" w:ascii="Times New Roman" w:hAnsi="Times New Roman"/>
          <w:color w:val="111111"/>
          <w:sz w:val="28"/>
          <w:szCs w:val="28"/>
          <w:lang w:val="en-US"/>
        </w:rPr>
        <w:t>These are all blatant tales trying to raise the status of ‘Umar.</w:t>
      </w:r>
    </w:p>
    <w:p>
      <w:pPr>
        <w:pStyle w:val="BookText"/>
        <w:bidi w:val="0"/>
        <w:jc w:val="both"/>
        <w:rPr/>
      </w:pPr>
      <w:r>
        <w:rPr>
          <w:rFonts w:eastAsia="Times New Roman" w:cs="Times New Roman" w:ascii="Times New Roman" w:hAnsi="Times New Roman"/>
          <w:color w:val="111111"/>
          <w:sz w:val="28"/>
          <w:szCs w:val="28"/>
          <w:lang w:val="en-US"/>
        </w:rPr>
        <w:t>Imam al-Nawawi attributes many verses to ‘Umar and says, “The Qur’an descended in conformance with ‘Umar in many places, such as the prisoners of Badr, the verse of hijab, the station of Ibrahim, and the prohibition of wine.”</w:t>
      </w:r>
      <w:r>
        <w:rPr>
          <w:rStyle w:val="FootnoteAnchor"/>
        </w:rPr>
        <w:footnoteReference w:id="216"/>
      </w:r>
      <w:r>
        <w:rPr>
          <w:rFonts w:eastAsia="Times New Roman" w:cs="Times New Roman" w:ascii="Times New Roman" w:hAnsi="Times New Roman"/>
          <w:color w:val="111111"/>
          <w:sz w:val="28"/>
          <w:szCs w:val="28"/>
          <w:lang w:val="en-US"/>
        </w:rPr>
        <w:t>However, the latter statement is extremely doubtful, since historians agree that ‘Umar gradually ceased drinking.</w:t>
      </w:r>
      <w:r>
        <w:rPr>
          <w:rStyle w:val="FootnoteAnchor"/>
        </w:rPr>
        <w:footnoteReference w:id="217"/>
      </w:r>
      <w:r>
        <w:rPr>
          <w:rFonts w:eastAsia="Times New Roman" w:cs="Times New Roman" w:ascii="Times New Roman" w:hAnsi="Times New Roman"/>
          <w:color w:val="111111"/>
          <w:sz w:val="28"/>
          <w:szCs w:val="28"/>
          <w:lang w:val="en-US"/>
        </w:rPr>
        <w:t>In fact, the final verse prohibiting alcohol was revealed after ‘Umar became drunk and injured the head of Abd al-Rahman Ibn Auf.</w:t>
      </w:r>
    </w:p>
    <w:p>
      <w:pPr>
        <w:pStyle w:val="Heading3"/>
        <w:numPr>
          <w:ilvl w:val="2"/>
          <w:numId w:val="1"/>
        </w:numPr>
        <w:bidi w:val="0"/>
        <w:jc w:val="left"/>
        <w:rPr/>
      </w:pPr>
      <w:bookmarkStart w:id="99" w:name="__RefHeading___Toc4074599_2749589250"/>
      <w:bookmarkStart w:id="100" w:name="_Toc38"/>
      <w:bookmarkEnd w:id="99"/>
      <w:r>
        <w:rPr/>
        <w:t>Hadith of the Twelve Successors</w:t>
      </w:r>
      <w:bookmarkEnd w:id="100"/>
    </w:p>
    <w:p>
      <w:pPr>
        <w:pStyle w:val="BookText"/>
        <w:bidi w:val="0"/>
        <w:jc w:val="both"/>
        <w:rPr/>
      </w:pPr>
      <w:r>
        <w:rPr>
          <w:rFonts w:eastAsia="Times New Roman" w:cs="Times New Roman" w:ascii="Times New Roman" w:hAnsi="Times New Roman"/>
          <w:color w:val="111111"/>
          <w:sz w:val="28"/>
          <w:szCs w:val="28"/>
          <w:lang w:val="en-US"/>
        </w:rPr>
        <w:t>In addition to the fabrication of hadith, the ruling powers also took the trouble to change well-known traditions. One in particular reinforces their legitimacy and is a well-known hadith transmitted amongst both the Sunni and the Shi’a schools of thought.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al-Muslim, Ahmad Ibn Hanbal, al-Tirmidhi, Abu Dawud, al-Tabarani, and Ibn Hajar all narrate the famous hadith which says, “The successors after me will be twelve, and all of them will</w:t>
      </w:r>
    </w:p>
    <w:p>
      <w:pPr>
        <w:pStyle w:val="BookText"/>
        <w:bidi w:val="0"/>
        <w:rPr/>
      </w:pPr>
      <w:r>
        <w:rPr>
          <w:rFonts w:eastAsia="Times New Roman" w:cs="Times New Roman" w:ascii="Times New Roman" w:hAnsi="Times New Roman"/>
          <w:color w:val="111111"/>
          <w:sz w:val="28"/>
          <w:szCs w:val="28"/>
          <w:lang w:val="en-US"/>
        </w:rPr>
        <w:t>be from Bani Hashim,”</w:t>
      </w:r>
      <w:r>
        <w:rPr>
          <w:rStyle w:val="FootnoteAnchor"/>
        </w:rPr>
        <w:footnoteReference w:id="218"/>
      </w:r>
      <w:r>
        <w:rPr>
          <w:rFonts w:eastAsia="Times New Roman" w:cs="Times New Roman" w:ascii="Times New Roman" w:hAnsi="Times New Roman"/>
          <w:color w:val="111111"/>
          <w:sz w:val="28"/>
          <w:szCs w:val="28"/>
          <w:lang w:val="en-US"/>
        </w:rPr>
        <w:t>except that in the sahih books, “Bani Hashim” has been changed to read “Quraysh.”</w:t>
      </w:r>
    </w:p>
    <w:p>
      <w:pPr>
        <w:pStyle w:val="BookText"/>
        <w:bidi w:val="0"/>
        <w:jc w:val="both"/>
        <w:rPr/>
      </w:pPr>
      <w:r>
        <w:rPr>
          <w:rFonts w:eastAsia="Times New Roman" w:cs="Times New Roman" w:ascii="Times New Roman" w:hAnsi="Times New Roman"/>
          <w:color w:val="111111"/>
          <w:sz w:val="28"/>
          <w:szCs w:val="28"/>
          <w:lang w:val="en-US"/>
        </w:rPr>
        <w:t>How did the change in the hadith happen? According to al-Muslim, the narrator Jabir Ibn S’Amrah reports:</w:t>
      </w:r>
    </w:p>
    <w:p>
      <w:pPr>
        <w:pStyle w:val="BookText"/>
        <w:bidi w:val="0"/>
        <w:jc w:val="both"/>
        <w:rPr/>
      </w:pPr>
      <w:r>
        <w:rPr>
          <w:rFonts w:eastAsia="Times New Roman" w:cs="Times New Roman" w:ascii="Times New Roman" w:hAnsi="Times New Roman"/>
          <w:color w:val="111111"/>
          <w:sz w:val="28"/>
          <w:szCs w:val="28"/>
          <w:lang w:val="en-US"/>
        </w:rPr>
        <w:t xml:space="preserve">I went with my father to see the Prophet and I heard him say that after him there would be twelve successors. Then he said something that I could not hear very well. I turned to my father and asked him, “What did the Prophet say?” My father said, “The Prophet said, ‘All of them will be from Quraysh.’”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Al-Bukhari relates the story somewhat differently, using the word “amir” (commander) instead of “khalifah”:</w:t>
      </w:r>
    </w:p>
    <w:p>
      <w:pPr>
        <w:pStyle w:val="BookText"/>
        <w:bidi w:val="0"/>
        <w:jc w:val="both"/>
        <w:rPr/>
      </w:pPr>
      <w:r>
        <w:rPr>
          <w:rFonts w:eastAsia="Times New Roman" w:cs="Times New Roman" w:ascii="Times New Roman" w:hAnsi="Times New Roman"/>
          <w:color w:val="111111"/>
          <w:sz w:val="28"/>
          <w:szCs w:val="28"/>
          <w:lang w:val="en-US"/>
        </w:rPr>
        <w:t>I heard the Prophet say that there will be twelve amirs, but then said something I could not hear. I asked the person sitting next to me what the Prophet said and he replied, “All of them are from Quraysh.”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Abu Dawud says:</w:t>
      </w:r>
    </w:p>
    <w:p>
      <w:pPr>
        <w:pStyle w:val="BookText"/>
        <w:bidi w:val="0"/>
        <w:jc w:val="both"/>
        <w:rPr/>
      </w:pPr>
      <w:r>
        <w:rPr>
          <w:rFonts w:eastAsia="Times New Roman" w:cs="Times New Roman" w:ascii="Times New Roman" w:hAnsi="Times New Roman"/>
          <w:color w:val="111111"/>
          <w:sz w:val="28"/>
          <w:szCs w:val="28"/>
          <w:lang w:val="en-US"/>
        </w:rPr>
        <w:t>When the Prophet said, “There will be twelve successors after me,” all the people began to do takbir (uttering “Allahu akbar”) and raised their voices while the Prophet was speaking. Therefore, I could not hear the Prophet because all of the people were saying takbir. So I asked my father, “What did the Prophet say after that?” He said, “All of them will be from Quraysh.”</w:t>
      </w:r>
      <w:r>
        <w:rPr>
          <w:rStyle w:val="FootnoteAnchor"/>
        </w:rPr>
        <w:footnoteReference w:id="2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simply relates that Jabir Ibn S’Amrah says, “I heard the Prophet saying, ‘This nation will have twelve successors,’</w:t>
      </w:r>
      <w:r>
        <w:rPr>
          <w:rStyle w:val="FootnoteAnchor"/>
        </w:rPr>
        <w:footnoteReference w:id="222"/>
      </w:r>
      <w:r>
        <w:rPr>
          <w:rFonts w:eastAsia="Times New Roman" w:cs="Times New Roman" w:ascii="Times New Roman" w:hAnsi="Times New Roman"/>
          <w:color w:val="111111"/>
          <w:sz w:val="28"/>
          <w:szCs w:val="28"/>
          <w:lang w:val="en-US"/>
        </w:rPr>
        <w:t>and ‘all of them will be from Quraysh.’”</w:t>
      </w:r>
      <w:r>
        <w:rPr>
          <w:rStyle w:val="FootnoteAnchor"/>
        </w:rPr>
        <w:footnoteReference w:id="223"/>
      </w:r>
      <w:r>
        <w:rPr>
          <w:rFonts w:eastAsia="Times New Roman" w:cs="Times New Roman" w:ascii="Times New Roman" w:hAnsi="Times New Roman"/>
          <w:color w:val="111111"/>
          <w:sz w:val="28"/>
          <w:szCs w:val="28"/>
          <w:lang w:val="en-US"/>
        </w:rPr>
        <w:t>Al-Tabarani includes the same hadith, only using the word “qayyim”</w:t>
      </w:r>
      <w:bookmarkStart w:id="101" w:name="pg3581_21973"/>
    </w:p>
    <w:p>
      <w:pPr>
        <w:pStyle w:val="BookText"/>
        <w:bidi w:val="0"/>
        <w:rPr/>
      </w:pPr>
      <w:bookmarkEnd w:id="101"/>
      <w:r>
        <w:rPr>
          <w:rFonts w:eastAsia="Times New Roman" w:cs="Times New Roman" w:ascii="Times New Roman" w:hAnsi="Times New Roman"/>
          <w:color w:val="111111"/>
          <w:sz w:val="28"/>
          <w:szCs w:val="28"/>
          <w:lang w:val="en-US"/>
        </w:rPr>
        <w:t>(guardian) instead of “khalifah.”</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However, Ibn Hajar points to the root of the matter and explains that Jabir Ibn S’Amrah was sitting and could not hear the Prophet clearly. He turned to the two people next to him; one of them was his father and the other was ‘Umar Ibn al-Khattab.</w:t>
      </w:r>
    </w:p>
    <w:p>
      <w:pPr>
        <w:pStyle w:val="BookText"/>
        <w:bidi w:val="0"/>
        <w:jc w:val="both"/>
        <w:rPr/>
      </w:pPr>
      <w:r>
        <w:rPr>
          <w:rFonts w:eastAsia="Times New Roman" w:cs="Times New Roman" w:ascii="Times New Roman" w:hAnsi="Times New Roman"/>
          <w:color w:val="111111"/>
          <w:sz w:val="28"/>
          <w:szCs w:val="28"/>
          <w:lang w:val="en-US"/>
        </w:rPr>
        <w:t>As the Prophet was speaking, the people were listening quietly. Suddenly, when he approached the subject of who was to succeed him, clamor broke out (described in the other reports as takbir). Few could hear the Prophet clearly. However, according to Ibn Hajar, a person was ready to relate what the Prophet had said, and that was ‘Umar Ibn al-Khattab - who as a key member of the Quraysh group had a strong interest in ensuring that the caliphate was not limited to the members of Bani Hashim.</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In addition, Sunni scholars have had difficulty interpreting this hadith, since their number of successors to the Prophet never reached twelve. Shi’a scholars on the other hand, maintain that this hadith relates to the twelve Imams whom they say the Prophet designated to succeed him, one after another, beginning with Imam ‘Ali Ibn Abi Talib and ending with Imam Muhammad al-Mahdi.</w:t>
      </w:r>
    </w:p>
    <w:p>
      <w:pPr>
        <w:pStyle w:val="Heading3"/>
        <w:numPr>
          <w:ilvl w:val="2"/>
          <w:numId w:val="1"/>
        </w:numPr>
        <w:bidi w:val="0"/>
        <w:jc w:val="left"/>
        <w:rPr/>
      </w:pPr>
      <w:bookmarkStart w:id="102" w:name="__RefHeading___Toc4074601_2749589250"/>
      <w:bookmarkStart w:id="103" w:name="_Toc39"/>
      <w:bookmarkEnd w:id="102"/>
      <w:r>
        <w:rPr/>
        <w:t>Where Did the Hadith Fictions Come From?</w:t>
      </w:r>
      <w:bookmarkEnd w:id="1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fabrication of hadith flourished due to the initial ban on the transcription of the hadith that lasted for one century. Had Abu Bakr and ‘Umar allowed the Muslims to write down the hadith, the Bani Umayyah would never have been able to attribute such lies to the Holy Prophet and his companions.</w:t>
      </w:r>
    </w:p>
    <w:p>
      <w:pPr>
        <w:pStyle w:val="BookText"/>
        <w:bidi w:val="0"/>
        <w:rPr/>
      </w:pPr>
      <w:r>
        <w:rPr>
          <w:rFonts w:eastAsia="Times New Roman" w:cs="Times New Roman" w:ascii="Times New Roman" w:hAnsi="Times New Roman"/>
          <w:color w:val="111111"/>
          <w:sz w:val="28"/>
          <w:szCs w:val="28"/>
          <w:lang w:val="en-US"/>
        </w:rPr>
        <w:t>Instead, the Bani Umayyah had free reign to encourage fabricators in their favor,</w:t>
      </w:r>
      <w:r>
        <w:rPr>
          <w:rStyle w:val="FootnoteAnchor"/>
        </w:rPr>
        <w:footnoteReference w:id="226"/>
      </w:r>
      <w:r>
        <w:rPr>
          <w:rFonts w:eastAsia="Times New Roman" w:cs="Times New Roman" w:ascii="Times New Roman" w:hAnsi="Times New Roman"/>
          <w:color w:val="111111"/>
          <w:sz w:val="28"/>
          <w:szCs w:val="28"/>
          <w:lang w:val="en-US"/>
        </w:rPr>
        <w:t>and in the words of Abu Jafar al-Iskafi:</w:t>
      </w:r>
    </w:p>
    <w:p>
      <w:pPr>
        <w:pStyle w:val="BookText"/>
        <w:bidi w:val="0"/>
        <w:jc w:val="both"/>
        <w:rPr/>
      </w:pPr>
      <w:r>
        <w:rPr>
          <w:rFonts w:eastAsia="Times New Roman" w:cs="Times New Roman" w:ascii="Times New Roman" w:hAnsi="Times New Roman"/>
          <w:color w:val="111111"/>
          <w:sz w:val="28"/>
          <w:szCs w:val="28"/>
          <w:lang w:val="en-US"/>
        </w:rPr>
        <w:t xml:space="preserve">Mu’awiyah Ibn Abu Sufyan encouraged and paid some of the sahabah and the tabieen (the second generation of the sahabah) to fabricate evil hadith against ‘Ali Ibn Abi Talib in order to slander, defame, vilify, and denounce him. He (Mu’awiyah) allocated an amount of money for them and they started inventing and creating these hadiths for him, which truly satisfied him. Among the fabricators were Abu Huraira, ‘Amr Ibn al-Aas, al-Mugheerah Ibn Shu’bah, and Urwah Ibn Zubayr. </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 prominent Sunni historian adds:</w:t>
      </w:r>
    </w:p>
    <w:p>
      <w:pPr>
        <w:pStyle w:val="BookText"/>
        <w:bidi w:val="0"/>
        <w:jc w:val="both"/>
        <w:rPr/>
      </w:pPr>
      <w:r>
        <w:rPr>
          <w:rFonts w:eastAsia="Times New Roman" w:cs="Times New Roman" w:ascii="Times New Roman" w:hAnsi="Times New Roman"/>
          <w:color w:val="111111"/>
          <w:sz w:val="28"/>
          <w:szCs w:val="28"/>
          <w:lang w:val="en-US"/>
        </w:rPr>
        <w:t xml:space="preserve">Mu’awiyah ordered all of his governors not to accept any testimony from the Shi’a of ‘Ali (followers of ‘Ali and the Ahlul Bayt). However, those who were the Shi’a of ‘Uthman (the followers of ‘Uthman and Bani Umayyah), were brought close, honored, paid, and their stories were documented until the virtues of ‘Uthman were plenty and widespread. Then Mu’awiyah realized that there were too many hadith in favor of ‘Uthman, so he said, “Go and from now on, say hadith in favor of the rest of the sahabah and the rest of the khalifah (Abu Bakr and ‘Umar), and whenever you find a hadith narrated by the Prophet in favor of ‘Ali, invent an identical one in favor of the sahabah. Remove from the public registry (diwan, list of salaries) whoever loves ‘Ali and his family, and do not pay him his salary and destroy his house.” </w:t>
      </w:r>
      <w:r>
        <w:rPr>
          <w:rStyle w:val="FootnoteAnchor"/>
        </w:rPr>
        <w:footnoteReference w:id="2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w:t>
      </w:r>
      <w:bookmarkStart w:id="104" w:name="pg3581_21975"/>
    </w:p>
    <w:p>
      <w:pPr>
        <w:pStyle w:val="BookText"/>
        <w:bidi w:val="0"/>
        <w:rPr/>
      </w:pPr>
      <w:bookmarkEnd w:id="104"/>
      <w:r>
        <w:rPr>
          <w:rFonts w:eastAsia="Times New Roman" w:cs="Times New Roman" w:ascii="Times New Roman" w:hAnsi="Times New Roman"/>
          <w:color w:val="111111"/>
          <w:sz w:val="28"/>
          <w:szCs w:val="28"/>
          <w:lang w:val="en-US"/>
        </w:rPr>
        <w:t>apparent, the Bani Umayyah were ready and willing to contradict the Qur’an, known hadith, and even exaggerate the qualities and stature of Abu Bakr, ‘Umar, and ‘Uthman for the sake of political gain. Regrettably, they undermined the credibility of the hadith by fabricating a new Islam and turning its history inside out.</w:t>
      </w:r>
    </w:p>
    <w:p>
      <w:pPr>
        <w:pStyle w:val="Heading2"/>
        <w:numPr>
          <w:ilvl w:val="1"/>
          <w:numId w:val="1"/>
        </w:numPr>
        <w:bidi w:val="0"/>
        <w:jc w:val="left"/>
        <w:rPr/>
      </w:pPr>
      <w:bookmarkStart w:id="105" w:name="__RefHeading___Toc4074603_2749589250"/>
      <w:bookmarkStart w:id="106" w:name="_Toc40"/>
      <w:bookmarkEnd w:id="105"/>
      <w:r>
        <w:rPr/>
        <w:t>Chapter 9: Arduous Truth</w:t>
      </w:r>
      <w:bookmarkEnd w:id="106"/>
    </w:p>
    <w:p>
      <w:pPr>
        <w:pStyle w:val="Heading3"/>
        <w:numPr>
          <w:ilvl w:val="2"/>
          <w:numId w:val="1"/>
        </w:numPr>
        <w:bidi w:val="0"/>
        <w:jc w:val="left"/>
        <w:rPr/>
      </w:pPr>
      <w:bookmarkStart w:id="107" w:name="__RefHeading___Toc4074605_2749589250"/>
      <w:bookmarkStart w:id="108" w:name="_Toc41"/>
      <w:bookmarkEnd w:id="107"/>
      <w:r>
        <w:rPr/>
        <w:t>point</w:t>
      </w:r>
      <w:bookmarkEnd w:id="108"/>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إِلَی رَبِّهِمْ مَرْجِعُهُمْ فَیُنَبِّئُهُمْ بِمَا کَانُوا یَعْمَلُونَ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end will they return to their Lord, and We shall then tell them the truth of all that they did. (Holy Qur’an, 6:108)</w:t>
      </w:r>
    </w:p>
    <w:p>
      <w:pPr>
        <w:pStyle w:val="BookText"/>
        <w:bidi w:val="0"/>
        <w:jc w:val="both"/>
        <w:rPr/>
      </w:pPr>
      <w:r>
        <w:rPr>
          <w:rFonts w:eastAsia="Times New Roman" w:cs="Times New Roman" w:ascii="Times New Roman" w:hAnsi="Times New Roman"/>
          <w:color w:val="111111"/>
          <w:sz w:val="28"/>
          <w:szCs w:val="28"/>
          <w:lang w:val="en-US"/>
        </w:rPr>
        <w:t>Often Shias are asked by their Sunni counterparts, “Why do you hate the companions (sahabahs)?” The question resembles that which is asked by some of the Americans to the Muslims post 9-11, “Why do you (Muslims) hate us (Americans)?”</w:t>
      </w:r>
    </w:p>
    <w:p>
      <w:pPr>
        <w:pStyle w:val="BookText"/>
        <w:bidi w:val="0"/>
        <w:jc w:val="both"/>
        <w:rPr/>
      </w:pPr>
      <w:r>
        <w:rPr>
          <w:rFonts w:eastAsia="Times New Roman" w:cs="Times New Roman" w:ascii="Times New Roman" w:hAnsi="Times New Roman"/>
          <w:color w:val="111111"/>
          <w:sz w:val="28"/>
          <w:szCs w:val="28"/>
          <w:lang w:val="en-US"/>
        </w:rPr>
        <w:t>The truth is that the Shi’a do not hate the companions (sahabahs) of the Prophet; however, there are some of them who did not merit becoming the leaders of the ummah - and for rightful reasons. I ask the reader to bear with me as I present forth the research in this chapter, which will bring a better understanding as to why the Shi’a are not too fond of certain companions.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primary beliefs in Sunni Islam is the sacredness of the sayings and deeds of the Holy Prophet’s companions (the sahabah). Even today, merely inferring that a particular companion said or did something is enough to engender complete and total respect for that companion, and his words and deeds, and unquestioning compliance with what he</w:t>
      </w:r>
      <w:bookmarkStart w:id="109" w:name="pg3581_21976"/>
    </w:p>
    <w:p>
      <w:pPr>
        <w:pStyle w:val="BookText"/>
        <w:bidi w:val="0"/>
        <w:rPr/>
      </w:pPr>
      <w:bookmarkEnd w:id="109"/>
      <w:r>
        <w:rPr>
          <w:rFonts w:eastAsia="Times New Roman" w:cs="Times New Roman" w:ascii="Times New Roman" w:hAnsi="Times New Roman"/>
          <w:color w:val="111111"/>
          <w:sz w:val="28"/>
          <w:szCs w:val="28"/>
          <w:lang w:val="en-US"/>
        </w:rPr>
        <w:t>or she said or did. For this reason, it is extremely important to investigate what exactly makes a person a sahabah of the Prophet. After all, thousands of people if not more, were in the presence of the Holy Prophet, and yet some of them were hypocrites and enemies of the Prophet according to the Qur’an;</w:t>
      </w:r>
      <w:r>
        <w:rPr>
          <w:rStyle w:val="FootnoteAnchor"/>
        </w:rPr>
        <w:footnoteReference w:id="229"/>
      </w:r>
      <w:r>
        <w:rPr>
          <w:rFonts w:eastAsia="Times New Roman" w:cs="Times New Roman" w:ascii="Times New Roman" w:hAnsi="Times New Roman"/>
          <w:color w:val="111111"/>
          <w:sz w:val="28"/>
          <w:szCs w:val="28"/>
          <w:lang w:val="en-US"/>
        </w:rPr>
        <w:t>therefore, how can they be relied upon?</w:t>
      </w:r>
    </w:p>
    <w:p>
      <w:pPr>
        <w:pStyle w:val="Heading3"/>
        <w:numPr>
          <w:ilvl w:val="2"/>
          <w:numId w:val="1"/>
        </w:numPr>
        <w:bidi w:val="0"/>
        <w:jc w:val="left"/>
        <w:rPr/>
      </w:pPr>
      <w:bookmarkStart w:id="110" w:name="__RefHeading___Toc4074607_2749589250"/>
      <w:bookmarkStart w:id="111" w:name="_Toc42"/>
      <w:bookmarkEnd w:id="110"/>
      <w:r>
        <w:rPr/>
        <w:t>Defining Sahabah</w:t>
      </w:r>
      <w:bookmarkEnd w:id="111"/>
    </w:p>
    <w:p>
      <w:pPr>
        <w:pStyle w:val="BookText"/>
        <w:bidi w:val="0"/>
        <w:jc w:val="both"/>
        <w:rPr/>
      </w:pPr>
      <w:r>
        <w:rPr>
          <w:rFonts w:eastAsia="Times New Roman" w:cs="Times New Roman" w:ascii="Times New Roman" w:hAnsi="Times New Roman"/>
          <w:color w:val="111111"/>
          <w:sz w:val="28"/>
          <w:szCs w:val="28"/>
          <w:lang w:val="en-US"/>
        </w:rPr>
        <w:t>Al-Qaamus al-Muhit is the work of a prominent Sunni scholar and linguist; he defines sahabah as “al-muasharah wa al-mulazimah,” which means living together or associating together inseparably. Raghib al-Isfahani says, “This term applies only to the one who is constantly and continuously in companionship (with another person).”</w:t>
      </w:r>
      <w:r>
        <w:rPr>
          <w:rStyle w:val="FootnoteAnchor"/>
        </w:rPr>
        <w:footnoteReference w:id="230"/>
      </w:r>
      <w:r>
        <w:rPr>
          <w:rFonts w:eastAsia="Times New Roman" w:cs="Times New Roman" w:ascii="Times New Roman" w:hAnsi="Times New Roman"/>
          <w:color w:val="111111"/>
          <w:sz w:val="28"/>
          <w:szCs w:val="28"/>
          <w:lang w:val="en-US"/>
        </w:rPr>
        <w:t>Therefore, according to these definitions, a companion of the Prophet would be someone who associated very closely with him, regardless of whether he was a Muslim or a non-Muslim, righteous or unrighteous, and whether he believed or disbelieved in him.</w:t>
      </w:r>
    </w:p>
    <w:p>
      <w:pPr>
        <w:pStyle w:val="BookText"/>
        <w:bidi w:val="0"/>
        <w:jc w:val="both"/>
        <w:rPr/>
      </w:pPr>
      <w:r>
        <w:rPr>
          <w:rFonts w:eastAsia="Times New Roman" w:cs="Times New Roman" w:ascii="Times New Roman" w:hAnsi="Times New Roman"/>
          <w:color w:val="111111"/>
          <w:sz w:val="28"/>
          <w:szCs w:val="28"/>
          <w:lang w:val="en-US"/>
        </w:rPr>
        <w:t>However, Islamic jurists (usuliyun) unanimously agree that for someone to bear the title of “companion,” he or she must have been Muslim and must have accompanied the Prophet for a long period (tallat mujalasatuhu), while listening attentively to him and learning from him, not just merely visiting him or learning from or about his knowledge.</w:t>
      </w:r>
      <w:r>
        <w:rPr>
          <w:rStyle w:val="FootnoteAnchor"/>
        </w:rPr>
        <w:footnoteReference w:id="2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Muhaddithun (school of Narrators) defines “companion” as being “every Muslim who saw the Prophet.”</w:t>
      </w:r>
      <w:r>
        <w:rPr>
          <w:rStyle w:val="FootnoteAnchor"/>
        </w:rPr>
        <w:footnoteReference w:id="232"/>
      </w:r>
      <w:r>
        <w:rPr>
          <w:rFonts w:eastAsia="Times New Roman" w:cs="Times New Roman" w:ascii="Times New Roman" w:hAnsi="Times New Roman"/>
          <w:color w:val="111111"/>
          <w:sz w:val="28"/>
          <w:szCs w:val="28"/>
          <w:lang w:val="en-US"/>
        </w:rPr>
        <w:t>Some scholars define it as, “any Muslim who lived during the time of the Prophet even if he did not see the Prophet.”</w:t>
      </w:r>
      <w:r>
        <w:rPr>
          <w:rStyle w:val="FootnoteAnchor"/>
        </w:rPr>
        <w:footnoteReference w:id="233"/>
      </w:r>
      <w:r>
        <w:rPr>
          <w:rFonts w:eastAsia="Times New Roman" w:cs="Times New Roman" w:ascii="Times New Roman" w:hAnsi="Times New Roman"/>
          <w:color w:val="111111"/>
          <w:sz w:val="28"/>
          <w:szCs w:val="28"/>
          <w:lang w:val="en-US"/>
        </w:rPr>
        <w:t>Still other narrators further expanded the definition of “companion” to</w:t>
      </w:r>
      <w:bookmarkStart w:id="112" w:name="pg3581_21977"/>
    </w:p>
    <w:p>
      <w:pPr>
        <w:pStyle w:val="BookText"/>
        <w:bidi w:val="0"/>
        <w:rPr/>
      </w:pPr>
      <w:bookmarkEnd w:id="112"/>
      <w:r>
        <w:rPr>
          <w:rFonts w:eastAsia="Times New Roman" w:cs="Times New Roman" w:ascii="Times New Roman" w:hAnsi="Times New Roman"/>
          <w:color w:val="111111"/>
          <w:sz w:val="28"/>
          <w:szCs w:val="28"/>
          <w:lang w:val="en-US"/>
        </w:rPr>
        <w:t>encompass every Muslim who met the Prophet and believed in him, and then apostatized and then reverted to Islam.</w:t>
      </w:r>
      <w:r>
        <w:rPr>
          <w:rStyle w:val="FootnoteAnchor"/>
        </w:rPr>
        <w:footnoteReference w:id="234"/>
      </w:r>
    </w:p>
    <w:p>
      <w:pPr>
        <w:pStyle w:val="Heading3"/>
        <w:numPr>
          <w:ilvl w:val="2"/>
          <w:numId w:val="1"/>
        </w:numPr>
        <w:bidi w:val="0"/>
        <w:jc w:val="left"/>
        <w:rPr/>
      </w:pPr>
      <w:bookmarkStart w:id="113" w:name="__RefHeading___Toc4074609_2749589250"/>
      <w:bookmarkStart w:id="114" w:name="_Toc43"/>
      <w:bookmarkEnd w:id="113"/>
      <w:r>
        <w:rPr/>
        <w:t>How the Sahabahs Define “Companionship”</w:t>
      </w:r>
      <w:bookmarkEnd w:id="114"/>
    </w:p>
    <w:p>
      <w:pPr>
        <w:pStyle w:val="Heading4"/>
        <w:numPr>
          <w:ilvl w:val="3"/>
          <w:numId w:val="1"/>
        </w:numPr>
        <w:bidi w:val="0"/>
        <w:jc w:val="left"/>
        <w:rPr/>
      </w:pPr>
      <w:bookmarkStart w:id="115" w:name="__RefHeading___Toc4074611_2749589250"/>
      <w:bookmarkStart w:id="116" w:name="_Toc44"/>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In the earlier years of Islam, the Muslim ummah itself divided themselves into three categories in regards to how they viewed the sahabah:</w:t>
      </w:r>
    </w:p>
    <w:p>
      <w:pPr>
        <w:pStyle w:val="Heading4"/>
        <w:numPr>
          <w:ilvl w:val="3"/>
          <w:numId w:val="1"/>
        </w:numPr>
        <w:bidi w:val="0"/>
        <w:jc w:val="left"/>
        <w:rPr/>
      </w:pPr>
      <w:bookmarkStart w:id="117" w:name="__RefHeading___Toc4074613_2749589250"/>
      <w:bookmarkStart w:id="118" w:name="_Toc45"/>
      <w:bookmarkEnd w:id="117"/>
      <w:r>
        <w:rPr/>
        <w:t>(1) Al-Firqa al-Kamiliyah and the Ghulat</w:t>
      </w:r>
      <w:bookmarkEnd w:id="118"/>
    </w:p>
    <w:p>
      <w:pPr>
        <w:pStyle w:val="BookText"/>
        <w:bidi w:val="0"/>
        <w:jc w:val="both"/>
        <w:rPr/>
      </w:pPr>
      <w:r>
        <w:rPr>
          <w:rFonts w:eastAsia="Times New Roman" w:cs="Times New Roman" w:ascii="Times New Roman" w:hAnsi="Times New Roman"/>
          <w:color w:val="111111"/>
          <w:sz w:val="28"/>
          <w:szCs w:val="28"/>
          <w:lang w:val="en-US"/>
        </w:rPr>
        <w:t>Al-Firqa al-Kamiliyah</w:t>
      </w:r>
      <w:r>
        <w:rPr>
          <w:rStyle w:val="FootnoteAnchor"/>
        </w:rPr>
        <w:footnoteReference w:id="235"/>
      </w:r>
      <w:r>
        <w:rPr>
          <w:rFonts w:eastAsia="Times New Roman" w:cs="Times New Roman" w:ascii="Times New Roman" w:hAnsi="Times New Roman"/>
          <w:color w:val="111111"/>
          <w:sz w:val="28"/>
          <w:szCs w:val="28"/>
          <w:lang w:val="en-US"/>
        </w:rPr>
        <w:t>and the Ghulat</w:t>
      </w:r>
      <w:r>
        <w:rPr>
          <w:rStyle w:val="FootnoteAnchor"/>
        </w:rPr>
        <w:footnoteReference w:id="236"/>
      </w:r>
      <w:r>
        <w:rPr>
          <w:rFonts w:eastAsia="Times New Roman" w:cs="Times New Roman" w:ascii="Times New Roman" w:hAnsi="Times New Roman"/>
          <w:color w:val="111111"/>
          <w:sz w:val="28"/>
          <w:szCs w:val="28"/>
          <w:lang w:val="en-US"/>
        </w:rPr>
        <w:t>were a minority sect of Muslims that attributed kufr (apostasy) to all of the companions. This view is of course, completely rejected by all modern scholars of Islam, in both the Sunni and Shi’a traditions.</w:t>
      </w:r>
    </w:p>
    <w:p>
      <w:pPr>
        <w:pStyle w:val="Heading4"/>
        <w:numPr>
          <w:ilvl w:val="3"/>
          <w:numId w:val="1"/>
        </w:numPr>
        <w:bidi w:val="0"/>
        <w:jc w:val="left"/>
        <w:rPr/>
      </w:pPr>
      <w:bookmarkStart w:id="119" w:name="__RefHeading___Toc4074615_2749589250"/>
      <w:bookmarkStart w:id="120" w:name="_Toc46"/>
      <w:bookmarkEnd w:id="119"/>
      <w:r>
        <w:rPr/>
        <w:t>(2) Adalat al-Sahabah, Integrity of the Companions</w:t>
      </w:r>
      <w:bookmarkEnd w:id="120"/>
    </w:p>
    <w:p>
      <w:pPr>
        <w:pStyle w:val="BookText"/>
        <w:bidi w:val="0"/>
        <w:jc w:val="both"/>
        <w:rPr/>
      </w:pPr>
      <w:r>
        <w:rPr>
          <w:rFonts w:eastAsia="Times New Roman" w:cs="Times New Roman" w:ascii="Times New Roman" w:hAnsi="Times New Roman"/>
          <w:color w:val="111111"/>
          <w:sz w:val="28"/>
          <w:szCs w:val="28"/>
          <w:lang w:val="en-US"/>
        </w:rPr>
        <w:t>This group attributed absolute adalah (integrity) to all of the companions; this is the commonly held view within the Sunni tradition. For example, Al-Khatib al-Baghdadi says, “The justness of the sahabah is proven and firmly established (thabitatun malumah).”</w:t>
      </w:r>
      <w:r>
        <w:rPr>
          <w:rStyle w:val="FootnoteAnchor"/>
        </w:rPr>
        <w:footnoteReference w:id="237"/>
      </w:r>
      <w:r>
        <w:rPr>
          <w:rFonts w:eastAsia="Times New Roman" w:cs="Times New Roman" w:ascii="Times New Roman" w:hAnsi="Times New Roman"/>
          <w:color w:val="111111"/>
          <w:sz w:val="28"/>
          <w:szCs w:val="28"/>
          <w:lang w:val="en-US"/>
        </w:rPr>
        <w:t>Ibn Hazm says, “Undoubtedly, all of the companions are among the people of Paradise.”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Nevertheless, many prominent jurists and scholars in the Sunni tradition reject this idea of the absolute righteousness of all of the companions, and they include: al-Sa’d al-Tafatahzani, al-Marizi, and al-Shawqani,</w:t>
      </w:r>
      <w:r>
        <w:rPr>
          <w:rStyle w:val="FootnoteAnchor"/>
        </w:rPr>
        <w:footnoteReference w:id="239"/>
      </w:r>
      <w:r>
        <w:rPr>
          <w:rFonts w:eastAsia="Times New Roman" w:cs="Times New Roman" w:ascii="Times New Roman" w:hAnsi="Times New Roman"/>
          <w:color w:val="111111"/>
          <w:sz w:val="28"/>
          <w:szCs w:val="28"/>
          <w:lang w:val="en-US"/>
        </w:rPr>
        <w:t>as well as scholars from a later generation, such as Sheikh Muhammad Abduh, Sheikh Mahmud Abu Riyah, and others.</w:t>
      </w:r>
      <w:r>
        <w:rPr>
          <w:rStyle w:val="FootnoteAnchor"/>
        </w:rPr>
        <w:footnoteReference w:id="240"/>
      </w:r>
      <w:r>
        <w:rPr>
          <w:rFonts w:eastAsia="Times New Roman" w:cs="Times New Roman" w:ascii="Times New Roman" w:hAnsi="Times New Roman"/>
          <w:color w:val="111111"/>
          <w:sz w:val="28"/>
          <w:szCs w:val="28"/>
          <w:lang w:val="en-US"/>
        </w:rPr>
        <w:t>They argued that the companions were not infallible, and thus there were the righteous and the unrighteous individuals amongst their ranks.</w:t>
      </w:r>
    </w:p>
    <w:p>
      <w:pPr>
        <w:pStyle w:val="Heading4"/>
        <w:numPr>
          <w:ilvl w:val="3"/>
          <w:numId w:val="1"/>
        </w:numPr>
        <w:bidi w:val="0"/>
        <w:jc w:val="left"/>
        <w:rPr/>
      </w:pPr>
      <w:bookmarkStart w:id="121" w:name="__RefHeading___Toc4074617_2749589250"/>
      <w:bookmarkStart w:id="122" w:name="_Toc47"/>
      <w:bookmarkEnd w:id="121"/>
      <w:r>
        <w:rPr/>
        <w:t>(3) The Qur’an, the Prophet, and the Ahlul Bayt</w:t>
      </w:r>
      <w:bookmarkEnd w:id="122"/>
    </w:p>
    <w:p>
      <w:pPr>
        <w:pStyle w:val="BookText"/>
        <w:bidi w:val="0"/>
        <w:jc w:val="both"/>
        <w:rPr/>
      </w:pPr>
      <w:r>
        <w:rPr>
          <w:rFonts w:eastAsia="Times New Roman" w:cs="Times New Roman" w:ascii="Times New Roman" w:hAnsi="Times New Roman"/>
          <w:color w:val="111111"/>
          <w:sz w:val="28"/>
          <w:szCs w:val="28"/>
          <w:lang w:val="en-US"/>
        </w:rPr>
        <w:t>The Qur’an does not guarantee automatic righteousness to all of the Prophet’s companions, nor does it grant all of them entrance into Paradise. Many of the righteous companions are praised and honored in the Qur’an, while others have been criticized - even cursed. The Qur’an says,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Round about you [Muhammad and his</w:t>
      </w:r>
    </w:p>
    <w:p>
      <w:pPr>
        <w:pStyle w:val="BookText"/>
        <w:bidi w:val="0"/>
        <w:rPr/>
      </w:pPr>
      <w:r>
        <w:rPr>
          <w:rFonts w:eastAsia="Times New Roman" w:cs="Times New Roman" w:ascii="Times New Roman" w:hAnsi="Times New Roman"/>
          <w:color w:val="111111"/>
          <w:sz w:val="28"/>
          <w:szCs w:val="28"/>
          <w:lang w:val="en-US"/>
        </w:rPr>
        <w:t>community] and among you in Madinah are hypocrites and they are obstinate in hypocrisy. You do not know them, We know them, twice shall We punish them and in addition they shall be sent to a grievous penalty.” (9:101)</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Muhammad is not but an apostle, (other) apostles have already passed away prior to him; therefore, if he dies or is slain, will you turn upon your heels? And he who turns upon his heels will by no means do harm to God in the least, and soon will God reward the grateful ones.” (3:144)</w:t>
      </w:r>
    </w:p>
    <w:p>
      <w:pPr>
        <w:pStyle w:val="BookText"/>
        <w:bidi w:val="0"/>
        <w:jc w:val="both"/>
        <w:rPr/>
      </w:pPr>
      <w:r>
        <w:rPr>
          <w:rFonts w:eastAsia="Times New Roman" w:cs="Times New Roman" w:ascii="Times New Roman" w:hAnsi="Times New Roman"/>
          <w:color w:val="111111"/>
          <w:sz w:val="28"/>
          <w:szCs w:val="28"/>
          <w:lang w:val="en-US"/>
        </w:rPr>
        <w:t>These and others verses, such as those found in Surah al-Tawbah (Repentance) and Surah al-Munafiqun (The Hypocrites) indicate that a group of hypocrites existed among the companions of the Prophet. Thus, according to the Qur’an, a group of companions was composed of the righteous and the unrighteous, the believers and the hypocrites, and although companionship was a great honor, it did not ensure immunity from error and this view has been adopted by the Shi’a scholars as well.</w:t>
      </w:r>
    </w:p>
    <w:p>
      <w:pPr>
        <w:pStyle w:val="BookText"/>
        <w:bidi w:val="0"/>
        <w:jc w:val="both"/>
        <w:rPr/>
      </w:pPr>
      <w:r>
        <w:rPr>
          <w:rFonts w:eastAsia="Times New Roman" w:cs="Times New Roman" w:ascii="Times New Roman" w:hAnsi="Times New Roman"/>
          <w:color w:val="111111"/>
          <w:sz w:val="28"/>
          <w:szCs w:val="28"/>
          <w:lang w:val="en-US"/>
        </w:rPr>
        <w:t>In many of the hadith, the companions themselves rejected each other or refuted what other companions said. As for the leaders of the Islamic schools of thought, Imam Abu Hanifah is known to have said that all of the companions were pure except for a few, and he mentioned some of their names.</w:t>
      </w:r>
      <w:r>
        <w:rPr>
          <w:rStyle w:val="FootnoteAnchor"/>
        </w:rPr>
        <w:footnoteReference w:id="2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Malik Ibn Anas was asked what to do when two narrators relate contradictory hadith from the Prophet and whether both should be</w:t>
      </w:r>
      <w:bookmarkStart w:id="123" w:name="pg3581_21979"/>
    </w:p>
    <w:p>
      <w:pPr>
        <w:pStyle w:val="BookText"/>
        <w:bidi w:val="0"/>
        <w:rPr/>
      </w:pPr>
      <w:bookmarkEnd w:id="123"/>
      <w:r>
        <w:rPr>
          <w:rFonts w:eastAsia="Times New Roman" w:cs="Times New Roman" w:ascii="Times New Roman" w:hAnsi="Times New Roman"/>
          <w:color w:val="111111"/>
          <w:sz w:val="28"/>
          <w:szCs w:val="28"/>
          <w:lang w:val="en-US"/>
        </w:rPr>
        <w:t>accepted or not? He replied that, no, the truth is only one; and when he was asked about the disagreement of the companions (ikhtilaaf al-sahabah), he said that one side is right and the other is wrong, and that the matter had to be investigated.</w:t>
      </w:r>
      <w:r>
        <w:rPr>
          <w:rStyle w:val="FootnoteAnchor"/>
        </w:rPr>
        <w:footnoteReference w:id="242"/>
      </w:r>
      <w:r>
        <w:rPr>
          <w:rFonts w:eastAsia="Times New Roman" w:cs="Times New Roman" w:ascii="Times New Roman" w:hAnsi="Times New Roman"/>
          <w:color w:val="111111"/>
          <w:sz w:val="28"/>
          <w:szCs w:val="28"/>
          <w:lang w:val="en-US"/>
        </w:rPr>
        <w:t>Imam al-Shaf’i states that he does not accept the testimony of four known companions: Mu’awiyah Ibn Abu Sufyan, ‘Amr Ibn al-Aas, al-Mugheerah, and Ziyad.</w:t>
      </w:r>
      <w:r>
        <w:rPr>
          <w:rStyle w:val="FootnoteAnchor"/>
        </w:rPr>
        <w:footnoteReference w:id="243"/>
      </w:r>
    </w:p>
    <w:p>
      <w:pPr>
        <w:pStyle w:val="Heading3"/>
        <w:numPr>
          <w:ilvl w:val="2"/>
          <w:numId w:val="1"/>
        </w:numPr>
        <w:bidi w:val="0"/>
        <w:jc w:val="left"/>
        <w:rPr/>
      </w:pPr>
      <w:bookmarkStart w:id="124" w:name="__RefHeading___Toc4074619_2749589250"/>
      <w:bookmarkStart w:id="125" w:name="_Toc48"/>
      <w:bookmarkEnd w:id="124"/>
      <w:r>
        <w:rPr/>
        <w:t>Hadith of “the Stars”</w:t>
      </w:r>
      <w:bookmarkEnd w:id="125"/>
    </w:p>
    <w:p>
      <w:pPr>
        <w:pStyle w:val="BookText"/>
        <w:bidi w:val="0"/>
        <w:jc w:val="both"/>
        <w:rPr/>
      </w:pPr>
      <w:r>
        <w:rPr>
          <w:rFonts w:eastAsia="Times New Roman" w:cs="Times New Roman" w:ascii="Times New Roman" w:hAnsi="Times New Roman"/>
          <w:color w:val="111111"/>
          <w:sz w:val="28"/>
          <w:szCs w:val="28"/>
          <w:lang w:val="en-US"/>
        </w:rPr>
        <w:t>In the Sunni tradition, a famous hadith, known as the Hadith of the Stars reports that the Prophet said, “My companions are like the stars: whichever you follow, you will be guided.”</w:t>
      </w:r>
      <w:r>
        <w:rPr>
          <w:rStyle w:val="FootnoteAnchor"/>
        </w:rPr>
        <w:footnoteReference w:id="244"/>
      </w:r>
      <w:r>
        <w:rPr>
          <w:rFonts w:eastAsia="Times New Roman" w:cs="Times New Roman" w:ascii="Times New Roman" w:hAnsi="Times New Roman"/>
          <w:color w:val="111111"/>
          <w:sz w:val="28"/>
          <w:szCs w:val="28"/>
          <w:lang w:val="en-US"/>
        </w:rPr>
        <w:t>Although this hadith is pivotal to the Sunni belief since it gives absolute certainty that all of the companions were entitled to lead others toward Paradise; nonetheless, Imam Ahmad Ibn al-Hanbal states that this hadith is unauthentic.</w:t>
      </w:r>
      <w:r>
        <w:rPr>
          <w:rStyle w:val="FootnoteAnchor"/>
        </w:rPr>
        <w:footnoteReference w:id="245"/>
      </w:r>
      <w:r>
        <w:rPr>
          <w:rFonts w:eastAsia="Times New Roman" w:cs="Times New Roman" w:ascii="Times New Roman" w:hAnsi="Times New Roman"/>
          <w:color w:val="111111"/>
          <w:sz w:val="28"/>
          <w:szCs w:val="28"/>
          <w:lang w:val="en-US"/>
        </w:rPr>
        <w:t>Abu Ibrahim al-Muzni, a student of al-Shaf’i, and his companions also doubted the authenticity of this hadith.</w:t>
      </w:r>
      <w:r>
        <w:rPr>
          <w:rStyle w:val="FootnoteAnchor"/>
        </w:rPr>
        <w:footnoteReference w:id="246"/>
      </w:r>
      <w:r>
        <w:rPr>
          <w:rFonts w:eastAsia="Times New Roman" w:cs="Times New Roman" w:ascii="Times New Roman" w:hAnsi="Times New Roman"/>
          <w:color w:val="111111"/>
          <w:sz w:val="28"/>
          <w:szCs w:val="28"/>
          <w:lang w:val="en-US"/>
        </w:rPr>
        <w:t>Abu Bakr al-Bazzaz criticized this hadith and expounded upon its flaws.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Other narrators (huffaz) also mention its weakness and the unreliability of its chain of narrators. They include: Abul Hasan al-Darqutni, al-Bayhaqi, Ibn Hazm, Ibn Abd al-Birr, Ibn Asakir, Ibn al-Jawzi, Ibn Dahiyah, Abu Hayan al-Andalusi, Shams al-Din al-Dhahabi, and surprisingly, Ibn Qayyim al-Jawziyah.</w:t>
      </w:r>
      <w:r>
        <w:rPr>
          <w:rStyle w:val="FootnoteAnchor"/>
        </w:rPr>
        <w:footnoteReference w:id="248"/>
      </w:r>
      <w:r>
        <w:rPr>
          <w:rFonts w:eastAsia="Times New Roman" w:cs="Times New Roman" w:ascii="Times New Roman" w:hAnsi="Times New Roman"/>
          <w:color w:val="111111"/>
          <w:sz w:val="28"/>
          <w:szCs w:val="28"/>
          <w:lang w:val="en-US"/>
        </w:rPr>
        <w:t>In addition, Ibn Hajar al-Asqalani has stated that although famous, this hadith had an unreliable and weak chain of narrators (isnad).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these doubts, this hadith - one of the most important pillars of the concept of absolute righteousness of the companions - falls</w:t>
      </w:r>
      <w:bookmarkStart w:id="126" w:name="pg3581_21980"/>
    </w:p>
    <w:p>
      <w:pPr>
        <w:pStyle w:val="BookText"/>
        <w:bidi w:val="0"/>
        <w:rPr/>
      </w:pPr>
      <w:bookmarkEnd w:id="126"/>
      <w:r>
        <w:rPr>
          <w:rFonts w:eastAsia="Times New Roman" w:cs="Times New Roman" w:ascii="Times New Roman" w:hAnsi="Times New Roman"/>
          <w:color w:val="111111"/>
          <w:sz w:val="28"/>
          <w:szCs w:val="28"/>
          <w:lang w:val="en-US"/>
        </w:rPr>
        <w:t>apart and is nothing more than a fabrication.</w:t>
      </w:r>
    </w:p>
    <w:p>
      <w:pPr>
        <w:pStyle w:val="Heading3"/>
        <w:numPr>
          <w:ilvl w:val="2"/>
          <w:numId w:val="1"/>
        </w:numPr>
        <w:bidi w:val="0"/>
        <w:jc w:val="left"/>
        <w:rPr/>
      </w:pPr>
      <w:bookmarkStart w:id="127" w:name="__RefHeading___Toc4074621_2749589250"/>
      <w:bookmarkStart w:id="128" w:name="_Toc49"/>
      <w:bookmarkEnd w:id="127"/>
      <w:r>
        <w:rPr/>
        <w:t>Flaws found in the Companions in the Established Hadith</w:t>
      </w:r>
      <w:bookmarkEnd w:id="128"/>
    </w:p>
    <w:p>
      <w:pPr>
        <w:pStyle w:val="BookText"/>
        <w:bidi w:val="0"/>
        <w:jc w:val="both"/>
        <w:rPr/>
      </w:pPr>
      <w:r>
        <w:rPr>
          <w:rFonts w:eastAsia="Times New Roman" w:cs="Times New Roman" w:ascii="Times New Roman" w:hAnsi="Times New Roman"/>
          <w:color w:val="111111"/>
          <w:sz w:val="28"/>
          <w:szCs w:val="28"/>
          <w:lang w:val="en-US"/>
        </w:rPr>
        <w:t>The Prophet has been quoted as saying, “I am the first who will reach the fountain of Hawdh al-Kawthar (located in Paradise). Some people will try to reach me, but they will not be able to. I will say, ‘O my Lord, they are my companions!’ Allah will answer, ‘You do not know what they have invented after you.’”</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This hadith reflects that some of the companions did indeed err. Anyone who considers them all to be just would be disregarding this hadith. If all of the companions were considered to be just, then one must question as to why some of the companions who murdered ‘Uthman Ibn al-Affan will go to Heaven? To say because they were companions would not justify entrance into Heaven.</w:t>
      </w:r>
    </w:p>
    <w:p>
      <w:pPr>
        <w:pStyle w:val="BookText"/>
        <w:bidi w:val="0"/>
        <w:jc w:val="both"/>
        <w:rPr/>
      </w:pPr>
      <w:r>
        <w:rPr>
          <w:rFonts w:eastAsia="Times New Roman" w:cs="Times New Roman" w:ascii="Times New Roman" w:hAnsi="Times New Roman"/>
          <w:color w:val="111111"/>
          <w:sz w:val="28"/>
          <w:szCs w:val="28"/>
          <w:lang w:val="en-US"/>
        </w:rPr>
        <w:t>Even more, anyone who considers them all to be just must also ponder why some of them revolted against ‘Ali - the rightful ruler who had proven his loyalty to Allah, the Prophet, and Islam, and had partaken in the civil battles of Jamal, Siffeen, and Nahrawan, in which thousands of Muslims lost their lives, so will these companions who fought against him also be rewarded with Paradise?</w:t>
      </w:r>
    </w:p>
    <w:p>
      <w:pPr>
        <w:pStyle w:val="Heading3"/>
        <w:numPr>
          <w:ilvl w:val="2"/>
          <w:numId w:val="1"/>
        </w:numPr>
        <w:bidi w:val="0"/>
        <w:jc w:val="left"/>
        <w:rPr/>
      </w:pPr>
      <w:bookmarkStart w:id="129" w:name="__RefHeading___Toc4074623_2749589250"/>
      <w:bookmarkStart w:id="130" w:name="_Toc50"/>
      <w:bookmarkEnd w:id="129"/>
      <w:r>
        <w:rPr/>
        <w:t>Participation of the Companions in the Battles</w:t>
      </w:r>
      <w:bookmarkEnd w:id="130"/>
    </w:p>
    <w:p>
      <w:pPr>
        <w:pStyle w:val="Heading4"/>
        <w:numPr>
          <w:ilvl w:val="3"/>
          <w:numId w:val="1"/>
        </w:numPr>
        <w:bidi w:val="0"/>
        <w:jc w:val="left"/>
        <w:rPr/>
      </w:pPr>
      <w:bookmarkStart w:id="131" w:name="__RefHeading___Toc4074625_2749589250"/>
      <w:bookmarkStart w:id="132" w:name="_Toc51"/>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Despite popular misconception, neither Abu Bakr, ‘Umar, nor ‘Uthman participated actively in the main excursions of Islam. Not until the time of Mu’awiyah did the fabrications about their roles in these battles begin to surface in an effort by the Bani Umayyah to attribute the virtues of the Ahlul Bayt to others.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133" w:name="pg3581_21981"/>
    </w:p>
    <w:p>
      <w:pPr>
        <w:pStyle w:val="BookText"/>
        <w:bidi w:val="0"/>
        <w:rPr/>
      </w:pPr>
      <w:bookmarkEnd w:id="133"/>
      <w:r>
        <w:rPr>
          <w:rFonts w:eastAsia="Times New Roman" w:cs="Times New Roman" w:ascii="Times New Roman" w:hAnsi="Times New Roman"/>
          <w:color w:val="111111"/>
          <w:sz w:val="28"/>
          <w:szCs w:val="28"/>
          <w:lang w:val="en-US"/>
        </w:rPr>
        <w:t>Ibn Arafah, “Most of the hadith which have been fabricated and developed in favor of the sahabah, their virtues, bravery, and heroism were fabricated during the time of the Bani Umayyah in order to seek nearness to them, and to defy and humiliate the Bani Hashim.”</w:t>
      </w:r>
      <w:r>
        <w:rPr>
          <w:rStyle w:val="FootnoteAnchor"/>
        </w:rPr>
        <w:footnoteReference w:id="250"/>
      </w:r>
    </w:p>
    <w:p>
      <w:pPr>
        <w:pStyle w:val="Heading4"/>
        <w:numPr>
          <w:ilvl w:val="3"/>
          <w:numId w:val="1"/>
        </w:numPr>
        <w:bidi w:val="0"/>
        <w:jc w:val="left"/>
        <w:rPr/>
      </w:pPr>
      <w:bookmarkStart w:id="134" w:name="__RefHeading___Toc4074627_2749589250"/>
      <w:bookmarkStart w:id="135" w:name="_Toc52"/>
      <w:bookmarkEnd w:id="134"/>
      <w:r>
        <w:rPr/>
        <w:t>Battle of Uhud</w:t>
      </w:r>
      <w:bookmarkEnd w:id="135"/>
    </w:p>
    <w:p>
      <w:pPr>
        <w:pStyle w:val="BookText"/>
        <w:bidi w:val="0"/>
        <w:jc w:val="both"/>
        <w:rPr/>
      </w:pPr>
      <w:r>
        <w:rPr>
          <w:rFonts w:eastAsia="Times New Roman" w:cs="Times New Roman" w:ascii="Times New Roman" w:hAnsi="Times New Roman"/>
          <w:color w:val="111111"/>
          <w:sz w:val="28"/>
          <w:szCs w:val="28"/>
          <w:lang w:val="en-US"/>
        </w:rPr>
        <w:t>On the day of the Battle of Uhud, the Holy Prophet raised his sword and called, “Who can give this sword its right?” ‘Umar said, “I can,” but the Prophet turned away from him, for he knew that ‘Umar would not do that. Zubayr Ibn Awam said, “I can,” but the Prophet refused him as well. Then Abu Dujanah stood and asked, “What is the right of that sword?” The Prophet replied, “You fight with it until it breaks.” Abu Dujanah swore, “I am the one who will give it its right,” so the Prophet gave his sword to Abu Dujanah.</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The Battle of Uhud commenced and in this regard, al-Tabari says: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began slaying the leaders of the battalions of the mushrikeen (people who associate others with God) in Uhud who were carrying the banners. Whenever a leader of another battalion would approach the Prophet, he (the Prophet) would look at ‘Ali and say, “Start your strike on him,” so he would strike them and disperse them. Group after group came and ‘Ali Ibn Abi Talib did the same, until Gabriel came to the Prophet and said, “O Messenger of Allah, this is real solidarity.” The Prophet said, “Yes, because he is part</w:t>
      </w:r>
    </w:p>
    <w:p>
      <w:pPr>
        <w:pStyle w:val="BookText"/>
        <w:bidi w:val="0"/>
        <w:rPr/>
      </w:pPr>
      <w:r>
        <w:rPr>
          <w:rFonts w:eastAsia="Times New Roman" w:cs="Times New Roman" w:ascii="Times New Roman" w:hAnsi="Times New Roman"/>
          <w:color w:val="111111"/>
          <w:sz w:val="28"/>
          <w:szCs w:val="28"/>
          <w:lang w:val="en-US"/>
        </w:rPr>
        <w:t>of me, and I am part of him.”  Gabriel replied, “And I am from both of you, O Messenger of Allah.”</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What happened next in the Battle of Uhud has been recorded for eternity in the Holy Qur’an. Allah says, “Behold, you were climbing up the high ground, without even casting a side glance at anyone, and the Messenger in your rear was calling you back.” (c. 3:153) This verse indicates the opposition that the Holy Prophet had faced in maintaining his forces.</w:t>
      </w:r>
    </w:p>
    <w:p>
      <w:pPr>
        <w:pStyle w:val="BookText"/>
        <w:bidi w:val="0"/>
        <w:jc w:val="both"/>
        <w:rPr/>
      </w:pPr>
      <w:r>
        <w:rPr>
          <w:rFonts w:eastAsia="Times New Roman" w:cs="Times New Roman" w:ascii="Times New Roman" w:hAnsi="Times New Roman"/>
          <w:color w:val="111111"/>
          <w:sz w:val="28"/>
          <w:szCs w:val="28"/>
          <w:lang w:val="en-US"/>
        </w:rPr>
        <w:t>Examining the verse deeper and its tafseer (explanation), it explicitly identifies Abu Bakr, ‘Umar, and the other companions - all of whom fled the scene except for a few who stood with the Holy Prophet – and this included one woman, Naseebah Umme Amarah Ibn Ka’ab (who fought until she was wounded on her shoulder), a few from the Ansar tribe, and ‘Ali Ibn Abi Talib and Abu Dujanah from the Quraysh.</w:t>
      </w:r>
      <w:r>
        <w:rPr>
          <w:rStyle w:val="FootnoteAnchor"/>
        </w:rPr>
        <w:footnoteReference w:id="253"/>
      </w:r>
      <w:r>
        <w:rPr>
          <w:rFonts w:eastAsia="Times New Roman" w:cs="Times New Roman" w:ascii="Times New Roman" w:hAnsi="Times New Roman"/>
          <w:color w:val="111111"/>
          <w:sz w:val="28"/>
          <w:szCs w:val="28"/>
          <w:lang w:val="en-US"/>
        </w:rPr>
        <w:t>As Muhammad Hasanain Haykil says, “The main concern of every Muslim on that day was to rescue himself and salvage himself, except for those who had been protected and blessed by Allah, such as ‘Ali Ibn Abi Talib.”</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 Qur’an continues, “It was Shaytan (Satan) who caused them to fail because of some evil that they had done.” (c. 3:153) Most likely, the “evil they had done” was their disobedience to the Holy Prophet, for although the Holy Prophet ordered them to remain in their positions, they ran after the war booty, thus the mushrikeen defeated them.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w:t>
      </w:r>
      <w:bookmarkStart w:id="136" w:name="pg3581_21983"/>
    </w:p>
    <w:p>
      <w:pPr>
        <w:pStyle w:val="BookText"/>
        <w:bidi w:val="0"/>
        <w:rPr/>
      </w:pPr>
      <w:bookmarkEnd w:id="136"/>
      <w:r>
        <w:rPr>
          <w:rFonts w:eastAsia="Times New Roman" w:cs="Times New Roman" w:ascii="Times New Roman" w:hAnsi="Times New Roman"/>
          <w:color w:val="111111"/>
          <w:sz w:val="28"/>
          <w:szCs w:val="28"/>
          <w:lang w:val="en-US"/>
        </w:rPr>
        <w:t>his caliphate, ‘Umar recalled that incident when his daughter and a woman came to him, asking for clothing. ‘Umar gave some clothing to the woman but not to his daughter and when asked why he did that, he replied, “The father of that lady stood on the day of Uhud and did not run away, but the father of this one (pointing to his own daughter) ran away on the day of Uhud and did not stand firm.”</w:t>
      </w:r>
      <w:r>
        <w:rPr>
          <w:rStyle w:val="FootnoteAnchor"/>
        </w:rPr>
        <w:footnoteReference w:id="255"/>
      </w:r>
      <w:r>
        <w:rPr>
          <w:rFonts w:eastAsia="Times New Roman" w:cs="Times New Roman" w:ascii="Times New Roman" w:hAnsi="Times New Roman"/>
          <w:color w:val="111111"/>
          <w:sz w:val="28"/>
          <w:szCs w:val="28"/>
          <w:lang w:val="en-US"/>
        </w:rPr>
        <w:t>Abu Bakr too later recounted his flight on that day.</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Although most of the companions returned a few hours after the Battle of Uhud, ‘Uthman disappeared for three days.</w:t>
      </w:r>
      <w:r>
        <w:rPr>
          <w:rStyle w:val="FootnoteAnchor"/>
        </w:rPr>
        <w:footnoteReference w:id="257"/>
      </w:r>
      <w:r>
        <w:rPr>
          <w:rFonts w:eastAsia="Times New Roman" w:cs="Times New Roman" w:ascii="Times New Roman" w:hAnsi="Times New Roman"/>
          <w:color w:val="111111"/>
          <w:sz w:val="28"/>
          <w:szCs w:val="28"/>
          <w:lang w:val="en-US"/>
        </w:rPr>
        <w:t>When he returned, the Holy Prophet admonished him by saying, “It took you so long to return! Why three days?”</w:t>
      </w:r>
      <w:r>
        <w:rPr>
          <w:rStyle w:val="FootnoteAnchor"/>
        </w:rPr>
        <w:footnoteReference w:id="258"/>
      </w:r>
    </w:p>
    <w:p>
      <w:pPr>
        <w:pStyle w:val="Heading4"/>
        <w:numPr>
          <w:ilvl w:val="3"/>
          <w:numId w:val="1"/>
        </w:numPr>
        <w:bidi w:val="0"/>
        <w:jc w:val="left"/>
        <w:rPr/>
      </w:pPr>
      <w:bookmarkStart w:id="137" w:name="__RefHeading___Toc4074629_2749589250"/>
      <w:bookmarkStart w:id="138" w:name="_Toc53"/>
      <w:bookmarkEnd w:id="137"/>
      <w:r>
        <w:rPr/>
        <w:t>Battle of Badr</w:t>
      </w:r>
      <w:bookmarkEnd w:id="138"/>
    </w:p>
    <w:p>
      <w:pPr>
        <w:pStyle w:val="BookText"/>
        <w:bidi w:val="0"/>
        <w:jc w:val="both"/>
        <w:rPr/>
      </w:pPr>
      <w:r>
        <w:rPr>
          <w:rFonts w:eastAsia="Times New Roman" w:cs="Times New Roman" w:ascii="Times New Roman" w:hAnsi="Times New Roman"/>
          <w:color w:val="111111"/>
          <w:sz w:val="28"/>
          <w:szCs w:val="28"/>
          <w:lang w:val="en-US"/>
        </w:rPr>
        <w:t>A similar situation arose during the Battle of Badr. On the eve of the battle, Abu Bakr and ‘Umar staunchly refused to fight. They said to the Holy Prophet, “This is Quraysh. The Quraysh are so powerful. The Quraysh never believed when they disbelieved. The Quraysh have never been defeated because they are so powerful, so do not fight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Displeased, the Prophet turned away from them, until Sa’d Ibn Ma’adh promised the Prophet, “Go and we will fight with you to the last breath.” At that the Prophet became pleased again, and on the morning of the 17th in the month of Ramadhan (2 ah), the Muslims engaged against the mushrikeen in the Battle of Badr.</w:t>
      </w:r>
      <w:r>
        <w:rPr>
          <w:rStyle w:val="FootnoteAnchor"/>
        </w:rPr>
        <w:footnoteReference w:id="259"/>
      </w:r>
      <w:r>
        <w:rPr>
          <w:rFonts w:eastAsia="Times New Roman" w:cs="Times New Roman" w:ascii="Times New Roman" w:hAnsi="Times New Roman"/>
          <w:color w:val="111111"/>
          <w:sz w:val="28"/>
          <w:szCs w:val="28"/>
          <w:lang w:val="en-US"/>
        </w:rPr>
        <w:t>Seventy mushrikeen met their end in the battle, half</w:t>
      </w:r>
      <w:bookmarkStart w:id="139" w:name="pg3581_21984"/>
    </w:p>
    <w:p>
      <w:pPr>
        <w:pStyle w:val="BookText"/>
        <w:bidi w:val="0"/>
        <w:rPr/>
      </w:pPr>
      <w:bookmarkEnd w:id="139"/>
      <w:r>
        <w:rPr>
          <w:rFonts w:eastAsia="Times New Roman" w:cs="Times New Roman" w:ascii="Times New Roman" w:hAnsi="Times New Roman"/>
          <w:color w:val="111111"/>
          <w:sz w:val="28"/>
          <w:szCs w:val="28"/>
          <w:lang w:val="en-US"/>
        </w:rPr>
        <w:t>of them exclusively by the sword of ‘Ali, and the other half with the help of ‘Ali’s sword.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Similarly, ‘Uthman was not present during the Battle of Badr, just as he was not present at the important signing of Bay’at al-Ridhwan; what’s more, he fled from the battles of Uhud and Hunayn.</w:t>
      </w:r>
    </w:p>
    <w:p>
      <w:pPr>
        <w:pStyle w:val="BookText"/>
        <w:bidi w:val="0"/>
        <w:jc w:val="both"/>
        <w:rPr/>
      </w:pPr>
      <w:r>
        <w:rPr>
          <w:rFonts w:eastAsia="Times New Roman" w:cs="Times New Roman" w:ascii="Times New Roman" w:hAnsi="Times New Roman"/>
          <w:color w:val="111111"/>
          <w:sz w:val="28"/>
          <w:szCs w:val="28"/>
          <w:lang w:val="en-US"/>
        </w:rPr>
        <w:t>During the Battle of Khandaq, he refused to fight ‘Amr Ibn Abd al-Wudd al-Aamir. Even after the death of the Prophet, he declined to participate in the battles against those who rejected the caliphate of Abu Bakr. During the time of ‘Umar, he also refused to participate in any form of military service and was known for avoiding battles; his former ally, Abd al-Rahman Ibn Auf sarcastically chided him with this comment, “I was not the one who was absent from Badr, and I was not the one who ran away on the day of Uhud.”</w:t>
      </w:r>
      <w:r>
        <w:rPr>
          <w:rStyle w:val="FootnoteAnchor"/>
        </w:rPr>
        <w:footnoteReference w:id="261"/>
      </w:r>
    </w:p>
    <w:p>
      <w:pPr>
        <w:pStyle w:val="Heading4"/>
        <w:numPr>
          <w:ilvl w:val="3"/>
          <w:numId w:val="1"/>
        </w:numPr>
        <w:bidi w:val="0"/>
        <w:jc w:val="left"/>
        <w:rPr/>
      </w:pPr>
      <w:bookmarkStart w:id="140" w:name="__RefHeading___Toc4074631_2749589250"/>
      <w:bookmarkStart w:id="141" w:name="_Toc54"/>
      <w:bookmarkEnd w:id="140"/>
      <w:r>
        <w:rPr/>
        <w:t>Battle of Khaybar</w:t>
      </w:r>
      <w:bookmarkEnd w:id="141"/>
    </w:p>
    <w:p>
      <w:pPr>
        <w:pStyle w:val="BookText"/>
        <w:bidi w:val="0"/>
        <w:jc w:val="both"/>
        <w:rPr/>
      </w:pPr>
      <w:r>
        <w:rPr>
          <w:rFonts w:eastAsia="Times New Roman" w:cs="Times New Roman" w:ascii="Times New Roman" w:hAnsi="Times New Roman"/>
          <w:color w:val="111111"/>
          <w:sz w:val="28"/>
          <w:szCs w:val="28"/>
          <w:lang w:val="en-US"/>
        </w:rPr>
        <w:t>The Battle of Khaybar took place during the seventh year of the migration, about 160 km north of Madinah. Due to the terrain, and the mighty fortress that the Jews barricaded themselves in, the first attempt to break through was led by Abu Bakr, who returned defeated. The second attempt, led by ‘Umar, was also unsuccessful. Muslim historians have noted, “They returned not only defeated but exchanging blames of cowardice on each other.”</w:t>
      </w:r>
      <w:r>
        <w:rPr>
          <w:rStyle w:val="FootnoteAnchor"/>
        </w:rPr>
        <w:footnoteReference w:id="2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first two failed attempts, the Holy Prophet pledged, “Tomorrow, I will give this banner, the leadership of this battle, to a man who is loved by Allah and His Apostle, and</w:t>
      </w:r>
      <w:bookmarkStart w:id="142" w:name="pg3581_21985"/>
    </w:p>
    <w:p>
      <w:pPr>
        <w:pStyle w:val="BookText"/>
        <w:bidi w:val="0"/>
        <w:rPr/>
      </w:pPr>
      <w:bookmarkEnd w:id="142"/>
      <w:r>
        <w:rPr>
          <w:rFonts w:eastAsia="Times New Roman" w:cs="Times New Roman" w:ascii="Times New Roman" w:hAnsi="Times New Roman"/>
          <w:color w:val="111111"/>
          <w:sz w:val="28"/>
          <w:szCs w:val="28"/>
          <w:lang w:val="en-US"/>
        </w:rPr>
        <w:t>he himself loves Allah and His Apostle. Allah will open the way by his hands. He will go forward and not be defeated or retreat.” When the Prophet spoke these words, ‘Ali was ill.</w:t>
      </w:r>
    </w:p>
    <w:p>
      <w:pPr>
        <w:pStyle w:val="BookText"/>
        <w:bidi w:val="0"/>
        <w:jc w:val="both"/>
        <w:rPr/>
      </w:pPr>
      <w:r>
        <w:rPr>
          <w:rFonts w:eastAsia="Times New Roman" w:cs="Times New Roman" w:ascii="Times New Roman" w:hAnsi="Times New Roman"/>
          <w:color w:val="111111"/>
          <w:sz w:val="28"/>
          <w:szCs w:val="28"/>
          <w:lang w:val="en-US"/>
        </w:rPr>
        <w:t>Some of the companions brought him to the Prophet. As ‘Ali leaned on the Holy Prophet, the Prophet prayed for him, placed the banner in his hands and said, “O Allah, may the heat and the cold not affect him anymore.” ‘Ali later stated, “After the prayer of the Prophet, I did not feel any heat or cold.”</w:t>
      </w:r>
      <w:r>
        <w:rPr>
          <w:rStyle w:val="FootnoteAnchor"/>
        </w:rPr>
        <w:footnoteReference w:id="263"/>
      </w:r>
      <w:r>
        <w:rPr>
          <w:rFonts w:eastAsia="Times New Roman" w:cs="Times New Roman" w:ascii="Times New Roman" w:hAnsi="Times New Roman"/>
          <w:color w:val="111111"/>
          <w:sz w:val="28"/>
          <w:szCs w:val="28"/>
          <w:lang w:val="en-US"/>
        </w:rPr>
        <w:t>From there, ‘Ali went and defeated Marhab, the Jewish leader of the enemies in the castle, including Marhab’s two brothers, Harith and Yasir.</w:t>
      </w:r>
      <w:r>
        <w:rPr>
          <w:rStyle w:val="FootnoteAnchor"/>
        </w:rPr>
        <w:footnoteReference w:id="264"/>
      </w:r>
    </w:p>
    <w:p>
      <w:pPr>
        <w:pStyle w:val="Heading4"/>
        <w:numPr>
          <w:ilvl w:val="3"/>
          <w:numId w:val="1"/>
        </w:numPr>
        <w:bidi w:val="0"/>
        <w:jc w:val="left"/>
        <w:rPr/>
      </w:pPr>
      <w:bookmarkStart w:id="143" w:name="__RefHeading___Toc4074633_2749589250"/>
      <w:bookmarkStart w:id="144" w:name="_Toc55"/>
      <w:bookmarkEnd w:id="143"/>
      <w:r>
        <w:rPr/>
        <w:t>Battle of Hunayn</w:t>
      </w:r>
      <w:bookmarkEnd w:id="144"/>
    </w:p>
    <w:p>
      <w:pPr>
        <w:pStyle w:val="BookText"/>
        <w:bidi w:val="0"/>
        <w:jc w:val="both"/>
        <w:rPr/>
      </w:pPr>
      <w:r>
        <w:rPr>
          <w:rFonts w:eastAsia="Times New Roman" w:cs="Times New Roman" w:ascii="Times New Roman" w:hAnsi="Times New Roman"/>
          <w:color w:val="111111"/>
          <w:sz w:val="28"/>
          <w:szCs w:val="28"/>
          <w:lang w:val="en-US"/>
        </w:rPr>
        <w:t>The Prophet had brought 10,000 soldiers with him to recapture Mecca, and only a few days after their conquest of Mecca in the eighth year of the Hijrah, the Battle of Hunayn broke out. Two thousand more people in Mecca accepted Islam and joined the defense force. Therefore, the Prophet’s army of 12,000 met their enemy in the valley of Hunayn between Mecca and the city of Taif.</w:t>
      </w:r>
    </w:p>
    <w:p>
      <w:pPr>
        <w:pStyle w:val="BookText"/>
        <w:bidi w:val="0"/>
        <w:jc w:val="both"/>
        <w:rPr/>
      </w:pPr>
      <w:r>
        <w:rPr>
          <w:rFonts w:eastAsia="Times New Roman" w:cs="Times New Roman" w:ascii="Times New Roman" w:hAnsi="Times New Roman"/>
          <w:color w:val="111111"/>
          <w:sz w:val="28"/>
          <w:szCs w:val="28"/>
          <w:lang w:val="en-US"/>
        </w:rPr>
        <w:t>Like the Battle of Uhud, the Battle of Hunayn is mentioned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Assuredly, Allah did help you in many battlefields, and on the day of Hunayn; behold, your great numbers elated you, but they availed you nothing; the land did constrain you, and you turned back fleeing.” (c. 9:25-26)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Tafseer of this verse, seeing their large numbers, Abu Bakr exclaimed, “No one will</w:t>
      </w:r>
      <w:bookmarkStart w:id="145" w:name="pg3581_21986"/>
    </w:p>
    <w:p>
      <w:pPr>
        <w:pStyle w:val="BookText"/>
        <w:bidi w:val="0"/>
        <w:rPr/>
      </w:pPr>
      <w:bookmarkEnd w:id="145"/>
      <w:r>
        <w:rPr>
          <w:rFonts w:eastAsia="Times New Roman" w:cs="Times New Roman" w:ascii="Times New Roman" w:hAnsi="Times New Roman"/>
          <w:color w:val="111111"/>
          <w:sz w:val="28"/>
          <w:szCs w:val="28"/>
          <w:lang w:val="en-US"/>
        </w:rPr>
        <w:t>defeat us while we have such a large number.”</w:t>
      </w:r>
      <w:r>
        <w:rPr>
          <w:rStyle w:val="FootnoteAnchor"/>
        </w:rPr>
        <w:footnoteReference w:id="265"/>
      </w:r>
      <w:r>
        <w:rPr>
          <w:rFonts w:eastAsia="Times New Roman" w:cs="Times New Roman" w:ascii="Times New Roman" w:hAnsi="Times New Roman"/>
          <w:color w:val="111111"/>
          <w:sz w:val="28"/>
          <w:szCs w:val="28"/>
          <w:lang w:val="en-US"/>
        </w:rPr>
        <w:t>However, their numbers were meaningless since faith, bravery, sincerity, and willingness was lacking.</w:t>
      </w:r>
    </w:p>
    <w:p>
      <w:pPr>
        <w:pStyle w:val="BookText"/>
        <w:bidi w:val="0"/>
        <w:jc w:val="both"/>
        <w:rPr/>
      </w:pPr>
      <w:r>
        <w:rPr>
          <w:rFonts w:eastAsia="Times New Roman" w:cs="Times New Roman" w:ascii="Times New Roman" w:hAnsi="Times New Roman"/>
          <w:color w:val="111111"/>
          <w:sz w:val="28"/>
          <w:szCs w:val="28"/>
          <w:lang w:val="en-US"/>
        </w:rPr>
        <w:t>Although many companions pledged that they would not flee,</w:t>
      </w:r>
      <w:r>
        <w:rPr>
          <w:rStyle w:val="FootnoteAnchor"/>
        </w:rPr>
        <w:footnoteReference w:id="266"/>
      </w:r>
      <w:r>
        <w:rPr>
          <w:rFonts w:eastAsia="Times New Roman" w:cs="Times New Roman" w:ascii="Times New Roman" w:hAnsi="Times New Roman"/>
          <w:color w:val="111111"/>
          <w:sz w:val="28"/>
          <w:szCs w:val="28"/>
          <w:lang w:val="en-US"/>
        </w:rPr>
        <w:t>despite their vow, some still did leave including Abu Bakr, ‘Umar, ‘Uthman, Ibn al-Jarah, al-Mugheerah Ibn Shu’bah, Abu Musa al-Ashari, Ma’adh Ibn Jabal, Usayd Ibn Hubayr, Khalid Ibn al-Waleed, and Sa’d Ibn Abi al-Waqqas.</w:t>
      </w:r>
      <w:r>
        <w:rPr>
          <w:rStyle w:val="FootnoteAnchor"/>
        </w:rPr>
        <w:footnoteReference w:id="267"/>
      </w:r>
      <w:r>
        <w:rPr>
          <w:rFonts w:eastAsia="Times New Roman" w:cs="Times New Roman" w:ascii="Times New Roman" w:hAnsi="Times New Roman"/>
          <w:color w:val="111111"/>
          <w:sz w:val="28"/>
          <w:szCs w:val="28"/>
          <w:lang w:val="en-US"/>
        </w:rPr>
        <w:t>During the battle, Abu Sufyan, who had just become Muslim two weeks before, said about the Muslims, “I wish their defeat would not stop, and they would keep running away and fleeing until they reach the sea.”</w:t>
      </w:r>
      <w:r>
        <w:rPr>
          <w:rStyle w:val="FootnoteAnchor"/>
        </w:rPr>
        <w:footnoteReference w:id="268"/>
      </w:r>
      <w:r>
        <w:rPr>
          <w:rFonts w:eastAsia="Times New Roman" w:cs="Times New Roman" w:ascii="Times New Roman" w:hAnsi="Times New Roman"/>
          <w:color w:val="111111"/>
          <w:sz w:val="28"/>
          <w:szCs w:val="28"/>
          <w:lang w:val="en-US"/>
        </w:rPr>
        <w:t>At the battle, only four stood with the Holy Prophet: ‘Ali Ibn Abi Talib, al-Abbas - the uncle of the Prophet, Abu Sufyan Ibn al-Harith (from the Bani Hashim), and Abdullah Ibn Masud.</w:t>
      </w:r>
      <w:r>
        <w:rPr>
          <w:rStyle w:val="FootnoteAnchor"/>
        </w:rPr>
        <w:footnoteReference w:id="269"/>
      </w:r>
      <w:r>
        <w:rPr>
          <w:rFonts w:eastAsia="Times New Roman" w:cs="Times New Roman" w:ascii="Times New Roman" w:hAnsi="Times New Roman"/>
          <w:color w:val="111111"/>
          <w:sz w:val="28"/>
          <w:szCs w:val="28"/>
          <w:lang w:val="en-US"/>
        </w:rPr>
        <w:t>The rest of the companions fled the scene.</w:t>
      </w:r>
    </w:p>
    <w:p>
      <w:pPr>
        <w:pStyle w:val="Heading3"/>
        <w:numPr>
          <w:ilvl w:val="2"/>
          <w:numId w:val="1"/>
        </w:numPr>
        <w:bidi w:val="0"/>
        <w:jc w:val="left"/>
        <w:rPr/>
      </w:pPr>
      <w:bookmarkStart w:id="146" w:name="__RefHeading___Toc4074635_2749589250"/>
      <w:bookmarkStart w:id="147" w:name="_Toc56"/>
      <w:bookmarkEnd w:id="146"/>
      <w:r>
        <w:rPr/>
        <w:t>Conquests of the First Three Caliphs</w:t>
      </w:r>
      <w:bookmarkEnd w:id="147"/>
    </w:p>
    <w:p>
      <w:pPr>
        <w:pStyle w:val="BookText"/>
        <w:bidi w:val="0"/>
        <w:jc w:val="both"/>
        <w:rPr/>
      </w:pPr>
      <w:r>
        <w:rPr>
          <w:rFonts w:eastAsia="Times New Roman" w:cs="Times New Roman" w:ascii="Times New Roman" w:hAnsi="Times New Roman"/>
          <w:color w:val="111111"/>
          <w:sz w:val="28"/>
          <w:szCs w:val="28"/>
          <w:lang w:val="en-US"/>
        </w:rPr>
        <w:t>Along with his army, the Messenger of Allah always fought on the frontlines of the battle; but such was not the case for Abu Bakr, ‘Umar, and ‘Uthman - they never battled alongside their soldiers during their years as caliphs. Instead, they sat in Madinah and dispatched forces.</w:t>
      </w:r>
    </w:p>
    <w:p>
      <w:pPr>
        <w:pStyle w:val="BookText"/>
        <w:bidi w:val="0"/>
        <w:jc w:val="both"/>
        <w:rPr/>
      </w:pPr>
      <w:r>
        <w:rPr>
          <w:rFonts w:eastAsia="Times New Roman" w:cs="Times New Roman" w:ascii="Times New Roman" w:hAnsi="Times New Roman"/>
          <w:color w:val="111111"/>
          <w:sz w:val="28"/>
          <w:szCs w:val="28"/>
          <w:lang w:val="en-US"/>
        </w:rPr>
        <w:t>When Abu Bakr assumed the caliphate, rather than fight himself, he sent Usama Ibn Zayd to fight the Romans. When Usama inquired as to why ‘Umar was remaining in Madinah, Abu Bakr said that he needed him there. When Usama then asked Abu Bakr why he himself was staying behind in Madinah, Abu Bakr told him, “Just lead the army and go.”</w:t>
      </w:r>
      <w:r>
        <w:rPr>
          <w:rStyle w:val="FootnoteAnchor"/>
        </w:rPr>
        <w:footnoteReference w:id="2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148" w:name="pg3581_21987"/>
    </w:p>
    <w:p>
      <w:pPr>
        <w:pStyle w:val="BookText"/>
        <w:bidi w:val="0"/>
        <w:rPr/>
      </w:pPr>
      <w:bookmarkEnd w:id="148"/>
      <w:r>
        <w:rPr>
          <w:rFonts w:eastAsia="Times New Roman" w:cs="Times New Roman" w:ascii="Times New Roman" w:hAnsi="Times New Roman"/>
          <w:color w:val="111111"/>
          <w:sz w:val="28"/>
          <w:szCs w:val="28"/>
          <w:lang w:val="en-US"/>
        </w:rPr>
        <w:t>the Bani Umayyah came to power, they fabricated stories saying that ‘Ali advised ‘Umar and Abu Bakr not to lead their armies, since they were the leaders of the people. Such stories are obviously false, since during his own caliphate, ‘Ali himself led his troops and thus he would not have advised others to do contrary to this.</w:t>
      </w:r>
    </w:p>
    <w:p>
      <w:pPr>
        <w:pStyle w:val="BookText"/>
        <w:bidi w:val="0"/>
        <w:jc w:val="both"/>
        <w:rPr/>
      </w:pPr>
      <w:r>
        <w:rPr>
          <w:rFonts w:eastAsia="Times New Roman" w:cs="Times New Roman" w:ascii="Times New Roman" w:hAnsi="Times New Roman"/>
          <w:color w:val="111111"/>
          <w:sz w:val="28"/>
          <w:szCs w:val="28"/>
          <w:lang w:val="en-US"/>
        </w:rPr>
        <w:t>Despite the unwillingness of the first three caliphs to participate in military activity, the Muslim conquest during their caliphate was tremendous. The Islamic influence spread far and during the reign of ‘Umar, the Persian and Roman Empires were both defeated. However, the motive of the first three caliphs to send the Muslims into battle was less for military necessity than it was to prevent political unrest at home. This ploy is most visible in the advice that Abdullah Ibn Aamir gave to ‘Uthman Ibn al-Affan when he instructed him to keep the Muslims preoccupied in battle so that ‘Uthman would have less difficulties with the masses.</w:t>
      </w:r>
    </w:p>
    <w:p>
      <w:pPr>
        <w:pStyle w:val="Heading3"/>
        <w:numPr>
          <w:ilvl w:val="2"/>
          <w:numId w:val="1"/>
        </w:numPr>
        <w:bidi w:val="0"/>
        <w:jc w:val="left"/>
        <w:rPr/>
      </w:pPr>
      <w:bookmarkStart w:id="149" w:name="__RefHeading___Toc4074637_2749589250"/>
      <w:bookmarkStart w:id="150" w:name="_Toc57"/>
      <w:bookmarkEnd w:id="149"/>
      <w:r>
        <w:rPr/>
        <w:t>A Brief Introduction to the Prophet’s Companions</w:t>
      </w:r>
      <w:bookmarkEnd w:id="150"/>
    </w:p>
    <w:p>
      <w:pPr>
        <w:pStyle w:val="Heading4"/>
        <w:numPr>
          <w:ilvl w:val="3"/>
          <w:numId w:val="1"/>
        </w:numPr>
        <w:bidi w:val="0"/>
        <w:jc w:val="left"/>
        <w:rPr/>
      </w:pPr>
      <w:bookmarkStart w:id="151" w:name="__RefHeading___Toc4074639_2749589250"/>
      <w:bookmarkStart w:id="152" w:name="_Toc58"/>
      <w:bookmarkEnd w:id="151"/>
      <w:r>
        <w:rPr/>
        <w:t>Abu Bakr (Ibn Abi Quhafah)</w:t>
      </w:r>
      <w:bookmarkEnd w:id="152"/>
    </w:p>
    <w:p>
      <w:pPr>
        <w:pStyle w:val="BookText"/>
        <w:bidi w:val="0"/>
        <w:jc w:val="both"/>
        <w:rPr/>
      </w:pPr>
      <w:r>
        <w:rPr>
          <w:rFonts w:eastAsia="Times New Roman" w:cs="Times New Roman" w:ascii="Times New Roman" w:hAnsi="Times New Roman"/>
          <w:color w:val="111111"/>
          <w:sz w:val="28"/>
          <w:szCs w:val="28"/>
          <w:lang w:val="en-US"/>
        </w:rPr>
        <w:t>The Holy Prophet gave Abu Bakr the surname of Abdullah.</w:t>
      </w:r>
      <w:r>
        <w:rPr>
          <w:rStyle w:val="FootnoteAnchor"/>
        </w:rPr>
        <w:footnoteReference w:id="271"/>
      </w:r>
      <w:r>
        <w:rPr>
          <w:rFonts w:eastAsia="Times New Roman" w:cs="Times New Roman" w:ascii="Times New Roman" w:hAnsi="Times New Roman"/>
          <w:color w:val="111111"/>
          <w:sz w:val="28"/>
          <w:szCs w:val="28"/>
          <w:lang w:val="en-US"/>
        </w:rPr>
        <w:t>Before that, he was known as Abd al-Ka’abah (the worshipper of the Ka’abah) and al-Ateeq (the freed one). Although Lady Aishah had been quoted as stating that the Prophet called Abu Bakr, Ateeq Allah min al-Nar (the person whom Allah has vindicated from the Fire);</w:t>
      </w:r>
      <w:r>
        <w:rPr>
          <w:rStyle w:val="FootnoteAnchor"/>
        </w:rPr>
        <w:footnoteReference w:id="272"/>
      </w:r>
      <w:r>
        <w:rPr>
          <w:rFonts w:eastAsia="Times New Roman" w:cs="Times New Roman" w:ascii="Times New Roman" w:hAnsi="Times New Roman"/>
          <w:color w:val="111111"/>
          <w:sz w:val="28"/>
          <w:szCs w:val="28"/>
          <w:lang w:val="en-US"/>
        </w:rPr>
        <w:t>however, sources indicate that Abu Bakr’s father had called him Ateeq long before Islam because of the delicacy of his skin.</w:t>
      </w:r>
      <w:r>
        <w:rPr>
          <w:rStyle w:val="FootnoteAnchor"/>
        </w:rPr>
        <w:footnoteReference w:id="273"/>
      </w:r>
      <w:r>
        <w:rPr>
          <w:rFonts w:eastAsia="Times New Roman" w:cs="Times New Roman" w:ascii="Times New Roman" w:hAnsi="Times New Roman"/>
          <w:color w:val="111111"/>
          <w:sz w:val="28"/>
          <w:szCs w:val="28"/>
          <w:lang w:val="en-US"/>
        </w:rPr>
        <w:t>His mother’s name is reported as being Salma bint Sakher.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was</w:t>
      </w:r>
      <w:bookmarkStart w:id="153" w:name="pg3581_21988"/>
    </w:p>
    <w:p>
      <w:pPr>
        <w:pStyle w:val="BookText"/>
        <w:bidi w:val="0"/>
        <w:rPr/>
      </w:pPr>
      <w:bookmarkEnd w:id="153"/>
      <w:r>
        <w:rPr>
          <w:rFonts w:eastAsia="Times New Roman" w:cs="Times New Roman" w:ascii="Times New Roman" w:hAnsi="Times New Roman"/>
          <w:color w:val="111111"/>
          <w:sz w:val="28"/>
          <w:szCs w:val="28"/>
          <w:lang w:val="en-US"/>
        </w:rPr>
        <w:t>the fifteenth man to embrace Islam,</w:t>
      </w:r>
      <w:r>
        <w:rPr>
          <w:rStyle w:val="FootnoteAnchor"/>
        </w:rPr>
        <w:footnoteReference w:id="274"/>
      </w:r>
      <w:r>
        <w:rPr>
          <w:rFonts w:eastAsia="Times New Roman" w:cs="Times New Roman" w:ascii="Times New Roman" w:hAnsi="Times New Roman"/>
          <w:color w:val="111111"/>
          <w:sz w:val="28"/>
          <w:szCs w:val="28"/>
          <w:lang w:val="en-US"/>
        </w:rPr>
        <w:t>not the first, as some may believe and in his early days, he made a living selling clothing, as did ‘Uthman Ibn al-Affan, Abd al-Rahman Ibn Auf, and Talha Ibn Ubaydillah.</w:t>
      </w:r>
    </w:p>
    <w:p>
      <w:pPr>
        <w:pStyle w:val="Heading4"/>
        <w:numPr>
          <w:ilvl w:val="3"/>
          <w:numId w:val="1"/>
        </w:numPr>
        <w:bidi w:val="0"/>
        <w:jc w:val="left"/>
        <w:rPr/>
      </w:pPr>
      <w:bookmarkStart w:id="154" w:name="__RefHeading___Toc4074641_2749589250"/>
      <w:bookmarkStart w:id="155" w:name="_Toc59"/>
      <w:bookmarkEnd w:id="154"/>
      <w:r>
        <w:rPr/>
        <w:t>‘</w:t>
      </w:r>
      <w:r>
        <w:rPr/>
        <w:t>Umar Ibn al-Khattab Ibn Nafeel Ibn Uday Ibn Ka’ab</w:t>
      </w:r>
      <w:bookmarkEnd w:id="155"/>
    </w:p>
    <w:p>
      <w:pPr>
        <w:pStyle w:val="Heading5"/>
        <w:numPr>
          <w:ilvl w:val="4"/>
          <w:numId w:val="1"/>
        </w:numPr>
        <w:bidi w:val="0"/>
        <w:jc w:val="left"/>
        <w:rPr/>
      </w:pPr>
      <w:bookmarkStart w:id="156" w:name="__RefHeading___Toc4074643_2749589250"/>
      <w:bookmarkStart w:id="157" w:name="_Toc60"/>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w:t>
      </w:r>
      <w:r>
        <w:rPr>
          <w:rStyle w:val="FootnoteAnchor"/>
        </w:rPr>
        <w:footnoteReference w:id="275"/>
      </w:r>
      <w:r>
        <w:rPr>
          <w:rFonts w:eastAsia="Times New Roman" w:cs="Times New Roman" w:ascii="Times New Roman" w:hAnsi="Times New Roman"/>
          <w:color w:val="111111"/>
          <w:sz w:val="28"/>
          <w:szCs w:val="28"/>
          <w:lang w:val="en-US"/>
        </w:rPr>
        <w:t>was born thirteen years after the Year of the Elephant, thus he was thirteen years younger than the Prophet was, eleven years younger than Abu Bakr, and seven years younger than ‘Uthman Ibn al-Affan. While still young, his mother was adopted by Hisham Ibn al-Mugheerah, so she was known as Hantamah Ibn Hisham Ibn al-Mugheerah.</w:t>
      </w:r>
      <w:r>
        <w:rPr>
          <w:rStyle w:val="FootnoteAnchor"/>
        </w:rPr>
        <w:footnoteReference w:id="276"/>
      </w:r>
      <w:r>
        <w:rPr>
          <w:rFonts w:eastAsia="Times New Roman" w:cs="Times New Roman" w:ascii="Times New Roman" w:hAnsi="Times New Roman"/>
          <w:color w:val="111111"/>
          <w:sz w:val="28"/>
          <w:szCs w:val="28"/>
          <w:lang w:val="en-US"/>
        </w:rPr>
        <w:t>He made a living as a merchant dealer and died at the age of eighty-six in the year 23 ah.</w:t>
      </w:r>
    </w:p>
    <w:p>
      <w:pPr>
        <w:pStyle w:val="BookText"/>
        <w:bidi w:val="0"/>
        <w:jc w:val="both"/>
        <w:rPr/>
      </w:pPr>
      <w:r>
        <w:rPr>
          <w:rFonts w:eastAsia="Times New Roman" w:cs="Times New Roman" w:ascii="Times New Roman" w:hAnsi="Times New Roman"/>
          <w:color w:val="111111"/>
          <w:sz w:val="28"/>
          <w:szCs w:val="28"/>
          <w:lang w:val="en-US"/>
        </w:rPr>
        <w:t>At the age of forty-six, he became a Muslim and was the seventy-fifth person to accept Islam. He did so right before the migration from Mecca to Madinah; thus, he did not participate in the first Hijrah to Ethiopia.</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Before joining the Muslims, ‘Umar exhibited an enormous dissatisfaction towards Islam and the Muslims so much so that he beat his brother-in-law and hit his sister when he discovered that they had become Muslims.</w:t>
      </w:r>
      <w:r>
        <w:rPr>
          <w:rStyle w:val="FootnoteAnchor"/>
        </w:rPr>
        <w:footnoteReference w:id="278"/>
      </w:r>
      <w:r>
        <w:rPr>
          <w:rFonts w:eastAsia="Times New Roman" w:cs="Times New Roman" w:ascii="Times New Roman" w:hAnsi="Times New Roman"/>
          <w:color w:val="111111"/>
          <w:sz w:val="28"/>
          <w:szCs w:val="28"/>
          <w:lang w:val="en-US"/>
        </w:rPr>
        <w:t>Perhaps for this reason, ‘Umar had been chosen by the rest of the Quraysh to kill the Prophet.</w:t>
      </w:r>
      <w:r>
        <w:rPr>
          <w:rStyle w:val="FootnoteAnchor"/>
        </w:rPr>
        <w:footnoteReference w:id="27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that one day, ‘Umar took his sword and went to the house of Ibn Abi al-Arqam, where the Holy Prophet was with his uncle, Hamzah and some companions. He knocked loudly and burst into the house angrily. The Prophet restrained him and shook him so</w:t>
      </w:r>
    </w:p>
    <w:p>
      <w:pPr>
        <w:pStyle w:val="BookText"/>
        <w:bidi w:val="0"/>
        <w:rPr/>
      </w:pPr>
      <w:r>
        <w:rPr>
          <w:rFonts w:eastAsia="Times New Roman" w:cs="Times New Roman" w:ascii="Times New Roman" w:hAnsi="Times New Roman"/>
          <w:color w:val="111111"/>
          <w:sz w:val="28"/>
          <w:szCs w:val="28"/>
          <w:lang w:val="en-US"/>
        </w:rPr>
        <w:t>hard that he fell to the ground. The Prophet then said, “Isn’t it time that you stop your persecution and terrorization of the Muslims?” At which ‘Umar replied, “I bear witness that there is no God but Allah, One with no partner, and I bear witness that Muhammad is His servant and messenger.”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Throughout his life, ‘Umar was known for his violent nature and outbursts. He usually frowned at people and often used his hand to strike the Muslims, and during his caliphate, he was often seen using his stick (durrah), to strike people. He quickly angered and judged others with the same rapidity.</w:t>
      </w:r>
    </w:p>
    <w:p>
      <w:pPr>
        <w:pStyle w:val="BookText"/>
        <w:bidi w:val="0"/>
        <w:jc w:val="both"/>
        <w:rPr/>
      </w:pPr>
      <w:r>
        <w:rPr>
          <w:rFonts w:eastAsia="Times New Roman" w:cs="Times New Roman" w:ascii="Times New Roman" w:hAnsi="Times New Roman"/>
          <w:color w:val="111111"/>
          <w:sz w:val="28"/>
          <w:szCs w:val="28"/>
          <w:lang w:val="en-US"/>
        </w:rPr>
        <w:t>He was known to be particularly harsh with women, whether they were his daughters, his wives, his sisters, or strangers. He once wrote, “I buried my daughter alive, and while I was burying her, she was putting her hands on my beard to clean the dust from it.”</w:t>
      </w:r>
      <w:r>
        <w:rPr>
          <w:rStyle w:val="FootnoteAnchor"/>
        </w:rPr>
        <w:footnoteReference w:id="281"/>
      </w:r>
      <w:r>
        <w:rPr>
          <w:rFonts w:eastAsia="Times New Roman" w:cs="Times New Roman" w:ascii="Times New Roman" w:hAnsi="Times New Roman"/>
          <w:color w:val="111111"/>
          <w:sz w:val="28"/>
          <w:szCs w:val="28"/>
          <w:lang w:val="en-US"/>
        </w:rPr>
        <w:t>Al-Ashath Ibn Qays recalls that when he was hosting ‘Umar at his home, in the middle of the night, ‘Umar kept beating his wife until al-Ashath stopped him.</w:t>
      </w:r>
      <w:r>
        <w:rPr>
          <w:rStyle w:val="FootnoteAnchor"/>
        </w:rPr>
        <w:footnoteReference w:id="282"/>
      </w:r>
      <w:r>
        <w:rPr>
          <w:rFonts w:eastAsia="Times New Roman" w:cs="Times New Roman" w:ascii="Times New Roman" w:hAnsi="Times New Roman"/>
          <w:color w:val="111111"/>
          <w:sz w:val="28"/>
          <w:szCs w:val="28"/>
          <w:lang w:val="en-US"/>
        </w:rPr>
        <w:t>‘Umar told another one of his wives, “You are nothing but a toy that men play with, and then you are abandoned.”</w:t>
      </w:r>
      <w:r>
        <w:rPr>
          <w:rStyle w:val="FootnoteAnchor"/>
        </w:rPr>
        <w:footnoteReference w:id="283"/>
      </w:r>
      <w:r>
        <w:rPr>
          <w:rFonts w:eastAsia="Times New Roman" w:cs="Times New Roman" w:ascii="Times New Roman" w:hAnsi="Times New Roman"/>
          <w:color w:val="111111"/>
          <w:sz w:val="28"/>
          <w:szCs w:val="28"/>
          <w:lang w:val="en-US"/>
        </w:rPr>
        <w:t>His harshness caused women to decline his marriage proposals; one of those who refused him was Umme Kulthum, the daughter of Abu Bakr.</w:t>
      </w:r>
      <w:r>
        <w:rPr>
          <w:rStyle w:val="FootnoteAnchor"/>
        </w:rPr>
        <w:footnoteReference w:id="28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did not confine his abuse to only the women of his household. When Lady Aishah was mourning the death of her father Abu Bakr, he threatened to</w:t>
      </w:r>
    </w:p>
    <w:p>
      <w:pPr>
        <w:pStyle w:val="BookText"/>
        <w:bidi w:val="0"/>
        <w:rPr/>
      </w:pPr>
      <w:r>
        <w:rPr>
          <w:rFonts w:eastAsia="Times New Roman" w:cs="Times New Roman" w:ascii="Times New Roman" w:hAnsi="Times New Roman"/>
          <w:color w:val="111111"/>
          <w:sz w:val="28"/>
          <w:szCs w:val="28"/>
          <w:lang w:val="en-US"/>
        </w:rPr>
        <w:t>hit her if she did not stop and then retorted to beating her sister, Umme Farwah with his stick instead. Hence, they both stopped crying.</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On another occasion, when he heard the cry of a woman, he took it upon himself to enter her home and hit her with his stick, until the covering of her hair fell off.</w:t>
      </w:r>
      <w:r>
        <w:rPr>
          <w:rStyle w:val="FootnoteAnchor"/>
        </w:rPr>
        <w:footnoteReference w:id="286"/>
      </w:r>
      <w:r>
        <w:rPr>
          <w:rFonts w:eastAsia="Times New Roman" w:cs="Times New Roman" w:ascii="Times New Roman" w:hAnsi="Times New Roman"/>
          <w:color w:val="111111"/>
          <w:sz w:val="28"/>
          <w:szCs w:val="28"/>
          <w:lang w:val="en-US"/>
        </w:rPr>
        <w:t>When Zaynab, the Prophet’s daughter died, ‘Umar hit the women who were crying over her, until the Messenger of Allah seized his hand and told him to stop.</w:t>
      </w:r>
      <w:r>
        <w:rPr>
          <w:rStyle w:val="FootnoteAnchor"/>
        </w:rPr>
        <w:footnoteReference w:id="287"/>
      </w:r>
      <w:r>
        <w:rPr>
          <w:rFonts w:eastAsia="Times New Roman" w:cs="Times New Roman" w:ascii="Times New Roman" w:hAnsi="Times New Roman"/>
          <w:color w:val="111111"/>
          <w:sz w:val="28"/>
          <w:szCs w:val="28"/>
          <w:lang w:val="en-US"/>
        </w:rPr>
        <w:t>Needless to say, even Fatima al-Zahra, the daughter of the Holy Prophet did not escape his wrath. Tragically, ‘Umar attacked her at her own home and forced her to miscarry her baby son Muhsin, the third grandson of the Holy Prophet.</w:t>
      </w:r>
    </w:p>
    <w:p>
      <w:pPr>
        <w:pStyle w:val="BookText"/>
        <w:bidi w:val="0"/>
        <w:jc w:val="both"/>
        <w:rPr/>
      </w:pPr>
      <w:r>
        <w:rPr>
          <w:rFonts w:eastAsia="Times New Roman" w:cs="Times New Roman" w:ascii="Times New Roman" w:hAnsi="Times New Roman"/>
          <w:color w:val="111111"/>
          <w:sz w:val="28"/>
          <w:szCs w:val="28"/>
          <w:lang w:val="en-US"/>
        </w:rPr>
        <w:t>Numerous traditions relate that the Muslim community greatly feared ‘Umar’s violent tendencies. However in one tradition, although unbecoming, it shows the extent of that fear. In an example of the virtues of ‘Umar Ibn al-Khattab, al-Bukhari relates a peculiar story: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women were sitting with the Prophet and enthusiastically asking him questions that caused their voices to be raised above the voice of the Prophet. ‘Umar sought permission to enter, and as soon as the women heard him, they became afraid and put on their hijab (head covering). After the Prophet gave him permission, he entered, at which point the Prophet laughed. ‘Umar asked the Prophet, “Why do you laugh, O Messenger of Allah?” The Prophet replied, “I am surprised at these women who</w:t>
      </w:r>
    </w:p>
    <w:p>
      <w:pPr>
        <w:pStyle w:val="BookText"/>
        <w:bidi w:val="0"/>
        <w:rPr/>
      </w:pPr>
      <w:r>
        <w:rPr>
          <w:rFonts w:eastAsia="Times New Roman" w:cs="Times New Roman" w:ascii="Times New Roman" w:hAnsi="Times New Roman"/>
          <w:color w:val="111111"/>
          <w:sz w:val="28"/>
          <w:szCs w:val="28"/>
          <w:lang w:val="en-US"/>
        </w:rPr>
        <w:t>were sitting next to me not wearing the hijab, but the moment they heard your voice, they rushed to wear the hijab.” ‘Umar rebuked them, “You are the enemies of Allah; why do you not fear the Prophet and you fear me?” They told him, “Due to the fact that you are harsh and violent.”</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Al-Bukhari considers this narration to be an example of the virtues of ‘Umar Ibn al-Khattab - perhaps it may be that this tradition reflects the fear of ‘Umar amongst the women; but it also implies that the Prophet was frolicking amongst unveiled Muslim women, and such an implication undermines the moral virtues and character of the Prophet.</w:t>
      </w:r>
    </w:p>
    <w:p>
      <w:pPr>
        <w:pStyle w:val="BookText"/>
        <w:bidi w:val="0"/>
        <w:jc w:val="both"/>
        <w:rPr/>
      </w:pPr>
      <w:r>
        <w:rPr>
          <w:rFonts w:eastAsia="Times New Roman" w:cs="Times New Roman" w:ascii="Times New Roman" w:hAnsi="Times New Roman"/>
          <w:color w:val="111111"/>
          <w:sz w:val="28"/>
          <w:szCs w:val="28"/>
          <w:lang w:val="en-US"/>
        </w:rPr>
        <w:t>In another incident, ‘Umar summoned a woman whose chastity he doubted so that he could inquire whether her pregnancy was legitimate. Terrified, the woman miscarried. When ‘Umar asked his aides whether he had to pay the diyah (blood money), they told him that he did not have to because he was only instructing her. However, ‘Ali instructed him, “They misled you, they ill-advised you and you have to pay the diyah of the baby to its mother.”</w:t>
      </w:r>
    </w:p>
    <w:p>
      <w:pPr>
        <w:pStyle w:val="BookText"/>
        <w:bidi w:val="0"/>
        <w:jc w:val="both"/>
        <w:rPr/>
      </w:pPr>
      <w:r>
        <w:rPr>
          <w:rFonts w:eastAsia="Times New Roman" w:cs="Times New Roman" w:ascii="Times New Roman" w:hAnsi="Times New Roman"/>
          <w:color w:val="111111"/>
          <w:sz w:val="28"/>
          <w:szCs w:val="28"/>
          <w:lang w:val="en-US"/>
        </w:rPr>
        <w:t>Men too were on the receiving end of ‘Umar’s durrah (stick). People used to say, “The stick of ‘Umar is sharper than the sword of al-Hajjaj (al-Hajjaj was a well-known tyrant who had killed thousands of his opponents).”</w:t>
      </w:r>
      <w:r>
        <w:rPr>
          <w:rStyle w:val="FootnoteAnchor"/>
        </w:rPr>
        <w:footnoteReference w:id="289"/>
      </w:r>
      <w:r>
        <w:rPr>
          <w:rFonts w:eastAsia="Times New Roman" w:cs="Times New Roman" w:ascii="Times New Roman" w:hAnsi="Times New Roman"/>
          <w:color w:val="111111"/>
          <w:sz w:val="28"/>
          <w:szCs w:val="28"/>
          <w:lang w:val="en-US"/>
        </w:rPr>
        <w:t>Ibn Sa’dah al-Hadhalah narrates, “I saw ‘Umar Ibn al-Khattab in the market beating the merchants with his stick.</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gathered around the food in the</w:t>
      </w:r>
    </w:p>
    <w:p>
      <w:pPr>
        <w:pStyle w:val="BookText"/>
        <w:bidi w:val="0"/>
        <w:rPr/>
      </w:pPr>
      <w:r>
        <w:rPr>
          <w:rFonts w:eastAsia="Times New Roman" w:cs="Times New Roman" w:ascii="Times New Roman" w:hAnsi="Times New Roman"/>
          <w:color w:val="111111"/>
          <w:sz w:val="28"/>
          <w:szCs w:val="28"/>
          <w:lang w:val="en-US"/>
        </w:rPr>
        <w:t>market, he wanted to disturb them, so he used his stick.”</w:t>
      </w:r>
      <w:r>
        <w:rPr>
          <w:rStyle w:val="FootnoteAnchor"/>
        </w:rPr>
        <w:footnoteReference w:id="290"/>
      </w:r>
      <w:r>
        <w:rPr>
          <w:rFonts w:eastAsia="Times New Roman" w:cs="Times New Roman" w:ascii="Times New Roman" w:hAnsi="Times New Roman"/>
          <w:color w:val="111111"/>
          <w:sz w:val="28"/>
          <w:szCs w:val="28"/>
          <w:lang w:val="en-US"/>
        </w:rPr>
        <w:t>When he was not using his stick, he often used his hands or his feet, and sometimes he would bite people. In one instance, he bit the hand of Ubaydallah Ibn ‘Umar, the son of a man who was known as Abu Isa, and warned him, “Do not call yourself Abu Isa, since Isa [Prophet Jesus] did not have a father.”</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Again in the market, he beat people for purchasing red meat, which was considered a delicacy, two days in a row.</w:t>
      </w:r>
      <w:r>
        <w:rPr>
          <w:rStyle w:val="FootnoteAnchor"/>
        </w:rPr>
        <w:footnoteReference w:id="292"/>
      </w:r>
      <w:r>
        <w:rPr>
          <w:rFonts w:eastAsia="Times New Roman" w:cs="Times New Roman" w:ascii="Times New Roman" w:hAnsi="Times New Roman"/>
          <w:color w:val="111111"/>
          <w:sz w:val="28"/>
          <w:szCs w:val="28"/>
          <w:lang w:val="en-US"/>
        </w:rPr>
        <w:t>In addition, he beat Timem al-Darimi for performing the sunnah (recommended) prayers after the afternoon prayers.</w:t>
      </w:r>
      <w:r>
        <w:rPr>
          <w:rStyle w:val="FootnoteAnchor"/>
        </w:rPr>
        <w:footnoteReference w:id="293"/>
      </w:r>
      <w:r>
        <w:rPr>
          <w:rFonts w:eastAsia="Times New Roman" w:cs="Times New Roman" w:ascii="Times New Roman" w:hAnsi="Times New Roman"/>
          <w:color w:val="111111"/>
          <w:sz w:val="28"/>
          <w:szCs w:val="28"/>
          <w:lang w:val="en-US"/>
        </w:rPr>
        <w:t>He even beat the man who later became a popular transmitter of hadith, Abu Huraira. Many other incidents of ‘Umar’s brutality have been reported by the companions, such as Bilal</w:t>
      </w:r>
      <w:r>
        <w:rPr>
          <w:rStyle w:val="FootnoteAnchor"/>
        </w:rPr>
        <w:footnoteReference w:id="294"/>
      </w:r>
      <w:r>
        <w:rPr>
          <w:rFonts w:eastAsia="Times New Roman" w:cs="Times New Roman" w:ascii="Times New Roman" w:hAnsi="Times New Roman"/>
          <w:color w:val="111111"/>
          <w:sz w:val="28"/>
          <w:szCs w:val="28"/>
          <w:lang w:val="en-US"/>
        </w:rPr>
        <w:t>and Abd al-Rahman Ibn Auf.</w:t>
      </w:r>
      <w:r>
        <w:rPr>
          <w:rStyle w:val="FootnoteAnchor"/>
        </w:rPr>
        <w:footnoteReference w:id="295"/>
      </w:r>
      <w:r>
        <w:rPr>
          <w:rFonts w:eastAsia="Times New Roman" w:cs="Times New Roman" w:ascii="Times New Roman" w:hAnsi="Times New Roman"/>
          <w:color w:val="111111"/>
          <w:sz w:val="28"/>
          <w:szCs w:val="28"/>
          <w:lang w:val="en-US"/>
        </w:rPr>
        <w:t>Even ‘Umar himself knew he was too harsh and once prayed, “O my Lord, I am tough, so make me soft.”</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Unlike his predecessor Abu Bakr, ‘Umar was known for his toughness, even sometimes, he was merciless.</w:t>
      </w:r>
      <w:r>
        <w:rPr>
          <w:rStyle w:val="FootnoteAnchor"/>
        </w:rPr>
        <w:footnoteReference w:id="297"/>
      </w:r>
      <w:r>
        <w:rPr>
          <w:rFonts w:eastAsia="Times New Roman" w:cs="Times New Roman" w:ascii="Times New Roman" w:hAnsi="Times New Roman"/>
          <w:color w:val="111111"/>
          <w:sz w:val="28"/>
          <w:szCs w:val="28"/>
          <w:lang w:val="en-US"/>
        </w:rPr>
        <w:t>‘Umar’s toughness caused many of the companions in Madinah to react against him. Openly, the Muslims could not retaliate against him, thus the people would aim their stones at him during the stoning of the symbolic Shaytan at the Hajj and cause him to bleed.</w:t>
      </w:r>
      <w:r>
        <w:rPr>
          <w:rStyle w:val="FootnoteAnchor"/>
        </w:rPr>
        <w:footnoteReference w:id="29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using aggression, ‘Umar Ibn al-Khattab also imprisoned many people during his caliphate. Al-Dhahabi relates that ‘Umar detained three prominent companions: Abdullah Ibn Masud, Abu</w:t>
      </w:r>
    </w:p>
    <w:p>
      <w:pPr>
        <w:pStyle w:val="BookText"/>
        <w:bidi w:val="0"/>
        <w:rPr/>
      </w:pPr>
      <w:r>
        <w:rPr>
          <w:rFonts w:eastAsia="Times New Roman" w:cs="Times New Roman" w:ascii="Times New Roman" w:hAnsi="Times New Roman"/>
          <w:color w:val="111111"/>
          <w:sz w:val="28"/>
          <w:szCs w:val="28"/>
          <w:lang w:val="en-US"/>
        </w:rPr>
        <w:t>Dardah, and Abu Masud al-Ansari.</w:t>
      </w:r>
      <w:r>
        <w:rPr>
          <w:rStyle w:val="FootnoteAnchor"/>
        </w:rPr>
        <w:footnoteReference w:id="299"/>
      </w:r>
      <w:r>
        <w:rPr>
          <w:rFonts w:eastAsia="Times New Roman" w:cs="Times New Roman" w:ascii="Times New Roman" w:hAnsi="Times New Roman"/>
          <w:color w:val="111111"/>
          <w:sz w:val="28"/>
          <w:szCs w:val="28"/>
          <w:lang w:val="en-US"/>
        </w:rPr>
        <w:t>According to Abu Bakr Ibn al-Arabi, they were only released after ‘Umar died.</w:t>
      </w:r>
      <w:r>
        <w:rPr>
          <w:rStyle w:val="FootnoteAnchor"/>
        </w:rPr>
        <w:footnoteReference w:id="300"/>
      </w:r>
      <w:r>
        <w:rPr>
          <w:rFonts w:eastAsia="Times New Roman" w:cs="Times New Roman" w:ascii="Times New Roman" w:hAnsi="Times New Roman"/>
          <w:color w:val="111111"/>
          <w:sz w:val="28"/>
          <w:szCs w:val="28"/>
          <w:lang w:val="en-US"/>
        </w:rPr>
        <w:t>‘Umar imprisoned these three because he feared they would spread certain hadith from the Prophet that threatened his rule.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saw little value in the blood relationships between people and the Holy Prophet. When Safiyah, the aunt of the Prophet, whom the Prophet respected considerably lost her son, the Prophet consoled her by saying that Allah would build a house in Paradise for anyone who lost a child and was patient through the ordeal.</w:t>
      </w:r>
    </w:p>
    <w:p>
      <w:pPr>
        <w:pStyle w:val="BookText"/>
        <w:bidi w:val="0"/>
        <w:jc w:val="both"/>
        <w:rPr/>
      </w:pPr>
      <w:r>
        <w:rPr>
          <w:rFonts w:eastAsia="Times New Roman" w:cs="Times New Roman" w:ascii="Times New Roman" w:hAnsi="Times New Roman"/>
          <w:color w:val="111111"/>
          <w:sz w:val="28"/>
          <w:szCs w:val="28"/>
          <w:lang w:val="en-US"/>
        </w:rPr>
        <w:t>After hearing this, Safiyah was comforted and the Prophet left her. Afterwards, ‘Umar came and said to her, “Safiyah, I heard your cries, and your relationship to the Prophet will not help you on the Day of Judgment.” At that, she started crying again. The Prophet heard her cry again and said, “O my aunt, you are still crying and you heard what I said to you?” She replied, “No, O Messenger of Allah, what made me cry again was when ‘Umar said to me that my relationship to the Prophet would not help me on the Day of Judgment.” Angered, the Prophet told Bilal to call for the prayer (adhan), and when the people assembled, he climbed the pulpit, praised Allah and asked, “What is wrong with the people that they claim that my relationship does not benefit them and is useless on the Day of Judgment? My relationship is binding in this world and in the Hereafter.”</w:t>
      </w:r>
      <w:r>
        <w:rPr>
          <w:rStyle w:val="FootnoteAnchor"/>
        </w:rPr>
        <w:footnoteReference w:id="3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is</w:t>
      </w:r>
      <w:bookmarkStart w:id="158" w:name="pg3581_21994"/>
    </w:p>
    <w:p>
      <w:pPr>
        <w:pStyle w:val="BookText"/>
        <w:bidi w:val="0"/>
        <w:rPr/>
      </w:pPr>
      <w:bookmarkEnd w:id="158"/>
      <w:r>
        <w:rPr>
          <w:rFonts w:eastAsia="Times New Roman" w:cs="Times New Roman" w:ascii="Times New Roman" w:hAnsi="Times New Roman"/>
          <w:color w:val="111111"/>
          <w:sz w:val="28"/>
          <w:szCs w:val="28"/>
          <w:lang w:val="en-US"/>
        </w:rPr>
        <w:t>also recorded to have had a propensity towards music and wine (nabeeth</w:t>
      </w:r>
      <w:r>
        <w:rPr>
          <w:rStyle w:val="FootnoteAnchor"/>
        </w:rPr>
        <w:footnoteReference w:id="302"/>
      </w:r>
      <w:r>
        <w:rPr>
          <w:rFonts w:eastAsia="Times New Roman" w:cs="Times New Roman" w:ascii="Times New Roman" w:hAnsi="Times New Roman"/>
          <w:color w:val="111111"/>
          <w:sz w:val="28"/>
          <w:szCs w:val="28"/>
          <w:lang w:val="en-US"/>
        </w:rPr>
        <w:t>).</w:t>
      </w:r>
      <w:r>
        <w:rPr>
          <w:rStyle w:val="FootnoteAnchor"/>
        </w:rPr>
        <w:footnoteReference w:id="303"/>
      </w:r>
      <w:r>
        <w:rPr>
          <w:rFonts w:eastAsia="Times New Roman" w:cs="Times New Roman" w:ascii="Times New Roman" w:hAnsi="Times New Roman"/>
          <w:color w:val="111111"/>
          <w:sz w:val="28"/>
          <w:szCs w:val="28"/>
          <w:lang w:val="en-US"/>
        </w:rPr>
        <w:t>He habitually listened to and requested music to be played and he is said to have stayed awake until dawn to listen to singing (ghina).</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Holy Qur’an, 5:91; Ibn Sa’d, Al Tabaqaat al-Kubraa, 4:163</w:t>
      </w:r>
    </w:p>
    <w:p>
      <w:pPr>
        <w:pStyle w:val="BookText"/>
        <w:bidi w:val="0"/>
        <w:jc w:val="both"/>
        <w:rPr/>
      </w:pPr>
      <w:r>
        <w:rPr>
          <w:rFonts w:eastAsia="Times New Roman" w:cs="Times New Roman" w:ascii="Times New Roman" w:hAnsi="Times New Roman"/>
          <w:color w:val="111111"/>
          <w:sz w:val="28"/>
          <w:szCs w:val="28"/>
          <w:lang w:val="en-US"/>
        </w:rPr>
        <w:t>Since wine was initially discouraged rather than prohibited, some Muslims continued to drink between the Qur’anic revelations of c. 2:219 and c. 4:42 and ‘Umar was one of those who drank between the revelations. Once while drunk, he fractured the head of Abd al-Rahman Ibn Auf and then sat poetically lamenting the mushrikeen who had been killed in the Battle of Badr. At that moment, Allah revealed the third verse that completely prohibited the drinking of alcohol (wine).</w:t>
      </w:r>
      <w:r>
        <w:rPr>
          <w:rStyle w:val="FootnoteAnchor"/>
        </w:rPr>
        <w:footnoteReference w:id="305"/>
      </w:r>
      <w:r>
        <w:rPr>
          <w:rFonts w:eastAsia="Times New Roman" w:cs="Times New Roman" w:ascii="Times New Roman" w:hAnsi="Times New Roman"/>
          <w:color w:val="111111"/>
          <w:sz w:val="28"/>
          <w:szCs w:val="28"/>
          <w:lang w:val="en-US"/>
        </w:rPr>
        <w:t>Having realized Allah’s commandment that there was no more permissibility for drinking, ‘Umar cried out, “We stopped (intahayna), we stopped (intahayna).”</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However, during his caliphate, ‘Umar is recorded to have continued to ask for wine - once when he was traveling to Shaam (Syria);</w:t>
      </w:r>
      <w:r>
        <w:rPr>
          <w:rStyle w:val="FootnoteAnchor"/>
        </w:rPr>
        <w:footnoteReference w:id="307"/>
      </w:r>
      <w:r>
        <w:rPr>
          <w:rFonts w:eastAsia="Times New Roman" w:cs="Times New Roman" w:ascii="Times New Roman" w:hAnsi="Times New Roman"/>
          <w:color w:val="111111"/>
          <w:sz w:val="28"/>
          <w:szCs w:val="28"/>
          <w:lang w:val="en-US"/>
        </w:rPr>
        <w:t>and once when he was traveling to Mecca, he met a man named Abdullah Ibn Ayash al-Maszumi and sipped his wine before passing it on to the man on his right.</w:t>
      </w:r>
      <w:r>
        <w:rPr>
          <w:rStyle w:val="FootnoteAnchor"/>
        </w:rPr>
        <w:footnoteReference w:id="308"/>
      </w:r>
      <w:r>
        <w:rPr>
          <w:rFonts w:eastAsia="Times New Roman" w:cs="Times New Roman" w:ascii="Times New Roman" w:hAnsi="Times New Roman"/>
          <w:color w:val="111111"/>
          <w:sz w:val="28"/>
          <w:szCs w:val="28"/>
          <w:lang w:val="en-US"/>
        </w:rPr>
        <w:t>Other stories have also been recorded; however, the last known incident of him drinking alcohol was after doing his prayers just before he was killed.</w:t>
      </w:r>
      <w:r>
        <w:rPr>
          <w:rStyle w:val="FootnoteAnchor"/>
        </w:rPr>
        <w:footnoteReference w:id="309"/>
      </w:r>
      <w:r>
        <w:rPr>
          <w:rFonts w:eastAsia="Times New Roman" w:cs="Times New Roman" w:ascii="Times New Roman" w:hAnsi="Times New Roman"/>
          <w:color w:val="111111"/>
          <w:sz w:val="28"/>
          <w:szCs w:val="28"/>
          <w:lang w:val="en-US"/>
        </w:rPr>
        <w:t>However, some tend to explain these stories by saying that the wine that ‘Umar drank after the time of jahilliyah was non-alcoholic.</w:t>
      </w:r>
    </w:p>
    <w:p>
      <w:pPr>
        <w:pStyle w:val="Heading5"/>
        <w:numPr>
          <w:ilvl w:val="4"/>
          <w:numId w:val="1"/>
        </w:numPr>
        <w:bidi w:val="0"/>
        <w:jc w:val="left"/>
        <w:rPr/>
      </w:pPr>
      <w:bookmarkStart w:id="159" w:name="__RefHeading___Toc4074645_2749589250"/>
      <w:bookmarkStart w:id="160" w:name="_Toc61"/>
      <w:bookmarkEnd w:id="159"/>
      <w:r>
        <w:rPr/>
        <w:t>Qur’an as a “Book”</w:t>
      </w:r>
      <w:bookmarkEnd w:id="1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time ‘Umar became the caliph, Muslims already had the Qur’an in its complete</w:t>
      </w:r>
    </w:p>
    <w:p>
      <w:pPr>
        <w:pStyle w:val="BookText"/>
        <w:bidi w:val="0"/>
        <w:rPr/>
      </w:pPr>
      <w:r>
        <w:rPr>
          <w:rFonts w:eastAsia="Times New Roman" w:cs="Times New Roman" w:ascii="Times New Roman" w:hAnsi="Times New Roman"/>
          <w:color w:val="111111"/>
          <w:sz w:val="28"/>
          <w:szCs w:val="28"/>
          <w:lang w:val="en-US"/>
        </w:rPr>
        <w:t>and present-day form. Many verses of the Qur’an also attest to its preserved status before the life of the Prophet ended.</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The Prophet handpicked the scribes who would copy word for word each ayah (considered as a letter or a word in the Qur’an) under his direct supervision. The known scribes were: ‘Ali Ibn Abi Talib, Abdullah Ibn Masud, Abu Dardah, Zayd Ibn Thabit, Ma’adh Ibn Jabal, and Salim Mawla Abi Hudayfah. During the lifetime of the Prophet, many of the companions - forty-one of whom are recorded by Ibn Nadeem</w:t>
      </w:r>
      <w:r>
        <w:rPr>
          <w:rStyle w:val="FootnoteAnchor"/>
        </w:rPr>
        <w:footnoteReference w:id="311"/>
      </w:r>
      <w:r>
        <w:rPr>
          <w:rFonts w:eastAsia="Times New Roman" w:cs="Times New Roman" w:ascii="Times New Roman" w:hAnsi="Times New Roman"/>
          <w:color w:val="111111"/>
          <w:sz w:val="28"/>
          <w:szCs w:val="28"/>
          <w:lang w:val="en-US"/>
        </w:rPr>
        <w:t>- had written the entire Qur’an with their own hands; therefore, each copy was known as “the copy of Abdullah Ibn Masud,” “the copy of Ibn Abbas,” and so on.</w:t>
      </w:r>
    </w:p>
    <w:p>
      <w:pPr>
        <w:pStyle w:val="BookText"/>
        <w:bidi w:val="0"/>
        <w:jc w:val="both"/>
        <w:rPr/>
      </w:pPr>
      <w:r>
        <w:rPr>
          <w:rFonts w:eastAsia="Times New Roman" w:cs="Times New Roman" w:ascii="Times New Roman" w:hAnsi="Times New Roman"/>
          <w:color w:val="111111"/>
          <w:sz w:val="28"/>
          <w:szCs w:val="28"/>
          <w:lang w:val="en-US"/>
        </w:rPr>
        <w:t>In later times, some attempted to credit Abu Bakr and ‘Umar for first compiling the Qur’an, but those who did so neglected the earlier historical references. In reality, ‘Umar not only lacked interest in the Qur’an, but he also cast serious doubt on its completeness and authenticity. Oftentimes, he would inform the people from the minbar (pulpit) that some verses of the Qur’an were removed.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more, ‘Umar believed that certain verses were lost with the death of the Prophet.</w:t>
      </w:r>
      <w:r>
        <w:rPr>
          <w:rStyle w:val="FootnoteAnchor"/>
        </w:rPr>
        <w:footnoteReference w:id="312"/>
      </w:r>
      <w:r>
        <w:rPr>
          <w:rFonts w:eastAsia="Times New Roman" w:cs="Times New Roman" w:ascii="Times New Roman" w:hAnsi="Times New Roman"/>
          <w:color w:val="111111"/>
          <w:sz w:val="28"/>
          <w:szCs w:val="28"/>
          <w:lang w:val="en-US"/>
        </w:rPr>
        <w:t>In accordance with al-Bukhari, ‘Umar is related to have said, “Allah sent Muhammad with the truth, and He sent a book to him, and we used to read verses in that book, and we don’t find them anymore.” The “missing” verse that ‘Umar is referring to - in which only he</w:t>
      </w:r>
    </w:p>
    <w:p>
      <w:pPr>
        <w:pStyle w:val="BookText"/>
        <w:bidi w:val="0"/>
        <w:rPr/>
      </w:pPr>
      <w:r>
        <w:rPr>
          <w:rFonts w:eastAsia="Times New Roman" w:cs="Times New Roman" w:ascii="Times New Roman" w:hAnsi="Times New Roman"/>
          <w:color w:val="111111"/>
          <w:sz w:val="28"/>
          <w:szCs w:val="28"/>
          <w:lang w:val="en-US"/>
        </w:rPr>
        <w:t>thought - was about stoning of an adulterer.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At times, during the dawn prayers, ‘Umar would recite verses that no one else heard; he called them “al-hafd wal-khul.”</w:t>
      </w:r>
      <w:r>
        <w:rPr>
          <w:rStyle w:val="FootnoteAnchor"/>
        </w:rPr>
        <w:footnoteReference w:id="314"/>
      </w:r>
      <w:r>
        <w:rPr>
          <w:rFonts w:eastAsia="Times New Roman" w:cs="Times New Roman" w:ascii="Times New Roman" w:hAnsi="Times New Roman"/>
          <w:color w:val="111111"/>
          <w:sz w:val="28"/>
          <w:szCs w:val="28"/>
          <w:lang w:val="en-US"/>
        </w:rPr>
        <w:t>As for the entirety of the Qur’an, ‘Umar mentioned that it was composed of a whopping 1,027,000 letters, while the Qur’an consists of just over 300,000 letters.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would argue, for instance, with one of the original transcribers of the Qur’an, Hudayfah. ‘Umar asked him how many verses were in Surah al-Ahzab, and Hudayfah answered that there were 72 or 73. ‘Umar countered that the number of verses in that surah was similar to the number of verses in Surah al-Baqarah, which has 286 verses, implying that over 200 verses of the original surah had been lost.</w:t>
      </w:r>
      <w:r>
        <w:rPr>
          <w:rStyle w:val="FootnoteAnchor"/>
        </w:rPr>
        <w:footnoteReference w:id="316"/>
      </w:r>
      <w:r>
        <w:rPr>
          <w:rFonts w:eastAsia="Times New Roman" w:cs="Times New Roman" w:ascii="Times New Roman" w:hAnsi="Times New Roman"/>
          <w:color w:val="111111"/>
          <w:sz w:val="28"/>
          <w:szCs w:val="28"/>
          <w:lang w:val="en-US"/>
        </w:rPr>
        <w:t>He also said that Surah al-Tawbah (Repentance) was only one-fourth of the original, and that it was first called “Surah al-Adhab (The Punishment)” before the people changed its name to Surah al-Tawbah.</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Tafseer, the interpretation of the verses of the Holy Qur’an was also not one of ‘Umar’s strong points. He would often discourage, even react violently when people asked him questions about the meaning of the Qur’an, which he could not answer.</w:t>
      </w:r>
      <w:r>
        <w:rPr>
          <w:rStyle w:val="FootnoteAnchor"/>
        </w:rPr>
        <w:footnoteReference w:id="318"/>
      </w:r>
      <w:r>
        <w:rPr>
          <w:rFonts w:eastAsia="Times New Roman" w:cs="Times New Roman" w:ascii="Times New Roman" w:hAnsi="Times New Roman"/>
          <w:color w:val="111111"/>
          <w:sz w:val="28"/>
          <w:szCs w:val="28"/>
          <w:lang w:val="en-US"/>
        </w:rPr>
        <w:t>When a man came to ‘Umar and inquired about what c. 4:128 meant, ‘Umar hit him rather than admitting that he did not know the answer. Similarly, when someone asked ‘Umar what “fodder” meant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split the earth in fragments and produce therein grain...and fruits and fodder”</w:t>
      </w:r>
      <w:r>
        <w:rPr>
          <w:rStyle w:val="FootnoteAnchor"/>
        </w:rPr>
        <w:footnoteReference w:id="3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reproached him saying, “You</w:t>
      </w:r>
    </w:p>
    <w:p>
      <w:pPr>
        <w:pStyle w:val="BookText"/>
        <w:bidi w:val="0"/>
        <w:rPr/>
      </w:pPr>
      <w:r>
        <w:rPr>
          <w:rFonts w:eastAsia="Times New Roman" w:cs="Times New Roman" w:ascii="Times New Roman" w:hAnsi="Times New Roman"/>
          <w:color w:val="111111"/>
          <w:sz w:val="28"/>
          <w:szCs w:val="28"/>
          <w:lang w:val="en-US"/>
        </w:rPr>
        <w:t>have the book of your Lord with you. Practice what you know from it, and leave what you do not know.”</w:t>
      </w:r>
      <w:r>
        <w:rPr>
          <w:rStyle w:val="FootnoteAnchor"/>
        </w:rPr>
        <w:footnoteReference w:id="320"/>
      </w:r>
      <w:r>
        <w:rPr>
          <w:rFonts w:eastAsia="Times New Roman" w:cs="Times New Roman" w:ascii="Times New Roman" w:hAnsi="Times New Roman"/>
          <w:color w:val="111111"/>
          <w:sz w:val="28"/>
          <w:szCs w:val="28"/>
          <w:lang w:val="en-US"/>
        </w:rPr>
        <w:t>According to Ibn Abil Hadid, ‘Umar was not concerned with the interpretation (tafseer) of the Qur’an and used to say, “Just recite the Qur’an and do not interpret it (tufassiruhu),”</w:t>
      </w:r>
      <w:r>
        <w:rPr>
          <w:rStyle w:val="FootnoteAnchor"/>
        </w:rPr>
        <w:footnoteReference w:id="321"/>
      </w:r>
      <w:r>
        <w:rPr>
          <w:rFonts w:eastAsia="Times New Roman" w:cs="Times New Roman" w:ascii="Times New Roman" w:hAnsi="Times New Roman"/>
          <w:color w:val="111111"/>
          <w:sz w:val="28"/>
          <w:szCs w:val="28"/>
          <w:lang w:val="en-US"/>
        </w:rPr>
        <w:t>since he himself did not know much about it.</w:t>
      </w:r>
    </w:p>
    <w:p>
      <w:pPr>
        <w:pStyle w:val="BookText"/>
        <w:bidi w:val="0"/>
        <w:jc w:val="both"/>
        <w:rPr/>
      </w:pPr>
      <w:r>
        <w:rPr>
          <w:rFonts w:eastAsia="Times New Roman" w:cs="Times New Roman" w:ascii="Times New Roman" w:hAnsi="Times New Roman"/>
          <w:color w:val="111111"/>
          <w:sz w:val="28"/>
          <w:szCs w:val="28"/>
          <w:lang w:val="en-US"/>
        </w:rPr>
        <w:t>Occasionally, ‘Umar would hear verses of the Qur’an but not recognize them as such.</w:t>
      </w:r>
      <w:r>
        <w:rPr>
          <w:rStyle w:val="FootnoteAnchor"/>
        </w:rPr>
        <w:footnoteReference w:id="322"/>
      </w:r>
      <w:r>
        <w:rPr>
          <w:rFonts w:eastAsia="Times New Roman" w:cs="Times New Roman" w:ascii="Times New Roman" w:hAnsi="Times New Roman"/>
          <w:color w:val="111111"/>
          <w:sz w:val="28"/>
          <w:szCs w:val="28"/>
          <w:lang w:val="en-US"/>
        </w:rPr>
        <w:t>One day, ‘Umar angrily interrupted a man who was reading verse 11 from Surah al-Tawbah because he did not recognize the verse and assumed that the man was inventing it. Defending himself, the man asserted, “Yes, I heard it from Ubay Ibn Ka’ab,” one of the transcribers of the Qur’an. Then, ‘Umar went to Ubay Ibn Ka’ab and asked him three times about the verse. Each time he replied, “Yes, I received it from Prophet Muhammad.” After that, ‘Umar left raising his hands and shouting “Allahu akbar (God is Great),” “Allahu akbar,” confessing that the verse was authentic but that he had never heard it before.</w:t>
      </w:r>
      <w:r>
        <w:rPr>
          <w:rStyle w:val="FootnoteAnchor"/>
        </w:rPr>
        <w:footnoteReference w:id="3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when ‘Umar saw verse nine of Surah al-Jumuah (c. 62) written on a tablet he questioned, “Who dictated this verse to you?” Someone replied that Ubay Ibn Ka’ab had narrated the verse. ‘Umar said, “The Prophet has died and we did not read this verse the way it is written here.” He then continued that the verse should have read “fa umdhu ilaa dhikr Allah,” instead of “fasaw ilaa dhikr Allah”</w:t>
      </w:r>
    </w:p>
    <w:p>
      <w:pPr>
        <w:pStyle w:val="BookText"/>
        <w:bidi w:val="0"/>
        <w:rPr/>
      </w:pPr>
      <w:r>
        <w:rPr>
          <w:rFonts w:eastAsia="Times New Roman" w:cs="Times New Roman" w:ascii="Times New Roman" w:hAnsi="Times New Roman"/>
          <w:color w:val="111111"/>
          <w:sz w:val="28"/>
          <w:szCs w:val="28"/>
          <w:lang w:val="en-US"/>
        </w:rPr>
        <w:t>(with both versions having the same meaning of “march” or “go”).</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himself knew that his knowledge of the Qur’an was lacking because once when he heard a man read verse 107 of Surah al-Maidah, he told him, “You are a liar.” The man rebuked, “You are a liar.” Another man interjected, “Are you denying that the Commander of the Faithful is saying the truth?” The man replied, “No, I respect the Commander of the Faithful, but he is unaware of the Qur’an.” ‘Umar admitted, “He is telling the truth (sadaq).”</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One of the scribers of the Qur’an, Ubay Ibn Ka’ab commented, “I was busy with the Qur’an during the time of the Prophet, but you (‘Umar) were busy walking in the markets and in the streets.”</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An assailant stabbed ‘Umar Ibn al-Khattab on Wednesday, four days before the end of Dhul Hijjah in 23 ah.</w:t>
      </w:r>
      <w:r>
        <w:rPr>
          <w:rStyle w:val="FootnoteAnchor"/>
        </w:rPr>
        <w:footnoteReference w:id="327"/>
      </w:r>
      <w:r>
        <w:rPr>
          <w:rFonts w:eastAsia="Times New Roman" w:cs="Times New Roman" w:ascii="Times New Roman" w:hAnsi="Times New Roman"/>
          <w:color w:val="111111"/>
          <w:sz w:val="28"/>
          <w:szCs w:val="28"/>
          <w:lang w:val="en-US"/>
        </w:rPr>
        <w:t>As his condition worsened he realized that his life was about to end, thus he began addressing the subject of his impending death with apprehension and anxiety. Abdullah Ibn Amar Ibn Rabiah relates:</w:t>
      </w:r>
    </w:p>
    <w:p>
      <w:pPr>
        <w:pStyle w:val="BookText"/>
        <w:bidi w:val="0"/>
        <w:jc w:val="both"/>
        <w:rPr/>
      </w:pPr>
      <w:r>
        <w:rPr>
          <w:rFonts w:eastAsia="Times New Roman" w:cs="Times New Roman" w:ascii="Times New Roman" w:hAnsi="Times New Roman"/>
          <w:color w:val="111111"/>
          <w:sz w:val="28"/>
          <w:szCs w:val="28"/>
          <w:lang w:val="en-US"/>
        </w:rPr>
        <w:t xml:space="preserve">I saw ‘Umar when he was on his deathbed, holding in his hand a piece of straw. He raised it and said, “I wish I was this straw. I wish I was nothing. I wish my mother had not delivered me.” </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Soon after, he said: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I was a male sheep in my family. They would feed me and fatten me, and once I became fat, someone who likes my family would visit, so they</w:t>
      </w:r>
    </w:p>
    <w:p>
      <w:pPr>
        <w:pStyle w:val="BookText"/>
        <w:bidi w:val="0"/>
        <w:rPr/>
      </w:pPr>
      <w:r>
        <w:rPr>
          <w:rFonts w:eastAsia="Times New Roman" w:cs="Times New Roman" w:ascii="Times New Roman" w:hAnsi="Times New Roman"/>
          <w:color w:val="111111"/>
          <w:sz w:val="28"/>
          <w:szCs w:val="28"/>
          <w:lang w:val="en-US"/>
        </w:rPr>
        <w:t xml:space="preserve">would slaughter me. They would grill part of me and dry the second half. After that, they would eat me and turn me into adharah (human waste - feces). I wish I was not a human being. </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He expressed a similar sentiment again:</w:t>
      </w:r>
    </w:p>
    <w:p>
      <w:pPr>
        <w:pStyle w:val="BookText"/>
        <w:bidi w:val="0"/>
        <w:jc w:val="both"/>
        <w:rPr/>
      </w:pPr>
      <w:r>
        <w:rPr>
          <w:rFonts w:eastAsia="Times New Roman" w:cs="Times New Roman" w:ascii="Times New Roman" w:hAnsi="Times New Roman"/>
          <w:color w:val="111111"/>
          <w:sz w:val="28"/>
          <w:szCs w:val="28"/>
          <w:lang w:val="en-US"/>
        </w:rPr>
        <w:t xml:space="preserve">I wish I was a tree on the side of a road, and a camel would pass by and eat me, and start to chew me and swallow me, and then get rid of me as its droppings. I wish I was not a human being. </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These statements raise many questions. Perhaps ‘Umar was regretting how he had treated the Prophet, or how he had accused the Prophet of hallucinating,</w:t>
      </w:r>
      <w:r>
        <w:rPr>
          <w:rStyle w:val="FootnoteAnchor"/>
        </w:rPr>
        <w:footnoteReference w:id="331"/>
      </w:r>
      <w:r>
        <w:rPr>
          <w:rFonts w:eastAsia="Times New Roman" w:cs="Times New Roman" w:ascii="Times New Roman" w:hAnsi="Times New Roman"/>
          <w:color w:val="111111"/>
          <w:sz w:val="28"/>
          <w:szCs w:val="28"/>
          <w:lang w:val="en-US"/>
        </w:rPr>
        <w:t>or how he had delayed the burial of the Prophet until Abu Bakr had returned to participate in the power-sharing talks.</w:t>
      </w:r>
      <w:r>
        <w:rPr>
          <w:rStyle w:val="FootnoteAnchor"/>
        </w:rPr>
        <w:footnoteReference w:id="332"/>
      </w:r>
      <w:r>
        <w:rPr>
          <w:rFonts w:eastAsia="Times New Roman" w:cs="Times New Roman" w:ascii="Times New Roman" w:hAnsi="Times New Roman"/>
          <w:color w:val="111111"/>
          <w:sz w:val="28"/>
          <w:szCs w:val="28"/>
          <w:lang w:val="en-US"/>
        </w:rPr>
        <w:t>Perhaps he regretted tugging on the clothes of the Prophet while he was reading Salat al-Janazah (Prayer of the Deceased);</w:t>
      </w:r>
      <w:r>
        <w:rPr>
          <w:rStyle w:val="FootnoteAnchor"/>
        </w:rPr>
        <w:footnoteReference w:id="333"/>
      </w:r>
      <w:r>
        <w:rPr>
          <w:rFonts w:eastAsia="Times New Roman" w:cs="Times New Roman" w:ascii="Times New Roman" w:hAnsi="Times New Roman"/>
          <w:color w:val="111111"/>
          <w:sz w:val="28"/>
          <w:szCs w:val="28"/>
          <w:lang w:val="en-US"/>
        </w:rPr>
        <w:t>or raising his voice above the voice of the Prophet despite the command of the Qur’an to the contrary (c. 49:2). Maybe at the time of his death, the incident of the attack on the house of Fatima al-Zahra came to his mind.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before he died, ‘Umar was resting his head in the lap of his son Abdullah. He asked his son to put his cheek on the ground. His son did not listen, so ‘Umar repeated his words harshly. As soon as his cheek touched the earth, ‘Umar said, “Woe to ‘Umar and to the mother</w:t>
      </w:r>
      <w:bookmarkStart w:id="161" w:name="pg3581_22000"/>
    </w:p>
    <w:p>
      <w:pPr>
        <w:pStyle w:val="BookText"/>
        <w:bidi w:val="0"/>
        <w:rPr/>
      </w:pPr>
      <w:bookmarkEnd w:id="161"/>
      <w:r>
        <w:rPr>
          <w:rFonts w:eastAsia="Times New Roman" w:cs="Times New Roman" w:ascii="Times New Roman" w:hAnsi="Times New Roman"/>
          <w:color w:val="111111"/>
          <w:sz w:val="28"/>
          <w:szCs w:val="28"/>
          <w:lang w:val="en-US"/>
        </w:rPr>
        <w:t>of ‘Umar, if Allah does not forgive ‘Umar.” After the fatal attack on him on Wednesday, ‘Umar was buried the following Sunday, the first day of Muharram, in 24 ah. His khalifah lasted for ten years, five months, and twenty-one days.</w:t>
      </w:r>
    </w:p>
    <w:p>
      <w:pPr>
        <w:pStyle w:val="Heading4"/>
        <w:numPr>
          <w:ilvl w:val="3"/>
          <w:numId w:val="1"/>
        </w:numPr>
        <w:bidi w:val="0"/>
        <w:jc w:val="left"/>
        <w:rPr/>
      </w:pPr>
      <w:bookmarkStart w:id="162" w:name="__RefHeading___Toc4074647_2749589250"/>
      <w:bookmarkStart w:id="163" w:name="_Toc62"/>
      <w:bookmarkEnd w:id="162"/>
      <w:r>
        <w:rPr/>
        <w:t>‘</w:t>
      </w:r>
      <w:r>
        <w:rPr/>
        <w:t>Uthman Ibn al-Affan</w:t>
      </w:r>
      <w:bookmarkEnd w:id="163"/>
    </w:p>
    <w:p>
      <w:pPr>
        <w:pStyle w:val="BookText"/>
        <w:bidi w:val="0"/>
        <w:jc w:val="both"/>
        <w:rPr/>
      </w:pPr>
      <w:r>
        <w:rPr>
          <w:rFonts w:eastAsia="Times New Roman" w:cs="Times New Roman" w:ascii="Times New Roman" w:hAnsi="Times New Roman"/>
          <w:color w:val="111111"/>
          <w:sz w:val="28"/>
          <w:szCs w:val="28"/>
          <w:lang w:val="en-US"/>
        </w:rPr>
        <w:t>As mentioned elsewhere, the primary reason why ‘Uthman was killed was for mismanaging the affairs of the Muslim nation, and it was Lady Aishah who was the forerunner to censure him regarding this.</w:t>
      </w:r>
    </w:p>
    <w:p>
      <w:pPr>
        <w:pStyle w:val="BookText"/>
        <w:bidi w:val="0"/>
        <w:jc w:val="both"/>
        <w:rPr/>
      </w:pPr>
      <w:r>
        <w:rPr>
          <w:rFonts w:eastAsia="Times New Roman" w:cs="Times New Roman" w:ascii="Times New Roman" w:hAnsi="Times New Roman"/>
          <w:color w:val="111111"/>
          <w:sz w:val="28"/>
          <w:szCs w:val="28"/>
          <w:lang w:val="en-US"/>
        </w:rPr>
        <w:t>While both the Prophet and Abu Bakr had distributed the revenue from the treasury equally amongst the Muslims, ‘Umar, on the other hand, begun to shift the distribution in favor of his allies. Thus ‘Umar had assigned Lady Aishah, the daughter of Abu Bakr; Hafsa, his own daughter; and Umme Habiba, the daughter of Abu Sufyan with 12,000 dinars a month, while providing the rest of the wives of the Prophet with only 5,000 dinars per month.</w:t>
      </w:r>
    </w:p>
    <w:p>
      <w:pPr>
        <w:pStyle w:val="BookText"/>
        <w:bidi w:val="0"/>
        <w:jc w:val="both"/>
        <w:rPr/>
      </w:pPr>
      <w:r>
        <w:rPr>
          <w:rFonts w:eastAsia="Times New Roman" w:cs="Times New Roman" w:ascii="Times New Roman" w:hAnsi="Times New Roman"/>
          <w:color w:val="111111"/>
          <w:sz w:val="28"/>
          <w:szCs w:val="28"/>
          <w:lang w:val="en-US"/>
        </w:rPr>
        <w:t>When ‘Uthman came to power, he wanted to reinstate the equal stipend among the Prophet’s widows but Lady Aishah protested,</w:t>
      </w:r>
      <w:r>
        <w:rPr>
          <w:rStyle w:val="FootnoteAnchor"/>
        </w:rPr>
        <w:footnoteReference w:id="334"/>
      </w:r>
      <w:r>
        <w:rPr>
          <w:rFonts w:eastAsia="Times New Roman" w:cs="Times New Roman" w:ascii="Times New Roman" w:hAnsi="Times New Roman"/>
          <w:color w:val="111111"/>
          <w:sz w:val="28"/>
          <w:szCs w:val="28"/>
          <w:lang w:val="en-US"/>
        </w:rPr>
        <w:t>and thus the campaign to turn against ‘Uthman first began by her. According to al-Tabari,</w:t>
      </w:r>
      <w:r>
        <w:rPr>
          <w:rStyle w:val="FootnoteAnchor"/>
        </w:rPr>
        <w:footnoteReference w:id="335"/>
      </w:r>
      <w:r>
        <w:rPr>
          <w:rFonts w:eastAsia="Times New Roman" w:cs="Times New Roman" w:ascii="Times New Roman" w:hAnsi="Times New Roman"/>
          <w:color w:val="111111"/>
          <w:sz w:val="28"/>
          <w:szCs w:val="28"/>
          <w:lang w:val="en-US"/>
        </w:rPr>
        <w:t>she is recorded to have said, “Kill this Nathal</w:t>
      </w:r>
      <w:r>
        <w:rPr>
          <w:rStyle w:val="FootnoteAnchor"/>
        </w:rPr>
        <w:footnoteReference w:id="336"/>
      </w:r>
      <w:r>
        <w:rPr>
          <w:rFonts w:eastAsia="Times New Roman" w:cs="Times New Roman" w:ascii="Times New Roman" w:hAnsi="Times New Roman"/>
          <w:color w:val="111111"/>
          <w:sz w:val="28"/>
          <w:szCs w:val="28"/>
          <w:lang w:val="en-US"/>
        </w:rPr>
        <w:t>(the nickname she gave to ‘Uthman), for he has disbelieved.”</w:t>
      </w:r>
      <w:r>
        <w:rPr>
          <w:rStyle w:val="FootnoteAnchor"/>
        </w:rPr>
        <w:footnoteReference w:id="33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his practice of nepotism and favoritism, ‘Uthman on many levels suspended the practices of the Qur’an and the Holy Prophet. Blatantly disregarding the two most fundamental aspects of Islam had undoubtedly caused a furor amongst the Muslim population, as a result of his actions, ‘Uthman was murdered and</w:t>
      </w:r>
      <w:bookmarkStart w:id="164" w:name="pg3581_22001"/>
    </w:p>
    <w:p>
      <w:pPr>
        <w:pStyle w:val="BookText"/>
        <w:bidi w:val="0"/>
        <w:rPr/>
      </w:pPr>
      <w:bookmarkEnd w:id="164"/>
      <w:r>
        <w:rPr>
          <w:rFonts w:eastAsia="Times New Roman" w:cs="Times New Roman" w:ascii="Times New Roman" w:hAnsi="Times New Roman"/>
          <w:color w:val="111111"/>
          <w:sz w:val="28"/>
          <w:szCs w:val="28"/>
          <w:lang w:val="en-US"/>
        </w:rPr>
        <w:t>his corpse was prohibited from being buried inside the Muslim cemetery of al-Baqi,</w:t>
      </w:r>
      <w:r>
        <w:rPr>
          <w:rStyle w:val="FootnoteAnchor"/>
        </w:rPr>
        <w:footnoteReference w:id="338"/>
      </w:r>
      <w:r>
        <w:rPr>
          <w:rFonts w:eastAsia="Times New Roman" w:cs="Times New Roman" w:ascii="Times New Roman" w:hAnsi="Times New Roman"/>
          <w:color w:val="111111"/>
          <w:sz w:val="28"/>
          <w:szCs w:val="28"/>
          <w:lang w:val="en-US"/>
        </w:rPr>
        <w:t>and to add to this, the prayer of the deceased was prohibited from being performed on him.</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Further information about these individuals can be found in the history of al-Tabari.</w:t>
      </w:r>
      <w:r>
        <w:rPr>
          <w:rStyle w:val="FootnoteAnchor"/>
        </w:rPr>
        <w:footnoteReference w:id="340"/>
      </w:r>
    </w:p>
    <w:p>
      <w:pPr>
        <w:pStyle w:val="Heading3"/>
        <w:numPr>
          <w:ilvl w:val="2"/>
          <w:numId w:val="1"/>
        </w:numPr>
        <w:bidi w:val="0"/>
        <w:jc w:val="left"/>
        <w:rPr/>
      </w:pPr>
      <w:bookmarkStart w:id="165" w:name="__RefHeading___Toc4074649_2749589250"/>
      <w:bookmarkStart w:id="166" w:name="_Toc63"/>
      <w:bookmarkEnd w:id="165"/>
      <w:r>
        <w:rPr/>
        <w:t>Innovations of ‘Umar Ibn al-Khattab</w:t>
      </w:r>
      <w:bookmarkEnd w:id="166"/>
    </w:p>
    <w:p>
      <w:pPr>
        <w:pStyle w:val="Heading4"/>
        <w:numPr>
          <w:ilvl w:val="3"/>
          <w:numId w:val="1"/>
        </w:numPr>
        <w:bidi w:val="0"/>
        <w:jc w:val="left"/>
        <w:rPr/>
      </w:pPr>
      <w:bookmarkStart w:id="167" w:name="__RefHeading___Toc4074651_2749589250"/>
      <w:bookmarkStart w:id="168" w:name="_Toc64"/>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According to historical records, ‘Umar Ibn al-Khattab prided himself on his “improvements” to the teachings of the Qur’an and the Prophet. Although Abu Bakr and ‘Uthman both adjusted religious law for special cases,</w:t>
      </w:r>
      <w:r>
        <w:rPr>
          <w:rStyle w:val="FootnoteAnchor"/>
        </w:rPr>
        <w:footnoteReference w:id="341"/>
      </w:r>
      <w:r>
        <w:rPr>
          <w:rFonts w:eastAsia="Times New Roman" w:cs="Times New Roman" w:ascii="Times New Roman" w:hAnsi="Times New Roman"/>
          <w:color w:val="111111"/>
          <w:sz w:val="28"/>
          <w:szCs w:val="28"/>
          <w:lang w:val="en-US"/>
        </w:rPr>
        <w:t>‘Umar relied almost entirely on his own opinion and encouraged others to do the same.</w:t>
      </w:r>
    </w:p>
    <w:p>
      <w:pPr>
        <w:pStyle w:val="BookText"/>
        <w:bidi w:val="0"/>
        <w:jc w:val="both"/>
        <w:rPr/>
      </w:pPr>
      <w:r>
        <w:rPr>
          <w:rFonts w:eastAsia="Times New Roman" w:cs="Times New Roman" w:ascii="Times New Roman" w:hAnsi="Times New Roman"/>
          <w:color w:val="111111"/>
          <w:sz w:val="28"/>
          <w:szCs w:val="28"/>
          <w:lang w:val="en-US"/>
        </w:rPr>
        <w:t xml:space="preserve">When he appointed Shurayh al-Qadi as the religious judge of Madinah, he instructed him, “If you are searching for a verdict, then look in the Book of God. If you do not find one, then look in the tradition of the Prophet. But if you do not find it in the tradition of the Prophet, then make up a verdict yourself.” </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Similarly, he wrote to Abu Musa al-Ashari, “If you do not find an answer in the Book or the tradition, then make an analogy and develop an answer yourself.”</w:t>
      </w:r>
      <w:r>
        <w:rPr>
          <w:rStyle w:val="FootnoteAnchor"/>
        </w:rPr>
        <w:footnoteReference w:id="343"/>
      </w:r>
      <w:r>
        <w:rPr>
          <w:rFonts w:eastAsia="Times New Roman" w:cs="Times New Roman" w:ascii="Times New Roman" w:hAnsi="Times New Roman"/>
          <w:color w:val="111111"/>
          <w:sz w:val="28"/>
          <w:szCs w:val="28"/>
          <w:lang w:val="en-US"/>
        </w:rPr>
        <w:t>For these reasons, al-Tabari says that people preferred not to take their disputes to ‘Umar, because he was known for judging by his personal beliefs, rather than the Islamic criteria.</w:t>
      </w:r>
      <w:r>
        <w:rPr>
          <w:rStyle w:val="FootnoteAnchor"/>
        </w:rPr>
        <w:footnoteReference w:id="344"/>
      </w:r>
    </w:p>
    <w:p>
      <w:pPr>
        <w:pStyle w:val="Heading4"/>
        <w:numPr>
          <w:ilvl w:val="3"/>
          <w:numId w:val="1"/>
        </w:numPr>
        <w:bidi w:val="0"/>
        <w:jc w:val="left"/>
        <w:rPr/>
      </w:pPr>
      <w:bookmarkStart w:id="169" w:name="__RefHeading___Toc4074653_2749589250"/>
      <w:bookmarkStart w:id="170" w:name="_Toc65"/>
      <w:bookmarkEnd w:id="169"/>
      <w:r>
        <w:rPr/>
        <w:t>Changes During ‘Umar’s Reign</w:t>
      </w:r>
      <w:bookmarkEnd w:id="170"/>
    </w:p>
    <w:p>
      <w:pPr>
        <w:pStyle w:val="Heading5"/>
        <w:numPr>
          <w:ilvl w:val="4"/>
          <w:numId w:val="1"/>
        </w:numPr>
        <w:bidi w:val="0"/>
        <w:jc w:val="left"/>
        <w:rPr/>
      </w:pPr>
      <w:bookmarkStart w:id="171" w:name="__RefHeading___Toc4074655_2749589250"/>
      <w:bookmarkStart w:id="172" w:name="_Toc66"/>
      <w:bookmarkEnd w:id="171"/>
      <w:r>
        <w:rPr/>
        <w:t>point</w:t>
      </w:r>
      <w:bookmarkEnd w:id="172"/>
    </w:p>
    <w:p>
      <w:pPr>
        <w:pStyle w:val="BookText"/>
        <w:bidi w:val="0"/>
        <w:jc w:val="both"/>
        <w:rPr/>
      </w:pPr>
      <w:r>
        <w:rPr>
          <w:rFonts w:eastAsia="Times New Roman" w:cs="Times New Roman" w:ascii="Times New Roman" w:hAnsi="Times New Roman"/>
          <w:color w:val="111111"/>
          <w:sz w:val="28"/>
          <w:szCs w:val="28"/>
          <w:lang w:val="en-US"/>
        </w:rPr>
        <w:t>Some of the practices that ‘Umar is best known for changing are the adhan (call to prayer), tarawih</w:t>
      </w:r>
      <w:r>
        <w:rPr>
          <w:rStyle w:val="FootnoteAnchor"/>
        </w:rPr>
        <w:footnoteReference w:id="345"/>
      </w:r>
      <w:r>
        <w:rPr>
          <w:rFonts w:eastAsia="Times New Roman" w:cs="Times New Roman" w:ascii="Times New Roman" w:hAnsi="Times New Roman"/>
          <w:color w:val="111111"/>
          <w:sz w:val="28"/>
          <w:szCs w:val="28"/>
          <w:lang w:val="en-US"/>
        </w:rPr>
        <w:t>prayer, prayers for the deceased, and the laws of divorce which we will explain in detail:</w:t>
      </w:r>
    </w:p>
    <w:p>
      <w:pPr>
        <w:pStyle w:val="Heading5"/>
        <w:numPr>
          <w:ilvl w:val="4"/>
          <w:numId w:val="1"/>
        </w:numPr>
        <w:bidi w:val="0"/>
        <w:jc w:val="left"/>
        <w:rPr/>
      </w:pPr>
      <w:bookmarkStart w:id="173" w:name="__RefHeading___Toc4074657_2749589250"/>
      <w:bookmarkStart w:id="174" w:name="_Toc67"/>
      <w:bookmarkEnd w:id="173"/>
      <w:r>
        <w:rPr/>
        <w:t>Adhan (Call to Prayer)</w:t>
      </w:r>
      <w:bookmarkEnd w:id="1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“as-salatu khayrun min an-nawm (prayer is better than sleep)”</w:t>
      </w:r>
      <w:bookmarkStart w:id="175" w:name="pg3581_22002"/>
    </w:p>
    <w:p>
      <w:pPr>
        <w:pStyle w:val="BookText"/>
        <w:bidi w:val="0"/>
        <w:rPr/>
      </w:pPr>
      <w:bookmarkEnd w:id="175"/>
      <w:r>
        <w:rPr>
          <w:rFonts w:eastAsia="Times New Roman" w:cs="Times New Roman" w:ascii="Times New Roman" w:hAnsi="Times New Roman"/>
          <w:color w:val="111111"/>
          <w:sz w:val="28"/>
          <w:szCs w:val="28"/>
          <w:lang w:val="en-US"/>
        </w:rPr>
        <w:t>was not part of the adhan. It came about one morning when ‘Umar’s servant came to wake him for prayer by calling to him, “as-salatu khayrun min an-nawm.” Approving of that phrase, ‘Umar instructed the muadhdhin (a person who performs the call to prayer) to include it in the adhan from then on.</w:t>
      </w:r>
      <w:r>
        <w:rPr>
          <w:rStyle w:val="FootnoteAnchor"/>
        </w:rPr>
        <w:footnoteReference w:id="346"/>
      </w:r>
    </w:p>
    <w:p>
      <w:pPr>
        <w:pStyle w:val="Heading5"/>
        <w:numPr>
          <w:ilvl w:val="4"/>
          <w:numId w:val="1"/>
        </w:numPr>
        <w:bidi w:val="0"/>
        <w:jc w:val="left"/>
        <w:rPr/>
      </w:pPr>
      <w:bookmarkStart w:id="176" w:name="__RefHeading___Toc4074659_2749589250"/>
      <w:bookmarkStart w:id="177" w:name="_Toc68"/>
      <w:bookmarkEnd w:id="176"/>
      <w:r>
        <w:rPr/>
        <w:t>History of the Adhan</w:t>
      </w:r>
      <w:bookmarkEnd w:id="177"/>
    </w:p>
    <w:p>
      <w:pPr>
        <w:pStyle w:val="BookText"/>
        <w:bidi w:val="0"/>
        <w:jc w:val="both"/>
        <w:rPr/>
      </w:pPr>
      <w:r>
        <w:rPr>
          <w:rFonts w:eastAsia="Times New Roman" w:cs="Times New Roman" w:ascii="Times New Roman" w:hAnsi="Times New Roman"/>
          <w:color w:val="111111"/>
          <w:sz w:val="28"/>
          <w:szCs w:val="28"/>
          <w:lang w:val="en-US"/>
        </w:rPr>
        <w:t>A majority of the Sunni commentators maintain that the Prophet learned the adhan from a companion named Abdullah Ibn Zayd. Narrators such as al-Tirmidhi, Abu Dawud, and Ibn Majah say that the Prophet asked his companions how he should inform people about the time for prayer. Some said he should use a banner, others said a horn, and others said a bell, like the Christians. According to these narrators, it is reported that on that night, Abdullah Ibn Zayd had the following strange dream:</w:t>
      </w:r>
    </w:p>
    <w:p>
      <w:pPr>
        <w:pStyle w:val="BookText"/>
        <w:bidi w:val="0"/>
        <w:jc w:val="both"/>
        <w:rPr/>
      </w:pPr>
      <w:r>
        <w:rPr>
          <w:rFonts w:eastAsia="Times New Roman" w:cs="Times New Roman" w:ascii="Times New Roman" w:hAnsi="Times New Roman"/>
          <w:color w:val="111111"/>
          <w:sz w:val="28"/>
          <w:szCs w:val="28"/>
          <w:lang w:val="en-US"/>
        </w:rPr>
        <w:t>Abdullah Ibn Zayd saw a man carrying a bell in his hand. He asked if he could buy the bell, and the man asked him what he wanted it for. Abdullah Ibn Zayd said, “I want to use it to call the people to prayer.” The man replied, “I can teach you something better than ringing the bell,” and then he taught Abdullah Ibn Zayd the adhan.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commentators, in the morning Abdullah Ibn Zayd told the Prophet his dream. The Prophet replied, “This is a true dream that you have seen. Come with me to Bilal - teach him what you have seen in the dream and let Bilal learn the adhan.” The</w:t>
      </w:r>
      <w:bookmarkStart w:id="178" w:name="pg3581_22003"/>
    </w:p>
    <w:p>
      <w:pPr>
        <w:pStyle w:val="BookText"/>
        <w:bidi w:val="0"/>
        <w:rPr/>
      </w:pPr>
      <w:bookmarkEnd w:id="178"/>
      <w:r>
        <w:rPr>
          <w:rFonts w:eastAsia="Times New Roman" w:cs="Times New Roman" w:ascii="Times New Roman" w:hAnsi="Times New Roman"/>
          <w:color w:val="111111"/>
          <w:sz w:val="28"/>
          <w:szCs w:val="28"/>
          <w:lang w:val="en-US"/>
        </w:rPr>
        <w:t>story concludes that when ‘Umar heard the adhan, he told the Prophet, “I swear, I saw the same dream,” and the Prophet said, “praise be to Allah.”</w:t>
      </w:r>
    </w:p>
    <w:p>
      <w:pPr>
        <w:pStyle w:val="BookText"/>
        <w:bidi w:val="0"/>
        <w:jc w:val="both"/>
        <w:rPr/>
      </w:pPr>
      <w:r>
        <w:rPr>
          <w:rFonts w:eastAsia="Times New Roman" w:cs="Times New Roman" w:ascii="Times New Roman" w:hAnsi="Times New Roman"/>
          <w:color w:val="111111"/>
          <w:sz w:val="28"/>
          <w:szCs w:val="28"/>
          <w:lang w:val="en-US"/>
        </w:rPr>
        <w:t>Clearly, this story cannot be true for surely Allah, the Merciful, the Compassionate to humankind, would not provide detailed revelation and then omit an important practice such as the adhan.</w:t>
      </w:r>
    </w:p>
    <w:p>
      <w:pPr>
        <w:pStyle w:val="BookText"/>
        <w:bidi w:val="0"/>
        <w:jc w:val="both"/>
        <w:rPr/>
      </w:pPr>
      <w:r>
        <w:rPr>
          <w:rFonts w:eastAsia="Times New Roman" w:cs="Times New Roman" w:ascii="Times New Roman" w:hAnsi="Times New Roman"/>
          <w:color w:val="111111"/>
          <w:sz w:val="28"/>
          <w:szCs w:val="28"/>
          <w:lang w:val="en-US"/>
        </w:rPr>
        <w:t>Nonetheless, there exists another explanation, which is accepted by Shi’a scholars:</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Gabriel came to the Prophet while the Prophet was resting on ‘Ali. Gabriel read the adhan to them. To maintain this, the Prophet turned to ‘Ali and said, “Did you hear the adhan?” ‘Ali said, “Yes.” The Prophet said, “Did you memorize it?” ‘Ali said, “Yes.” The Prophet said, “Then call Bilal; let us teach him the adhan.” So they called Bilal and taught him the adhan.</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An important point to note is that because the instructions came from angel Gabriel, the adhan must be considered as being part of the revelation, and not a whimsical dream seen by one of the companions.</w:t>
      </w:r>
    </w:p>
    <w:p>
      <w:pPr>
        <w:pStyle w:val="Heading5"/>
        <w:numPr>
          <w:ilvl w:val="4"/>
          <w:numId w:val="1"/>
        </w:numPr>
        <w:bidi w:val="0"/>
        <w:jc w:val="left"/>
        <w:rPr/>
      </w:pPr>
      <w:bookmarkStart w:id="179" w:name="__RefHeading___Toc4074661_2749589250"/>
      <w:bookmarkStart w:id="180" w:name="_Toc69"/>
      <w:bookmarkEnd w:id="179"/>
      <w:r>
        <w:rPr/>
        <w:t>Prayer without Taharah (Ritual Purity)</w:t>
      </w:r>
      <w:bookmarkEnd w:id="180"/>
    </w:p>
    <w:p>
      <w:pPr>
        <w:pStyle w:val="BookText"/>
        <w:bidi w:val="0"/>
        <w:jc w:val="both"/>
        <w:rPr/>
      </w:pPr>
      <w:r>
        <w:rPr>
          <w:rFonts w:eastAsia="Times New Roman" w:cs="Times New Roman" w:ascii="Times New Roman" w:hAnsi="Times New Roman"/>
          <w:color w:val="111111"/>
          <w:sz w:val="28"/>
          <w:szCs w:val="28"/>
          <w:lang w:val="en-US"/>
        </w:rPr>
        <w:t>Al-Bukhari narrates that one day a man came to ‘Umar and said, “I am in a state of janabah (ritual impurity) and I cannot find water.” ‘Umar told him, “Do not pray.” Ammar Ibn Yasir, who was sitting there retorted: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remember that you and I were in a battalion going to the battles, and both of us woke up and found ourselves in a state of ritual impurity, and we did not find water? So you did not pray, but I did</w:t>
      </w:r>
      <w:bookmarkStart w:id="181" w:name="pg3581_22004"/>
    </w:p>
    <w:p>
      <w:pPr>
        <w:pStyle w:val="BookText"/>
        <w:bidi w:val="0"/>
        <w:rPr/>
      </w:pPr>
      <w:bookmarkEnd w:id="181"/>
      <w:r>
        <w:rPr>
          <w:rFonts w:eastAsia="Times New Roman" w:cs="Times New Roman" w:ascii="Times New Roman" w:hAnsi="Times New Roman"/>
          <w:color w:val="111111"/>
          <w:sz w:val="28"/>
          <w:szCs w:val="28"/>
          <w:lang w:val="en-US"/>
        </w:rPr>
        <w:t xml:space="preserve">the tayammum (ritual purification by means of dust) in the dust. We mentioned this to the Prophet, and the Prophet said that you should have put your hands in the dust and performed the tayammum. </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Primarily, the Qur’an prescribes the tayammum for situations when water cannot be found. (c. 4:43) Therefore, most of the Sunni schools of thought follow the Qur’an in this regard. Only the Hanafi school follows ‘Umar’s opinion and indicates that tayammum is permissible only while traveling or ill, but in all other cases, a person who cannot find water for taharah should not pray.</w:t>
      </w:r>
    </w:p>
    <w:p>
      <w:pPr>
        <w:pStyle w:val="Heading5"/>
        <w:numPr>
          <w:ilvl w:val="4"/>
          <w:numId w:val="1"/>
        </w:numPr>
        <w:bidi w:val="0"/>
        <w:jc w:val="left"/>
        <w:rPr/>
      </w:pPr>
      <w:bookmarkStart w:id="182" w:name="__RefHeading___Toc4074663_2749589250"/>
      <w:bookmarkStart w:id="183" w:name="_Toc70"/>
      <w:bookmarkEnd w:id="182"/>
      <w:r>
        <w:rPr/>
        <w:t>Tarawih Prayers</w:t>
      </w:r>
      <w:bookmarkEnd w:id="183"/>
    </w:p>
    <w:p>
      <w:pPr>
        <w:pStyle w:val="BookText"/>
        <w:bidi w:val="0"/>
        <w:jc w:val="both"/>
        <w:rPr/>
      </w:pPr>
      <w:r>
        <w:rPr>
          <w:rFonts w:eastAsia="Times New Roman" w:cs="Times New Roman" w:ascii="Times New Roman" w:hAnsi="Times New Roman"/>
          <w:color w:val="111111"/>
          <w:sz w:val="28"/>
          <w:szCs w:val="28"/>
          <w:lang w:val="en-US"/>
        </w:rPr>
        <w:t>Al-Bukhari narrates from Abdullah Ibn Abd al-Qari:</w:t>
      </w:r>
    </w:p>
    <w:p>
      <w:pPr>
        <w:pStyle w:val="BookText"/>
        <w:bidi w:val="0"/>
        <w:jc w:val="both"/>
        <w:rPr/>
      </w:pPr>
      <w:r>
        <w:rPr>
          <w:rFonts w:eastAsia="Times New Roman" w:cs="Times New Roman" w:ascii="Times New Roman" w:hAnsi="Times New Roman"/>
          <w:color w:val="111111"/>
          <w:sz w:val="28"/>
          <w:szCs w:val="28"/>
          <w:lang w:val="en-US"/>
        </w:rPr>
        <w:t>I went with ‘Umar Ibn al-Khattab during his period of caliphate one night in the Month of Ramadhan to the mosque. We saw the people praying scattered, not together. ‘Umar said, “It is best if these people can pray together, and there is only one who leads the prayers.” So he gathered them and appointed Ubay Ibn Ka’ab to lead the prayers. Another night, I went with ‘Umar to the mosque and saw that the people were praying together, organized, and ‘Umar said, “What an excellent innovation (niam al-bidah hadhihi).”</w:t>
      </w:r>
      <w:r>
        <w:rPr>
          <w:rStyle w:val="FootnoteAnchor"/>
        </w:rPr>
        <w:footnoteReference w:id="350"/>
      </w:r>
    </w:p>
    <w:p>
      <w:pPr>
        <w:pStyle w:val="Heading5"/>
        <w:numPr>
          <w:ilvl w:val="4"/>
          <w:numId w:val="1"/>
        </w:numPr>
        <w:bidi w:val="0"/>
        <w:jc w:val="left"/>
        <w:rPr/>
      </w:pPr>
      <w:bookmarkStart w:id="184" w:name="__RefHeading___Toc4074665_2749589250"/>
      <w:bookmarkStart w:id="185" w:name="_Toc71"/>
      <w:bookmarkEnd w:id="184"/>
      <w:r>
        <w:rPr/>
        <w:t>Prayers for the Deceased</w:t>
      </w:r>
      <w:bookmarkEnd w:id="185"/>
    </w:p>
    <w:p>
      <w:pPr>
        <w:pStyle w:val="BookText"/>
        <w:bidi w:val="0"/>
        <w:jc w:val="both"/>
        <w:rPr/>
      </w:pPr>
      <w:r>
        <w:rPr>
          <w:rFonts w:eastAsia="Times New Roman" w:cs="Times New Roman" w:ascii="Times New Roman" w:hAnsi="Times New Roman"/>
          <w:color w:val="111111"/>
          <w:sz w:val="28"/>
          <w:szCs w:val="28"/>
          <w:lang w:val="en-US"/>
        </w:rPr>
        <w:t>Although narrators like Ahmad Ibn al-Hanbal, al-Muslim, and al-Nisa’i all relate that the Prophet read prayers over the deceased with five takbiraat (uttering “Allahu akbar”);</w:t>
      </w:r>
      <w:r>
        <w:rPr>
          <w:rStyle w:val="FootnoteAnchor"/>
        </w:rPr>
        <w:footnoteReference w:id="351"/>
      </w:r>
      <w:r>
        <w:rPr>
          <w:rFonts w:eastAsia="Times New Roman" w:cs="Times New Roman" w:ascii="Times New Roman" w:hAnsi="Times New Roman"/>
          <w:color w:val="111111"/>
          <w:sz w:val="28"/>
          <w:szCs w:val="28"/>
          <w:lang w:val="en-US"/>
        </w:rPr>
        <w:t>however, ‘Umar reduced the number of takbiraat in prayers over the deceased from five to four.</w:t>
      </w:r>
      <w:r>
        <w:rPr>
          <w:rStyle w:val="FootnoteAnchor"/>
        </w:rPr>
        <w:footnoteReference w:id="352"/>
      </w:r>
    </w:p>
    <w:p>
      <w:pPr>
        <w:pStyle w:val="Heading5"/>
        <w:numPr>
          <w:ilvl w:val="4"/>
          <w:numId w:val="1"/>
        </w:numPr>
        <w:bidi w:val="0"/>
        <w:jc w:val="left"/>
        <w:rPr/>
      </w:pPr>
      <w:bookmarkStart w:id="186" w:name="__RefHeading___Toc4074667_2749589250"/>
      <w:bookmarkStart w:id="187" w:name="_Toc72"/>
      <w:bookmarkEnd w:id="186"/>
      <w:r>
        <w:rPr/>
        <w:t>Three Divorces in One Session</w:t>
      </w:r>
      <w:bookmarkEnd w:id="1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Holy Qur’an (c. 2:229), a married couple may divorce each other three times before they</w:t>
      </w:r>
      <w:bookmarkStart w:id="188" w:name="pg3581_22005"/>
    </w:p>
    <w:p>
      <w:pPr>
        <w:pStyle w:val="BookText"/>
        <w:bidi w:val="0"/>
        <w:rPr/>
      </w:pPr>
      <w:bookmarkEnd w:id="188"/>
      <w:r>
        <w:rPr>
          <w:rFonts w:eastAsia="Times New Roman" w:cs="Times New Roman" w:ascii="Times New Roman" w:hAnsi="Times New Roman"/>
          <w:color w:val="111111"/>
          <w:sz w:val="28"/>
          <w:szCs w:val="28"/>
          <w:lang w:val="en-US"/>
        </w:rPr>
        <w:t>are no longer allowed to remarry each other.</w:t>
      </w:r>
      <w:r>
        <w:rPr>
          <w:rStyle w:val="FootnoteAnchor"/>
        </w:rPr>
        <w:footnoteReference w:id="353"/>
      </w:r>
      <w:r>
        <w:rPr>
          <w:rFonts w:eastAsia="Times New Roman" w:cs="Times New Roman" w:ascii="Times New Roman" w:hAnsi="Times New Roman"/>
          <w:color w:val="111111"/>
          <w:sz w:val="28"/>
          <w:szCs w:val="28"/>
          <w:lang w:val="en-US"/>
        </w:rPr>
        <w:t>Thus, divorce must be declared and its rulings applied on three separate periods; the pronouncement of the three divorces cannot be declared in one declaration. The Holy Prophet explained:</w:t>
      </w:r>
    </w:p>
    <w:p>
      <w:pPr>
        <w:pStyle w:val="BookText"/>
        <w:bidi w:val="0"/>
        <w:jc w:val="both"/>
        <w:rPr/>
      </w:pPr>
      <w:r>
        <w:rPr>
          <w:rFonts w:eastAsia="Times New Roman" w:cs="Times New Roman" w:ascii="Times New Roman" w:hAnsi="Times New Roman"/>
          <w:color w:val="111111"/>
          <w:sz w:val="28"/>
          <w:szCs w:val="28"/>
          <w:lang w:val="en-US"/>
        </w:rPr>
        <w:t>A man came to the Prophet and told him, “I divorced my wife.” The Prophet asked, “How did you divorce her?” He said, “Three times in one session.” The Prophet said, “That divorce is considered only one divorce. It cannot be considered three divorces, so you may take your wife back.”</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However, historians say that divorce became more prevalent during the time of the second caliph; thus to make divorce easier, ‘Umar allowed men to read all three pronouncements of divorce at one time.</w:t>
      </w:r>
      <w:r>
        <w:rPr>
          <w:rStyle w:val="FootnoteAnchor"/>
        </w:rPr>
        <w:footnoteReference w:id="355"/>
      </w:r>
    </w:p>
    <w:p>
      <w:pPr>
        <w:pStyle w:val="Heading4"/>
        <w:numPr>
          <w:ilvl w:val="3"/>
          <w:numId w:val="1"/>
        </w:numPr>
        <w:bidi w:val="0"/>
        <w:jc w:val="left"/>
        <w:rPr/>
      </w:pPr>
      <w:bookmarkStart w:id="189" w:name="__RefHeading___Toc4074669_2749589250"/>
      <w:bookmarkStart w:id="190" w:name="_Toc73"/>
      <w:bookmarkEnd w:id="189"/>
      <w:r>
        <w:rPr/>
        <w:t>Other Actions performed by ‘Umar</w:t>
      </w:r>
      <w:bookmarkEnd w:id="19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also did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Prevented the death announcement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Objected to the Treaty of Hudaybiyyah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Refused to join the dispatch of Usama as the Prophet commanded him to do so just before his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Prevented the Prophet from narrating his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was the first person to give allegiance to Abu Bakr at Saqifah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Offered two options to ‘Ali and Fatima al-Zahra - pay allegiance to Abu Bakr or face the consequences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Appointed Mu’awiyah as governor of Syria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Appointed Abu Huraira as governor of Bahrain and then accused him of theft and lying about the statements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Allocated different salaries to different groups of people, introducing discrimination into the financial system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Permitted wiping over one’s socks in wudhu instead of removing them and performing it on the bare</w:t>
      </w:r>
      <w:bookmarkStart w:id="191" w:name="pg3581_22006"/>
    </w:p>
    <w:p>
      <w:pPr>
        <w:pStyle w:val="BookText"/>
        <w:bidi w:val="0"/>
        <w:rPr/>
      </w:pPr>
      <w:bookmarkEnd w:id="191"/>
      <w:r>
        <w:rPr>
          <w:rFonts w:eastAsia="Times New Roman" w:cs="Times New Roman" w:ascii="Times New Roman" w:hAnsi="Times New Roman"/>
          <w:color w:val="111111"/>
          <w:sz w:val="28"/>
          <w:szCs w:val="28"/>
          <w:lang w:val="en-US"/>
        </w:rPr>
        <w:t>feet;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Prevented people from mourning over the dead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Forced people who had taken the names of prophets (as their first names) to change their names</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Required all men to offer the same amount of mahr (marriage gift) to all women</w:t>
      </w:r>
    </w:p>
    <w:p>
      <w:pPr>
        <w:pStyle w:val="Heading3"/>
        <w:numPr>
          <w:ilvl w:val="2"/>
          <w:numId w:val="1"/>
        </w:numPr>
        <w:bidi w:val="0"/>
        <w:jc w:val="left"/>
        <w:rPr/>
      </w:pPr>
      <w:bookmarkStart w:id="192" w:name="__RefHeading___Toc4074671_2749589250"/>
      <w:bookmarkStart w:id="193" w:name="_Toc74"/>
      <w:bookmarkEnd w:id="192"/>
      <w:r>
        <w:rPr/>
        <w:t>‘</w:t>
      </w:r>
      <w:r>
        <w:rPr/>
        <w:t>Uthman Ibn al-Affan</w:t>
      </w:r>
      <w:bookmarkEnd w:id="193"/>
    </w:p>
    <w:p>
      <w:pPr>
        <w:pStyle w:val="Heading4"/>
        <w:numPr>
          <w:ilvl w:val="3"/>
          <w:numId w:val="1"/>
        </w:numPr>
        <w:bidi w:val="0"/>
        <w:jc w:val="left"/>
        <w:rPr/>
      </w:pPr>
      <w:bookmarkStart w:id="194" w:name="__RefHeading___Toc4074673_2749589250"/>
      <w:bookmarkStart w:id="195" w:name="_Toc75"/>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According to Muslim historians, the third caliph ‘Uthman Ibn al-Affan was assassinated because of his financial mismanagement and religious digression. The prominent historian Ibn Sa’d says that ‘Uthman Ibn al-Affan governed for twelve years.</w:t>
      </w:r>
    </w:p>
    <w:p>
      <w:pPr>
        <w:pStyle w:val="BookText"/>
        <w:bidi w:val="0"/>
        <w:jc w:val="both"/>
        <w:rPr/>
      </w:pPr>
      <w:r>
        <w:rPr>
          <w:rFonts w:eastAsia="Times New Roman" w:cs="Times New Roman" w:ascii="Times New Roman" w:hAnsi="Times New Roman"/>
          <w:color w:val="111111"/>
          <w:sz w:val="28"/>
          <w:szCs w:val="28"/>
          <w:lang w:val="en-US"/>
        </w:rPr>
        <w:t>For the first six years, he was very popular, but in the second six years, he brought his family members and clan to political power and flooded them with money, whereby he angered the people because those whom he appointed as administrators and governors over all the Islamic lands were corrupt.</w:t>
      </w:r>
      <w:r>
        <w:rPr>
          <w:rStyle w:val="FootnoteAnchor"/>
        </w:rPr>
        <w:footnoteReference w:id="358"/>
      </w:r>
      <w:r>
        <w:rPr>
          <w:rFonts w:eastAsia="Times New Roman" w:cs="Times New Roman" w:ascii="Times New Roman" w:hAnsi="Times New Roman"/>
          <w:color w:val="111111"/>
          <w:sz w:val="28"/>
          <w:szCs w:val="28"/>
          <w:lang w:val="en-US"/>
        </w:rPr>
        <w:t>Al-Tabari and Ibn al-Atheer go further and agree that financial mismanagement was not the only reason why ‘Uthman was killed; nonetheless, they say that they do not want to mention the other reasons because they do not want to stir the tension in the public.</w:t>
      </w:r>
      <w:r>
        <w:rPr>
          <w:rStyle w:val="FootnoteAnchor"/>
        </w:rPr>
        <w:footnoteReference w:id="359"/>
      </w:r>
      <w:r>
        <w:rPr>
          <w:rFonts w:eastAsia="Times New Roman" w:cs="Times New Roman" w:ascii="Times New Roman" w:hAnsi="Times New Roman"/>
          <w:color w:val="111111"/>
          <w:sz w:val="28"/>
          <w:szCs w:val="28"/>
          <w:lang w:val="en-US"/>
        </w:rPr>
        <w:t>Other sources are more vocal about what actually happened during that time.</w:t>
      </w:r>
    </w:p>
    <w:p>
      <w:pPr>
        <w:pStyle w:val="BookText"/>
        <w:bidi w:val="0"/>
        <w:jc w:val="both"/>
        <w:rPr/>
      </w:pPr>
      <w:r>
        <w:rPr>
          <w:rFonts w:eastAsia="Times New Roman" w:cs="Times New Roman" w:ascii="Times New Roman" w:hAnsi="Times New Roman"/>
          <w:color w:val="111111"/>
          <w:sz w:val="28"/>
          <w:szCs w:val="28"/>
          <w:lang w:val="en-US"/>
        </w:rPr>
        <w:t>Before assuming the caliphate, ‘Uthman had agreed to follow the policies of his predecessors. However, after becoming the caliph, he reverted to the jahiliyyah practice of favoring his own relatives. Aware of ‘Uthman’s tendencies in that direction, ‘Umar had previously warned him to refrain from nepotism because the people would reject it and the Quraysh would lose power,</w:t>
      </w:r>
      <w:r>
        <w:rPr>
          <w:rStyle w:val="FootnoteAnchor"/>
        </w:rPr>
        <w:footnoteReference w:id="360"/>
      </w:r>
      <w:r>
        <w:rPr>
          <w:rFonts w:eastAsia="Times New Roman" w:cs="Times New Roman" w:ascii="Times New Roman" w:hAnsi="Times New Roman"/>
          <w:color w:val="111111"/>
          <w:sz w:val="28"/>
          <w:szCs w:val="28"/>
          <w:lang w:val="en-US"/>
        </w:rPr>
        <w:t>however ‘Uthman did not heed his advice.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Abu Bakr and ‘Umar, ‘Uthman</w:t>
      </w:r>
    </w:p>
    <w:p>
      <w:pPr>
        <w:pStyle w:val="BookText"/>
        <w:bidi w:val="0"/>
        <w:rPr/>
      </w:pPr>
      <w:r>
        <w:rPr>
          <w:rFonts w:eastAsia="Times New Roman" w:cs="Times New Roman" w:ascii="Times New Roman" w:hAnsi="Times New Roman"/>
          <w:color w:val="111111"/>
          <w:sz w:val="28"/>
          <w:szCs w:val="28"/>
          <w:lang w:val="en-US"/>
        </w:rPr>
        <w:t>filled the official positions with his own tribesmen, such as Abu Sufyan, Marwan Ibn al-Hakam, Mu’awiyah Ibn Abu Sufyan, al-Waleed Ibn Uqbah, Abdullah Ibn Abi Sarh, and Sa’ed Ibn al-Aas. In doing so, he angered many people, even those on the side of Quraysh, such as Lady Aishah.</w:t>
      </w:r>
    </w:p>
    <w:p>
      <w:pPr>
        <w:pStyle w:val="BookText"/>
        <w:bidi w:val="0"/>
        <w:jc w:val="both"/>
        <w:rPr/>
      </w:pPr>
      <w:r>
        <w:rPr>
          <w:rFonts w:eastAsia="Times New Roman" w:cs="Times New Roman" w:ascii="Times New Roman" w:hAnsi="Times New Roman"/>
          <w:color w:val="111111"/>
          <w:sz w:val="28"/>
          <w:szCs w:val="28"/>
          <w:lang w:val="en-US"/>
        </w:rPr>
        <w:t>Particularly upset were those who lost power due to ‘Uthman’s nepotism, such as ‘Amr Ibn al-Aas, who lost Egypt; al-Mugheerah Ibn Shu’bah, who lost Kufa; and Abu Musa al-Ashari, who lost Basra. Adding insult to injury, ‘Uthman then appointed incompetent and corrupt individuals from among the Bani Umayyah to fill those positions. As a result, some of those townships revolted and in Kufa for example, the people ousted ‘Uthman’s choice and reinstated Abu Musa al-Ashari.</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The administrative mismanagement began with al-Hakam Ibn al-Aas and his son Marwan. The Holy Prophet had exiled both of them from Madinah because they had been agitating the populace. During the caliphates of Abu Bakr and ‘Umar, both leaders refused permission for them to return.</w:t>
      </w:r>
    </w:p>
    <w:p>
      <w:pPr>
        <w:pStyle w:val="BookText"/>
        <w:bidi w:val="0"/>
        <w:jc w:val="both"/>
        <w:rPr/>
      </w:pPr>
      <w:r>
        <w:rPr>
          <w:rFonts w:eastAsia="Times New Roman" w:cs="Times New Roman" w:ascii="Times New Roman" w:hAnsi="Times New Roman"/>
          <w:color w:val="111111"/>
          <w:sz w:val="28"/>
          <w:szCs w:val="28"/>
          <w:lang w:val="en-US"/>
        </w:rPr>
        <w:t>However, when ‘Uthman came to power, not only did he bring back al-Hakam Ibn al-Aas and Marwan, but he gave al-Hakam Ibn al-Aas 100,000 dirhams, and he gave his own daughter, Umme Aban in marriage to Marwan. As his son-in-law, Marwan became a close minister to ‘Uthman and in turn, ‘Uthman presented him with many gifts, such as allocating him all of the income of Africa. He even gave Marwan’s brother Harith Ibn al-Hakam 300,000 dirhams.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favored his own relatives for government positions despite</w:t>
      </w:r>
    </w:p>
    <w:p>
      <w:pPr>
        <w:pStyle w:val="BookText"/>
        <w:bidi w:val="0"/>
        <w:rPr/>
      </w:pPr>
      <w:r>
        <w:rPr>
          <w:rFonts w:eastAsia="Times New Roman" w:cs="Times New Roman" w:ascii="Times New Roman" w:hAnsi="Times New Roman"/>
          <w:color w:val="111111"/>
          <w:sz w:val="28"/>
          <w:szCs w:val="28"/>
          <w:lang w:val="en-US"/>
        </w:rPr>
        <w:t>their incompetence, and in doing so, he alienated the rest of the Muslims, especially the Muhajireen and the Ansar. Rumor spread in the city of Kufa that ‘Uthman wanted to honor his stepbrother at the expense of the ummah of Muhammad.</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In truth, ‘Uthman replaced Sa’d Ibn Abi al-Waqqas, the well-liked governor of Kufa, with his step-brother al-Waleed Ibn Uqbah and thereby earned the wrath of the people, who asked whether it was just to replace Sa’d Ibn Abi al-Waqqas, whom they felt was moderate, kind, and forgiving with his own step-brother, who was in their words, “stupid, irreligious, and corrupt (ahmaq, majin, wa fajir).”</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He also allocated the entire income of Africa, from Tripoli to Tangiers, to another stepbrother, Ibn Abi Sarh and made him supreme governor of Egypt instead of governor of the countryside. In addition, he expanded the authority of Mu’awiyah Ibn Abu Sufyan, which had been limited to Damascus during the time of ‘Umar, to include all of Shaam, which encompassed Syria, Jordan, Lebanon, Palestine, and other areas at that time. He treated others from the Bani Umayyah in a similar fashion.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actions brought him into conflict with the people, not because they disliked the Bani Umayyah, but because those whom he appointed were dishonest and corrupt. However, when historians analyze the reasons behind ‘Uthman’s assassination, they say that it was not only because he departed from the egalitarian spirit of the Qur’an and allowed his clansmen to take from the people at a time of economic crisis</w:t>
      </w:r>
      <w:bookmarkStart w:id="196" w:name="pg3581_22009"/>
    </w:p>
    <w:p>
      <w:pPr>
        <w:pStyle w:val="BookText"/>
        <w:bidi w:val="0"/>
        <w:rPr/>
      </w:pPr>
      <w:bookmarkEnd w:id="196"/>
      <w:r>
        <w:rPr>
          <w:rFonts w:eastAsia="Times New Roman" w:cs="Times New Roman" w:ascii="Times New Roman" w:hAnsi="Times New Roman"/>
          <w:color w:val="111111"/>
          <w:sz w:val="28"/>
          <w:szCs w:val="28"/>
          <w:lang w:val="en-US"/>
        </w:rPr>
        <w:t>and poverty, but that bidah (religious innovation) was a factor as well. Closer investigation of that period reveals that ‘Uthman did in fact attempt to make changes to the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Uthman’s nepotism led to his assassination and the awaited succession of ‘Ali Ibn Abi Talib to the caliphate. After ‘Ali was murdered, power again shifted to the Quraysh group under the rule of Mu’awiyah Ibn Abu Sufyan. Learning from ‘Uthman’s errors, Mu’awiyah balanced political with tribal alliances and followed ‘Umar’s practice of appointing allies from outside his own tribe to official positions. Hence, ‘Amr Ibn al-Aas, al-Mugheerah Ibn al-Shu’bah, Abu Huraira, al-Numan Ibn Basheer, and Abd al-Rahman Ibn Khalid all found places in the new caliphate under Mu’awiyah, and even Lady Aishah was pacified.</w:t>
      </w:r>
    </w:p>
    <w:p>
      <w:pPr>
        <w:pStyle w:val="Heading4"/>
        <w:numPr>
          <w:ilvl w:val="3"/>
          <w:numId w:val="1"/>
        </w:numPr>
        <w:bidi w:val="0"/>
        <w:jc w:val="left"/>
        <w:rPr/>
      </w:pPr>
      <w:bookmarkStart w:id="197" w:name="__RefHeading___Toc4074675_2749589250"/>
      <w:bookmarkStart w:id="198" w:name="_Toc76"/>
      <w:bookmarkEnd w:id="197"/>
      <w:r>
        <w:rPr/>
        <w:t>Al-Waleed Ibn Uqbah</w:t>
      </w:r>
      <w:bookmarkEnd w:id="198"/>
    </w:p>
    <w:p>
      <w:pPr>
        <w:pStyle w:val="BookText"/>
        <w:bidi w:val="0"/>
        <w:jc w:val="both"/>
        <w:rPr/>
      </w:pPr>
      <w:r>
        <w:rPr>
          <w:rFonts w:eastAsia="Times New Roman" w:cs="Times New Roman" w:ascii="Times New Roman" w:hAnsi="Times New Roman"/>
          <w:color w:val="111111"/>
          <w:sz w:val="28"/>
          <w:szCs w:val="28"/>
          <w:lang w:val="en-US"/>
        </w:rPr>
        <w:t>One of the first examples of ‘Uthman’s mismanagement revolved around his stepbrother, al-Waleed Ibn Uqbah, whom ‘Uthman made the governor of Kufa - much to the dismay of the people. Al-Waleed was habituated to drinking wine. One day when he was drunk, he came to the mosque to lead the prayers.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finishing two rakats (units of prayer), he turned to the people and asked, “Do you need more prayers?” One of the companions reproached him, “May the Lord never increase you in goodness, and neither the one who sent you as a governor over us (‘Uthman),” and then he threw a handful of pebbles in the face of al-Waleed. Others in the mosque followed suit, and al-Waleed drunkenly staggered back to the palace as the people</w:t>
      </w:r>
      <w:bookmarkStart w:id="199" w:name="pg3581_22010"/>
    </w:p>
    <w:p>
      <w:pPr>
        <w:pStyle w:val="BookText"/>
        <w:bidi w:val="0"/>
        <w:rPr/>
      </w:pPr>
      <w:bookmarkEnd w:id="199"/>
      <w:r>
        <w:rPr>
          <w:rFonts w:eastAsia="Times New Roman" w:cs="Times New Roman" w:ascii="Times New Roman" w:hAnsi="Times New Roman"/>
          <w:color w:val="111111"/>
          <w:sz w:val="28"/>
          <w:szCs w:val="28"/>
          <w:lang w:val="en-US"/>
        </w:rPr>
        <w:t>stoned him.</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A group of Kufans went to Madinah to raise their grievances about al-Waleed Ibn Uqbah, but ‘Uthman did not believe them and mocked them, so they went to the house of Lady Aishah. Aishah was furious at ‘Uthman and told him, “You abandoned the tradition of the Prophet.”</w:t>
      </w:r>
      <w:r>
        <w:rPr>
          <w:rStyle w:val="FootnoteAnchor"/>
        </w:rPr>
        <w:footnoteReference w:id="365"/>
      </w:r>
      <w:r>
        <w:rPr>
          <w:rFonts w:eastAsia="Times New Roman" w:cs="Times New Roman" w:ascii="Times New Roman" w:hAnsi="Times New Roman"/>
          <w:color w:val="111111"/>
          <w:sz w:val="28"/>
          <w:szCs w:val="28"/>
          <w:lang w:val="en-US"/>
        </w:rPr>
        <w:t>News of this incident spread and a crowd gathered in the Masjid of Madinah.</w:t>
      </w:r>
    </w:p>
    <w:p>
      <w:pPr>
        <w:pStyle w:val="BookText"/>
        <w:bidi w:val="0"/>
        <w:jc w:val="both"/>
        <w:rPr/>
      </w:pPr>
      <w:r>
        <w:rPr>
          <w:rFonts w:eastAsia="Times New Roman" w:cs="Times New Roman" w:ascii="Times New Roman" w:hAnsi="Times New Roman"/>
          <w:color w:val="111111"/>
          <w:sz w:val="28"/>
          <w:szCs w:val="28"/>
          <w:lang w:val="en-US"/>
        </w:rPr>
        <w:t>Those who took Lady Aishah’s side and those who took ‘Uthman’s side fought and threw stones at each other. This day marked the first public fighting between Muslims in the city of Madinah since the death of the Prophet and this incident forced ‘Uthman to replace his stepbrother with Sa’ed Ibn al-Aas as governor of Kufa in order to resolve the matter.</w:t>
      </w:r>
    </w:p>
    <w:p>
      <w:pPr>
        <w:pStyle w:val="BookText"/>
        <w:bidi w:val="0"/>
        <w:jc w:val="both"/>
        <w:rPr/>
      </w:pPr>
      <w:r>
        <w:rPr>
          <w:rFonts w:eastAsia="Times New Roman" w:cs="Times New Roman" w:ascii="Times New Roman" w:hAnsi="Times New Roman"/>
          <w:color w:val="111111"/>
          <w:sz w:val="28"/>
          <w:szCs w:val="28"/>
          <w:lang w:val="en-US"/>
        </w:rPr>
        <w:t>Known for his fusuq (impiety), Sa’ed Ibn al-Aas was no better than his predecessor and he treated Iraq as the personal property of the Quraysh, and in particular, the Bani Umayyah. One of those who opposed his governorship was Malik al-Ashtar al-Nakhai, but when he brought the issue up in public, more conflict ensued.</w:t>
      </w:r>
      <w:r>
        <w:rPr>
          <w:rStyle w:val="FootnoteAnchor"/>
        </w:rPr>
        <w:footnoteReference w:id="366"/>
      </w:r>
      <w:r>
        <w:rPr>
          <w:rFonts w:eastAsia="Times New Roman" w:cs="Times New Roman" w:ascii="Times New Roman" w:hAnsi="Times New Roman"/>
          <w:color w:val="111111"/>
          <w:sz w:val="28"/>
          <w:szCs w:val="28"/>
          <w:lang w:val="en-US"/>
        </w:rPr>
        <w:t>Others also objected to the practice of Sa’ed Ibn al-Aas that the public treasury (bayt al-mal) was wide open to the Bani Umayyah. ‘Ali, Zubayr, Talha, Sa’d Ibn Abdullah, Abd al-Rahman Ibn Auf, and others came to ‘Uthman to voice their objections to him, but ‘Uthman rebuked them by saying, “This is my family and Allah has enjoined upon me to be kind to them.”</w:t>
      </w:r>
      <w:r>
        <w:rPr>
          <w:rStyle w:val="FootnoteAnchor"/>
        </w:rPr>
        <w:footnoteReference w:id="367"/>
      </w:r>
    </w:p>
    <w:p>
      <w:pPr>
        <w:pStyle w:val="Heading4"/>
        <w:numPr>
          <w:ilvl w:val="3"/>
          <w:numId w:val="1"/>
        </w:numPr>
        <w:bidi w:val="0"/>
        <w:jc w:val="left"/>
        <w:rPr/>
      </w:pPr>
      <w:bookmarkStart w:id="200" w:name="__RefHeading___Toc4074677_2749589250"/>
      <w:bookmarkStart w:id="201" w:name="_Toc77"/>
      <w:bookmarkEnd w:id="200"/>
      <w:r>
        <w:rPr/>
        <w:t>‘</w:t>
      </w:r>
      <w:r>
        <w:rPr/>
        <w:t>Uthman’s Innovations</w:t>
      </w:r>
      <w:bookmarkEnd w:id="201"/>
    </w:p>
    <w:p>
      <w:pPr>
        <w:pStyle w:val="Heading5"/>
        <w:numPr>
          <w:ilvl w:val="4"/>
          <w:numId w:val="1"/>
        </w:numPr>
        <w:bidi w:val="0"/>
        <w:jc w:val="left"/>
        <w:rPr/>
      </w:pPr>
      <w:bookmarkStart w:id="202" w:name="__RefHeading___Toc4074679_2749589250"/>
      <w:bookmarkStart w:id="203" w:name="_Toc78"/>
      <w:bookmarkEnd w:id="202"/>
      <w:r>
        <w:rPr/>
        <w:t>Third Call to Prayer (Adhan)</w:t>
      </w:r>
      <w:bookmarkEnd w:id="2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used to go</w:t>
      </w:r>
      <w:bookmarkStart w:id="204" w:name="pg3581_22011"/>
    </w:p>
    <w:p>
      <w:pPr>
        <w:pStyle w:val="BookText"/>
        <w:bidi w:val="0"/>
        <w:rPr/>
      </w:pPr>
      <w:bookmarkEnd w:id="204"/>
      <w:r>
        <w:rPr>
          <w:rFonts w:eastAsia="Times New Roman" w:cs="Times New Roman" w:ascii="Times New Roman" w:hAnsi="Times New Roman"/>
          <w:color w:val="111111"/>
          <w:sz w:val="28"/>
          <w:szCs w:val="28"/>
          <w:lang w:val="en-US"/>
        </w:rPr>
        <w:t>to the mosque for the Friday prayers, the person in charge of giving the call to prayer would first call the adhan and then the iqamah, and this practice continued during the caliphates of Abu Bakr and ‘Umar and for half of the caliphate of ‘Uthman. However, in the seventh year of his caliphate, ‘Uthman ordered that a third call to prayer be given. This shocked the Muslims</w:t>
      </w:r>
      <w:r>
        <w:rPr>
          <w:rStyle w:val="FootnoteAnchor"/>
        </w:rPr>
        <w:footnoteReference w:id="368"/>
      </w:r>
      <w:r>
        <w:rPr>
          <w:rFonts w:eastAsia="Times New Roman" w:cs="Times New Roman" w:ascii="Times New Roman" w:hAnsi="Times New Roman"/>
          <w:color w:val="111111"/>
          <w:sz w:val="28"/>
          <w:szCs w:val="28"/>
          <w:lang w:val="en-US"/>
        </w:rPr>
        <w:t>because they considered the addition of a third adhan to be a bidah (religious innovation).</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 xml:space="preserve">Al-Yaqubi comments in his history that ‘Uthman had the audacity to climb the pulpit of the Prophet and sit in the same place that the Prophet used to sit in, even though Abu Bakr and ‘Umar respected it by never sitting on the pulpit of the Prophet. </w:t>
      </w:r>
      <w:r>
        <w:rPr>
          <w:rStyle w:val="FootnoteAnchor"/>
        </w:rPr>
        <w:footnoteReference w:id="370"/>
      </w:r>
    </w:p>
    <w:p>
      <w:pPr>
        <w:pStyle w:val="Heading5"/>
        <w:numPr>
          <w:ilvl w:val="4"/>
          <w:numId w:val="1"/>
        </w:numPr>
        <w:bidi w:val="0"/>
        <w:jc w:val="left"/>
        <w:rPr/>
      </w:pPr>
      <w:bookmarkStart w:id="205" w:name="__RefHeading___Toc4074681_2749589250"/>
      <w:bookmarkStart w:id="206" w:name="_Toc79"/>
      <w:bookmarkEnd w:id="205"/>
      <w:r>
        <w:rPr/>
        <w:t>Complete Prayers in Mina</w:t>
      </w:r>
      <w:bookmarkEnd w:id="206"/>
    </w:p>
    <w:p>
      <w:pPr>
        <w:pStyle w:val="BookText"/>
        <w:bidi w:val="0"/>
        <w:jc w:val="both"/>
        <w:rPr/>
      </w:pPr>
      <w:r>
        <w:rPr>
          <w:rFonts w:eastAsia="Times New Roman" w:cs="Times New Roman" w:ascii="Times New Roman" w:hAnsi="Times New Roman"/>
          <w:color w:val="111111"/>
          <w:sz w:val="28"/>
          <w:szCs w:val="28"/>
          <w:lang w:val="en-US"/>
        </w:rPr>
        <w:t>During the Hajj (the Pilgrimage), the prayers in Mina used to be performed in the shortened version (qasr) by a person who was traveling. However, one year, ‘Uthman recited the prayers in their full form rather than in their shortened form.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companions protested and one of them, Abd al-Rahman Ibn Auf came to ‘Uthman and asked, “Didn’t you pray with the Prophet in this spot with two rakats (units of prayer)?” ‘Uthman said he had. Abd al-Rahman Ibn Auf then asked, “Didn’t you pray with Abu Bakr in this spot with two rakats?” ‘Uthman said he had. Abd al-Rahman Ibn Auf further asked, “Didn’t you pray with ‘Umar in this spot with two rakats?” ‘Uthman said that he</w:t>
      </w:r>
      <w:bookmarkStart w:id="207" w:name="pg3581_22012"/>
    </w:p>
    <w:p>
      <w:pPr>
        <w:pStyle w:val="BookText"/>
        <w:bidi w:val="0"/>
        <w:rPr/>
      </w:pPr>
      <w:bookmarkEnd w:id="207"/>
      <w:r>
        <w:rPr>
          <w:rFonts w:eastAsia="Times New Roman" w:cs="Times New Roman" w:ascii="Times New Roman" w:hAnsi="Times New Roman"/>
          <w:color w:val="111111"/>
          <w:sz w:val="28"/>
          <w:szCs w:val="28"/>
          <w:lang w:val="en-US"/>
        </w:rPr>
        <w:t>had. Abd al-Rahman Ibn Auf continued, “Didn’t you, yourself lead the prayers during your caliphate in this spot with two rakats?”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said that he had. Abd al-Rahman then resorted to ask why ‘Uthman had read the prayers with four rakats this time, to which ‘Uthman replied, “I have married a woman from Mecca, and the people of Yemen came to me and said, ‘Uthman is a resident of Mecca, but he still prays qasr even though he should pray the complete prayers; because of this, I wanted to do four rakats.” Abd al-Rahman Ibn Auf then pointed out to him that the Holy Prophet himself was a resident of Mecca and he still led the prayers with two rakats, and that ‘Uthman should follow the tradition of the Prophet. ‘Uthman replied, “This is the opinion that I have followed.”</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In another case, when ‘Uthman was in Mina, he became ill and asked ‘Ali Ibn Abi Talib to lead the prayers. ‘Ali replied, “If you like, I will lead the prayers, but I will pray exactly the way that Prophet Muhammad did (the shortened prayers).” ‘Uthman objected and told him that he had to pray with four rakats, and the matter was left at that.</w:t>
      </w:r>
    </w:p>
    <w:p>
      <w:pPr>
        <w:pStyle w:val="Heading5"/>
        <w:numPr>
          <w:ilvl w:val="4"/>
          <w:numId w:val="1"/>
        </w:numPr>
        <w:bidi w:val="0"/>
        <w:jc w:val="left"/>
        <w:rPr/>
      </w:pPr>
      <w:bookmarkStart w:id="208" w:name="__RefHeading___Toc4074683_2749589250"/>
      <w:bookmarkStart w:id="209" w:name="_Toc80"/>
      <w:bookmarkEnd w:id="208"/>
      <w:r>
        <w:rPr/>
        <w:t>Khutbah before the Eid Prayer</w:t>
      </w:r>
      <w:bookmarkEnd w:id="2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time of the Prophet and the caliphates of Abu Bakr and ‘Umar, as well as today, the khutbah (sermon) on the day of Eid is said after the Eid Prayer. However, ‘Uthman noticed that people tended to miss the prayers, so he developed the habit</w:t>
      </w:r>
      <w:bookmarkStart w:id="210" w:name="pg3581_22013"/>
    </w:p>
    <w:p>
      <w:pPr>
        <w:pStyle w:val="BookText"/>
        <w:bidi w:val="0"/>
        <w:rPr/>
      </w:pPr>
      <w:bookmarkEnd w:id="210"/>
      <w:r>
        <w:rPr>
          <w:rFonts w:eastAsia="Times New Roman" w:cs="Times New Roman" w:ascii="Times New Roman" w:hAnsi="Times New Roman"/>
          <w:color w:val="111111"/>
          <w:sz w:val="28"/>
          <w:szCs w:val="28"/>
          <w:lang w:val="en-US"/>
        </w:rPr>
        <w:t>of giving the sermon first, and then after that leading the prayer.</w:t>
      </w:r>
      <w:r>
        <w:rPr>
          <w:rStyle w:val="FootnoteAnchor"/>
        </w:rPr>
        <w:footnoteReference w:id="372"/>
      </w:r>
    </w:p>
    <w:p>
      <w:pPr>
        <w:pStyle w:val="Heading5"/>
        <w:numPr>
          <w:ilvl w:val="4"/>
          <w:numId w:val="1"/>
        </w:numPr>
        <w:bidi w:val="0"/>
        <w:jc w:val="left"/>
        <w:rPr/>
      </w:pPr>
      <w:bookmarkStart w:id="211" w:name="__RefHeading___Toc4074685_2749589250"/>
      <w:bookmarkStart w:id="212" w:name="_Toc81"/>
      <w:bookmarkEnd w:id="211"/>
      <w:r>
        <w:rPr/>
        <w:t>Land of Fadak and Marwan Ibn al-Hakam</w:t>
      </w:r>
      <w:bookmarkEnd w:id="212"/>
    </w:p>
    <w:p>
      <w:pPr>
        <w:pStyle w:val="BookText"/>
        <w:bidi w:val="0"/>
        <w:jc w:val="both"/>
        <w:rPr/>
      </w:pPr>
      <w:r>
        <w:rPr>
          <w:rFonts w:eastAsia="Times New Roman" w:cs="Times New Roman" w:ascii="Times New Roman" w:hAnsi="Times New Roman"/>
          <w:color w:val="111111"/>
          <w:sz w:val="28"/>
          <w:szCs w:val="28"/>
          <w:lang w:val="en-US"/>
        </w:rPr>
        <w:t>Aside from encouraging Marwan Ibn al-Hakam to return from exile and making him his son-in-law, ‘Uthman also granted him the land of Fadak.</w:t>
      </w:r>
    </w:p>
    <w:p>
      <w:pPr>
        <w:pStyle w:val="BookText"/>
        <w:bidi w:val="0"/>
        <w:jc w:val="both"/>
        <w:rPr/>
      </w:pPr>
      <w:r>
        <w:rPr>
          <w:rFonts w:eastAsia="Times New Roman" w:cs="Times New Roman" w:ascii="Times New Roman" w:hAnsi="Times New Roman"/>
          <w:color w:val="111111"/>
          <w:sz w:val="28"/>
          <w:szCs w:val="28"/>
          <w:lang w:val="en-US"/>
        </w:rPr>
        <w:t>Originally, the Prophet gave Fadak to his daughter Fatima al-Zahra because when the ayah of the Qur’an was revealed, “And give to your kin their right,” (c. 17:26) the Angel Gabriel told the Prophet that he had to give Fadak to Fatima. However when Abu Bakr assumed the caliphate, he held that it was fay (income for all of the Muslim community), so he took Fadak away from her and made it a public endowment, while the Ahlul Bayt maintained that it was a private gift. Irrespective of which viewpoint one takes, ‘Uthman still had no right to grant the land to a specific individual, since neither public endowments, nor private property of someone else can be given to a private party.</w:t>
      </w:r>
    </w:p>
    <w:p>
      <w:pPr>
        <w:pStyle w:val="BookText"/>
        <w:bidi w:val="0"/>
        <w:jc w:val="both"/>
        <w:rPr/>
      </w:pPr>
      <w:r>
        <w:rPr>
          <w:rFonts w:eastAsia="Times New Roman" w:cs="Times New Roman" w:ascii="Times New Roman" w:hAnsi="Times New Roman"/>
          <w:color w:val="111111"/>
          <w:sz w:val="28"/>
          <w:szCs w:val="28"/>
          <w:lang w:val="en-US"/>
        </w:rPr>
        <w:t>In addition to Fadak, as mentioned earlier, ‘Uthman also gave Marwan all of the income from Africa. Such treatment raised discontent among the Muslims of Madinah because Marwan was not an admired or moral figure.</w:t>
      </w:r>
    </w:p>
    <w:p>
      <w:pPr>
        <w:pStyle w:val="Heading5"/>
        <w:numPr>
          <w:ilvl w:val="4"/>
          <w:numId w:val="1"/>
        </w:numPr>
        <w:bidi w:val="0"/>
        <w:jc w:val="left"/>
        <w:rPr/>
      </w:pPr>
      <w:bookmarkStart w:id="213" w:name="__RefHeading___Toc4074687_2749589250"/>
      <w:bookmarkStart w:id="214" w:name="_Toc82"/>
      <w:bookmarkEnd w:id="213"/>
      <w:r>
        <w:rPr/>
        <w:t>Reactions of Some Prominent Companions</w:t>
      </w:r>
      <w:bookmarkEnd w:id="214"/>
    </w:p>
    <w:p>
      <w:pPr>
        <w:pStyle w:val="BookText"/>
        <w:bidi w:val="0"/>
        <w:jc w:val="both"/>
        <w:rPr/>
      </w:pPr>
      <w:r>
        <w:rPr>
          <w:rFonts w:eastAsia="Times New Roman" w:cs="Times New Roman" w:ascii="Times New Roman" w:hAnsi="Times New Roman"/>
          <w:color w:val="111111"/>
          <w:sz w:val="28"/>
          <w:szCs w:val="28"/>
          <w:lang w:val="en-US"/>
        </w:rPr>
        <w:t>On the account of ‘Uthman’s actions, many Muslims were not happy with him. The negative reaction of prominent Muslims is well documented, and a careful review of this, may perhaps give some insight as to why ‘Uthman was eventually assassinated.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Ibn Abdullah said to ‘Uthman, “You brought new innovations into the religion that people were unaware of before and did not know</w:t>
      </w:r>
    </w:p>
    <w:p>
      <w:pPr>
        <w:pStyle w:val="BookText"/>
        <w:bidi w:val="0"/>
        <w:rPr/>
      </w:pPr>
      <w:r>
        <w:rPr>
          <w:rFonts w:eastAsia="Times New Roman" w:cs="Times New Roman" w:ascii="Times New Roman" w:hAnsi="Times New Roman"/>
          <w:color w:val="111111"/>
          <w:sz w:val="28"/>
          <w:szCs w:val="28"/>
          <w:lang w:val="en-US"/>
        </w:rPr>
        <w:t>about in religion.”</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Al-Zubayr Ibn al-Awam one day said about ‘Uthman, “Kill him, he has changed your religion.” The people reminded him that his own son stood at the door of ‘Uthman and protected him. Al-Zubayr replied, “I would not dislike that ‘Uthman be killed even if they start by killing my son.”</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Abdullah Ibn Masud used to say about ‘Uthman, “The best of truth is the Book of Allah, and the best guidance is the guidance of Muhammad, and the most evil things are the ones which have been innovated, and every new thing that has been brought up is bidah, and every bidah is deviation, and every deviant is in the Fire.”</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Ammar Ibn Yasir, at the Battle of Siffeen, said that when the people were asked why they killed ‘Uthman, they answered, “We killed him because of his ihdath (new innovations).”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Sa’d Ibn Abi al-Waqqas was asked about the motivations behind ‘Uthman’s assassination and he said, “He changed - and he has been changed. He did good things and he did bad things. If we do good, then we have done good, and if we do bad then we ask forgiveness from Allah.”</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Malik al-Ashtar describes ‘Uthman in his letter to him as “the one who throws the injunctions of the Qur’an behind his back (al-nabidh li hukm al-Qur’an),” and “the one who has turned away from the tradition of the Prophet (al-haid an sunnat al-Nabi).”</w:t>
      </w:r>
      <w:r>
        <w:rPr>
          <w:rStyle w:val="FootnoteAnchor"/>
        </w:rPr>
        <w:footnoteReference w:id="37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Aishah, the wife of the Prophet said to ‘Uthman, “How quickly you have deserted the tradition</w:t>
      </w:r>
    </w:p>
    <w:p>
      <w:pPr>
        <w:pStyle w:val="BookText"/>
        <w:bidi w:val="0"/>
        <w:rPr/>
      </w:pPr>
      <w:r>
        <w:rPr>
          <w:rFonts w:eastAsia="Times New Roman" w:cs="Times New Roman" w:ascii="Times New Roman" w:hAnsi="Times New Roman"/>
          <w:color w:val="111111"/>
          <w:sz w:val="28"/>
          <w:szCs w:val="28"/>
          <w:lang w:val="en-US"/>
        </w:rPr>
        <w:t>of your Prophet. His hair and his sandals have not yet decomposed” [the sunnah fell apart quicker than the remnants of the Holy Prophet]. She also said to him, “You have abandoned the tradition (sunnah) of the Messenger of Allah.”</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Muhammad Ibn Abu Bakr, the son of the first caliph Abu Bakr, said to ‘Uthman, “What religion do you follow?” ‘Uthman replied, “I follow the religion of Islam,” after which Muhammad told him, “You have changed the injunctions of the Book of Allah,” and left angrily.</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Abu Dharr al-Ghifari, a close companion of the Prophet, said to ‘Uthman, “By God, I have seen affairs and events that I cannot even recognize” [that they are neither in the Book of Allah, nor in the traditions of the Prophet]. He also said, “I can see truth which has been extinguished and falsehood (batil) which is being resurrected and an honest person whom people are doing wrong to and are saying that he is a liar.”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Such comments indicate that many prominent companions were displeased with ‘Uthman’s policies and his implementation of the Qur’an and the sunnah. The accusations they levied upon him, bidah and ihdath - both meaning innovation - are very serious in Islam. After he was killed, his body was left for three days - unwashed and unburied.</w:t>
      </w:r>
      <w:r>
        <w:rPr>
          <w:rStyle w:val="FootnoteAnchor"/>
        </w:rPr>
        <w:footnoteReference w:id="3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Marwan Ibn al-Hakam and three of his disciples recited the funeral prayers over him, but the people of Madinah, who had refused to participate in the funeral prayer stoned them. They did not allow his</w:t>
      </w:r>
      <w:bookmarkStart w:id="215" w:name="pg3581_22016"/>
    </w:p>
    <w:p>
      <w:pPr>
        <w:pStyle w:val="BookText"/>
        <w:bidi w:val="0"/>
        <w:rPr/>
      </w:pPr>
      <w:bookmarkEnd w:id="215"/>
      <w:r>
        <w:rPr>
          <w:rFonts w:eastAsia="Times New Roman" w:cs="Times New Roman" w:ascii="Times New Roman" w:hAnsi="Times New Roman"/>
          <w:color w:val="111111"/>
          <w:sz w:val="28"/>
          <w:szCs w:val="28"/>
          <w:lang w:val="en-US"/>
        </w:rPr>
        <w:t>body to be buried in the same cemetery (as the Muslims), thus he was buried outside the boundaries of the al-Baqi cemetery. Later on, when Mu’awiyah Ibn Abu Sufyan took power, he extended al-Baqi to include the grave of ‘Uthman.</w:t>
      </w:r>
    </w:p>
    <w:p>
      <w:pPr>
        <w:pStyle w:val="Heading4"/>
        <w:numPr>
          <w:ilvl w:val="3"/>
          <w:numId w:val="1"/>
        </w:numPr>
        <w:bidi w:val="0"/>
        <w:jc w:val="left"/>
        <w:rPr/>
      </w:pPr>
      <w:bookmarkStart w:id="216" w:name="__RefHeading___Toc4074689_2749589250"/>
      <w:bookmarkStart w:id="217" w:name="_Toc83"/>
      <w:bookmarkEnd w:id="216"/>
      <w:r>
        <w:rPr/>
        <w:t>An Analysis of ‘Uthman’s Motivations</w:t>
      </w:r>
      <w:bookmarkEnd w:id="217"/>
    </w:p>
    <w:p>
      <w:pPr>
        <w:pStyle w:val="BookText"/>
        <w:bidi w:val="0"/>
        <w:jc w:val="both"/>
        <w:rPr/>
      </w:pPr>
      <w:r>
        <w:rPr>
          <w:rFonts w:eastAsia="Times New Roman" w:cs="Times New Roman" w:ascii="Times New Roman" w:hAnsi="Times New Roman"/>
          <w:color w:val="111111"/>
          <w:sz w:val="28"/>
          <w:szCs w:val="28"/>
          <w:lang w:val="en-US"/>
        </w:rPr>
        <w:t>For the first six years of his caliphate, ‘Uthman followed the precedents of the first two caliphs. At some point however, he realized that the people did not view him as his own entity; but rather as a follower of the Shaykhayn (Abu Bakr and ‘Umar Ibn al-Khattab) and he felt that he was not receiving the respect that his position entitled him to.</w:t>
      </w:r>
    </w:p>
    <w:p>
      <w:pPr>
        <w:pStyle w:val="BookText"/>
        <w:bidi w:val="0"/>
        <w:jc w:val="both"/>
        <w:rPr/>
      </w:pPr>
      <w:r>
        <w:rPr>
          <w:rFonts w:eastAsia="Times New Roman" w:cs="Times New Roman" w:ascii="Times New Roman" w:hAnsi="Times New Roman"/>
          <w:color w:val="111111"/>
          <w:sz w:val="28"/>
          <w:szCs w:val="28"/>
          <w:lang w:val="en-US"/>
        </w:rPr>
        <w:t>The people had permitted ‘Umar Ibn al-Khattab to alter the religion based on circumstances, such as when ‘Umar expanded the grounds of Masjid al-Haram (the Ka’abah), or increased the government subsidies (aba). However, they did not give ‘Uthman the same level of tolerance and flexibility, even though ‘Uthman, like ‘Umar, was tied by blood to the Holy Prophet.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he tried to expand the sacred mosque (in Madinah) as ‘Umar had done, the people said, “He expands the mosque of the Prophet, but he changes his tradition.” According to al-Tabari, when ‘Uthman demolished the homes around the sacred mosque for its expansion, he attempted to compensate their owners, but they refused to accept the money. ‘Uthman said to them, “Do you know what made you strong in front of me and made you accuse me? It was my forbearance. ‘Umar did exactly the same thing to you, but</w:t>
      </w:r>
      <w:bookmarkStart w:id="218" w:name="pg3581_22017"/>
    </w:p>
    <w:p>
      <w:pPr>
        <w:pStyle w:val="BookText"/>
        <w:bidi w:val="0"/>
        <w:rPr/>
      </w:pPr>
      <w:bookmarkEnd w:id="218"/>
      <w:r>
        <w:rPr>
          <w:rFonts w:eastAsia="Times New Roman" w:cs="Times New Roman" w:ascii="Times New Roman" w:hAnsi="Times New Roman"/>
          <w:color w:val="111111"/>
          <w:sz w:val="28"/>
          <w:szCs w:val="28"/>
          <w:lang w:val="en-US"/>
        </w:rPr>
        <w:t>you did not protest.”</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He said to others, “You accuse me of things that happened during the time of ‘Umar Ibn al-Khattab, but you did not accuse him. You agreed with him, and he forced you to follow him and his tradition; whereas I gave you freedom and freedom of expression, and I barred my hands and my tongue from you, and that is what gave you the courage to attack me.”</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Overall, ‘Uthman lacked the strength to resist the desire for fame and recognition and new ideas in his name.</w:t>
      </w:r>
    </w:p>
    <w:p>
      <w:pPr>
        <w:pStyle w:val="Heading2"/>
        <w:numPr>
          <w:ilvl w:val="1"/>
          <w:numId w:val="1"/>
        </w:numPr>
        <w:bidi w:val="0"/>
        <w:jc w:val="left"/>
        <w:rPr/>
      </w:pPr>
      <w:bookmarkStart w:id="219" w:name="__RefHeading___Toc4074691_2749589250"/>
      <w:bookmarkStart w:id="220" w:name="_Toc84"/>
      <w:bookmarkEnd w:id="219"/>
      <w:r>
        <w:rPr/>
        <w:t>Chapter 10: The Ummah Fractures</w:t>
      </w:r>
      <w:bookmarkEnd w:id="220"/>
    </w:p>
    <w:p>
      <w:pPr>
        <w:pStyle w:val="Heading3"/>
        <w:numPr>
          <w:ilvl w:val="2"/>
          <w:numId w:val="1"/>
        </w:numPr>
        <w:bidi w:val="0"/>
        <w:jc w:val="left"/>
        <w:rPr/>
      </w:pPr>
      <w:bookmarkStart w:id="221" w:name="__RefHeading___Toc4074693_2749589250"/>
      <w:bookmarkStart w:id="222" w:name="_Toc85"/>
      <w:bookmarkEnd w:id="221"/>
      <w:r>
        <w:rPr/>
        <w:t>point</w:t>
      </w:r>
      <w:bookmarkEnd w:id="22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فَتَقَطَّعُوا أَمْرَهُم بَیْنَهُمْ زُبُرًا کُلُّ حِزْبٍ بِمَا لَدَیْهِمْ فَرِحُونَ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people have cut off their affair (of unity), between them into sects: each party rejoices in that which is with itself. (Holy Qur’an, 23:53)</w:t>
      </w:r>
    </w:p>
    <w:p>
      <w:pPr>
        <w:pStyle w:val="BookText"/>
        <w:bidi w:val="0"/>
        <w:jc w:val="both"/>
        <w:rPr/>
      </w:pPr>
      <w:r>
        <w:rPr>
          <w:rFonts w:eastAsia="Times New Roman" w:cs="Times New Roman" w:ascii="Times New Roman" w:hAnsi="Times New Roman"/>
          <w:color w:val="111111"/>
          <w:sz w:val="28"/>
          <w:szCs w:val="28"/>
          <w:lang w:val="en-US"/>
        </w:rPr>
        <w:t>The tumult of the Quraysh group could not leave the Muslim ummah unscathed. Although the popular viewpoint today is that Islam has maintained two sects—Sunni and Shi’a, but the fact of the matter is that virtually hundreds of Muslim religious sects came and went in the past.</w:t>
      </w:r>
    </w:p>
    <w:p>
      <w:pPr>
        <w:pStyle w:val="BookText"/>
        <w:bidi w:val="0"/>
        <w:jc w:val="both"/>
        <w:rPr/>
      </w:pPr>
      <w:r>
        <w:rPr>
          <w:rFonts w:eastAsia="Times New Roman" w:cs="Times New Roman" w:ascii="Times New Roman" w:hAnsi="Times New Roman"/>
          <w:color w:val="111111"/>
          <w:sz w:val="28"/>
          <w:szCs w:val="28"/>
          <w:lang w:val="en-US"/>
        </w:rPr>
        <w:t>Nonetheless, the fracture, which has grown into the two main paths (Sunni and Shi’a) cannot be neglected. Many bystanders view the Shi’a aspect of Islam as a deviation from the norm and a split from the “original Islam” because the Shi’a are a minority. However, the Shi’a maintain that their path is actually the original and unaltered version of Islam as taught by the Prophet, and verified and secured by his family (Ahlul Bayt).</w:t>
      </w:r>
    </w:p>
    <w:p>
      <w:pPr>
        <w:pStyle w:val="Heading3"/>
        <w:numPr>
          <w:ilvl w:val="2"/>
          <w:numId w:val="1"/>
        </w:numPr>
        <w:bidi w:val="0"/>
        <w:jc w:val="left"/>
        <w:rPr/>
      </w:pPr>
      <w:bookmarkStart w:id="223" w:name="__RefHeading___Toc4074695_2749589250"/>
      <w:bookmarkStart w:id="224" w:name="_Toc86"/>
      <w:bookmarkEnd w:id="223"/>
      <w:r>
        <w:rPr/>
        <w:t>When did Shiaism Come About?</w:t>
      </w:r>
      <w:bookmarkEnd w:id="2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vary as to when the term “Shi’a” came</w:t>
      </w:r>
    </w:p>
    <w:p>
      <w:pPr>
        <w:pStyle w:val="BookText"/>
        <w:bidi w:val="0"/>
        <w:rPr/>
      </w:pPr>
      <w:r>
        <w:rPr>
          <w:rFonts w:eastAsia="Times New Roman" w:cs="Times New Roman" w:ascii="Times New Roman" w:hAnsi="Times New Roman"/>
          <w:color w:val="111111"/>
          <w:sz w:val="28"/>
          <w:szCs w:val="28"/>
          <w:lang w:val="en-US"/>
        </w:rPr>
        <w:t>into being. Some Sunni sources say that “Shi’a Islam” emerged at the time of the death of the Prophet, while others say that it took form afterwards. Some Sunni historians also differ as to the influence of Shi’a Islam, with some citing a fringe band following a legendary figure named Abdullah Ibn Saba. However, the Shi’a say otherwise and affirm that the concept of “Shi’a” was entitled as the “Shi’a of ‘Ali” by the Prophet during his lifetime, and that it was a real force in Islamic history that took form and was shaped by the Qur’an and the sunnah.</w:t>
      </w:r>
    </w:p>
    <w:p>
      <w:pPr>
        <w:pStyle w:val="BookText"/>
        <w:bidi w:val="0"/>
        <w:jc w:val="both"/>
        <w:rPr/>
      </w:pPr>
      <w:r>
        <w:rPr>
          <w:rFonts w:eastAsia="Times New Roman" w:cs="Times New Roman" w:ascii="Times New Roman" w:hAnsi="Times New Roman"/>
          <w:color w:val="111111"/>
          <w:sz w:val="28"/>
          <w:szCs w:val="28"/>
          <w:lang w:val="en-US"/>
        </w:rPr>
        <w:t>Interpreters of the Qur’an assert that when the following verse was revealed to the Prophet, “Verily, those who believe and do good deeds: they are the best of creation,” the Prophet then turned and pointed to ‘Ali and said, “This man and his Shi’a (followers) are the best of creation.”</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As the Muslim community expanded, the Prophet continued to refer to some of the Muslims as the “Shi’a of ‘Ali.” Al-Suyuti, a Sunni scholar narrates on the authority of Jabir Ibn Abdullah al-Ansari:</w:t>
      </w:r>
    </w:p>
    <w:p>
      <w:pPr>
        <w:pStyle w:val="BookText"/>
        <w:bidi w:val="0"/>
        <w:jc w:val="both"/>
        <w:rPr/>
      </w:pPr>
      <w:r>
        <w:rPr>
          <w:rFonts w:eastAsia="Times New Roman" w:cs="Times New Roman" w:ascii="Times New Roman" w:hAnsi="Times New Roman"/>
          <w:color w:val="111111"/>
          <w:sz w:val="28"/>
          <w:szCs w:val="28"/>
          <w:lang w:val="en-US"/>
        </w:rPr>
        <w:t>We were sitting with the Prophet when ‘Ali came. The Prophet said, “By the One who has my soul in His hands, verily this man (he pointed to ‘Ali) and his friends (Shi’a) will be the successful ones on the Day of Judgment.”</w:t>
      </w:r>
      <w:r>
        <w:rPr>
          <w:rStyle w:val="FootnoteAnchor"/>
        </w:rPr>
        <w:footnoteReference w:id="386"/>
      </w:r>
      <w:r>
        <w:rPr>
          <w:rFonts w:eastAsia="Times New Roman" w:cs="Times New Roman" w:ascii="Times New Roman" w:hAnsi="Times New Roman"/>
          <w:color w:val="111111"/>
          <w:sz w:val="28"/>
          <w:szCs w:val="28"/>
          <w:lang w:val="en-US"/>
        </w:rPr>
        <w:t xml:space="preserve">&amp; </w:t>
      </w:r>
      <w:r>
        <w:rPr>
          <w:rStyle w:val="FootnoteAnchor"/>
        </w:rPr>
        <w:footnoteReference w:id="3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is related in several similar versions in the books of hadith compiled by Sunni scholars. In addition, some Sunni scholars have recorded that during</w:t>
      </w:r>
    </w:p>
    <w:p>
      <w:pPr>
        <w:pStyle w:val="BookText"/>
        <w:bidi w:val="0"/>
        <w:rPr/>
      </w:pPr>
      <w:r>
        <w:rPr>
          <w:rFonts w:eastAsia="Times New Roman" w:cs="Times New Roman" w:ascii="Times New Roman" w:hAnsi="Times New Roman"/>
          <w:color w:val="111111"/>
          <w:sz w:val="28"/>
          <w:szCs w:val="28"/>
          <w:lang w:val="en-US"/>
        </w:rPr>
        <w:t>the time of the Prophet, some of the companions were distinguished from others as being the “Shi’a of ‘Ali.” They included Abu Dharr al-Ghifari, Ammar Ibn Yasir, al-Miqdaad Ibn al-Aswad, and Salman al-Farsi. Therefore, saying that the term Shi’a emerged after the death of the Prophet is incorrect, since the first person to introduce the concept of “Shi’a” was the Prophet himself during his own lifetime.</w:t>
      </w:r>
    </w:p>
    <w:p>
      <w:pPr>
        <w:pStyle w:val="BookText"/>
        <w:bidi w:val="0"/>
        <w:jc w:val="both"/>
        <w:rPr/>
      </w:pPr>
      <w:r>
        <w:rPr>
          <w:rFonts w:eastAsia="Times New Roman" w:cs="Times New Roman" w:ascii="Times New Roman" w:hAnsi="Times New Roman"/>
          <w:color w:val="111111"/>
          <w:sz w:val="28"/>
          <w:szCs w:val="28"/>
          <w:lang w:val="en-US"/>
        </w:rPr>
        <w:t>One of the key differences between the Shi’a and non-Shi’a interpretations of Islam is the right to succession after the death of the Prophet, thus the misconception that Shiaism emerged after the death of the Prophet is understandable. Early Sunni historians, such as Ibn Khaldun and al-Yaqubi, as well as contemporary academics, such as Egyptian scholars Dr. Hasan Ibrahim and Dr. Ahmad Amin, have expressed the following viewpoints on the successorship of the Prophet.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and al-Yaqubi contend that the Shi’a began as a group of companions who were the friends of ‘Ali Ibn Abi Talib, and hence supported the claim that the chosen family members of the Prophet, known as Ahlul Bayt have the right of leadership.</w:t>
      </w:r>
      <w:r>
        <w:rPr>
          <w:rStyle w:val="FootnoteAnchor"/>
        </w:rPr>
        <w:footnoteReference w:id="388"/>
      </w:r>
      <w:r>
        <w:rPr>
          <w:rFonts w:eastAsia="Times New Roman" w:cs="Times New Roman" w:ascii="Times New Roman" w:hAnsi="Times New Roman"/>
          <w:color w:val="111111"/>
          <w:sz w:val="28"/>
          <w:szCs w:val="28"/>
          <w:lang w:val="en-US"/>
        </w:rPr>
        <w:t>Al-Yaqubi also specifies a group of companions who refused to pay allegiance to Abu Bakr as being: Salman al-Farsi, Abu Dharr al-Ghifari, al-Miqdaad Ibn al-Aswad, and al-Abbas Ibn Abdul Muttalib.</w:t>
      </w:r>
      <w:r>
        <w:rPr>
          <w:rStyle w:val="FootnoteAnchor"/>
        </w:rPr>
        <w:footnoteReference w:id="389"/>
      </w:r>
      <w:r>
        <w:rPr>
          <w:rFonts w:eastAsia="Times New Roman" w:cs="Times New Roman" w:ascii="Times New Roman" w:hAnsi="Times New Roman"/>
          <w:color w:val="111111"/>
          <w:sz w:val="28"/>
          <w:szCs w:val="28"/>
          <w:lang w:val="en-US"/>
        </w:rPr>
        <w:t>Dr. Hasan Ibrahim</w:t>
      </w:r>
      <w:r>
        <w:rPr>
          <w:rStyle w:val="FootnoteAnchor"/>
        </w:rPr>
        <w:footnoteReference w:id="390"/>
      </w:r>
      <w:r>
        <w:rPr>
          <w:rFonts w:eastAsia="Times New Roman" w:cs="Times New Roman" w:ascii="Times New Roman" w:hAnsi="Times New Roman"/>
          <w:color w:val="111111"/>
          <w:sz w:val="28"/>
          <w:szCs w:val="28"/>
          <w:lang w:val="en-US"/>
        </w:rPr>
        <w:t>and Dr. Ahmad Amin</w:t>
      </w:r>
      <w:r>
        <w:rPr>
          <w:rStyle w:val="FootnoteAnchor"/>
        </w:rPr>
        <w:footnoteReference w:id="391"/>
      </w:r>
      <w:r>
        <w:rPr>
          <w:rFonts w:eastAsia="Times New Roman" w:cs="Times New Roman" w:ascii="Times New Roman" w:hAnsi="Times New Roman"/>
          <w:color w:val="111111"/>
          <w:sz w:val="28"/>
          <w:szCs w:val="28"/>
          <w:lang w:val="en-US"/>
        </w:rPr>
        <w:t>focus on the same concept, with Dr. Amin contending that ‘Ali was seen as having the right to leadership on account of his nearness to the Prophet and his</w:t>
      </w:r>
    </w:p>
    <w:p>
      <w:pPr>
        <w:pStyle w:val="BookText"/>
        <w:bidi w:val="0"/>
        <w:rPr/>
      </w:pPr>
      <w:r>
        <w:rPr>
          <w:rFonts w:eastAsia="Times New Roman" w:cs="Times New Roman" w:ascii="Times New Roman" w:hAnsi="Times New Roman"/>
          <w:color w:val="111111"/>
          <w:sz w:val="28"/>
          <w:szCs w:val="28"/>
          <w:lang w:val="en-US"/>
        </w:rPr>
        <w:t>own personal merits.</w:t>
      </w:r>
    </w:p>
    <w:p>
      <w:pPr>
        <w:pStyle w:val="BookText"/>
        <w:bidi w:val="0"/>
        <w:jc w:val="both"/>
        <w:rPr/>
      </w:pPr>
      <w:r>
        <w:rPr>
          <w:rFonts w:eastAsia="Times New Roman" w:cs="Times New Roman" w:ascii="Times New Roman" w:hAnsi="Times New Roman"/>
          <w:color w:val="111111"/>
          <w:sz w:val="28"/>
          <w:szCs w:val="28"/>
          <w:lang w:val="en-US"/>
        </w:rPr>
        <w:t>However, Dr. Amin then advances the idea that although Shiaism began with the straightforward disagreement of the first three appointed caliphs, elements from Judaism, Christianity, and the Magians (the religion of the ancient Persians) caused it to deviate. He argues that since the Persians were forced to convert, they left the biggest footprints of their heritage on Shi’a Islam. However, this argument is not warranted.</w:t>
      </w:r>
    </w:p>
    <w:p>
      <w:pPr>
        <w:pStyle w:val="BookText"/>
        <w:bidi w:val="0"/>
        <w:jc w:val="both"/>
        <w:rPr/>
      </w:pPr>
      <w:r>
        <w:rPr>
          <w:rFonts w:eastAsia="Times New Roman" w:cs="Times New Roman" w:ascii="Times New Roman" w:hAnsi="Times New Roman"/>
          <w:color w:val="111111"/>
          <w:sz w:val="28"/>
          <w:szCs w:val="28"/>
          <w:lang w:val="en-US"/>
        </w:rPr>
        <w:t>To begin with, the majority of the new converts including the Persians followed the Sunni interpretation of Islam. Another important point is that it was not until the fifteenth century AD that Persia became a Shi’a nation. It is known that all of the Twelve Imams of the Shi’a are full-blooded Arabs from Quraysh (as the hadith from the Prophet said they would be), and the Shi’a, like the rest of the Muslims, are a mixture of Arab and non-Arab people.</w:t>
      </w:r>
    </w:p>
    <w:p>
      <w:pPr>
        <w:pStyle w:val="BookText"/>
        <w:bidi w:val="0"/>
        <w:jc w:val="both"/>
        <w:rPr/>
      </w:pPr>
      <w:r>
        <w:rPr>
          <w:rFonts w:eastAsia="Times New Roman" w:cs="Times New Roman" w:ascii="Times New Roman" w:hAnsi="Times New Roman"/>
          <w:color w:val="111111"/>
          <w:sz w:val="28"/>
          <w:szCs w:val="28"/>
          <w:lang w:val="en-US"/>
        </w:rPr>
        <w:t>Muslims who come from non-Arab cultures enrich Islam as a whole in their own unique ways; thus, that influence is not limited to Shiaism, and many of the great scholars and narrators of the Sunni tradition, such as al-Bukhari come from non-Arab countries. Hence, the argument that Shiaism developed because of the influence of non-Islamic ideas, is in essence nothing more than a faulty attempt to marginalize the role of Shiaism in the Islamic history.</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 sources speculate Shi’a Islam emerged in the time between the death of the Prophet and the martyrdom of Imam Husayn in Karbala. Sunni historian Ibn Hazm suggested</w:t>
      </w:r>
    </w:p>
    <w:p>
      <w:pPr>
        <w:pStyle w:val="BookText"/>
        <w:bidi w:val="0"/>
        <w:rPr/>
      </w:pPr>
      <w:r>
        <w:rPr>
          <w:rFonts w:eastAsia="Times New Roman" w:cs="Times New Roman" w:ascii="Times New Roman" w:hAnsi="Times New Roman"/>
          <w:color w:val="111111"/>
          <w:sz w:val="28"/>
          <w:szCs w:val="28"/>
          <w:lang w:val="en-US"/>
        </w:rPr>
        <w:t>that Shiaism could have come about during the time of ‘Uthman, while another Sunni historian, al-Nawbakhti and others say that Shiaism took form during the caliphate of ‘Ali Ibn Abi Talib, specifically during the Battle of the Camel in Basra.</w:t>
      </w:r>
      <w:r>
        <w:rPr>
          <w:rStyle w:val="FootnoteAnchor"/>
        </w:rPr>
        <w:footnoteReference w:id="392"/>
      </w:r>
      <w:r>
        <w:rPr>
          <w:rFonts w:eastAsia="Times New Roman" w:cs="Times New Roman" w:ascii="Times New Roman" w:hAnsi="Times New Roman"/>
          <w:color w:val="111111"/>
          <w:sz w:val="28"/>
          <w:szCs w:val="28"/>
          <w:lang w:val="en-US"/>
        </w:rPr>
        <w:t>Still, a few others maintain that while the spiritual side of Shiaism developed after the death of the Prophet, the political dimension of Shiaism was born after the martyrdom of Imam Husayn.</w:t>
      </w:r>
    </w:p>
    <w:p>
      <w:pPr>
        <w:pStyle w:val="BookText"/>
        <w:bidi w:val="0"/>
        <w:jc w:val="both"/>
        <w:rPr/>
      </w:pPr>
      <w:r>
        <w:rPr>
          <w:rFonts w:eastAsia="Times New Roman" w:cs="Times New Roman" w:ascii="Times New Roman" w:hAnsi="Times New Roman"/>
          <w:color w:val="111111"/>
          <w:sz w:val="28"/>
          <w:szCs w:val="28"/>
          <w:lang w:val="en-US"/>
        </w:rPr>
        <w:t>In contrast, the majority of the Shi’a scholars hold that Shiaism first appeared in Mecca during the early stage of the prophethood of the last Messenger when Allah revealed the verse, “And warn your relatives of nearest kin.”</w:t>
      </w:r>
      <w:r>
        <w:rPr>
          <w:rStyle w:val="FootnoteAnchor"/>
        </w:rPr>
        <w:footnoteReference w:id="393"/>
      </w:r>
      <w:r>
        <w:rPr>
          <w:rFonts w:eastAsia="Times New Roman" w:cs="Times New Roman" w:ascii="Times New Roman" w:hAnsi="Times New Roman"/>
          <w:color w:val="111111"/>
          <w:sz w:val="28"/>
          <w:szCs w:val="28"/>
          <w:lang w:val="en-US"/>
        </w:rPr>
        <w:t>After this verse was revealed, the Holy Prophet invited forty members of his tribe (Bani Hashim) for a meal with him in the house of his uncle Abu Talib and then he informed them about his prophethood and asked who would support him. None responded except for ‘Ali Ibn Abi Talib.</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repeated the question three times, but still none responded except ‘Ali. At that time, the Holy Prophet put his hand on the shoulder of ‘Ali and declared, “This is my brother, my legatee, and my successor (khalifah) over you, so listen to him and obey him.” The invited relatives laughed and teased the father of ‘Ali because the Prophet had ordered him to obey his son.</w:t>
      </w:r>
      <w:r>
        <w:rPr>
          <w:rStyle w:val="FootnoteAnchor"/>
        </w:rPr>
        <w:footnoteReference w:id="394"/>
      </w:r>
      <w:r>
        <w:rPr>
          <w:rFonts w:eastAsia="Times New Roman" w:cs="Times New Roman" w:ascii="Times New Roman" w:hAnsi="Times New Roman"/>
          <w:color w:val="111111"/>
          <w:sz w:val="28"/>
          <w:szCs w:val="28"/>
          <w:lang w:val="en-US"/>
        </w:rPr>
        <w:t>Therefore, according to the Shi’a, all Muslims were ordered to follow ‘Ali Ibn Abi Talib after the Holy Prophet; therefore, the</w:t>
      </w:r>
      <w:bookmarkStart w:id="225" w:name="pg3581_22022"/>
    </w:p>
    <w:p>
      <w:pPr>
        <w:pStyle w:val="BookText"/>
        <w:bidi w:val="0"/>
        <w:rPr/>
      </w:pPr>
      <w:bookmarkEnd w:id="225"/>
      <w:r>
        <w:rPr>
          <w:rFonts w:eastAsia="Times New Roman" w:cs="Times New Roman" w:ascii="Times New Roman" w:hAnsi="Times New Roman"/>
          <w:color w:val="111111"/>
          <w:sz w:val="28"/>
          <w:szCs w:val="28"/>
          <w:lang w:val="en-US"/>
        </w:rPr>
        <w:t>subtle divide between those who did so willingly, and those who did not, marked the first definition of Shi’a.</w:t>
      </w:r>
    </w:p>
    <w:p>
      <w:pPr>
        <w:pStyle w:val="Heading3"/>
        <w:numPr>
          <w:ilvl w:val="2"/>
          <w:numId w:val="1"/>
        </w:numPr>
        <w:bidi w:val="0"/>
        <w:jc w:val="left"/>
        <w:rPr/>
      </w:pPr>
      <w:bookmarkStart w:id="226" w:name="__RefHeading___Toc4074697_2749589250"/>
      <w:bookmarkStart w:id="227" w:name="_Toc87"/>
      <w:bookmarkEnd w:id="226"/>
      <w:r>
        <w:rPr/>
        <w:t>Why the Focus on Ahlul Bayt?</w:t>
      </w:r>
      <w:bookmarkEnd w:id="227"/>
    </w:p>
    <w:p>
      <w:pPr>
        <w:pStyle w:val="Heading4"/>
        <w:numPr>
          <w:ilvl w:val="3"/>
          <w:numId w:val="1"/>
        </w:numPr>
        <w:bidi w:val="0"/>
        <w:jc w:val="left"/>
        <w:rPr/>
      </w:pPr>
      <w:bookmarkStart w:id="228" w:name="__RefHeading___Toc4074699_2749589250"/>
      <w:bookmarkStart w:id="229" w:name="_Toc88"/>
      <w:bookmarkEnd w:id="228"/>
      <w:r>
        <w:rPr/>
        <w:t>Qur’anic Verse on those who Possess Knowledge</w:t>
      </w:r>
      <w:bookmarkEnd w:id="229"/>
    </w:p>
    <w:p>
      <w:pPr>
        <w:pStyle w:val="BookText"/>
        <w:bidi w:val="0"/>
        <w:jc w:val="both"/>
        <w:rPr/>
      </w:pPr>
      <w:r>
        <w:rPr>
          <w:rFonts w:eastAsia="Times New Roman" w:cs="Times New Roman" w:ascii="Times New Roman" w:hAnsi="Times New Roman"/>
          <w:color w:val="111111"/>
          <w:sz w:val="28"/>
          <w:szCs w:val="28"/>
          <w:lang w:val="en-US"/>
        </w:rPr>
        <w:t>Many Muslims often cite the Qur’anic verse - repeated twice - that instructs, “Ask those who possess knowledge if you do not know.”</w:t>
      </w:r>
      <w:r>
        <w:rPr>
          <w:rStyle w:val="FootnoteAnchor"/>
        </w:rPr>
        <w:footnoteReference w:id="395"/>
      </w:r>
      <w:r>
        <w:rPr>
          <w:rFonts w:eastAsia="Times New Roman" w:cs="Times New Roman" w:ascii="Times New Roman" w:hAnsi="Times New Roman"/>
          <w:color w:val="111111"/>
          <w:sz w:val="28"/>
          <w:szCs w:val="28"/>
          <w:lang w:val="en-US"/>
        </w:rPr>
        <w:t>Since both Sunni and Shi’a commentators explain that “those who possess knowledge” refers to the Prophet, ‘Ali, Fatima, Hasan, and Husayn,</w:t>
      </w:r>
      <w:r>
        <w:rPr>
          <w:rStyle w:val="FootnoteAnchor"/>
        </w:rPr>
        <w:footnoteReference w:id="396"/>
      </w:r>
      <w:r>
        <w:rPr>
          <w:rFonts w:eastAsia="Times New Roman" w:cs="Times New Roman" w:ascii="Times New Roman" w:hAnsi="Times New Roman"/>
          <w:color w:val="111111"/>
          <w:sz w:val="28"/>
          <w:szCs w:val="28"/>
          <w:lang w:val="en-US"/>
        </w:rPr>
        <w:t>hence the Shi’a stance has always maintained that all religious questions and interpretations of the Qur’an must be referred to them.</w:t>
      </w:r>
    </w:p>
    <w:p>
      <w:pPr>
        <w:pStyle w:val="Heading4"/>
        <w:numPr>
          <w:ilvl w:val="3"/>
          <w:numId w:val="1"/>
        </w:numPr>
        <w:bidi w:val="0"/>
        <w:jc w:val="left"/>
        <w:rPr/>
      </w:pPr>
      <w:bookmarkStart w:id="230" w:name="__RefHeading___Toc4074701_2749589250"/>
      <w:bookmarkStart w:id="231" w:name="_Toc89"/>
      <w:bookmarkEnd w:id="230"/>
      <w:r>
        <w:rPr/>
        <w:t>The Verse of Purity (Ayat al-Tatheerah)</w:t>
      </w:r>
      <w:bookmarkEnd w:id="2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wishes to remove all uncleanliness away from you, Ahlul Bayt, and to purify you completely.” (c. 33:33)</w:t>
      </w:r>
    </w:p>
    <w:p>
      <w:pPr>
        <w:pStyle w:val="BookText"/>
        <w:bidi w:val="0"/>
        <w:jc w:val="both"/>
        <w:rPr/>
      </w:pPr>
      <w:r>
        <w:rPr>
          <w:rFonts w:eastAsia="Times New Roman" w:cs="Times New Roman" w:ascii="Times New Roman" w:hAnsi="Times New Roman"/>
          <w:color w:val="111111"/>
          <w:sz w:val="28"/>
          <w:szCs w:val="28"/>
          <w:lang w:val="en-US"/>
        </w:rPr>
        <w:t>In his tafseer (exegesis), the reputable Sunni, al-Fakhr al-Razi uses this ayah (verse) to prove that those five individuals (the Prophet, ‘Ali, Fatima, Hasan, and Husayn) have been purified and immune from any form of sin, both major and minor.</w:t>
      </w:r>
    </w:p>
    <w:p>
      <w:pPr>
        <w:pStyle w:val="BookText"/>
        <w:bidi w:val="0"/>
        <w:jc w:val="both"/>
        <w:rPr/>
      </w:pPr>
      <w:r>
        <w:rPr>
          <w:rFonts w:eastAsia="Times New Roman" w:cs="Times New Roman" w:ascii="Times New Roman" w:hAnsi="Times New Roman"/>
          <w:color w:val="111111"/>
          <w:sz w:val="28"/>
          <w:szCs w:val="28"/>
          <w:lang w:val="en-US"/>
        </w:rPr>
        <w:t>This ayah (c. 33:33) descended in the house of Umme Salamah, one of the wives of the Prophet, which later was referred to as the “Event of the Cloak (Hadith al-Kisa).” When the ayah was revealed, the Prophet, ‘Ali Ibn Abi Talib, Fatima, Hasan, and Husayn were gathered beneath a cloak, and the Angel Gabriel directed and included this ayah to all of them. Umme Salamah was present and asked the Prophet whether she could join them too, but he softly refused her saying, “Anti ala khayr (You are from the people of good).”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wives of the Prophet were not included as part of the “Ahlul Bayt” in</w:t>
      </w:r>
    </w:p>
    <w:p>
      <w:pPr>
        <w:pStyle w:val="BookText"/>
        <w:bidi w:val="0"/>
        <w:rPr/>
      </w:pPr>
      <w:r>
        <w:rPr>
          <w:rFonts w:eastAsia="Times New Roman" w:cs="Times New Roman" w:ascii="Times New Roman" w:hAnsi="Times New Roman"/>
          <w:color w:val="111111"/>
          <w:sz w:val="28"/>
          <w:szCs w:val="28"/>
          <w:lang w:val="en-US"/>
        </w:rPr>
        <w:t>this ayah, as some assume. To prove further, another wife of the Prophet, Lady Aishah narrated herself that the only people concerned in this verse were Prophet Muhammad, ‘Ali, Fatima, Hasan, and Husayn.</w:t>
      </w:r>
    </w:p>
    <w:p>
      <w:pPr>
        <w:pStyle w:val="BookText"/>
        <w:bidi w:val="0"/>
        <w:jc w:val="both"/>
        <w:rPr/>
      </w:pPr>
      <w:r>
        <w:rPr>
          <w:rFonts w:eastAsia="Times New Roman" w:cs="Times New Roman" w:ascii="Times New Roman" w:hAnsi="Times New Roman"/>
          <w:color w:val="111111"/>
          <w:sz w:val="28"/>
          <w:szCs w:val="28"/>
          <w:lang w:val="en-US"/>
        </w:rPr>
        <w:t>Although, the beginning verses of 33:33 (ayah) address the wives of the Prophet, the ending verses (ayah) clearly do not, since they refer to “Ahlul Bayt” in the mixed (masculine and feminine) gender, rather than in the strict feminine gender, which is used when referring exclusively to the wives of the Prophet (as it was in the beginning). Since the Qur’an is written in Arabic, the language is extraordinarily rich in its linguistic composition and it uses the precise words, structure, and style to express itself clearly.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stay quietly in your houses, and make not a dazzling display, like that of the former times of Ignorance; and establish regular prayer, and give regular charity; and obey Allah and His Messenger [in Arabic this portion is written in the strictly feminine form]. And Allah only wishes to remove all abomination from you, O members of the Family, and to make you pure and immaculate [this portion is written in the masculine form, implying its direction to a mixed gender].</w:t>
      </w:r>
      <w:r>
        <w:rPr>
          <w:rStyle w:val="FootnoteAnchor"/>
        </w:rPr>
        <w:footnoteReference w:id="3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some still argue that “Ahlul Bayt” also included others; but, according to Shi’a scholars (who are unanimous on this issue) and at least twenty-four prominent Sunni</w:t>
      </w:r>
      <w:bookmarkStart w:id="232" w:name="pg3581_22024"/>
    </w:p>
    <w:p>
      <w:pPr>
        <w:pStyle w:val="BookText"/>
        <w:bidi w:val="0"/>
        <w:rPr/>
      </w:pPr>
      <w:bookmarkEnd w:id="232"/>
      <w:r>
        <w:rPr>
          <w:rFonts w:eastAsia="Times New Roman" w:cs="Times New Roman" w:ascii="Times New Roman" w:hAnsi="Times New Roman"/>
          <w:color w:val="111111"/>
          <w:sz w:val="28"/>
          <w:szCs w:val="28"/>
          <w:lang w:val="en-US"/>
        </w:rPr>
        <w:t>historical references state that this ayah refers exclusively to Prophet Muhammad, ‘Ali, Fatima, Hasan, and Husayn. The Sunni historians include: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al-Muslim, Fadhail Ahlul Bayt 2:368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Al-Khasais of al-Imam al-Nisa’i, 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5:30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al-Hanbal, 1:330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al-Muhraqah, Ibn Hajar al-Asqalani, 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Al-Estiaab, Ibn Abd al-Birr, 3:37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Tafseer al-Qurtubi, 14:182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Ahkam al-Qur’an, Ibn Arabi, 2:166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al-Hakim, 3:123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Asbaab al-Nuzul al-Wahidi, 203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Muntakhib Kanz al-Umal, 5:96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Al-Bukhari, Al-Tarikh al-Kabeer, 1:69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Tafseer al-Fakh al-Razi, 2:700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Al-Seerah al-Halabiyah, 3:212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 al-Ghabah, Ibn al-Atheer, 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Tafseer al-Tabari, 22:6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Ibn Asakir, 1:185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Tafseer al-Kashshaf, al-Zamakhshari, 1:193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al-Khawarizmi, 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Al-Seerah al-Dahlaniyyah, 3:329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Tafseer Ibn Katheer, 3:483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Al-Aqd al-Fareed, Ibn Abd Rabah, 4:311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Masabih al-Sunnah, al-Baghawi, 2:278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al-Manthur, al-Suyuti, 5:198</w:t>
      </w:r>
    </w:p>
    <w:p>
      <w:pPr>
        <w:pStyle w:val="Heading3"/>
        <w:numPr>
          <w:ilvl w:val="2"/>
          <w:numId w:val="1"/>
        </w:numPr>
        <w:bidi w:val="0"/>
        <w:jc w:val="left"/>
        <w:rPr/>
      </w:pPr>
      <w:bookmarkStart w:id="233" w:name="__RefHeading___Toc4074703_2749589250"/>
      <w:bookmarkStart w:id="234" w:name="_Toc90"/>
      <w:bookmarkEnd w:id="233"/>
      <w:r>
        <w:rPr/>
        <w:t>The Verse of Malediction (Ayat al-Mubahilah)</w:t>
      </w:r>
      <w:bookmarkEnd w:id="234"/>
    </w:p>
    <w:p>
      <w:pPr>
        <w:pStyle w:val="BookText"/>
        <w:bidi w:val="0"/>
        <w:jc w:val="both"/>
        <w:rPr/>
      </w:pPr>
      <w:r>
        <w:rPr>
          <w:rFonts w:eastAsia="Times New Roman" w:cs="Times New Roman" w:ascii="Times New Roman" w:hAnsi="Times New Roman"/>
          <w:color w:val="111111"/>
          <w:sz w:val="28"/>
          <w:szCs w:val="28"/>
          <w:lang w:val="en-US"/>
        </w:rPr>
        <w:t>The verse known as the “Mubahilah” (malediction) proposes,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Prophet) come, let us summon our sons and your sons and our women and your women, and ourselves and yourselves, and then let us invoke the curse of God upon the liars.” (3:61)</w:t>
      </w:r>
    </w:p>
    <w:p>
      <w:pPr>
        <w:pStyle w:val="BookText"/>
        <w:bidi w:val="0"/>
        <w:jc w:val="both"/>
        <w:rPr/>
      </w:pPr>
      <w:r>
        <w:rPr>
          <w:rFonts w:eastAsia="Times New Roman" w:cs="Times New Roman" w:ascii="Times New Roman" w:hAnsi="Times New Roman"/>
          <w:color w:val="111111"/>
          <w:sz w:val="28"/>
          <w:szCs w:val="28"/>
          <w:lang w:val="en-US"/>
        </w:rPr>
        <w:t>The revelation is directed towards the Christians of Najran who disputed the claim of the Holy Prophet’s prophethood and the nature of Jesus (whether he was divine or a prophet).</w:t>
      </w:r>
    </w:p>
    <w:p>
      <w:pPr>
        <w:pStyle w:val="BookText"/>
        <w:bidi w:val="0"/>
        <w:jc w:val="both"/>
        <w:rPr/>
      </w:pPr>
      <w:r>
        <w:rPr>
          <w:rFonts w:eastAsia="Times New Roman" w:cs="Times New Roman" w:ascii="Times New Roman" w:hAnsi="Times New Roman"/>
          <w:color w:val="111111"/>
          <w:sz w:val="28"/>
          <w:szCs w:val="28"/>
          <w:lang w:val="en-US"/>
        </w:rPr>
        <w:t>After the revelation of this verse, a meeting was arranged between the Muslims and the Christians under the conditions of the ayah in which both sides would solemnly swear to invoke the curse of Allah upon the side that was wrong.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brought along their hierarchy of priests to the malediction, however when they arrived, they found that the</w:t>
      </w:r>
      <w:bookmarkStart w:id="235" w:name="pg3581_22025"/>
    </w:p>
    <w:p>
      <w:pPr>
        <w:pStyle w:val="BookText"/>
        <w:bidi w:val="0"/>
        <w:rPr/>
      </w:pPr>
      <w:bookmarkEnd w:id="235"/>
      <w:r>
        <w:rPr>
          <w:rFonts w:eastAsia="Times New Roman" w:cs="Times New Roman" w:ascii="Times New Roman" w:hAnsi="Times New Roman"/>
          <w:color w:val="111111"/>
          <w:sz w:val="28"/>
          <w:szCs w:val="28"/>
          <w:lang w:val="en-US"/>
        </w:rPr>
        <w:t>Prophet had brought only himself, his son-in-law and cousin, ‘Ali; his daughter, Fatima; and his two grandsons, Hasan and Husayn. No one else, not even his wives were present even though the ayah had said “our women and your women.”</w:t>
      </w:r>
    </w:p>
    <w:p>
      <w:pPr>
        <w:pStyle w:val="BookText"/>
        <w:bidi w:val="0"/>
        <w:jc w:val="both"/>
        <w:rPr/>
      </w:pPr>
      <w:r>
        <w:rPr>
          <w:rFonts w:eastAsia="Times New Roman" w:cs="Times New Roman" w:ascii="Times New Roman" w:hAnsi="Times New Roman"/>
          <w:color w:val="111111"/>
          <w:sz w:val="28"/>
          <w:szCs w:val="28"/>
          <w:lang w:val="en-US"/>
        </w:rPr>
        <w:t>Although confident of his prophethood, the Prophet took with him the dearest of all people to him - his family - because he wanted the Christians to witness the seriousness of the malediction by which he was even ready to put his own family at risk when it came to defending Islam and his message.</w:t>
      </w:r>
    </w:p>
    <w:p>
      <w:pPr>
        <w:pStyle w:val="BookText"/>
        <w:bidi w:val="0"/>
        <w:jc w:val="both"/>
        <w:rPr/>
      </w:pPr>
      <w:r>
        <w:rPr>
          <w:rFonts w:eastAsia="Times New Roman" w:cs="Times New Roman" w:ascii="Times New Roman" w:hAnsi="Times New Roman"/>
          <w:color w:val="111111"/>
          <w:sz w:val="28"/>
          <w:szCs w:val="28"/>
          <w:lang w:val="en-US"/>
        </w:rPr>
        <w:t>Seeing that the Prophet was willing to endanger those closest to him and put them face to face with the wrath of God, the Christians became fearful. The leader of the Christians, Zamakhshari, said, “O Christians! I am beholding such faces that if God wishes, for their sake, He would move mountains for them. Do not accept their challenge for malediction, for if you do, you will all perish and no Christian will remain on the face of the earth until the Day of Resurrection.”</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The mutual malediction was aborted and the Christians retreated to Najran, but later returned to embrace Islam.</w:t>
      </w:r>
    </w:p>
    <w:p>
      <w:pPr>
        <w:pStyle w:val="Heading3"/>
        <w:numPr>
          <w:ilvl w:val="2"/>
          <w:numId w:val="1"/>
        </w:numPr>
        <w:bidi w:val="0"/>
        <w:jc w:val="left"/>
        <w:rPr/>
      </w:pPr>
      <w:bookmarkStart w:id="236" w:name="__RefHeading___Toc4074705_2749589250"/>
      <w:bookmarkStart w:id="237" w:name="_Toc91"/>
      <w:bookmarkEnd w:id="236"/>
      <w:r>
        <w:rPr/>
        <w:t>Status of the Ahlul Bayt</w:t>
      </w:r>
      <w:bookmarkEnd w:id="2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Sahih al-Bukhari narrates that a group of Muslims came to the Prophet and asked him, “O Messenger of Allah, Allah has ordered us to send our prayers upon you, so how should we send our prayers upon you?” (Referring to the verse 33:56 in the Holy Qur’an where Allah says, “Indeed Allah and</w:t>
      </w:r>
      <w:bookmarkStart w:id="238" w:name="pg3581_22026"/>
    </w:p>
    <w:p>
      <w:pPr>
        <w:pStyle w:val="BookText"/>
        <w:bidi w:val="0"/>
        <w:rPr/>
      </w:pPr>
      <w:bookmarkEnd w:id="238"/>
      <w:r>
        <w:rPr>
          <w:rFonts w:eastAsia="Times New Roman" w:cs="Times New Roman" w:ascii="Times New Roman" w:hAnsi="Times New Roman"/>
          <w:color w:val="111111"/>
          <w:sz w:val="28"/>
          <w:szCs w:val="28"/>
          <w:lang w:val="en-US"/>
        </w:rPr>
        <w:t>His angels bless the Prophet; O you who have faith! Invoke blessings on him and invoke Peace upon him in a worthy manner.”)</w:t>
      </w:r>
    </w:p>
    <w:p>
      <w:pPr>
        <w:pStyle w:val="BookText"/>
        <w:bidi w:val="0"/>
        <w:jc w:val="both"/>
        <w:rPr/>
      </w:pPr>
      <w:r>
        <w:rPr>
          <w:rFonts w:eastAsia="Times New Roman" w:cs="Times New Roman" w:ascii="Times New Roman" w:hAnsi="Times New Roman"/>
          <w:color w:val="111111"/>
          <w:sz w:val="28"/>
          <w:szCs w:val="28"/>
          <w:lang w:val="en-US"/>
        </w:rPr>
        <w:t>The Prophet replied, “Say, ‘O Allah, bless Muhammad and the family of Muhammad, just as you blessed Ibrahim and the family of Ibrahim, and grant favor to Muhammad and the family of Muhammad, just as you granted favor to Ibrahim and the family of Ibrahim; truly, You the most Praiseworthy and Noble One in the worlds.’”</w:t>
      </w:r>
      <w:r>
        <w:rPr>
          <w:rStyle w:val="FootnoteAnchor"/>
        </w:rPr>
        <w:footnoteReference w:id="399"/>
      </w:r>
    </w:p>
    <w:p>
      <w:pPr>
        <w:pStyle w:val="Heading3"/>
        <w:numPr>
          <w:ilvl w:val="2"/>
          <w:numId w:val="1"/>
        </w:numPr>
        <w:bidi w:val="0"/>
        <w:jc w:val="left"/>
        <w:rPr/>
      </w:pPr>
      <w:bookmarkStart w:id="239" w:name="__RefHeading___Toc4074707_2749589250"/>
      <w:bookmarkStart w:id="240" w:name="_Toc92"/>
      <w:bookmarkEnd w:id="239"/>
      <w:r>
        <w:rPr/>
        <w:t>Sanctity of the Ahlul Bayt</w:t>
      </w:r>
      <w:bookmarkEnd w:id="240"/>
    </w:p>
    <w:p>
      <w:pPr>
        <w:pStyle w:val="BookText"/>
        <w:bidi w:val="0"/>
        <w:jc w:val="both"/>
        <w:rPr/>
      </w:pPr>
      <w:r>
        <w:rPr>
          <w:rFonts w:eastAsia="Times New Roman" w:cs="Times New Roman" w:ascii="Times New Roman" w:hAnsi="Times New Roman"/>
          <w:color w:val="111111"/>
          <w:sz w:val="28"/>
          <w:szCs w:val="28"/>
          <w:lang w:val="en-US"/>
        </w:rPr>
        <w:t>In the battlefield of the Battle of Uhud, on the day when the Messenger of Allah was hit on his forehead and was injured, he raised his head in supplication and said, “The wrath of Allah increased upon the Jews when they attributed Uzayr to Him and said that Uzayr was the son of Allah; and His wrath increased upon the Christians when they attributed divinity to Jesus and said that the Messiah was the son of God; and His wrath increased upon those people who made my blood flow and those who annoy my family members.”</w:t>
      </w:r>
      <w:r>
        <w:rPr>
          <w:rStyle w:val="FootnoteAnchor"/>
        </w:rPr>
        <w:footnoteReference w:id="400"/>
      </w:r>
    </w:p>
    <w:p>
      <w:pPr>
        <w:pStyle w:val="Heading3"/>
        <w:numPr>
          <w:ilvl w:val="2"/>
          <w:numId w:val="1"/>
        </w:numPr>
        <w:bidi w:val="0"/>
        <w:jc w:val="left"/>
        <w:rPr/>
      </w:pPr>
      <w:bookmarkStart w:id="241" w:name="__RefHeading___Toc4074709_2749589250"/>
      <w:bookmarkStart w:id="242" w:name="_Toc93"/>
      <w:bookmarkEnd w:id="241"/>
      <w:r>
        <w:rPr/>
        <w:t>Ahlul Bayt - According to the Prophet</w:t>
      </w:r>
      <w:bookmarkEnd w:id="242"/>
    </w:p>
    <w:p>
      <w:pPr>
        <w:pStyle w:val="BookText"/>
        <w:bidi w:val="0"/>
        <w:jc w:val="both"/>
        <w:rPr/>
      </w:pPr>
      <w:r>
        <w:rPr>
          <w:rFonts w:eastAsia="Times New Roman" w:cs="Times New Roman" w:ascii="Times New Roman" w:hAnsi="Times New Roman"/>
          <w:color w:val="111111"/>
          <w:sz w:val="28"/>
          <w:szCs w:val="28"/>
          <w:lang w:val="en-US"/>
        </w:rPr>
        <w:t>The Messenger of Allah said, “The parable of my household among you is the parable of the ark of Nuh (Noah); whoever embarked upon that ship was saved, and whoever did not was drowned (Mathalu ahl al bayti fikum ka-mathali safeenati Nuh).”</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The Messenger of Allah said, “We are members of a family that no one can ever be compared to (Nahnu ahl baytin laa yuqassu binaa ahad).”</w:t>
      </w:r>
      <w:r>
        <w:rPr>
          <w:rStyle w:val="FootnoteAnchor"/>
        </w:rPr>
        <w:footnoteReference w:id="402"/>
      </w:r>
    </w:p>
    <w:p>
      <w:pPr>
        <w:pStyle w:val="Heading3"/>
        <w:numPr>
          <w:ilvl w:val="2"/>
          <w:numId w:val="1"/>
        </w:numPr>
        <w:bidi w:val="0"/>
        <w:jc w:val="left"/>
        <w:rPr/>
      </w:pPr>
      <w:bookmarkStart w:id="243" w:name="__RefHeading___Toc4074711_2749589250"/>
      <w:bookmarkStart w:id="244" w:name="_Toc94"/>
      <w:bookmarkEnd w:id="243"/>
      <w:r>
        <w:rPr/>
        <w:t>Rafidah (The Rejecters)</w:t>
      </w:r>
      <w:bookmarkEnd w:id="2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recent years, the term rafidah (rejecters) has been increasingly</w:t>
      </w:r>
      <w:bookmarkStart w:id="245" w:name="pg3581_22027"/>
    </w:p>
    <w:p>
      <w:pPr>
        <w:pStyle w:val="BookText"/>
        <w:bidi w:val="0"/>
        <w:rPr/>
      </w:pPr>
      <w:bookmarkEnd w:id="245"/>
      <w:r>
        <w:rPr>
          <w:rFonts w:eastAsia="Times New Roman" w:cs="Times New Roman" w:ascii="Times New Roman" w:hAnsi="Times New Roman"/>
          <w:color w:val="111111"/>
          <w:sz w:val="28"/>
          <w:szCs w:val="28"/>
          <w:lang w:val="en-US"/>
        </w:rPr>
        <w:t>used to refer to the Shi’a on account of their refusal to recognize the first three caliphs as legitimate. This term “rafidah” dates back to the Umayyah time and was used as a derogatory term to insult the Shi’a.</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Imam al-Shafi’i composed a famous line of poetry regarding this subject in which he said, “If rafidah be the love of the family of Muhammad, then let the jinn (spirits) and mankind bear witness that I am a rafidah.”</w:t>
      </w:r>
      <w:r>
        <w:rPr>
          <w:rStyle w:val="FootnoteAnchor"/>
        </w:rPr>
        <w:footnoteReference w:id="404"/>
      </w:r>
    </w:p>
    <w:p>
      <w:pPr>
        <w:pStyle w:val="Heading3"/>
        <w:numPr>
          <w:ilvl w:val="2"/>
          <w:numId w:val="1"/>
        </w:numPr>
        <w:bidi w:val="0"/>
        <w:jc w:val="left"/>
        <w:rPr/>
      </w:pPr>
      <w:bookmarkStart w:id="246" w:name="__RefHeading___Toc4074713_2749589250"/>
      <w:bookmarkStart w:id="247" w:name="_Toc95"/>
      <w:bookmarkEnd w:id="246"/>
      <w:r>
        <w:rPr/>
        <w:t>How “Shi’a Islam” Originated</w:t>
      </w:r>
      <w:bookmarkEnd w:id="24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Shi’a Islam” originated based on love for the family of the Prophet, not the hatred of some around him. Although some Shi’a individuals may have said some unbecoming remarks about the first two caliphs, their comments cannot be taken to represent the views of all Shi’a.</w:t>
      </w:r>
    </w:p>
    <w:p>
      <w:pPr>
        <w:pStyle w:val="BookText"/>
        <w:bidi w:val="0"/>
        <w:jc w:val="both"/>
        <w:rPr/>
      </w:pPr>
      <w:r>
        <w:rPr>
          <w:rFonts w:eastAsia="Times New Roman" w:cs="Times New Roman" w:ascii="Times New Roman" w:hAnsi="Times New Roman"/>
          <w:color w:val="111111"/>
          <w:sz w:val="28"/>
          <w:szCs w:val="28"/>
          <w:lang w:val="en-US"/>
        </w:rPr>
        <w:t>In fact, ‘Ali Ibn Abi Talib forbade his followers from verbally abusing those who fought him</w:t>
      </w:r>
      <w:r>
        <w:rPr>
          <w:rStyle w:val="FootnoteAnchor"/>
        </w:rPr>
        <w:footnoteReference w:id="405"/>
      </w:r>
      <w:r>
        <w:rPr>
          <w:rFonts w:eastAsia="Times New Roman" w:cs="Times New Roman" w:ascii="Times New Roman" w:hAnsi="Times New Roman"/>
          <w:color w:val="111111"/>
          <w:sz w:val="28"/>
          <w:szCs w:val="28"/>
          <w:lang w:val="en-US"/>
        </w:rPr>
        <w:t>and this principle is in line with the Book of Allah which commands, “Abuse yet not those whom they invoke besides God, lest they abuse God in transgression without knowledge; thus have We made fair-seeming to every people their deeds.”</w:t>
      </w:r>
      <w:r>
        <w:rPr>
          <w:rStyle w:val="FootnoteAnchor"/>
        </w:rPr>
        <w:footnoteReference w:id="40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despite the exhortations of the Ahlul Bayt, defamation and prosecution against the Shi’a occurred by those who opposed them. Perhaps it was a natural reaction to the conditions set by the Umayyah rule. For instance, Mu’awiyah Ibn Abu Sufyan bribed and forced all the leaders of the Friday Prayer (Salat al-Jumah) to curse Imam ‘Ali, Hasan, Husayn, and Fatima al-Zahra - for over forty years. However, when ‘Umar Ibn Abd al-Aziz came</w:t>
      </w:r>
      <w:bookmarkStart w:id="248" w:name="pg3581_22028"/>
    </w:p>
    <w:p>
      <w:pPr>
        <w:pStyle w:val="BookText"/>
        <w:bidi w:val="0"/>
        <w:rPr/>
      </w:pPr>
      <w:bookmarkEnd w:id="248"/>
      <w:r>
        <w:rPr>
          <w:rFonts w:eastAsia="Times New Roman" w:cs="Times New Roman" w:ascii="Times New Roman" w:hAnsi="Times New Roman"/>
          <w:color w:val="111111"/>
          <w:sz w:val="28"/>
          <w:szCs w:val="28"/>
          <w:lang w:val="en-US"/>
        </w:rPr>
        <w:t>to power, he attempted to stop this practice, but it had become so firmly entrenched that his efforts were futile.</w:t>
      </w:r>
    </w:p>
    <w:p>
      <w:pPr>
        <w:pStyle w:val="BookText"/>
        <w:bidi w:val="0"/>
        <w:jc w:val="both"/>
        <w:rPr/>
      </w:pPr>
      <w:r>
        <w:rPr>
          <w:rFonts w:eastAsia="Times New Roman" w:cs="Times New Roman" w:ascii="Times New Roman" w:hAnsi="Times New Roman"/>
          <w:color w:val="111111"/>
          <w:sz w:val="28"/>
          <w:szCs w:val="28"/>
          <w:lang w:val="en-US"/>
        </w:rPr>
        <w:t>Moreover, asides from having to endure the continuous unjust slandering of the closest family members of the Prophet who are revered by Shi’a and non-Shi’a Muslims alike, the followers of Ahlul Bayt were severely tortured during the Umayyah and Abbasid time for their loyalty.</w:t>
      </w:r>
    </w:p>
    <w:p>
      <w:pPr>
        <w:pStyle w:val="Heading3"/>
        <w:numPr>
          <w:ilvl w:val="2"/>
          <w:numId w:val="1"/>
        </w:numPr>
        <w:bidi w:val="0"/>
        <w:jc w:val="left"/>
        <w:rPr/>
      </w:pPr>
      <w:bookmarkStart w:id="249" w:name="__RefHeading___Toc4074715_2749589250"/>
      <w:bookmarkStart w:id="250" w:name="_Toc96"/>
      <w:bookmarkEnd w:id="249"/>
      <w:r>
        <w:rPr/>
        <w:t>Abdullah Ibn Saba: Myth or Reality?</w:t>
      </w:r>
      <w:bookmarkEnd w:id="250"/>
    </w:p>
    <w:p>
      <w:pPr>
        <w:pStyle w:val="BookText"/>
        <w:bidi w:val="0"/>
        <w:jc w:val="both"/>
        <w:rPr/>
      </w:pPr>
      <w:r>
        <w:rPr>
          <w:rFonts w:eastAsia="Times New Roman" w:cs="Times New Roman" w:ascii="Times New Roman" w:hAnsi="Times New Roman"/>
          <w:color w:val="111111"/>
          <w:sz w:val="28"/>
          <w:szCs w:val="28"/>
          <w:lang w:val="en-US"/>
        </w:rPr>
        <w:t>Over the centuries, a preposterous idea developed that the Shi’a doctrine originated from a Jewish man who hated Islam and infiltrated the Muslims to destroy them. His name is said to have been Abdullah Ibn Saba. However, some contemporary Sunni scholars, Shi’a scholars, Western authors, and a logical study of the background of this invented figure all concur that Abdullah Ibn Saba never even existed.</w:t>
      </w:r>
    </w:p>
    <w:p>
      <w:pPr>
        <w:pStyle w:val="BookText"/>
        <w:bidi w:val="0"/>
        <w:jc w:val="both"/>
        <w:rPr/>
      </w:pPr>
      <w:r>
        <w:rPr>
          <w:rFonts w:eastAsia="Times New Roman" w:cs="Times New Roman" w:ascii="Times New Roman" w:hAnsi="Times New Roman"/>
          <w:color w:val="111111"/>
          <w:sz w:val="28"/>
          <w:szCs w:val="28"/>
          <w:lang w:val="en-US"/>
        </w:rPr>
        <w:t>None of the important primary Sunni sources such as al-Baladri and Ibn Sa’d even mention Ibn Saba; only al-Tabari mentions him, but the accounts of Ibn Saba are given on the authority of two extremely unreliable men: Sayf Ibn ‘Umar al-Tamimi and al-Sari Ibn Yahya. Sunni narrators, such as Ibn Hayyan, Ibn Uday, and Ibn Muin all confer that Sayf Ibn ‘Umar al-Tamimi forged or mistook hadith.</w:t>
      </w:r>
    </w:p>
    <w:p>
      <w:pPr>
        <w:pStyle w:val="BookText"/>
        <w:bidi w:val="0"/>
        <w:jc w:val="both"/>
        <w:rPr/>
      </w:pPr>
      <w:r>
        <w:rPr>
          <w:rFonts w:eastAsia="Times New Roman" w:cs="Times New Roman" w:ascii="Times New Roman" w:hAnsi="Times New Roman"/>
          <w:color w:val="111111"/>
          <w:sz w:val="28"/>
          <w:szCs w:val="28"/>
          <w:lang w:val="en-US"/>
        </w:rPr>
        <w:t>Similarly, in the following books: al-Tahdheeb, Mizan al-Itidal, and Tadhkirat al-Mawdhuat they mention two men referred to as al-Sari (al-Sari Ibn Ismail al-Hamdani al-Kufi and al-Sari Ibn Asim al-Hamdani) who lived during the time of al-Tabari (who is most likely the al-Sari mentioned earlier by al-Tabari), who were renowned for fabricating hadiths.</w:t>
      </w:r>
      <w:r>
        <w:rPr>
          <w:rStyle w:val="FootnoteAnchor"/>
        </w:rPr>
        <w:footnoteReference w:id="4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different al-Sari, whose hadiths were</w:t>
      </w:r>
    </w:p>
    <w:p>
      <w:pPr>
        <w:pStyle w:val="BookText"/>
        <w:bidi w:val="0"/>
        <w:rPr/>
      </w:pPr>
      <w:r>
        <w:rPr>
          <w:rFonts w:eastAsia="Times New Roman" w:cs="Times New Roman" w:ascii="Times New Roman" w:hAnsi="Times New Roman"/>
          <w:color w:val="111111"/>
          <w:sz w:val="28"/>
          <w:szCs w:val="28"/>
          <w:lang w:val="en-US"/>
        </w:rPr>
        <w:t>reliable lived much before them - he died in 167 ah, therefore al-Tabari, who was born in 224 ah could never have met him. Since all of the subsequent sources that discuss Ibn Saba refer back to the history of al-Tabari and the information given by al-Tabari was at best questionable, hence more than likely, the existence of Ibn Saba was concocted by the two dishonest men (Sayf Ibn ‘Umar al-Tamimi and al-Sari Ibn Yahya).</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Nonetheless, whether true or fictional, the information that al-Tabari provides regarding Ibn Saba is worth examining.</w:t>
      </w:r>
    </w:p>
    <w:p>
      <w:pPr>
        <w:pStyle w:val="BookText"/>
        <w:bidi w:val="0"/>
        <w:jc w:val="both"/>
        <w:rPr/>
      </w:pPr>
      <w:r>
        <w:rPr>
          <w:rFonts w:eastAsia="Times New Roman" w:cs="Times New Roman" w:ascii="Times New Roman" w:hAnsi="Times New Roman"/>
          <w:color w:val="111111"/>
          <w:sz w:val="28"/>
          <w:szCs w:val="28"/>
          <w:lang w:val="en-US"/>
        </w:rPr>
        <w:t>According to al-Tabari, Ibn Saba was a Jewish man who came from Sana in Yemen. His mother’s name was Sawda, and he is said to have become a Muslim during the caliphate of ‘Uthman. He traveled throughout the Muslim countries from Hijaz, Basra, Shaam, and Egypt, all the while propagating the notion that just like Prophet Isa will have a second coming, so too will Prophet Muhammad, citing c. 28:85 as a roundabout sort of evidence,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He who has revealed to you the Qur’an will surely restore you to the place of return. Say, ‘My Lord knows best him who brings guidance and him who is in manifest error.’”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modern historians, such as Muhammad Fareed Wajdi in his encyclopedia Dairat al-Marif, not only added more fiction to al-Tabari’s accounts, but also told a slightly different version. Wajdi maintained that Ibn Saba was a close follower of Imam ‘Ali and admired him so much that he attributed divinity to him.</w:t>
      </w:r>
    </w:p>
    <w:p>
      <w:pPr>
        <w:pStyle w:val="BookText"/>
        <w:bidi w:val="0"/>
        <w:rPr/>
      </w:pPr>
      <w:r>
        <w:rPr>
          <w:rFonts w:eastAsia="Times New Roman" w:cs="Times New Roman" w:ascii="Times New Roman" w:hAnsi="Times New Roman"/>
          <w:color w:val="111111"/>
          <w:sz w:val="28"/>
          <w:szCs w:val="28"/>
          <w:lang w:val="en-US"/>
        </w:rPr>
        <w:t>According to this fable, when Imam ‘Ali heard Ibn Saba’s claim he wanted to take his life, but at the advice of Abdullah Ibn Abbas he sent Ibn Saba to al-Madain instead. This reaction is incidentally in complete disagreement with what is known about the behavioral pattern of Imam ‘Ali, who is recorded to have spared an enemy out of fear that he might be killing him out of anger rather than out of justice.</w:t>
      </w:r>
    </w:p>
    <w:p>
      <w:pPr>
        <w:pStyle w:val="BookText"/>
        <w:bidi w:val="0"/>
        <w:jc w:val="both"/>
        <w:rPr/>
      </w:pPr>
      <w:r>
        <w:rPr>
          <w:rFonts w:eastAsia="Times New Roman" w:cs="Times New Roman" w:ascii="Times New Roman" w:hAnsi="Times New Roman"/>
          <w:color w:val="111111"/>
          <w:sz w:val="28"/>
          <w:szCs w:val="28"/>
          <w:lang w:val="en-US"/>
        </w:rPr>
        <w:t>Al-Wajdi continues that while in al-Madain, Ibn Saba is said to have spread the first notion that ‘Ali was a prophet and later that he was a deity.</w:t>
      </w:r>
      <w:r>
        <w:rPr>
          <w:rStyle w:val="FootnoteAnchor"/>
        </w:rPr>
        <w:footnoteReference w:id="409"/>
      </w:r>
      <w:r>
        <w:rPr>
          <w:rFonts w:eastAsia="Times New Roman" w:cs="Times New Roman" w:ascii="Times New Roman" w:hAnsi="Times New Roman"/>
          <w:color w:val="111111"/>
          <w:sz w:val="28"/>
          <w:szCs w:val="28"/>
          <w:lang w:val="en-US"/>
        </w:rPr>
        <w:t>Other contemporary authors, such as Ahmad Atayllah, declare that Ibn Saba wanted to weaken and destroy the caliphate of ‘Uthman, thus he intentionally mixed some Jewish ideas with Islam to form the doctrines about the return of the Prophet (raja) and the knowledge of Imam ‘Ali about the unseen (ilm al-ghayb, which by definition is that which is known by no one).</w:t>
      </w:r>
      <w:r>
        <w:rPr>
          <w:rStyle w:val="FootnoteAnchor"/>
        </w:rPr>
        <w:footnoteReference w:id="41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attributing these ideas to Ibn Saba, real or imaginary, these authors not only succeeded in discrediting the Shi’a and presenting the Shi’a ideology as nothing more than imported teachings from another religion (instead of a legitimate and integral part of the history of Islam), but they also shifted the blame for the assassination of ‘Uthman to some unorthodox sectarian incident, rather than on the administrative policies of ‘Uthman, which bred so much resentment that he was killed - not by followers of “Ibn Saba,” but by</w:t>
      </w:r>
    </w:p>
    <w:p>
      <w:pPr>
        <w:pStyle w:val="BookText"/>
        <w:bidi w:val="0"/>
        <w:rPr/>
      </w:pPr>
      <w:r>
        <w:rPr>
          <w:rFonts w:eastAsia="Times New Roman" w:cs="Times New Roman" w:ascii="Times New Roman" w:hAnsi="Times New Roman"/>
          <w:color w:val="111111"/>
          <w:sz w:val="28"/>
          <w:szCs w:val="28"/>
          <w:lang w:val="en-US"/>
        </w:rPr>
        <w:t>the companions of the Prophet.</w:t>
      </w:r>
    </w:p>
    <w:p>
      <w:pPr>
        <w:pStyle w:val="BookText"/>
        <w:bidi w:val="0"/>
        <w:jc w:val="both"/>
        <w:rPr/>
      </w:pPr>
      <w:r>
        <w:rPr>
          <w:rFonts w:eastAsia="Times New Roman" w:cs="Times New Roman" w:ascii="Times New Roman" w:hAnsi="Times New Roman"/>
          <w:color w:val="111111"/>
          <w:sz w:val="28"/>
          <w:szCs w:val="28"/>
          <w:lang w:val="en-US"/>
        </w:rPr>
        <w:t>The idea that someone with Ibn Saba’s heretical mentality convinced the Muslims, many of whom were companions and who had seen the Prophet firsthand, is ludicrous. Even more unrealistic is the idea that someone so powerful who was able to bring down the third caliphate, could have existed unmentioned at such a heavily scrutinized time, even well after he had passed away.</w:t>
      </w:r>
    </w:p>
    <w:p>
      <w:pPr>
        <w:pStyle w:val="BookText"/>
        <w:bidi w:val="0"/>
        <w:jc w:val="both"/>
        <w:rPr/>
      </w:pPr>
      <w:r>
        <w:rPr>
          <w:rFonts w:eastAsia="Times New Roman" w:cs="Times New Roman" w:ascii="Times New Roman" w:hAnsi="Times New Roman"/>
          <w:color w:val="111111"/>
          <w:sz w:val="28"/>
          <w:szCs w:val="28"/>
          <w:lang w:val="en-US"/>
        </w:rPr>
        <w:t>It is also unconceivable to believe that ‘Uthman, who severely punished some of the companions of the Prophet, such as Ammar Ibn Yasir and Ibn Masud, over issues unrelated to Islamic doctrine, would overlook such a person, since he could have been a potential threat to topple his power structure.</w:t>
      </w:r>
    </w:p>
    <w:p>
      <w:pPr>
        <w:pStyle w:val="BookText"/>
        <w:bidi w:val="0"/>
        <w:jc w:val="both"/>
        <w:rPr/>
      </w:pPr>
      <w:r>
        <w:rPr>
          <w:rFonts w:eastAsia="Times New Roman" w:cs="Times New Roman" w:ascii="Times New Roman" w:hAnsi="Times New Roman"/>
          <w:color w:val="111111"/>
          <w:sz w:val="28"/>
          <w:szCs w:val="28"/>
          <w:lang w:val="en-US"/>
        </w:rPr>
        <w:t>Furthermore, even the scant narratives regarding Ibn Saba conflict with one another because some people said that he appeared during the time of ‘Uthman, while others said that he appeared during the lifetime of Imam ‘Ali, and still others said that he came on the scene after the death of ‘Ali. Even more, some said that he just revered Imam ‘Ali, while others said that his main goal was to turn popular opinion against ‘Uthman.</w:t>
      </w:r>
    </w:p>
    <w:p>
      <w:pPr>
        <w:pStyle w:val="BookText"/>
        <w:bidi w:val="0"/>
        <w:jc w:val="both"/>
        <w:rPr/>
      </w:pPr>
      <w:r>
        <w:rPr>
          <w:rFonts w:eastAsia="Times New Roman" w:cs="Times New Roman" w:ascii="Times New Roman" w:hAnsi="Times New Roman"/>
          <w:color w:val="111111"/>
          <w:sz w:val="28"/>
          <w:szCs w:val="28"/>
          <w:lang w:val="en-US"/>
        </w:rPr>
        <w:t>For these reasons, the Shi’a scholars, who have studied this subject in depth; as well as many orientalists, such as Bernard Lewis, Wellhausen, Friedlander, and others all agree that Ibn Saba was nothing but a legend fabricated by those who came later on in history.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myth of Ibn Saba did not develop out of a vacuum. At the time when stories about</w:t>
      </w:r>
      <w:bookmarkStart w:id="251" w:name="pg3581_22032"/>
    </w:p>
    <w:p>
      <w:pPr>
        <w:pStyle w:val="BookText"/>
        <w:bidi w:val="0"/>
        <w:rPr/>
      </w:pPr>
      <w:bookmarkEnd w:id="251"/>
      <w:r>
        <w:rPr>
          <w:rFonts w:eastAsia="Times New Roman" w:cs="Times New Roman" w:ascii="Times New Roman" w:hAnsi="Times New Roman"/>
          <w:color w:val="111111"/>
          <w:sz w:val="28"/>
          <w:szCs w:val="28"/>
          <w:lang w:val="en-US"/>
        </w:rPr>
        <w:t>him first spread, the status quo was threatened by the fact that the beliefs of Shi’a Islam, which are based firmly on the Qur’an, the sunnah of the Prophet, and the appointment of successors by the Prophet.</w:t>
      </w:r>
    </w:p>
    <w:p>
      <w:pPr>
        <w:pStyle w:val="BookText"/>
        <w:bidi w:val="0"/>
        <w:jc w:val="both"/>
        <w:rPr/>
      </w:pPr>
      <w:r>
        <w:rPr>
          <w:rFonts w:eastAsia="Times New Roman" w:cs="Times New Roman" w:ascii="Times New Roman" w:hAnsi="Times New Roman"/>
          <w:color w:val="111111"/>
          <w:sz w:val="28"/>
          <w:szCs w:val="28"/>
          <w:lang w:val="en-US"/>
        </w:rPr>
        <w:t>Inventing Ibn Saba and attributing the ideas of Shi’a Islam to him in a much-skewed fashion made the Shi’a appear more as a fringe group rather than as part of the Islamic core. As the Egyptian scholar Taha Husayn says in his book Al-Fitnah al-Kubra, “The opponents of the Shi’a exaggerated the issue of Ibn Saba in order to defame ‘Ali and his followers. Ibn Saba was an imaginary figure (shakhsiyah wahmiyah), and the only source that mentioned him was Sayf Ibn ‘Umar, and he was a man well known to be a liar.”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More about Ibn Saba can be found in the book of Taha Husayn or in the thesis of Sayyid Murtadha al-Askari.</w:t>
      </w:r>
      <w:r>
        <w:rPr>
          <w:rStyle w:val="FootnoteAnchor"/>
        </w:rPr>
        <w:footnoteReference w:id="412"/>
      </w:r>
    </w:p>
    <w:p>
      <w:pPr>
        <w:pStyle w:val="Heading3"/>
        <w:numPr>
          <w:ilvl w:val="2"/>
          <w:numId w:val="1"/>
        </w:numPr>
        <w:bidi w:val="0"/>
        <w:jc w:val="left"/>
        <w:rPr/>
      </w:pPr>
      <w:bookmarkStart w:id="252" w:name="__RefHeading___Toc4074717_2749589250"/>
      <w:bookmarkStart w:id="253" w:name="_Toc97"/>
      <w:bookmarkEnd w:id="252"/>
      <w:r>
        <w:rPr/>
        <w:t>Four Schools of Thought</w:t>
      </w:r>
      <w:bookmarkEnd w:id="253"/>
    </w:p>
    <w:p>
      <w:pPr>
        <w:pStyle w:val="Heading4"/>
        <w:numPr>
          <w:ilvl w:val="3"/>
          <w:numId w:val="1"/>
        </w:numPr>
        <w:bidi w:val="0"/>
        <w:jc w:val="left"/>
        <w:rPr/>
      </w:pPr>
      <w:bookmarkStart w:id="254" w:name="__RefHeading___Toc4074719_2749589250"/>
      <w:bookmarkStart w:id="255" w:name="_Toc98"/>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Another misconception is that Islam, outside of the Shi’a school of thought, crystallized directly into four schools of thought, whereas in reality, the process was more complicated than this. However, through a combination of factors, not the least of which was government supported, these schools coalesced and took on separate identities during the time of the Abbasid Empire (75 ah - 1258).</w:t>
      </w:r>
    </w:p>
    <w:p>
      <w:pPr>
        <w:pStyle w:val="Heading4"/>
        <w:numPr>
          <w:ilvl w:val="3"/>
          <w:numId w:val="1"/>
        </w:numPr>
        <w:bidi w:val="0"/>
        <w:jc w:val="left"/>
        <w:rPr/>
      </w:pPr>
      <w:bookmarkStart w:id="256" w:name="__RefHeading___Toc4074721_2749589250"/>
      <w:bookmarkStart w:id="257" w:name="_Toc99"/>
      <w:bookmarkEnd w:id="256"/>
      <w:r>
        <w:rPr/>
        <w:t>Hanafi School (Al-Madhab al-Hanafi)</w:t>
      </w:r>
      <w:bookmarkEnd w:id="257"/>
    </w:p>
    <w:p>
      <w:pPr>
        <w:pStyle w:val="BookText"/>
        <w:bidi w:val="0"/>
        <w:jc w:val="both"/>
        <w:rPr/>
      </w:pPr>
      <w:r>
        <w:rPr>
          <w:rFonts w:eastAsia="Times New Roman" w:cs="Times New Roman" w:ascii="Times New Roman" w:hAnsi="Times New Roman"/>
          <w:color w:val="111111"/>
          <w:sz w:val="28"/>
          <w:szCs w:val="28"/>
          <w:lang w:val="en-US"/>
        </w:rPr>
        <w:t>The Hanafi school, founded by Imam Abu Hanifah al-Nu’man Ibn Thabit (80 - 148 ah), was the first to acquire widespread popularity.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scholar to pay allegiance to this school of thought was Abul Abbas al-Saffah who was the</w:t>
      </w:r>
    </w:p>
    <w:p>
      <w:pPr>
        <w:pStyle w:val="BookText"/>
        <w:bidi w:val="0"/>
        <w:rPr/>
      </w:pPr>
      <w:r>
        <w:rPr>
          <w:rFonts w:eastAsia="Times New Roman" w:cs="Times New Roman" w:ascii="Times New Roman" w:hAnsi="Times New Roman"/>
          <w:color w:val="111111"/>
          <w:sz w:val="28"/>
          <w:szCs w:val="28"/>
          <w:lang w:val="en-US"/>
        </w:rPr>
        <w:t>leader of the revolution against the Umayyah dynasty and the founder of the Abbasid Empire. Other scholars and jurists (fuqaha) also joined him in the hope that a just government would rise and implement the sunnah of the Prophet and save the Muslim ummah from the tyranny of the Umayyah dynasty.</w:t>
      </w:r>
    </w:p>
    <w:p>
      <w:pPr>
        <w:pStyle w:val="BookText"/>
        <w:bidi w:val="0"/>
        <w:jc w:val="both"/>
        <w:rPr/>
      </w:pPr>
      <w:r>
        <w:rPr>
          <w:rFonts w:eastAsia="Times New Roman" w:cs="Times New Roman" w:ascii="Times New Roman" w:hAnsi="Times New Roman"/>
          <w:color w:val="111111"/>
          <w:sz w:val="28"/>
          <w:szCs w:val="28"/>
          <w:lang w:val="en-US"/>
        </w:rPr>
        <w:t>However, Abu Hanifah soon realized that the Abbasid were not sincere in their call to establish the Islamic sharia (law) and Islamic government, and so he distanced himself from the government and refused to accept the formidable position of leadership in the judiciary system (al-qada) during the time of al-Mansur al-Abbasi.</w:t>
      </w:r>
    </w:p>
    <w:p>
      <w:pPr>
        <w:pStyle w:val="BookText"/>
        <w:bidi w:val="0"/>
        <w:jc w:val="both"/>
        <w:rPr/>
      </w:pPr>
      <w:r>
        <w:rPr>
          <w:rFonts w:eastAsia="Times New Roman" w:cs="Times New Roman" w:ascii="Times New Roman" w:hAnsi="Times New Roman"/>
          <w:color w:val="111111"/>
          <w:sz w:val="28"/>
          <w:szCs w:val="28"/>
          <w:lang w:val="en-US"/>
        </w:rPr>
        <w:t>Al-Mansur tried to bring Abu Hanifah to his side, but he refused and was then imprisoned, and according to some accounts even tortured. Some historians have also reported that the Abbasid eventually poisoned Abu Hanifah.</w:t>
      </w:r>
    </w:p>
    <w:p>
      <w:pPr>
        <w:pStyle w:val="BookText"/>
        <w:bidi w:val="0"/>
        <w:jc w:val="both"/>
        <w:rPr/>
      </w:pPr>
      <w:r>
        <w:rPr>
          <w:rFonts w:eastAsia="Times New Roman" w:cs="Times New Roman" w:ascii="Times New Roman" w:hAnsi="Times New Roman"/>
          <w:color w:val="111111"/>
          <w:sz w:val="28"/>
          <w:szCs w:val="28"/>
          <w:lang w:val="en-US"/>
        </w:rPr>
        <w:t>Nonetheless, the Abbasid government succeeded in attracting two of the most prominent students who had studied directly under Abu Hanifah: Abu Yusuf al-Qadi and Muhammad Ibn al-Hasan al-Shaybani. Abu Yusuf joined the Abbasid government during the reign of al-Mahdi al-Abbasi in the year 158 ah. He continued working for them during the rules of al-Hadi and al-Rashid and wrote several works on jurisprudence, one of the most noteworthy being Kitab al-Kharaj, which he wrote at the request of the caliph Harun al-Rashid.</w:t>
      </w:r>
    </w:p>
    <w:p>
      <w:pPr>
        <w:pStyle w:val="BookText"/>
        <w:bidi w:val="0"/>
        <w:jc w:val="both"/>
        <w:rPr/>
      </w:pPr>
      <w:r>
        <w:rPr>
          <w:rFonts w:eastAsia="Times New Roman" w:cs="Times New Roman" w:ascii="Times New Roman" w:hAnsi="Times New Roman"/>
          <w:color w:val="111111"/>
          <w:sz w:val="28"/>
          <w:szCs w:val="28"/>
          <w:lang w:val="en-US"/>
        </w:rPr>
        <w:t>He enjoyed an intimate relationship with the ruling powers, and through this, they supplemented the salary they paid him with gifts and lavish invitations, enabling him to lead an extravagant life for that time.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other student, Muhammad Ibn al-Hasan al-Shaybani, assumed leadership of the judiciary system (al-qada) during the time of Harun al-Rashid. He wrote many thesis in jurisprudence (fiqh), including Jami al-Sagheer, which he narrated from Abu Yusuf al-Qadi, Abu Hanifah, and Jami al-Kabeer.</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Undoubtedly, the government played a central role in promoting the Hanafi school of thought because of Abu Yusuf al-Qadi and Muhammad Ibn al-Hasan al-Shaybani, and particularly since the position of judiciary leadership that the latter took, was central in promoting the jurisprudence (fiqh) of a particular school of thought. Regarding this issue, Ibn Hazm says:</w:t>
      </w:r>
    </w:p>
    <w:p>
      <w:pPr>
        <w:pStyle w:val="BookText"/>
        <w:bidi w:val="0"/>
        <w:jc w:val="both"/>
        <w:rPr/>
      </w:pPr>
      <w:r>
        <w:rPr>
          <w:rFonts w:eastAsia="Times New Roman" w:cs="Times New Roman" w:ascii="Times New Roman" w:hAnsi="Times New Roman"/>
          <w:color w:val="111111"/>
          <w:sz w:val="28"/>
          <w:szCs w:val="28"/>
          <w:lang w:val="en-US"/>
        </w:rPr>
        <w:t>Two schools of thought were promoted and spread in the beginning of their emergence by leadership (riyasah) and the government (sultanah). The first was the Hanafi school of thought; since Abu Yusuf al-Qadi was declared the leader of the high court, he employed people only from his school of thought. The second school of thought that was supported by the government was the Maliki school of thought.</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Along the same line, al-Dahlawi says:</w:t>
      </w:r>
    </w:p>
    <w:p>
      <w:pPr>
        <w:pStyle w:val="BookText"/>
        <w:bidi w:val="0"/>
        <w:jc w:val="both"/>
        <w:rPr/>
      </w:pPr>
      <w:r>
        <w:rPr>
          <w:rFonts w:eastAsia="Times New Roman" w:cs="Times New Roman" w:ascii="Times New Roman" w:hAnsi="Times New Roman"/>
          <w:color w:val="111111"/>
          <w:sz w:val="28"/>
          <w:szCs w:val="28"/>
          <w:lang w:val="en-US"/>
        </w:rPr>
        <w:t>Any school of thought whose leaders are famous and who assumed the positions of judiciary leadership (qada) and authority (ifta or the fatwa) will spread among the lands and expand day after day. Conversely, the people will not know any school of thought whose leaders did not assume the position of judiciary leadership and authority, and they will die out in the future.</w:t>
      </w:r>
      <w:r>
        <w:rPr>
          <w:rStyle w:val="FootnoteAnchor"/>
        </w:rPr>
        <w:footnoteReference w:id="41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is clear that the expansion of a school of thought at that time, hinged on the government. The government in</w:t>
      </w:r>
      <w:bookmarkStart w:id="258" w:name="pg3581_22035"/>
    </w:p>
    <w:p>
      <w:pPr>
        <w:pStyle w:val="BookText"/>
        <w:bidi w:val="0"/>
        <w:rPr/>
      </w:pPr>
      <w:bookmarkEnd w:id="258"/>
      <w:r>
        <w:rPr>
          <w:rFonts w:eastAsia="Times New Roman" w:cs="Times New Roman" w:ascii="Times New Roman" w:hAnsi="Times New Roman"/>
          <w:color w:val="111111"/>
          <w:sz w:val="28"/>
          <w:szCs w:val="28"/>
          <w:lang w:val="en-US"/>
        </w:rPr>
        <w:t>turn, supported the schools of thought because of their willingness to compromise Islamic principles in favor of the government, and so a reciprocal relationship developed between the government and the propagators of the schools of thought who used the judiciary positions (the position of qadi) that they were appointed to, to spread their ideologies to the masses.</w:t>
      </w:r>
    </w:p>
    <w:p>
      <w:pPr>
        <w:pStyle w:val="Heading3"/>
        <w:numPr>
          <w:ilvl w:val="2"/>
          <w:numId w:val="1"/>
        </w:numPr>
        <w:bidi w:val="0"/>
        <w:jc w:val="left"/>
        <w:rPr/>
      </w:pPr>
      <w:bookmarkStart w:id="259" w:name="__RefHeading___Toc4074723_2749589250"/>
      <w:bookmarkStart w:id="260" w:name="_Toc100"/>
      <w:bookmarkEnd w:id="259"/>
      <w:r>
        <w:rPr/>
        <w:t>Maliki School of Thought (Al-Madhab al-Maliki)</w:t>
      </w:r>
      <w:bookmarkEnd w:id="260"/>
    </w:p>
    <w:p>
      <w:pPr>
        <w:pStyle w:val="Heading4"/>
        <w:numPr>
          <w:ilvl w:val="3"/>
          <w:numId w:val="1"/>
        </w:numPr>
        <w:bidi w:val="0"/>
        <w:jc w:val="left"/>
        <w:rPr/>
      </w:pPr>
      <w:bookmarkStart w:id="261" w:name="__RefHeading___Toc4074725_2749589250"/>
      <w:bookmarkStart w:id="262" w:name="_Toc101"/>
      <w:bookmarkEnd w:id="261"/>
      <w:r>
        <w:rPr/>
        <w:t>point</w:t>
      </w:r>
      <w:bookmarkEnd w:id="262"/>
    </w:p>
    <w:p>
      <w:pPr>
        <w:pStyle w:val="BookText"/>
        <w:bidi w:val="0"/>
        <w:jc w:val="both"/>
        <w:rPr/>
      </w:pPr>
      <w:r>
        <w:rPr>
          <w:rFonts w:eastAsia="Times New Roman" w:cs="Times New Roman" w:ascii="Times New Roman" w:hAnsi="Times New Roman"/>
          <w:color w:val="111111"/>
          <w:sz w:val="28"/>
          <w:szCs w:val="28"/>
          <w:lang w:val="en-US"/>
        </w:rPr>
        <w:t>Once Al-Mansur al-Abbasi failed to sway Abu Hanifah to his side, he turned his attention towards Imam Malik Ibn Anas (93 - 179 ah) and proposed that the body of Islamic knowledge unify under one definitive book and set of guidelines, rather than be split among several schools of thought, as was the case at that time. He encouraged Imam Malik to write al-Muwatta (the book that Imam Malik is well-known for). History says: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spoke to al-Malik around 150 ah and encouraged him to write Fiqh al-Muwatta. He told him, “Put down this knowledge in writing, and try to avoid the eccentricity (shawad) of Ibn Abdullah al-Masud, the leniency (rukhsah) of Ibn Abbas, and the harshness (shadaid) of Ibn ‘Umar. Be moderate in this fiqh and write whatever the majority of the imams and sahabah agree upon, and we promise you that we will bring all the people to follow your school of thought, and your fiqh and your knowledge, and we will spread and promote your book in the provinces and states, and we will ask the people not to oppose it, and they will not give judgments other than those in accordance</w:t>
      </w:r>
    </w:p>
    <w:p>
      <w:pPr>
        <w:pStyle w:val="BookText"/>
        <w:bidi w:val="0"/>
        <w:rPr/>
      </w:pPr>
      <w:r>
        <w:rPr>
          <w:rFonts w:eastAsia="Times New Roman" w:cs="Times New Roman" w:ascii="Times New Roman" w:hAnsi="Times New Roman"/>
          <w:color w:val="111111"/>
          <w:sz w:val="28"/>
          <w:szCs w:val="28"/>
          <w:lang w:val="en-US"/>
        </w:rPr>
        <w:t>with your books.”</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Imam Malik spent approximately 11 years writing al-Muwatta, and his book eventually became the definitive legal text of the Abbasid state. The Abbasid rulers in turn, exhibited the utmost respect towards Imam Malik to the extent that Harun al-Rashid would stand whenever he saw Imam Malik, and then sit on the floor in front of him to listen to what he had to say. Through his open support of al-Mansur, Imam Malik alienated his teacher Rabiat al-Rai who refused to compromise his principles for the government and then parted company with Imam Malik.</w:t>
      </w:r>
    </w:p>
    <w:p>
      <w:pPr>
        <w:pStyle w:val="BookText"/>
        <w:bidi w:val="0"/>
        <w:jc w:val="both"/>
        <w:rPr/>
      </w:pPr>
      <w:r>
        <w:rPr>
          <w:rFonts w:eastAsia="Times New Roman" w:cs="Times New Roman" w:ascii="Times New Roman" w:hAnsi="Times New Roman"/>
          <w:color w:val="111111"/>
          <w:sz w:val="28"/>
          <w:szCs w:val="28"/>
          <w:lang w:val="en-US"/>
        </w:rPr>
        <w:t>Imam Malik continued to support the Abbasid government beyond the reign of al-Mansur into the time of al-Mahdi al-Abbasi. Just like al-Mansur, al-Mahdi al-Abbasi succeeded not in winning over the support of the Hanafi school of thought, but to entice two of Abu Hanifah’s most famous students (as mentioned above).</w:t>
      </w:r>
    </w:p>
    <w:p>
      <w:pPr>
        <w:pStyle w:val="BookText"/>
        <w:bidi w:val="0"/>
        <w:jc w:val="both"/>
        <w:rPr/>
      </w:pPr>
      <w:r>
        <w:rPr>
          <w:rFonts w:eastAsia="Times New Roman" w:cs="Times New Roman" w:ascii="Times New Roman" w:hAnsi="Times New Roman"/>
          <w:color w:val="111111"/>
          <w:sz w:val="28"/>
          <w:szCs w:val="28"/>
          <w:lang w:val="en-US"/>
        </w:rPr>
        <w:t>At the same time, as they fostered the growth of the Maliki movement, the Abbasid also attempted to suppress the school of Ahlul Bayt. Not only were the ideas of Ahlul Bayt school threatening, but its leaders were also popular, such as Imam Ja’far al-Sadiq. The sixth Imam of the Shi’a school of thought, who had nearly 4,000 students attending his classes.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other Imams from Ahlul Bayt, Imam al-Sadiq was put under house arrest and later imprisoned. Only after methods of intimidation and coercion to halt the spread of his teachings failed, did the Abbasid attempt to counter his ideas by creating another intellectual entity to</w:t>
      </w:r>
      <w:bookmarkStart w:id="263" w:name="pg3581_22037"/>
    </w:p>
    <w:p>
      <w:pPr>
        <w:pStyle w:val="BookText"/>
        <w:bidi w:val="0"/>
        <w:rPr/>
      </w:pPr>
      <w:bookmarkEnd w:id="263"/>
      <w:r>
        <w:rPr>
          <w:rFonts w:eastAsia="Times New Roman" w:cs="Times New Roman" w:ascii="Times New Roman" w:hAnsi="Times New Roman"/>
          <w:color w:val="111111"/>
          <w:sz w:val="28"/>
          <w:szCs w:val="28"/>
          <w:lang w:val="en-US"/>
        </w:rPr>
        <w:t>compete with him, in this case, the promotion of the Hanafi and Maliki schools of thought.</w:t>
      </w:r>
    </w:p>
    <w:p>
      <w:pPr>
        <w:pStyle w:val="BookText"/>
        <w:bidi w:val="0"/>
        <w:jc w:val="both"/>
        <w:rPr/>
      </w:pPr>
      <w:r>
        <w:rPr>
          <w:rFonts w:eastAsia="Times New Roman" w:cs="Times New Roman" w:ascii="Times New Roman" w:hAnsi="Times New Roman"/>
          <w:color w:val="111111"/>
          <w:sz w:val="28"/>
          <w:szCs w:val="28"/>
          <w:lang w:val="en-US"/>
        </w:rPr>
        <w:t>As it is said, people tend to follow the religion of their leaders;</w:t>
      </w:r>
      <w:r>
        <w:rPr>
          <w:rStyle w:val="FootnoteAnchor"/>
        </w:rPr>
        <w:footnoteReference w:id="417"/>
      </w:r>
      <w:r>
        <w:rPr>
          <w:rFonts w:eastAsia="Times New Roman" w:cs="Times New Roman" w:ascii="Times New Roman" w:hAnsi="Times New Roman"/>
          <w:color w:val="111111"/>
          <w:sz w:val="28"/>
          <w:szCs w:val="28"/>
          <w:lang w:val="en-US"/>
        </w:rPr>
        <w:t>therefore, the ideological path that the Abbasid government was laying out was rudimentary for the people to follow. Still, like the rest of the imams of Ahlul Bayt, Imam al-Sadiq gave up his life at the hands of the ruling power for his unwavering resistance to compromise the principles of Islam.</w:t>
      </w:r>
    </w:p>
    <w:p>
      <w:pPr>
        <w:pStyle w:val="Heading4"/>
        <w:numPr>
          <w:ilvl w:val="3"/>
          <w:numId w:val="1"/>
        </w:numPr>
        <w:bidi w:val="0"/>
        <w:jc w:val="left"/>
        <w:rPr/>
      </w:pPr>
      <w:bookmarkStart w:id="264" w:name="__RefHeading___Toc4074727_2749589250"/>
      <w:bookmarkStart w:id="265" w:name="_Toc102"/>
      <w:bookmarkEnd w:id="264"/>
      <w:r>
        <w:rPr/>
        <w:t>Shafi’i School of Thought (Al-Madhab al-Shafi’i)</w:t>
      </w:r>
      <w:bookmarkEnd w:id="265"/>
    </w:p>
    <w:p>
      <w:pPr>
        <w:pStyle w:val="BookText"/>
        <w:bidi w:val="0"/>
        <w:jc w:val="both"/>
        <w:rPr/>
      </w:pPr>
      <w:r>
        <w:rPr>
          <w:rFonts w:eastAsia="Times New Roman" w:cs="Times New Roman" w:ascii="Times New Roman" w:hAnsi="Times New Roman"/>
          <w:color w:val="111111"/>
          <w:sz w:val="28"/>
          <w:szCs w:val="28"/>
          <w:lang w:val="en-US"/>
        </w:rPr>
        <w:t>From the time of his childhood, Imam Muhammad Ibn Idris al-Shafi’i (150 - 206 ah) immersed himself in the ideas of Imam Malik. He was inspired deeply by him and nearly memorized al-Muwatta. Eventually he procured a letter of recommendation from the governor of Mecca to the governor of Madinah enabling him to meet with Imam Malik, whose status was very high in Madinah during the Abbasid time. There he became a student of Imam Malik until the death of Imam Malik about nine years later.</w:t>
      </w:r>
    </w:p>
    <w:p>
      <w:pPr>
        <w:pStyle w:val="BookText"/>
        <w:bidi w:val="0"/>
        <w:jc w:val="both"/>
        <w:rPr/>
      </w:pPr>
      <w:r>
        <w:rPr>
          <w:rFonts w:eastAsia="Times New Roman" w:cs="Times New Roman" w:ascii="Times New Roman" w:hAnsi="Times New Roman"/>
          <w:color w:val="111111"/>
          <w:sz w:val="28"/>
          <w:szCs w:val="28"/>
          <w:lang w:val="en-US"/>
        </w:rPr>
        <w:t>At that time, Imam Shafi’i fell into poverty and was obliged to return to Mecca.</w:t>
      </w:r>
      <w:r>
        <w:rPr>
          <w:rStyle w:val="FootnoteAnchor"/>
        </w:rPr>
        <w:footnoteReference w:id="418"/>
      </w:r>
      <w:r>
        <w:rPr>
          <w:rFonts w:eastAsia="Times New Roman" w:cs="Times New Roman" w:ascii="Times New Roman" w:hAnsi="Times New Roman"/>
          <w:color w:val="111111"/>
          <w:sz w:val="28"/>
          <w:szCs w:val="28"/>
          <w:lang w:val="en-US"/>
        </w:rPr>
        <w:t>There, some individuals concerned about his condition, appealed to the governor of Yemen to find him an official position, and thus Imam al-Shafi’i was made the governor of the state of Najran in Yemen.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during the rule of Harun al-Rashid, Imam al-Shafi’i was accused of leaning towards the Alawiyin</w:t>
      </w:r>
      <w:r>
        <w:rPr>
          <w:rStyle w:val="FootnoteAnchor"/>
        </w:rPr>
        <w:footnoteReference w:id="419"/>
      </w:r>
      <w:r>
        <w:rPr>
          <w:rFonts w:eastAsia="Times New Roman" w:cs="Times New Roman" w:ascii="Times New Roman" w:hAnsi="Times New Roman"/>
          <w:color w:val="111111"/>
          <w:sz w:val="28"/>
          <w:szCs w:val="28"/>
          <w:lang w:val="en-US"/>
        </w:rPr>
        <w:t>and the school of Ahlul Bayt, and so he was brought to Baghdad, handcuffed. While he was being held as a prisoner, one</w:t>
      </w:r>
    </w:p>
    <w:p>
      <w:pPr>
        <w:pStyle w:val="BookText"/>
        <w:bidi w:val="0"/>
        <w:rPr/>
      </w:pPr>
      <w:r>
        <w:rPr>
          <w:rFonts w:eastAsia="Times New Roman" w:cs="Times New Roman" w:ascii="Times New Roman" w:hAnsi="Times New Roman"/>
          <w:color w:val="111111"/>
          <w:sz w:val="28"/>
          <w:szCs w:val="28"/>
          <w:lang w:val="en-US"/>
        </w:rPr>
        <w:t>of his friends, Muhammad Ibn al-Hasan al-Shaybani (who was also one of the primary advocates of the Hanafi school of thought for the Abbasid) interceded on his behalf and testified that al-Shafi’i was not on the side of Ahlul Bayt and was completely supportive of the Abbasid government.</w:t>
      </w:r>
    </w:p>
    <w:p>
      <w:pPr>
        <w:pStyle w:val="BookText"/>
        <w:bidi w:val="0"/>
        <w:jc w:val="both"/>
        <w:rPr/>
      </w:pPr>
      <w:r>
        <w:rPr>
          <w:rFonts w:eastAsia="Times New Roman" w:cs="Times New Roman" w:ascii="Times New Roman" w:hAnsi="Times New Roman"/>
          <w:color w:val="111111"/>
          <w:sz w:val="28"/>
          <w:szCs w:val="28"/>
          <w:lang w:val="en-US"/>
        </w:rPr>
        <w:t>This testimony resulted in the release of al-Shafi’i, and as a result, he became very close to al-Shaybani and studied under him, learning the opinions (araa) of Abu Hanifah in ra’i (opinion) and qiyas (analogy), both of which Abu Hanifah was well known for. However, the two differed regarding Ahlul Bayt - al-Shafi’i was in fact sympathetic towards their cause, while al-Shaybani was not.</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Out of these two influences: the Maliki school (which can also be referred to as the school of athar (text)) and the Hanafi school, was born the Shafi’i school of thought. In 199 ah, Imam al-Shafi’i moved to Egypt along with Ibn Abdullah al-Abbas, the governor of Egypt. There, his school slowly began to spread. Unfortunately, because he differed on some points with Imam Malik, Imam al-Shafi’i incurred the anger of many of the adherents of the Maliki school in Egypt, and they eventually rioted and killed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noting that al-Bukhari and al-Muslim did not narrate any hadith from al-Shafi’i - not because he was inferior in knowledge, but because he had inclinations towards the school of Ahlul Bayt. He said that ‘Ali Ibn ‘Ali Talib had the right to leadership at the time over Mu’awiyah and his</w:t>
      </w:r>
      <w:bookmarkStart w:id="266" w:name="pg3581_22039"/>
    </w:p>
    <w:p>
      <w:pPr>
        <w:pStyle w:val="BookText"/>
        <w:bidi w:val="0"/>
        <w:rPr/>
      </w:pPr>
      <w:bookmarkEnd w:id="266"/>
      <w:r>
        <w:rPr>
          <w:rFonts w:eastAsia="Times New Roman" w:cs="Times New Roman" w:ascii="Times New Roman" w:hAnsi="Times New Roman"/>
          <w:color w:val="111111"/>
          <w:sz w:val="28"/>
          <w:szCs w:val="28"/>
          <w:lang w:val="en-US"/>
        </w:rPr>
        <w:t>companions,</w:t>
      </w:r>
      <w:r>
        <w:rPr>
          <w:rStyle w:val="FootnoteAnchor"/>
        </w:rPr>
        <w:footnoteReference w:id="421"/>
      </w:r>
      <w:r>
        <w:rPr>
          <w:rFonts w:eastAsia="Times New Roman" w:cs="Times New Roman" w:ascii="Times New Roman" w:hAnsi="Times New Roman"/>
          <w:color w:val="111111"/>
          <w:sz w:val="28"/>
          <w:szCs w:val="28"/>
          <w:lang w:val="en-US"/>
        </w:rPr>
        <w:t>who were the group that began the assault on Islam.</w:t>
      </w:r>
    </w:p>
    <w:p>
      <w:pPr>
        <w:pStyle w:val="BookText"/>
        <w:bidi w:val="0"/>
        <w:jc w:val="both"/>
        <w:rPr/>
      </w:pPr>
      <w:r>
        <w:rPr>
          <w:rFonts w:eastAsia="Times New Roman" w:cs="Times New Roman" w:ascii="Times New Roman" w:hAnsi="Times New Roman"/>
          <w:color w:val="111111"/>
          <w:sz w:val="28"/>
          <w:szCs w:val="28"/>
          <w:lang w:val="en-US"/>
        </w:rPr>
        <w:t>He displayed love for Ahlul Bayt and the family of the Prophet and proclaimed, “If anyone who loves the Ahlul Bayt is a rafidi (a rejecter of the three caliphates) then let the whole world witness that I am the first rafidi.” Such statements not only led to his arrest as mentioned before, but also resulted in silencing his books of hadith.</w:t>
      </w:r>
    </w:p>
    <w:p>
      <w:pPr>
        <w:pStyle w:val="Heading4"/>
        <w:numPr>
          <w:ilvl w:val="3"/>
          <w:numId w:val="1"/>
        </w:numPr>
        <w:bidi w:val="0"/>
        <w:jc w:val="left"/>
        <w:rPr/>
      </w:pPr>
      <w:bookmarkStart w:id="267" w:name="__RefHeading___Toc4074729_2749589250"/>
      <w:bookmarkStart w:id="268" w:name="_Toc103"/>
      <w:bookmarkEnd w:id="267"/>
      <w:r>
        <w:rPr/>
        <w:t>Hanbali School of Thought (Al-Madhab al-Hanbali)</w:t>
      </w:r>
      <w:bookmarkEnd w:id="268"/>
    </w:p>
    <w:p>
      <w:pPr>
        <w:pStyle w:val="BookText"/>
        <w:bidi w:val="0"/>
        <w:jc w:val="both"/>
        <w:rPr/>
      </w:pPr>
      <w:r>
        <w:rPr>
          <w:rFonts w:eastAsia="Times New Roman" w:cs="Times New Roman" w:ascii="Times New Roman" w:hAnsi="Times New Roman"/>
          <w:color w:val="111111"/>
          <w:sz w:val="28"/>
          <w:szCs w:val="28"/>
          <w:lang w:val="en-US"/>
        </w:rPr>
        <w:t>Imam Ahmad Ibn Hanbal (165 - 240 ah) was born in Baghdad. At the age of fifteen, he embarked on journeys to different countries to meet with various scholars. While in Baghdad, he studied under Imam al-Shafi’i, who inspired him considerably, and Abu Yusuf al-Qadi. At the time, there were two competing schools: madrasah al-athar (the school focusing on texts) and madrasah al-ra'i wal-qiyas (the school based on opinion and analogy), and Ibn Hanbal favored the former.</w:t>
      </w:r>
    </w:p>
    <w:p>
      <w:pPr>
        <w:pStyle w:val="BookText"/>
        <w:bidi w:val="0"/>
        <w:jc w:val="both"/>
        <w:rPr/>
      </w:pPr>
      <w:r>
        <w:rPr>
          <w:rFonts w:eastAsia="Times New Roman" w:cs="Times New Roman" w:ascii="Times New Roman" w:hAnsi="Times New Roman"/>
          <w:color w:val="111111"/>
          <w:sz w:val="28"/>
          <w:szCs w:val="28"/>
          <w:lang w:val="en-US"/>
        </w:rPr>
        <w:t>Although like other scholars, he too relocated to Hijaz, however he was not as well known as the leaders of the other schools of thought because most considered him to be a muhaddith (narrator of hadith) instead of a genuine faqih (jurist).</w:t>
      </w:r>
    </w:p>
    <w:p>
      <w:pPr>
        <w:pStyle w:val="BookText"/>
        <w:bidi w:val="0"/>
        <w:jc w:val="both"/>
        <w:rPr/>
      </w:pPr>
      <w:r>
        <w:rPr>
          <w:rFonts w:eastAsia="Times New Roman" w:cs="Times New Roman" w:ascii="Times New Roman" w:hAnsi="Times New Roman"/>
          <w:color w:val="111111"/>
          <w:sz w:val="28"/>
          <w:szCs w:val="28"/>
          <w:lang w:val="en-US"/>
        </w:rPr>
        <w:t>Ibn Hanbal was a strong advocate of the Abbasid government and when al-Mutawakil came to power in 232 ah, he tortured the Alawiyin and fiercely opposed the school of Ahlul Bayt, but he paid Ibn Hanbal a handsome salary of 4,000 dirhams, and invited him to Samarra to obtain blessings from his presence.</w:t>
      </w:r>
      <w:r>
        <w:rPr>
          <w:rStyle w:val="FootnoteAnchor"/>
        </w:rPr>
        <w:footnoteReference w:id="42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al-Hanbal wrote his famous work Musnad Ahmad</w:t>
      </w:r>
      <w:bookmarkStart w:id="269" w:name="pg3581_22040"/>
    </w:p>
    <w:p>
      <w:pPr>
        <w:pStyle w:val="BookText"/>
        <w:bidi w:val="0"/>
        <w:rPr/>
      </w:pPr>
      <w:bookmarkEnd w:id="269"/>
      <w:r>
        <w:rPr>
          <w:rFonts w:eastAsia="Times New Roman" w:cs="Times New Roman" w:ascii="Times New Roman" w:hAnsi="Times New Roman"/>
          <w:color w:val="111111"/>
          <w:sz w:val="28"/>
          <w:szCs w:val="28"/>
          <w:lang w:val="en-US"/>
        </w:rPr>
        <w:t>Ibn Hanbal under the reign of al-Mutawakil and passed away while al-Mutawakil was still in power. His case was similar to that of Imam al-Malik, whose ideas were also propagated by the Abbasid caliphate, and the Abbasid promoted both of their schools of thought.</w:t>
      </w:r>
    </w:p>
    <w:p>
      <w:pPr>
        <w:pStyle w:val="Heading2"/>
        <w:numPr>
          <w:ilvl w:val="1"/>
          <w:numId w:val="1"/>
        </w:numPr>
        <w:bidi w:val="0"/>
        <w:jc w:val="left"/>
        <w:rPr/>
      </w:pPr>
      <w:bookmarkStart w:id="270" w:name="__RefHeading___Toc4074731_2749589250"/>
      <w:bookmarkStart w:id="271" w:name="_Toc104"/>
      <w:bookmarkEnd w:id="270"/>
      <w:r>
        <w:rPr/>
        <w:t>Conclusion</w:t>
      </w:r>
      <w:bookmarkEnd w:id="271"/>
    </w:p>
    <w:p>
      <w:pPr>
        <w:pStyle w:val="BookText"/>
        <w:bidi w:val="0"/>
        <w:jc w:val="both"/>
        <w:rPr/>
      </w:pPr>
      <w:r>
        <w:rPr>
          <w:rFonts w:eastAsia="Times New Roman" w:cs="Times New Roman" w:ascii="Times New Roman" w:hAnsi="Times New Roman"/>
          <w:color w:val="111111"/>
          <w:sz w:val="28"/>
          <w:szCs w:val="28"/>
          <w:lang w:val="en-US"/>
        </w:rPr>
        <w:t>A fundamental principle of the Muslims is that Islam has been perfected by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have perfected your religion for you, completed My favor upon you, and have chosen for you Islam as your religion.” (5:3)</w:t>
      </w:r>
    </w:p>
    <w:p>
      <w:pPr>
        <w:pStyle w:val="BookText"/>
        <w:bidi w:val="0"/>
        <w:jc w:val="both"/>
        <w:rPr/>
      </w:pPr>
      <w:r>
        <w:rPr>
          <w:rFonts w:eastAsia="Times New Roman" w:cs="Times New Roman" w:ascii="Times New Roman" w:hAnsi="Times New Roman"/>
          <w:color w:val="111111"/>
          <w:sz w:val="28"/>
          <w:szCs w:val="28"/>
          <w:lang w:val="en-US"/>
        </w:rPr>
        <w:t>Muslims also consider Prophet Muhammad as the best example to emulate,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the Apostle of God you have a good example [to follow] for everyone who looks forward [with hope and awe] to God and the Last Day, and remembers God unceasingly.” (33:21)</w:t>
      </w:r>
    </w:p>
    <w:p>
      <w:pPr>
        <w:pStyle w:val="BookText"/>
        <w:bidi w:val="0"/>
        <w:jc w:val="both"/>
        <w:rPr/>
      </w:pPr>
      <w:r>
        <w:rPr>
          <w:rFonts w:eastAsia="Times New Roman" w:cs="Times New Roman" w:ascii="Times New Roman" w:hAnsi="Times New Roman"/>
          <w:color w:val="111111"/>
          <w:sz w:val="28"/>
          <w:szCs w:val="28"/>
          <w:lang w:val="en-US"/>
        </w:rPr>
        <w:t>Having believed in these two proclamations, those who held the highest office of authority in Islam - the caliphate (from after the Prophet’s death until the collapse of the caliphate rule in 1923) - should have been more attentive to preserve and protect the integrity of Islam and follow the ways of Prophet Muhammadwithout any modifications, alterations, innovations, or introduction of new practices. However, this was not the case, as mentioned throughout this book.</w:t>
      </w:r>
    </w:p>
    <w:p>
      <w:pPr>
        <w:pStyle w:val="BookText"/>
        <w:bidi w:val="0"/>
        <w:jc w:val="both"/>
        <w:rPr/>
      </w:pPr>
      <w:r>
        <w:rPr>
          <w:rFonts w:eastAsia="Times New Roman" w:cs="Times New Roman" w:ascii="Times New Roman" w:hAnsi="Times New Roman"/>
          <w:color w:val="111111"/>
          <w:sz w:val="28"/>
          <w:szCs w:val="28"/>
          <w:lang w:val="en-US"/>
        </w:rPr>
        <w:t>Some people continue to argue that “the Shi’a are the innovators of Islam,” and that it is actually the Shi’a who have introduced new ideas and concepts into Islam, when in fact, through careful research and examination of Islamic history and jurisprudence this accusation becomes baseless.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as recently as in 2008, a</w:t>
      </w:r>
    </w:p>
    <w:p>
      <w:pPr>
        <w:pStyle w:val="BookText"/>
        <w:bidi w:val="0"/>
        <w:rPr/>
      </w:pPr>
      <w:r>
        <w:rPr>
          <w:rFonts w:eastAsia="Times New Roman" w:cs="Times New Roman" w:ascii="Times New Roman" w:hAnsi="Times New Roman"/>
          <w:color w:val="111111"/>
          <w:sz w:val="28"/>
          <w:szCs w:val="28"/>
          <w:lang w:val="en-US"/>
        </w:rPr>
        <w:t>well-known Egyptian cleric (considered as a “moderate” figure) reiterated the same propaganda, which caused a wave of rebuttals from Shi’a scholars. In part, this book is a reply to such accusations and labeling as well.</w:t>
      </w:r>
    </w:p>
    <w:p>
      <w:pPr>
        <w:pStyle w:val="BookText"/>
        <w:bidi w:val="0"/>
        <w:jc w:val="both"/>
        <w:rPr/>
      </w:pPr>
      <w:r>
        <w:rPr>
          <w:rFonts w:eastAsia="Times New Roman" w:cs="Times New Roman" w:ascii="Times New Roman" w:hAnsi="Times New Roman"/>
          <w:color w:val="111111"/>
          <w:sz w:val="28"/>
          <w:szCs w:val="28"/>
          <w:lang w:val="en-US"/>
        </w:rPr>
        <w:t>Although, the thought of writing this book came about some ten years ago, the writing took an intermission of six of those years; and what urged its publication now are the false accusations being hurled against the followers of Ahlul Bayt, which extensively arise from global pulpits and through multi-media sources. My conscience did not permit me to remain on the sideline and be silent about this matter any longer.</w:t>
      </w:r>
    </w:p>
    <w:p>
      <w:pPr>
        <w:pStyle w:val="BookText"/>
        <w:bidi w:val="0"/>
        <w:jc w:val="both"/>
        <w:rPr/>
      </w:pPr>
      <w:r>
        <w:rPr>
          <w:rFonts w:eastAsia="Times New Roman" w:cs="Times New Roman" w:ascii="Times New Roman" w:hAnsi="Times New Roman"/>
          <w:color w:val="111111"/>
          <w:sz w:val="28"/>
          <w:szCs w:val="28"/>
          <w:lang w:val="en-US"/>
        </w:rPr>
        <w:t>The truth of the matter is, and as this book details, the innovations and alterations were never started or practiced by the followers of Ahlul Bayt; rather, the Shi’a have always maintained, without waiver or variation that they follow the path of the Prophet.</w:t>
      </w:r>
    </w:p>
    <w:p>
      <w:pPr>
        <w:pStyle w:val="BookText"/>
        <w:bidi w:val="0"/>
        <w:jc w:val="both"/>
        <w:rPr/>
      </w:pPr>
      <w:r>
        <w:rPr>
          <w:rFonts w:eastAsia="Times New Roman" w:cs="Times New Roman" w:ascii="Times New Roman" w:hAnsi="Times New Roman"/>
          <w:color w:val="111111"/>
          <w:sz w:val="28"/>
          <w:szCs w:val="28"/>
          <w:lang w:val="en-US"/>
        </w:rPr>
        <w:t>In part, in our times we are witnessing the effect of the past on the present. Today’s violent acts of terrorism and the radical ideological interpretation being perpetrated by some “Muslims” against Muslims and non-Muslims are conjoined to the times of the early Muslim governance and their successive caliphate regimes.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leaders of the past, like those of the Umayyah and Abbasid dynasties, mentally and culturally cultivated the seeds of anarchic dogma, hatred, and violence, which is present among the most extremist Muslim parties of today. Establishments like the Taliban and the teachings of the Wahhabis are deeply rooted in the same radical</w:t>
      </w:r>
    </w:p>
    <w:p>
      <w:pPr>
        <w:pStyle w:val="BookText"/>
        <w:bidi w:val="0"/>
        <w:rPr/>
      </w:pPr>
      <w:r>
        <w:rPr>
          <w:rFonts w:eastAsia="Times New Roman" w:cs="Times New Roman" w:ascii="Times New Roman" w:hAnsi="Times New Roman"/>
          <w:color w:val="111111"/>
          <w:sz w:val="28"/>
          <w:szCs w:val="28"/>
          <w:lang w:val="en-US"/>
        </w:rPr>
        <w:t>mentality and hegemonic control like the ones of the past.</w:t>
      </w:r>
    </w:p>
    <w:p>
      <w:pPr>
        <w:pStyle w:val="BookText"/>
        <w:bidi w:val="0"/>
        <w:jc w:val="both"/>
        <w:rPr/>
      </w:pPr>
      <w:r>
        <w:rPr>
          <w:rFonts w:eastAsia="Times New Roman" w:cs="Times New Roman" w:ascii="Times New Roman" w:hAnsi="Times New Roman"/>
          <w:color w:val="111111"/>
          <w:sz w:val="28"/>
          <w:szCs w:val="28"/>
          <w:lang w:val="en-US"/>
        </w:rPr>
        <w:t>Our time has witnessed people like Abu Musab al-Zarqawi, the sinister aid of al-Qaida who introduced suicide bombers to the streets of Iraq and caused thousands of lives to be lost. We can also see this totalitarian and violent force on the streets of Kabul, Mumbai, Jakarta, and Islamabad, and on the dreadful day of 9-11-2001.</w:t>
      </w:r>
    </w:p>
    <w:p>
      <w:pPr>
        <w:pStyle w:val="BookText"/>
        <w:bidi w:val="0"/>
        <w:jc w:val="both"/>
        <w:rPr/>
      </w:pPr>
      <w:r>
        <w:rPr>
          <w:rFonts w:eastAsia="Times New Roman" w:cs="Times New Roman" w:ascii="Times New Roman" w:hAnsi="Times New Roman"/>
          <w:color w:val="111111"/>
          <w:sz w:val="28"/>
          <w:szCs w:val="28"/>
          <w:lang w:val="en-US"/>
        </w:rPr>
        <w:t>It is the anticipation of the author of this book, for the reader to know the reality. As a scholar and researcher it is incumbent to ascend personal interest and contracted thoughts, and to speak the rightful truth without apprehension. I am held to the highest degree by the covenant taken from the early scholars by which Allah holds them to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conceal the clear (Signs) We have sent down, and the Guidance, after We have made it clear for the people in the Book, on them shall be Allah’s curse, and the curse of those entitled to curse.” (2:159)</w:t>
      </w:r>
    </w:p>
    <w:p>
      <w:pPr>
        <w:pStyle w:val="BookText"/>
        <w:bidi w:val="0"/>
        <w:jc w:val="both"/>
        <w:rPr/>
      </w:pPr>
      <w:r>
        <w:rPr>
          <w:rFonts w:eastAsia="Times New Roman" w:cs="Times New Roman" w:ascii="Times New Roman" w:hAnsi="Times New Roman"/>
          <w:color w:val="111111"/>
          <w:sz w:val="28"/>
          <w:szCs w:val="28"/>
          <w:lang w:val="en-US"/>
        </w:rPr>
        <w:t>Along with,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Allah took a covenant from the People of the Book, to make it known and clear to mankind, and not to hide it; but they threw it away behind their backs, and purchased with it some miserable gain! And vile was the bargain that they made!” ( 3:187)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documented and cited in this work are facts, written by the most revered authentic (sahih) books and respected Sunni scholars. Thus, no one can argue that the author was</w:t>
      </w:r>
    </w:p>
    <w:p>
      <w:pPr>
        <w:pStyle w:val="BookText"/>
        <w:bidi w:val="0"/>
        <w:rPr/>
      </w:pPr>
      <w:r>
        <w:rPr>
          <w:rFonts w:eastAsia="Times New Roman" w:cs="Times New Roman" w:ascii="Times New Roman" w:hAnsi="Times New Roman"/>
          <w:color w:val="111111"/>
          <w:sz w:val="28"/>
          <w:szCs w:val="28"/>
          <w:lang w:val="en-US"/>
        </w:rPr>
        <w:t>relying on outside sources; and in addition, not one source has been taken out of context or exaggerated.</w:t>
      </w:r>
    </w:p>
    <w:p>
      <w:pPr>
        <w:pStyle w:val="BookText"/>
        <w:bidi w:val="0"/>
        <w:jc w:val="both"/>
        <w:rPr/>
      </w:pPr>
      <w:r>
        <w:rPr>
          <w:rFonts w:eastAsia="Times New Roman" w:cs="Times New Roman" w:ascii="Times New Roman" w:hAnsi="Times New Roman"/>
          <w:color w:val="111111"/>
          <w:sz w:val="28"/>
          <w:szCs w:val="28"/>
          <w:lang w:val="en-US"/>
        </w:rPr>
        <w:t>Some may argue that there is no need to frequent the past of the Muslims. As difficult as it may be, the past of the Muslims should not be impervious. Muslims must know their history in order to understand the current predicament they find themselves in. There are reasons why the state of the ummah is the way it is today. The record shows that in our history there were certain Muslims who affected the course of Islam and Muslims forever - politically, theologically, and historically.</w:t>
      </w:r>
    </w:p>
    <w:p>
      <w:pPr>
        <w:pStyle w:val="BookText"/>
        <w:bidi w:val="0"/>
        <w:jc w:val="both"/>
        <w:rPr/>
      </w:pPr>
      <w:r>
        <w:rPr>
          <w:rFonts w:eastAsia="Times New Roman" w:cs="Times New Roman" w:ascii="Times New Roman" w:hAnsi="Times New Roman"/>
          <w:color w:val="111111"/>
          <w:sz w:val="28"/>
          <w:szCs w:val="28"/>
          <w:lang w:val="en-US"/>
        </w:rPr>
        <w:t>The Quraysh group had systematically planned, influenced, and executed the orders of the caliph and wished to design it as a revolving political hegemony. Even on the deathbed of the Prophet, they prevented the Prophet from writing his will - a will that would have forever guarded the ummah from misguidance - and then they sealed it at Saqifah. In the words of the second caliph himself, they prevented the Prophet from writing his will because they did not want both prophethood and successorship vested in Bani Hashim, namely ‘Ali Ibn Abi Talib. In short, the pre-Islamic Arab rivalry first impregnated the division of the ummah.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and Sunni have two opposing views when it comes to the appointment of the caliph. According to the Ahlul Bayt, Allah ordains the highest accolade (leadership office) of the ummah. On the other end, the Sunni believe that it is one of</w:t>
      </w:r>
    </w:p>
    <w:p>
      <w:pPr>
        <w:pStyle w:val="BookText"/>
        <w:bidi w:val="0"/>
        <w:rPr/>
      </w:pPr>
      <w:r>
        <w:rPr>
          <w:rFonts w:eastAsia="Times New Roman" w:cs="Times New Roman" w:ascii="Times New Roman" w:hAnsi="Times New Roman"/>
          <w:color w:val="111111"/>
          <w:sz w:val="28"/>
          <w:szCs w:val="28"/>
          <w:lang w:val="en-US"/>
        </w:rPr>
        <w:t>consulate (shura). Although, the early history of political Islam records that “shura” was never fairly executed, nor was the method of it consistent as seen in the appointments of the first three caliphs and the caliphs of the Umayyad and Abbasid dynasties.</w:t>
      </w:r>
    </w:p>
    <w:p>
      <w:pPr>
        <w:pStyle w:val="BookText"/>
        <w:bidi w:val="0"/>
        <w:jc w:val="both"/>
        <w:rPr/>
      </w:pPr>
      <w:r>
        <w:rPr>
          <w:rFonts w:eastAsia="Times New Roman" w:cs="Times New Roman" w:ascii="Times New Roman" w:hAnsi="Times New Roman"/>
          <w:color w:val="111111"/>
          <w:sz w:val="28"/>
          <w:szCs w:val="28"/>
          <w:lang w:val="en-US"/>
        </w:rPr>
        <w:t>To leave the ummah without continued Divine guidance would be to expose the religion to unwarranted innovations, modifications, and personal conjecture.</w:t>
      </w:r>
    </w:p>
    <w:p>
      <w:pPr>
        <w:pStyle w:val="BookText"/>
        <w:bidi w:val="0"/>
        <w:jc w:val="both"/>
        <w:rPr/>
      </w:pPr>
      <w:r>
        <w:rPr>
          <w:rFonts w:eastAsia="Times New Roman" w:cs="Times New Roman" w:ascii="Times New Roman" w:hAnsi="Times New Roman"/>
          <w:color w:val="111111"/>
          <w:sz w:val="28"/>
          <w:szCs w:val="28"/>
          <w:lang w:val="en-US"/>
        </w:rPr>
        <w:t>The history of the Islamic caliphate earmarks acts of nepotism, corruption, and incompetency, primarily witnessed during the reins of ‘Uthman, Bani Umayyah, and Bani Abbas. We find unqualified and incompetent leaders who changed and modified Islam, and practiced nepotism and favoritism.</w:t>
      </w:r>
    </w:p>
    <w:p>
      <w:pPr>
        <w:pStyle w:val="BookText"/>
        <w:bidi w:val="0"/>
        <w:jc w:val="both"/>
        <w:rPr/>
      </w:pPr>
      <w:r>
        <w:rPr>
          <w:rFonts w:eastAsia="Times New Roman" w:cs="Times New Roman" w:ascii="Times New Roman" w:hAnsi="Times New Roman"/>
          <w:color w:val="111111"/>
          <w:sz w:val="28"/>
          <w:szCs w:val="28"/>
          <w:lang w:val="en-US"/>
        </w:rPr>
        <w:t>One day, a group of companions was with the Prophet and they said, “O Allah’s Apostle! We know how to greet you, but how should we invoke Allah for you?” The Prophet said, “Say: ‘O Allah! Send your blessings (greeting, which is God’s mercy upon the Prophet - salawat) on Muhammad and his family, the same way as You sent Your blessings (greetings &amp; mercy) on Ibrahim’s family; You are indeed worthy of all praise, full of glory.’”</w:t>
      </w:r>
      <w:r>
        <w:rPr>
          <w:rStyle w:val="FootnoteAnchor"/>
        </w:rPr>
        <w:footnoteReference w:id="4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the Prophet said to his companions, “Do not salute me in short!” The companions asked, “What is saluting you in short?” The Prophet replied, “Saying that blessing (mercy) of Allah be upon Muhammad.” They asked, “What should we say?” The Prophet answered, “Say: ‘Blessing (mercy) of Allah be upon Muhammad and his Ahlul Bayt!’”</w:t>
      </w:r>
      <w:r>
        <w:rPr>
          <w:rStyle w:val="FootnoteAnchor"/>
        </w:rPr>
        <w:footnoteReference w:id="424"/>
      </w:r>
      <w:r>
        <w:rPr>
          <w:rFonts w:eastAsia="Times New Roman" w:cs="Times New Roman" w:ascii="Times New Roman" w:hAnsi="Times New Roman"/>
          <w:color w:val="111111"/>
          <w:sz w:val="28"/>
          <w:szCs w:val="28"/>
          <w:lang w:val="en-US"/>
        </w:rPr>
        <w:t>Despite being purified by Allah (c. 33:33) and recognized by the Prophet, a misfortunate</w:t>
      </w:r>
    </w:p>
    <w:p>
      <w:pPr>
        <w:pStyle w:val="BookText"/>
        <w:bidi w:val="0"/>
        <w:rPr/>
      </w:pPr>
      <w:r>
        <w:rPr>
          <w:rFonts w:eastAsia="Times New Roman" w:cs="Times New Roman" w:ascii="Times New Roman" w:hAnsi="Times New Roman"/>
          <w:color w:val="111111"/>
          <w:sz w:val="28"/>
          <w:szCs w:val="28"/>
          <w:lang w:val="en-US"/>
        </w:rPr>
        <w:t>mistreatment of the household of the Prophet by some of the companions has been recorded in history.</w:t>
      </w:r>
    </w:p>
    <w:p>
      <w:pPr>
        <w:pStyle w:val="BookText"/>
        <w:bidi w:val="0"/>
        <w:jc w:val="both"/>
        <w:rPr/>
      </w:pPr>
      <w:r>
        <w:rPr>
          <w:rFonts w:eastAsia="Times New Roman" w:cs="Times New Roman" w:ascii="Times New Roman" w:hAnsi="Times New Roman"/>
          <w:color w:val="111111"/>
          <w:sz w:val="28"/>
          <w:szCs w:val="28"/>
          <w:lang w:val="en-US"/>
        </w:rPr>
        <w:t>The attempt to burn the house of Fatima and ‘Ali, denying them economic power by confiscating their property, and a forty-year campaign to smear and discredit them are just some of the ill workings made by those who stood to secure their power post and sway public opinion against the household of the Prophet.</w:t>
      </w:r>
    </w:p>
    <w:p>
      <w:pPr>
        <w:pStyle w:val="BookText"/>
        <w:bidi w:val="0"/>
        <w:jc w:val="both"/>
        <w:rPr/>
      </w:pPr>
      <w:r>
        <w:rPr>
          <w:rFonts w:eastAsia="Times New Roman" w:cs="Times New Roman" w:ascii="Times New Roman" w:hAnsi="Times New Roman"/>
          <w:color w:val="111111"/>
          <w:sz w:val="28"/>
          <w:szCs w:val="28"/>
          <w:lang w:val="en-US"/>
        </w:rPr>
        <w:t>Most notably, one of the most consequential effects on the ummah was depriving them of the unabridged sayings (Hadith) of the Prophet. The Prophet emphatically urged his companions to write his sayings, but unfortunately, those who held power prevented this writing, and even barred those from traveling so as to not inform others about the Prophet’s sayings.</w:t>
      </w:r>
    </w:p>
    <w:p>
      <w:pPr>
        <w:pStyle w:val="BookText"/>
        <w:bidi w:val="0"/>
        <w:jc w:val="both"/>
        <w:rPr/>
      </w:pPr>
      <w:r>
        <w:rPr>
          <w:rFonts w:eastAsia="Times New Roman" w:cs="Times New Roman" w:ascii="Times New Roman" w:hAnsi="Times New Roman"/>
          <w:color w:val="111111"/>
          <w:sz w:val="28"/>
          <w:szCs w:val="28"/>
          <w:lang w:val="en-US"/>
        </w:rPr>
        <w:t>Eventually, unsubstantiated hadith surfaced - even ludicrous ones - such as the hadith that exhorts the religious knowledge of the second caliph as being superior to that of the Prophet, or the Prophet frolicking with unveiled women! As a result, Muslim scholars had to develop the Science of Hadith, in which each hadith went under intense scrutiny to ascertain its authenticity.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followers of Ahlul Bayt continued to record the hadith and passed them along to their followers, nonetheless they were the minority as opposed to the majority who held public attitude. The trepidation of transmitting the hadith was a form of maintaining dominance of the caliphate, because had the hadith about the Ahlul Bayt (especially the Prophet’s appointment of ‘Ali Ibn Abi Talib</w:t>
      </w:r>
    </w:p>
    <w:p>
      <w:pPr>
        <w:pStyle w:val="BookText"/>
        <w:bidi w:val="0"/>
        <w:rPr/>
      </w:pPr>
      <w:r>
        <w:rPr>
          <w:rFonts w:eastAsia="Times New Roman" w:cs="Times New Roman" w:ascii="Times New Roman" w:hAnsi="Times New Roman"/>
          <w:color w:val="111111"/>
          <w:sz w:val="28"/>
          <w:szCs w:val="28"/>
          <w:lang w:val="en-US"/>
        </w:rPr>
        <w:t>as his successor and the importance of adhering to his family on numerous occasions) circulated, then the ummah would have known the truth. The consequence is that the people would have instigated a collapse of the illegitimate institute of the caliphate and those appointed.</w:t>
      </w:r>
    </w:p>
    <w:p>
      <w:pPr>
        <w:pStyle w:val="BookText"/>
        <w:bidi w:val="0"/>
        <w:jc w:val="both"/>
        <w:rPr/>
      </w:pPr>
      <w:r>
        <w:rPr>
          <w:rFonts w:eastAsia="Times New Roman" w:cs="Times New Roman" w:ascii="Times New Roman" w:hAnsi="Times New Roman"/>
          <w:color w:val="111111"/>
          <w:sz w:val="28"/>
          <w:szCs w:val="28"/>
          <w:lang w:val="en-US"/>
        </w:rPr>
        <w:t>Understanding that the historical and political aspects covered throughout this book may be delicate for some; nonetheless, never is it meant to be as a means to jostle sectarian division - this is far from my intention. I have maintained judicious care in the manner of presenting this work, but it is my belief that in order for Islam and Muslims to go forward in harmony and solidarity, we have to have the courage to recognize the truth of our past and rationally discuss the matter in a dignified and scholarly fashion.</w:t>
      </w:r>
    </w:p>
    <w:p>
      <w:pPr>
        <w:pStyle w:val="BookText"/>
        <w:bidi w:val="0"/>
        <w:jc w:val="both"/>
        <w:rPr/>
      </w:pPr>
      <w:r>
        <w:rPr>
          <w:rFonts w:eastAsia="Times New Roman" w:cs="Times New Roman" w:ascii="Times New Roman" w:hAnsi="Times New Roman"/>
          <w:color w:val="111111"/>
          <w:sz w:val="28"/>
          <w:szCs w:val="28"/>
          <w:lang w:val="en-US"/>
        </w:rPr>
        <w:t>When an injustice is done in the past against others, then it becomes incumbent upon the people of the present to acknowledge it and make amends. This needs to happen so that the Muslims can truly practice what Allah has intended for them - a religion of brotherhood, peace, and justice.</w:t>
      </w:r>
    </w:p>
    <w:p>
      <w:pPr>
        <w:pStyle w:val="BookText"/>
        <w:bidi w:val="0"/>
        <w:jc w:val="both"/>
        <w:rPr/>
      </w:pPr>
      <w:r>
        <w:rPr>
          <w:rFonts w:eastAsia="Times New Roman" w:cs="Times New Roman" w:ascii="Times New Roman" w:hAnsi="Times New Roman"/>
          <w:color w:val="111111"/>
          <w:sz w:val="28"/>
          <w:szCs w:val="28"/>
          <w:lang w:val="en-US"/>
        </w:rPr>
        <w:t>Until the end of time, even the most sincere Muslims will disagree upon what they truly believe is the most correct path. However, while accepting that there will be disagreement, it is important to represent each school of thought accurately - as it represents itself, and as reliable and mutually agreed-upon historical sources represents it, rather than continue to propagate confusion.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believe that the</w:t>
      </w:r>
      <w:bookmarkStart w:id="272" w:name="pg3581_22047"/>
    </w:p>
    <w:p>
      <w:pPr>
        <w:pStyle w:val="BookText"/>
        <w:bidi w:val="0"/>
        <w:rPr/>
      </w:pPr>
      <w:bookmarkEnd w:id="272"/>
      <w:r>
        <w:rPr>
          <w:rFonts w:eastAsia="Times New Roman" w:cs="Times New Roman" w:ascii="Times New Roman" w:hAnsi="Times New Roman"/>
          <w:color w:val="111111"/>
          <w:sz w:val="28"/>
          <w:szCs w:val="28"/>
          <w:lang w:val="en-US"/>
        </w:rPr>
        <w:t>divisions amongst the Muslims are an irreparable part of our history. If Muslims and non-Muslims can sit side by side, have intellectual and scholarly discussions, engage in a deeper understanding about each other’s faith, and then publish their findings, then what prevents responsible and respected Shi’a and Sunni Muslim scholars from doing the same? The time has come to hold such dialogue.</w:t>
      </w:r>
    </w:p>
    <w:p>
      <w:pPr>
        <w:pStyle w:val="BookText"/>
        <w:bidi w:val="0"/>
        <w:jc w:val="both"/>
        <w:rPr/>
      </w:pPr>
      <w:r>
        <w:rPr>
          <w:rFonts w:eastAsia="Times New Roman" w:cs="Times New Roman" w:ascii="Times New Roman" w:hAnsi="Times New Roman"/>
          <w:color w:val="111111"/>
          <w:sz w:val="28"/>
          <w:szCs w:val="28"/>
          <w:lang w:val="en-US"/>
        </w:rPr>
        <w:t>I continue to uphold and encourage an open and rational discussion policy with my colleagues. The invitation to hold such roundtable discussions remains open and is welcomed.</w:t>
      </w:r>
    </w:p>
    <w:p>
      <w:pPr>
        <w:pStyle w:val="Heading2"/>
        <w:numPr>
          <w:ilvl w:val="1"/>
          <w:numId w:val="1"/>
        </w:numPr>
        <w:bidi w:val="0"/>
        <w:jc w:val="left"/>
        <w:rPr/>
      </w:pPr>
      <w:bookmarkStart w:id="273" w:name="__RefHeading___Toc4074733_2749589250"/>
      <w:bookmarkStart w:id="274" w:name="_Toc105"/>
      <w:bookmarkEnd w:id="273"/>
      <w:r>
        <w:rPr/>
        <w:t>Glossary</w:t>
      </w:r>
      <w:bookmarkEnd w:id="274"/>
    </w:p>
    <w:p>
      <w:pPr>
        <w:pStyle w:val="Heading3"/>
        <w:numPr>
          <w:ilvl w:val="2"/>
          <w:numId w:val="1"/>
        </w:numPr>
        <w:bidi w:val="0"/>
        <w:jc w:val="left"/>
        <w:rPr/>
      </w:pPr>
      <w:bookmarkStart w:id="275" w:name="__RefHeading___Toc4074735_2749589250"/>
      <w:bookmarkStart w:id="276" w:name="_Toc106"/>
      <w:bookmarkEnd w:id="275"/>
      <w:r>
        <w:rPr/>
        <w:t>A</w:t>
      </w:r>
      <w:bookmarkEnd w:id="276"/>
    </w:p>
    <w:p>
      <w:pPr>
        <w:pStyle w:val="BookText"/>
        <w:bidi w:val="0"/>
        <w:jc w:val="both"/>
        <w:rPr/>
      </w:pPr>
      <w:r>
        <w:rPr>
          <w:rFonts w:eastAsia="Times New Roman" w:cs="Times New Roman" w:ascii="Times New Roman" w:hAnsi="Times New Roman"/>
          <w:color w:val="111111"/>
          <w:sz w:val="28"/>
          <w:szCs w:val="28"/>
          <w:lang w:val="en-US"/>
        </w:rPr>
        <w:t>Aam: general</w:t>
      </w:r>
    </w:p>
    <w:p>
      <w:pPr>
        <w:pStyle w:val="BookText"/>
        <w:bidi w:val="0"/>
        <w:jc w:val="both"/>
        <w:rPr/>
      </w:pPr>
      <w:r>
        <w:rPr>
          <w:rFonts w:eastAsia="Times New Roman" w:cs="Times New Roman" w:ascii="Times New Roman" w:hAnsi="Times New Roman"/>
          <w:color w:val="111111"/>
          <w:sz w:val="28"/>
          <w:szCs w:val="28"/>
          <w:lang w:val="en-US"/>
        </w:rPr>
        <w:t>Abdullah: slave or servant of Allah</w:t>
      </w:r>
    </w:p>
    <w:p>
      <w:pPr>
        <w:pStyle w:val="BookText"/>
        <w:bidi w:val="0"/>
        <w:jc w:val="both"/>
        <w:rPr/>
      </w:pPr>
      <w:r>
        <w:rPr>
          <w:rFonts w:eastAsia="Times New Roman" w:cs="Times New Roman" w:ascii="Times New Roman" w:hAnsi="Times New Roman"/>
          <w:color w:val="111111"/>
          <w:sz w:val="28"/>
          <w:szCs w:val="28"/>
          <w:lang w:val="en-US"/>
        </w:rPr>
        <w:t>Abi (abi): father of…</w:t>
      </w:r>
    </w:p>
    <w:p>
      <w:pPr>
        <w:pStyle w:val="BookText"/>
        <w:bidi w:val="0"/>
        <w:jc w:val="both"/>
        <w:rPr/>
      </w:pPr>
      <w:r>
        <w:rPr>
          <w:rFonts w:eastAsia="Times New Roman" w:cs="Times New Roman" w:ascii="Times New Roman" w:hAnsi="Times New Roman"/>
          <w:color w:val="111111"/>
          <w:sz w:val="28"/>
          <w:szCs w:val="28"/>
          <w:lang w:val="en-US"/>
        </w:rPr>
        <w:t>Adalah: justice or integrity</w:t>
      </w:r>
    </w:p>
    <w:p>
      <w:pPr>
        <w:pStyle w:val="BookText"/>
        <w:bidi w:val="0"/>
        <w:jc w:val="both"/>
        <w:rPr/>
      </w:pPr>
      <w:r>
        <w:rPr>
          <w:rFonts w:eastAsia="Times New Roman" w:cs="Times New Roman" w:ascii="Times New Roman" w:hAnsi="Times New Roman"/>
          <w:color w:val="111111"/>
          <w:sz w:val="28"/>
          <w:szCs w:val="28"/>
          <w:lang w:val="en-US"/>
        </w:rPr>
        <w:t>Adhan: Muslim call to prayer</w:t>
      </w:r>
    </w:p>
    <w:p>
      <w:pPr>
        <w:pStyle w:val="BookText"/>
        <w:bidi w:val="0"/>
        <w:jc w:val="both"/>
        <w:rPr/>
      </w:pPr>
      <w:r>
        <w:rPr>
          <w:rFonts w:eastAsia="Times New Roman" w:cs="Times New Roman" w:ascii="Times New Roman" w:hAnsi="Times New Roman"/>
          <w:color w:val="111111"/>
          <w:sz w:val="28"/>
          <w:szCs w:val="28"/>
          <w:lang w:val="en-US"/>
        </w:rPr>
        <w:t>Ajr: reward</w:t>
      </w:r>
    </w:p>
    <w:p>
      <w:pPr>
        <w:pStyle w:val="BookText"/>
        <w:bidi w:val="0"/>
        <w:jc w:val="both"/>
        <w:rPr/>
      </w:pPr>
      <w:r>
        <w:rPr>
          <w:rFonts w:eastAsia="Times New Roman" w:cs="Times New Roman" w:ascii="Times New Roman" w:hAnsi="Times New Roman"/>
          <w:color w:val="111111"/>
          <w:sz w:val="28"/>
          <w:szCs w:val="28"/>
          <w:lang w:val="en-US"/>
        </w:rPr>
        <w:t>Ambiya: prophets</w:t>
      </w:r>
    </w:p>
    <w:p>
      <w:pPr>
        <w:pStyle w:val="BookText"/>
        <w:bidi w:val="0"/>
        <w:jc w:val="both"/>
        <w:rPr/>
      </w:pPr>
      <w:r>
        <w:rPr>
          <w:rFonts w:eastAsia="Times New Roman" w:cs="Times New Roman" w:ascii="Times New Roman" w:hAnsi="Times New Roman"/>
          <w:color w:val="111111"/>
          <w:sz w:val="28"/>
          <w:szCs w:val="28"/>
          <w:lang w:val="en-US"/>
        </w:rPr>
        <w:t>Ameen: trustworthy</w:t>
      </w:r>
    </w:p>
    <w:p>
      <w:pPr>
        <w:pStyle w:val="BookText"/>
        <w:bidi w:val="0"/>
        <w:jc w:val="both"/>
        <w:rPr/>
      </w:pPr>
      <w:r>
        <w:rPr>
          <w:rFonts w:eastAsia="Times New Roman" w:cs="Times New Roman" w:ascii="Times New Roman" w:hAnsi="Times New Roman"/>
          <w:color w:val="111111"/>
          <w:sz w:val="28"/>
          <w:szCs w:val="28"/>
          <w:lang w:val="en-US"/>
        </w:rPr>
        <w:t>Amir: commander</w:t>
      </w:r>
    </w:p>
    <w:p>
      <w:pPr>
        <w:pStyle w:val="BookText"/>
        <w:bidi w:val="0"/>
        <w:jc w:val="both"/>
        <w:rPr/>
      </w:pPr>
      <w:r>
        <w:rPr>
          <w:rFonts w:eastAsia="Times New Roman" w:cs="Times New Roman" w:ascii="Times New Roman" w:hAnsi="Times New Roman"/>
          <w:color w:val="111111"/>
          <w:sz w:val="28"/>
          <w:szCs w:val="28"/>
          <w:lang w:val="en-US"/>
        </w:rPr>
        <w:t>Ara(a): opinion(s)</w:t>
      </w:r>
    </w:p>
    <w:p>
      <w:pPr>
        <w:pStyle w:val="BookText"/>
        <w:bidi w:val="0"/>
        <w:jc w:val="both"/>
        <w:rPr/>
      </w:pPr>
      <w:r>
        <w:rPr>
          <w:rFonts w:eastAsia="Times New Roman" w:cs="Times New Roman" w:ascii="Times New Roman" w:hAnsi="Times New Roman"/>
          <w:color w:val="111111"/>
          <w:sz w:val="28"/>
          <w:szCs w:val="28"/>
          <w:lang w:val="en-US"/>
        </w:rPr>
        <w:t>Asabiyah: bigotry (p.20)</w:t>
      </w:r>
    </w:p>
    <w:p>
      <w:pPr>
        <w:pStyle w:val="BookText"/>
        <w:bidi w:val="0"/>
        <w:jc w:val="both"/>
        <w:rPr/>
      </w:pPr>
      <w:r>
        <w:rPr>
          <w:rFonts w:eastAsia="Times New Roman" w:cs="Times New Roman" w:ascii="Times New Roman" w:hAnsi="Times New Roman"/>
          <w:color w:val="111111"/>
          <w:sz w:val="28"/>
          <w:szCs w:val="28"/>
          <w:lang w:val="en-US"/>
        </w:rPr>
        <w:t>Athar: text</w:t>
      </w:r>
    </w:p>
    <w:p>
      <w:pPr>
        <w:pStyle w:val="BookText"/>
        <w:bidi w:val="0"/>
        <w:jc w:val="both"/>
        <w:rPr/>
      </w:pPr>
      <w:r>
        <w:rPr>
          <w:rFonts w:eastAsia="Times New Roman" w:cs="Times New Roman" w:ascii="Times New Roman" w:hAnsi="Times New Roman"/>
          <w:color w:val="111111"/>
          <w:sz w:val="28"/>
          <w:szCs w:val="28"/>
          <w:lang w:val="en-US"/>
        </w:rPr>
        <w:t>Awla: has more authority (p.9)</w:t>
      </w:r>
    </w:p>
    <w:p>
      <w:pPr>
        <w:pStyle w:val="BookText"/>
        <w:bidi w:val="0"/>
        <w:jc w:val="both"/>
        <w:rPr/>
      </w:pPr>
      <w:r>
        <w:rPr>
          <w:rFonts w:eastAsia="Times New Roman" w:cs="Times New Roman" w:ascii="Times New Roman" w:hAnsi="Times New Roman"/>
          <w:color w:val="111111"/>
          <w:sz w:val="28"/>
          <w:szCs w:val="28"/>
          <w:lang w:val="en-US"/>
        </w:rPr>
        <w:t>Ayah: Qur’anic verse</w:t>
      </w:r>
    </w:p>
    <w:p>
      <w:pPr>
        <w:pStyle w:val="Heading3"/>
        <w:numPr>
          <w:ilvl w:val="2"/>
          <w:numId w:val="1"/>
        </w:numPr>
        <w:bidi w:val="0"/>
        <w:jc w:val="left"/>
        <w:rPr/>
      </w:pPr>
      <w:bookmarkStart w:id="277" w:name="__RefHeading___Toc4074737_2749589250"/>
      <w:bookmarkStart w:id="278" w:name="_Toc107"/>
      <w:bookmarkEnd w:id="277"/>
      <w:r>
        <w:rPr/>
        <w:t>B</w:t>
      </w:r>
      <w:bookmarkEnd w:id="278"/>
    </w:p>
    <w:p>
      <w:pPr>
        <w:pStyle w:val="BookText"/>
        <w:bidi w:val="0"/>
        <w:jc w:val="both"/>
        <w:rPr/>
      </w:pPr>
      <w:r>
        <w:rPr>
          <w:rFonts w:eastAsia="Times New Roman" w:cs="Times New Roman" w:ascii="Times New Roman" w:hAnsi="Times New Roman"/>
          <w:color w:val="111111"/>
          <w:sz w:val="28"/>
          <w:szCs w:val="28"/>
          <w:lang w:val="en-US"/>
        </w:rPr>
        <w:t>Baatil: falsehood</w:t>
      </w:r>
    </w:p>
    <w:p>
      <w:pPr>
        <w:pStyle w:val="BookText"/>
        <w:bidi w:val="0"/>
        <w:jc w:val="both"/>
        <w:rPr/>
      </w:pPr>
      <w:r>
        <w:rPr>
          <w:rFonts w:eastAsia="Times New Roman" w:cs="Times New Roman" w:ascii="Times New Roman" w:hAnsi="Times New Roman"/>
          <w:color w:val="111111"/>
          <w:sz w:val="28"/>
          <w:szCs w:val="28"/>
          <w:lang w:val="en-US"/>
        </w:rPr>
        <w:t>Bayah: allegiance</w:t>
      </w:r>
    </w:p>
    <w:p>
      <w:pPr>
        <w:pStyle w:val="BookText"/>
        <w:bidi w:val="0"/>
        <w:jc w:val="both"/>
        <w:rPr/>
      </w:pPr>
      <w:r>
        <w:rPr>
          <w:rFonts w:eastAsia="Times New Roman" w:cs="Times New Roman" w:ascii="Times New Roman" w:hAnsi="Times New Roman"/>
          <w:color w:val="111111"/>
          <w:sz w:val="28"/>
          <w:szCs w:val="28"/>
          <w:lang w:val="en-US"/>
        </w:rPr>
        <w:t>Bayt al-mal: public treasury</w:t>
      </w:r>
    </w:p>
    <w:p>
      <w:pPr>
        <w:pStyle w:val="BookText"/>
        <w:bidi w:val="0"/>
        <w:jc w:val="both"/>
        <w:rPr/>
      </w:pPr>
      <w:r>
        <w:rPr>
          <w:rFonts w:eastAsia="Times New Roman" w:cs="Times New Roman" w:ascii="Times New Roman" w:hAnsi="Times New Roman"/>
          <w:color w:val="111111"/>
          <w:sz w:val="28"/>
          <w:szCs w:val="28"/>
          <w:lang w:val="en-US"/>
        </w:rPr>
        <w:t>Bidah: religious innovation</w:t>
      </w:r>
    </w:p>
    <w:p>
      <w:pPr>
        <w:pStyle w:val="BookText"/>
        <w:bidi w:val="0"/>
        <w:jc w:val="both"/>
        <w:rPr/>
      </w:pPr>
      <w:r>
        <w:rPr>
          <w:rFonts w:eastAsia="Times New Roman" w:cs="Times New Roman" w:ascii="Times New Roman" w:hAnsi="Times New Roman"/>
          <w:color w:val="111111"/>
          <w:sz w:val="28"/>
          <w:szCs w:val="28"/>
          <w:lang w:val="en-US"/>
        </w:rPr>
        <w:t>Bint: daughter of…</w:t>
      </w:r>
    </w:p>
    <w:p>
      <w:pPr>
        <w:pStyle w:val="Heading3"/>
        <w:numPr>
          <w:ilvl w:val="2"/>
          <w:numId w:val="1"/>
        </w:numPr>
        <w:bidi w:val="0"/>
        <w:jc w:val="left"/>
        <w:rPr/>
      </w:pPr>
      <w:bookmarkStart w:id="279" w:name="__RefHeading___Toc4074739_2749589250"/>
      <w:bookmarkStart w:id="280" w:name="_Toc108"/>
      <w:bookmarkEnd w:id="279"/>
      <w:r>
        <w:rPr/>
        <w:t>D</w:t>
      </w:r>
      <w:bookmarkEnd w:id="280"/>
    </w:p>
    <w:p>
      <w:pPr>
        <w:pStyle w:val="BookText"/>
        <w:bidi w:val="0"/>
        <w:jc w:val="both"/>
        <w:rPr/>
      </w:pPr>
      <w:r>
        <w:rPr>
          <w:rFonts w:eastAsia="Times New Roman" w:cs="Times New Roman" w:ascii="Times New Roman" w:hAnsi="Times New Roman"/>
          <w:color w:val="111111"/>
          <w:sz w:val="28"/>
          <w:szCs w:val="28"/>
          <w:lang w:val="en-US"/>
        </w:rPr>
        <w:t>Diyyah: blood money</w:t>
      </w:r>
    </w:p>
    <w:p>
      <w:pPr>
        <w:pStyle w:val="BookText"/>
        <w:bidi w:val="0"/>
        <w:jc w:val="both"/>
        <w:rPr/>
      </w:pPr>
      <w:r>
        <w:rPr>
          <w:rFonts w:eastAsia="Times New Roman" w:cs="Times New Roman" w:ascii="Times New Roman" w:hAnsi="Times New Roman"/>
          <w:color w:val="111111"/>
          <w:sz w:val="28"/>
          <w:szCs w:val="28"/>
          <w:lang w:val="en-US"/>
        </w:rPr>
        <w:t>Durrah: stick</w:t>
      </w:r>
    </w:p>
    <w:p>
      <w:pPr>
        <w:pStyle w:val="BookText"/>
        <w:bidi w:val="0"/>
        <w:jc w:val="both"/>
        <w:rPr/>
      </w:pPr>
      <w:r>
        <w:rPr>
          <w:rFonts w:eastAsia="Times New Roman" w:cs="Times New Roman" w:ascii="Times New Roman" w:hAnsi="Times New Roman"/>
          <w:color w:val="111111"/>
          <w:sz w:val="28"/>
          <w:szCs w:val="28"/>
          <w:lang w:val="en-US"/>
        </w:rPr>
        <w:t>Deen: faith</w:t>
      </w:r>
    </w:p>
    <w:p>
      <w:pPr>
        <w:pStyle w:val="BookText"/>
        <w:bidi w:val="0"/>
        <w:jc w:val="both"/>
        <w:rPr/>
      </w:pPr>
      <w:r>
        <w:rPr>
          <w:rFonts w:eastAsia="Times New Roman" w:cs="Times New Roman" w:ascii="Times New Roman" w:hAnsi="Times New Roman"/>
          <w:color w:val="111111"/>
          <w:sz w:val="28"/>
          <w:szCs w:val="28"/>
          <w:lang w:val="en-US"/>
        </w:rPr>
        <w:t>Dinars: golden coin currency</w:t>
      </w:r>
    </w:p>
    <w:p>
      <w:pPr>
        <w:pStyle w:val="BookText"/>
        <w:bidi w:val="0"/>
        <w:jc w:val="both"/>
        <w:rPr/>
      </w:pPr>
      <w:r>
        <w:rPr>
          <w:rFonts w:eastAsia="Times New Roman" w:cs="Times New Roman" w:ascii="Times New Roman" w:hAnsi="Times New Roman"/>
          <w:color w:val="111111"/>
          <w:sz w:val="28"/>
          <w:szCs w:val="28"/>
          <w:lang w:val="en-US"/>
        </w:rPr>
        <w:t>Dirhams: silver coin currency</w:t>
      </w:r>
    </w:p>
    <w:p>
      <w:pPr>
        <w:pStyle w:val="BookText"/>
        <w:bidi w:val="0"/>
        <w:jc w:val="both"/>
        <w:rPr/>
      </w:pPr>
      <w:r>
        <w:rPr>
          <w:rFonts w:eastAsia="Times New Roman" w:cs="Times New Roman" w:ascii="Times New Roman" w:hAnsi="Times New Roman"/>
          <w:color w:val="111111"/>
          <w:sz w:val="28"/>
          <w:szCs w:val="28"/>
          <w:lang w:val="en-US"/>
        </w:rPr>
        <w:t>Dunyah: life</w:t>
      </w:r>
    </w:p>
    <w:p>
      <w:pPr>
        <w:pStyle w:val="Heading3"/>
        <w:numPr>
          <w:ilvl w:val="2"/>
          <w:numId w:val="1"/>
        </w:numPr>
        <w:bidi w:val="0"/>
        <w:jc w:val="left"/>
        <w:rPr/>
      </w:pPr>
      <w:bookmarkStart w:id="281" w:name="__RefHeading___Toc4074741_2749589250"/>
      <w:bookmarkStart w:id="282" w:name="_Toc109"/>
      <w:bookmarkEnd w:id="281"/>
      <w:r>
        <w:rPr/>
        <w:t>F</w:t>
      </w:r>
      <w:bookmarkEnd w:id="282"/>
    </w:p>
    <w:p>
      <w:pPr>
        <w:pStyle w:val="BookText"/>
        <w:bidi w:val="0"/>
        <w:jc w:val="both"/>
        <w:rPr/>
      </w:pPr>
      <w:r>
        <w:rPr>
          <w:rFonts w:eastAsia="Times New Roman" w:cs="Times New Roman" w:ascii="Times New Roman" w:hAnsi="Times New Roman"/>
          <w:color w:val="111111"/>
          <w:sz w:val="28"/>
          <w:szCs w:val="28"/>
          <w:lang w:val="en-US"/>
        </w:rPr>
        <w:t>Faasiq: disbeliever</w:t>
      </w:r>
    </w:p>
    <w:p>
      <w:pPr>
        <w:pStyle w:val="BookText"/>
        <w:bidi w:val="0"/>
        <w:jc w:val="both"/>
        <w:rPr/>
      </w:pPr>
      <w:r>
        <w:rPr>
          <w:rFonts w:eastAsia="Times New Roman" w:cs="Times New Roman" w:ascii="Times New Roman" w:hAnsi="Times New Roman"/>
          <w:color w:val="111111"/>
          <w:sz w:val="28"/>
          <w:szCs w:val="28"/>
          <w:lang w:val="en-US"/>
        </w:rPr>
        <w:t>Fusuq: impiety</w:t>
      </w:r>
    </w:p>
    <w:p>
      <w:pPr>
        <w:pStyle w:val="BookText"/>
        <w:bidi w:val="0"/>
        <w:jc w:val="both"/>
        <w:rPr/>
      </w:pPr>
      <w:r>
        <w:rPr>
          <w:rFonts w:eastAsia="Times New Roman" w:cs="Times New Roman" w:ascii="Times New Roman" w:hAnsi="Times New Roman"/>
          <w:color w:val="111111"/>
          <w:sz w:val="28"/>
          <w:szCs w:val="28"/>
          <w:lang w:val="en-US"/>
        </w:rPr>
        <w:t>Fay: income for all of the Muslim community</w:t>
      </w:r>
    </w:p>
    <w:p>
      <w:pPr>
        <w:pStyle w:val="BookText"/>
        <w:bidi w:val="0"/>
        <w:jc w:val="both"/>
        <w:rPr/>
      </w:pPr>
      <w:r>
        <w:rPr>
          <w:rFonts w:eastAsia="Times New Roman" w:cs="Times New Roman" w:ascii="Times New Roman" w:hAnsi="Times New Roman"/>
          <w:color w:val="111111"/>
          <w:sz w:val="28"/>
          <w:szCs w:val="28"/>
          <w:lang w:val="en-US"/>
        </w:rPr>
        <w:t>Fuqaha: jurists</w:t>
      </w:r>
    </w:p>
    <w:p>
      <w:pPr>
        <w:pStyle w:val="Heading3"/>
        <w:numPr>
          <w:ilvl w:val="2"/>
          <w:numId w:val="1"/>
        </w:numPr>
        <w:bidi w:val="0"/>
        <w:jc w:val="left"/>
        <w:rPr/>
      </w:pPr>
      <w:bookmarkStart w:id="283" w:name="__RefHeading___Toc4074743_2749589250"/>
      <w:bookmarkStart w:id="284" w:name="_Toc110"/>
      <w:bookmarkEnd w:id="283"/>
      <w:r>
        <w:rPr/>
        <w:t>G</w:t>
      </w:r>
      <w:bookmarkEnd w:id="284"/>
    </w:p>
    <w:p>
      <w:pPr>
        <w:pStyle w:val="BookText"/>
        <w:bidi w:val="0"/>
        <w:jc w:val="both"/>
        <w:rPr/>
      </w:pPr>
      <w:r>
        <w:rPr>
          <w:rFonts w:eastAsia="Times New Roman" w:cs="Times New Roman" w:ascii="Times New Roman" w:hAnsi="Times New Roman"/>
          <w:color w:val="111111"/>
          <w:sz w:val="28"/>
          <w:szCs w:val="28"/>
          <w:lang w:val="en-US"/>
        </w:rPr>
        <w:t>Ghazw: military dispatch</w:t>
      </w:r>
    </w:p>
    <w:p>
      <w:pPr>
        <w:pStyle w:val="BookText"/>
        <w:bidi w:val="0"/>
        <w:jc w:val="both"/>
        <w:rPr/>
      </w:pPr>
      <w:r>
        <w:rPr>
          <w:rFonts w:eastAsia="Times New Roman" w:cs="Times New Roman" w:ascii="Times New Roman" w:hAnsi="Times New Roman"/>
          <w:color w:val="111111"/>
          <w:sz w:val="28"/>
          <w:szCs w:val="28"/>
          <w:lang w:val="en-US"/>
        </w:rPr>
        <w:t>Ghina: singing</w:t>
      </w:r>
    </w:p>
    <w:p>
      <w:pPr>
        <w:pStyle w:val="Heading3"/>
        <w:numPr>
          <w:ilvl w:val="2"/>
          <w:numId w:val="1"/>
        </w:numPr>
        <w:bidi w:val="0"/>
        <w:jc w:val="left"/>
        <w:rPr/>
      </w:pPr>
      <w:bookmarkStart w:id="285" w:name="__RefHeading___Toc4074745_2749589250"/>
      <w:bookmarkStart w:id="286" w:name="_Toc111"/>
      <w:bookmarkEnd w:id="285"/>
      <w:r>
        <w:rPr/>
        <w:t>H</w:t>
      </w:r>
      <w:bookmarkEnd w:id="286"/>
    </w:p>
    <w:p>
      <w:pPr>
        <w:pStyle w:val="BookText"/>
        <w:bidi w:val="0"/>
        <w:jc w:val="both"/>
        <w:rPr/>
      </w:pPr>
      <w:r>
        <w:rPr>
          <w:rFonts w:eastAsia="Times New Roman" w:cs="Times New Roman" w:ascii="Times New Roman" w:hAnsi="Times New Roman"/>
          <w:color w:val="111111"/>
          <w:sz w:val="28"/>
          <w:szCs w:val="28"/>
          <w:lang w:val="en-US"/>
        </w:rPr>
        <w:t>Hadi: guide</w:t>
      </w:r>
    </w:p>
    <w:p>
      <w:pPr>
        <w:pStyle w:val="BookText"/>
        <w:bidi w:val="0"/>
        <w:jc w:val="both"/>
        <w:rPr/>
      </w:pPr>
      <w:r>
        <w:rPr>
          <w:rFonts w:eastAsia="Times New Roman" w:cs="Times New Roman" w:ascii="Times New Roman" w:hAnsi="Times New Roman"/>
          <w:color w:val="111111"/>
          <w:sz w:val="28"/>
          <w:szCs w:val="28"/>
          <w:lang w:val="en-US"/>
        </w:rPr>
        <w:t>Hadith: practice and saying of the Holy Prophet</w:t>
      </w:r>
    </w:p>
    <w:p>
      <w:pPr>
        <w:pStyle w:val="BookText"/>
        <w:bidi w:val="0"/>
        <w:jc w:val="both"/>
        <w:rPr/>
      </w:pPr>
      <w:r>
        <w:rPr>
          <w:rFonts w:eastAsia="Times New Roman" w:cs="Times New Roman" w:ascii="Times New Roman" w:hAnsi="Times New Roman"/>
          <w:color w:val="111111"/>
          <w:sz w:val="28"/>
          <w:szCs w:val="28"/>
          <w:lang w:val="en-US"/>
        </w:rPr>
        <w:t>Hijab: covering for a Muslim woman</w:t>
      </w:r>
    </w:p>
    <w:p>
      <w:pPr>
        <w:pStyle w:val="BookText"/>
        <w:bidi w:val="0"/>
        <w:jc w:val="both"/>
        <w:rPr/>
      </w:pPr>
      <w:r>
        <w:rPr>
          <w:rFonts w:eastAsia="Times New Roman" w:cs="Times New Roman" w:ascii="Times New Roman" w:hAnsi="Times New Roman"/>
          <w:color w:val="111111"/>
          <w:sz w:val="28"/>
          <w:szCs w:val="28"/>
          <w:lang w:val="en-US"/>
        </w:rPr>
        <w:t>Hijrah: migration (there are two known Muslim hijrah: lesser hijrah; was when a small group (70 Muslims) escaped from Mecca to Ethiopia, and the most famous was, the migration from Mecca to Madinah by the Prophet and his followers)</w:t>
      </w:r>
    </w:p>
    <w:p>
      <w:pPr>
        <w:pStyle w:val="BookText"/>
        <w:bidi w:val="0"/>
        <w:jc w:val="both"/>
        <w:rPr/>
      </w:pPr>
      <w:r>
        <w:rPr>
          <w:rFonts w:eastAsia="Times New Roman" w:cs="Times New Roman" w:ascii="Times New Roman" w:hAnsi="Times New Roman"/>
          <w:color w:val="111111"/>
          <w:sz w:val="28"/>
          <w:szCs w:val="28"/>
          <w:lang w:val="en-US"/>
        </w:rPr>
        <w:t>Hijrah: Islamic lunar calendar – and also defined as: the start of the Islamic year</w:t>
      </w:r>
    </w:p>
    <w:p>
      <w:pPr>
        <w:pStyle w:val="BookText"/>
        <w:bidi w:val="0"/>
        <w:jc w:val="both"/>
        <w:rPr/>
      </w:pPr>
      <w:r>
        <w:rPr>
          <w:rFonts w:eastAsia="Times New Roman" w:cs="Times New Roman" w:ascii="Times New Roman" w:hAnsi="Times New Roman"/>
          <w:color w:val="111111"/>
          <w:sz w:val="28"/>
          <w:szCs w:val="28"/>
          <w:lang w:val="en-US"/>
        </w:rPr>
        <w:t>Huffaz: narrators</w:t>
      </w:r>
    </w:p>
    <w:p>
      <w:pPr>
        <w:pStyle w:val="BookText"/>
        <w:bidi w:val="0"/>
        <w:jc w:val="both"/>
        <w:rPr/>
      </w:pPr>
      <w:r>
        <w:rPr>
          <w:rFonts w:eastAsia="Times New Roman" w:cs="Times New Roman" w:ascii="Times New Roman" w:hAnsi="Times New Roman"/>
          <w:color w:val="111111"/>
          <w:sz w:val="28"/>
          <w:szCs w:val="28"/>
          <w:lang w:val="en-US"/>
        </w:rPr>
        <w:t>Hujjaj: pilgrims</w:t>
      </w:r>
    </w:p>
    <w:p>
      <w:pPr>
        <w:pStyle w:val="Heading3"/>
        <w:numPr>
          <w:ilvl w:val="2"/>
          <w:numId w:val="1"/>
        </w:numPr>
        <w:bidi w:val="0"/>
        <w:jc w:val="left"/>
        <w:rPr/>
      </w:pPr>
      <w:bookmarkStart w:id="287" w:name="__RefHeading___Toc4074747_2749589250"/>
      <w:bookmarkStart w:id="288" w:name="_Toc112"/>
      <w:bookmarkEnd w:id="287"/>
      <w:r>
        <w:rPr/>
        <w:t>I</w:t>
      </w:r>
      <w:bookmarkEnd w:id="288"/>
    </w:p>
    <w:p>
      <w:pPr>
        <w:pStyle w:val="BookText"/>
        <w:bidi w:val="0"/>
        <w:jc w:val="both"/>
        <w:rPr/>
      </w:pPr>
      <w:r>
        <w:rPr>
          <w:rFonts w:eastAsia="Times New Roman" w:cs="Times New Roman" w:ascii="Times New Roman" w:hAnsi="Times New Roman"/>
          <w:color w:val="111111"/>
          <w:sz w:val="28"/>
          <w:szCs w:val="28"/>
          <w:lang w:val="en-US"/>
        </w:rPr>
        <w:t>Ibn : son of ...</w:t>
      </w:r>
    </w:p>
    <w:p>
      <w:pPr>
        <w:pStyle w:val="BookText"/>
        <w:bidi w:val="0"/>
        <w:jc w:val="both"/>
        <w:rPr/>
      </w:pPr>
      <w:r>
        <w:rPr>
          <w:rFonts w:eastAsia="Times New Roman" w:cs="Times New Roman" w:ascii="Times New Roman" w:hAnsi="Times New Roman"/>
          <w:color w:val="111111"/>
          <w:sz w:val="28"/>
          <w:szCs w:val="28"/>
          <w:lang w:val="en-US"/>
        </w:rPr>
        <w:t>Ifta: giving religious edict</w:t>
      </w:r>
    </w:p>
    <w:p>
      <w:pPr>
        <w:pStyle w:val="BookText"/>
        <w:bidi w:val="0"/>
        <w:jc w:val="both"/>
        <w:rPr/>
      </w:pPr>
      <w:r>
        <w:rPr>
          <w:rFonts w:eastAsia="Times New Roman" w:cs="Times New Roman" w:ascii="Times New Roman" w:hAnsi="Times New Roman"/>
          <w:color w:val="111111"/>
          <w:sz w:val="28"/>
          <w:szCs w:val="28"/>
          <w:lang w:val="en-US"/>
        </w:rPr>
        <w:t>Ihdath: a new innovation</w:t>
      </w:r>
    </w:p>
    <w:p>
      <w:pPr>
        <w:pStyle w:val="BookText"/>
        <w:bidi w:val="0"/>
        <w:jc w:val="both"/>
        <w:rPr/>
      </w:pPr>
      <w:r>
        <w:rPr>
          <w:rFonts w:eastAsia="Times New Roman" w:cs="Times New Roman" w:ascii="Times New Roman" w:hAnsi="Times New Roman"/>
          <w:color w:val="111111"/>
          <w:sz w:val="28"/>
          <w:szCs w:val="28"/>
          <w:lang w:val="en-US"/>
        </w:rPr>
        <w:t>Ijtihad: deducing Muslim law</w:t>
      </w:r>
    </w:p>
    <w:p>
      <w:pPr>
        <w:pStyle w:val="BookText"/>
        <w:bidi w:val="0"/>
        <w:jc w:val="both"/>
        <w:rPr/>
      </w:pPr>
      <w:r>
        <w:rPr>
          <w:rFonts w:eastAsia="Times New Roman" w:cs="Times New Roman" w:ascii="Times New Roman" w:hAnsi="Times New Roman"/>
          <w:color w:val="111111"/>
          <w:sz w:val="28"/>
          <w:szCs w:val="28"/>
          <w:lang w:val="en-US"/>
        </w:rPr>
        <w:t>Imamah: leadership</w:t>
      </w:r>
    </w:p>
    <w:p>
      <w:pPr>
        <w:pStyle w:val="BookText"/>
        <w:bidi w:val="0"/>
        <w:jc w:val="both"/>
        <w:rPr/>
      </w:pPr>
      <w:r>
        <w:rPr>
          <w:rFonts w:eastAsia="Times New Roman" w:cs="Times New Roman" w:ascii="Times New Roman" w:hAnsi="Times New Roman"/>
          <w:color w:val="111111"/>
          <w:sz w:val="28"/>
          <w:szCs w:val="28"/>
          <w:lang w:val="en-US"/>
        </w:rPr>
        <w:t>Intahayna: stopped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Iqamah: refers to the second call for the prayer that follows the first call (adhan). It</w:t>
      </w:r>
      <w:bookmarkStart w:id="289" w:name="pg3581_22048"/>
    </w:p>
    <w:p>
      <w:pPr>
        <w:pStyle w:val="BookText"/>
        <w:bidi w:val="0"/>
        <w:rPr/>
      </w:pPr>
      <w:bookmarkEnd w:id="289"/>
      <w:r>
        <w:rPr>
          <w:rFonts w:eastAsia="Times New Roman" w:cs="Times New Roman" w:ascii="Times New Roman" w:hAnsi="Times New Roman"/>
          <w:color w:val="111111"/>
          <w:sz w:val="28"/>
          <w:szCs w:val="28"/>
          <w:lang w:val="en-US"/>
        </w:rPr>
        <w:t>means that the prayer is ready to start</w:t>
      </w:r>
    </w:p>
    <w:p>
      <w:pPr>
        <w:pStyle w:val="BookText"/>
        <w:bidi w:val="0"/>
        <w:jc w:val="both"/>
        <w:rPr/>
      </w:pPr>
      <w:r>
        <w:rPr>
          <w:rFonts w:eastAsia="Times New Roman" w:cs="Times New Roman" w:ascii="Times New Roman" w:hAnsi="Times New Roman"/>
          <w:color w:val="111111"/>
          <w:sz w:val="28"/>
          <w:szCs w:val="28"/>
          <w:lang w:val="en-US"/>
        </w:rPr>
        <w:t>Isnad: chain of narrators</w:t>
      </w:r>
    </w:p>
    <w:p>
      <w:pPr>
        <w:pStyle w:val="BookText"/>
        <w:bidi w:val="0"/>
        <w:jc w:val="both"/>
        <w:rPr/>
      </w:pPr>
      <w:r>
        <w:rPr>
          <w:rFonts w:eastAsia="Times New Roman" w:cs="Times New Roman" w:ascii="Times New Roman" w:hAnsi="Times New Roman"/>
          <w:color w:val="111111"/>
          <w:sz w:val="28"/>
          <w:szCs w:val="28"/>
          <w:lang w:val="en-US"/>
        </w:rPr>
        <w:t>Itrati: my family</w:t>
      </w:r>
    </w:p>
    <w:p>
      <w:pPr>
        <w:pStyle w:val="Heading3"/>
        <w:numPr>
          <w:ilvl w:val="2"/>
          <w:numId w:val="1"/>
        </w:numPr>
        <w:bidi w:val="0"/>
        <w:jc w:val="left"/>
        <w:rPr/>
      </w:pPr>
      <w:bookmarkStart w:id="290" w:name="__RefHeading___Toc4074749_2749589250"/>
      <w:bookmarkStart w:id="291" w:name="_Toc113"/>
      <w:bookmarkEnd w:id="290"/>
      <w:r>
        <w:rPr/>
        <w:t>J</w:t>
      </w:r>
      <w:bookmarkEnd w:id="291"/>
    </w:p>
    <w:p>
      <w:pPr>
        <w:pStyle w:val="BookText"/>
        <w:bidi w:val="0"/>
        <w:jc w:val="both"/>
        <w:rPr/>
      </w:pPr>
      <w:r>
        <w:rPr>
          <w:rFonts w:eastAsia="Times New Roman" w:cs="Times New Roman" w:ascii="Times New Roman" w:hAnsi="Times New Roman"/>
          <w:color w:val="111111"/>
          <w:sz w:val="28"/>
          <w:szCs w:val="28"/>
          <w:lang w:val="en-US"/>
        </w:rPr>
        <w:t>Jahiliyyah: ignorance (pre-Islamic era)</w:t>
      </w:r>
    </w:p>
    <w:p>
      <w:pPr>
        <w:pStyle w:val="BookText"/>
        <w:bidi w:val="0"/>
        <w:jc w:val="both"/>
        <w:rPr/>
      </w:pPr>
      <w:r>
        <w:rPr>
          <w:rFonts w:eastAsia="Times New Roman" w:cs="Times New Roman" w:ascii="Times New Roman" w:hAnsi="Times New Roman"/>
          <w:color w:val="111111"/>
          <w:sz w:val="28"/>
          <w:szCs w:val="28"/>
          <w:lang w:val="en-US"/>
        </w:rPr>
        <w:t>Janabah: ritual impurity</w:t>
      </w:r>
    </w:p>
    <w:p>
      <w:pPr>
        <w:pStyle w:val="BookText"/>
        <w:bidi w:val="0"/>
        <w:jc w:val="both"/>
        <w:rPr/>
      </w:pPr>
      <w:r>
        <w:rPr>
          <w:rFonts w:eastAsia="Times New Roman" w:cs="Times New Roman" w:ascii="Times New Roman" w:hAnsi="Times New Roman"/>
          <w:color w:val="111111"/>
          <w:sz w:val="28"/>
          <w:szCs w:val="28"/>
          <w:lang w:val="en-US"/>
        </w:rPr>
        <w:t>Jinn: spirits</w:t>
      </w:r>
    </w:p>
    <w:p>
      <w:pPr>
        <w:pStyle w:val="Heading3"/>
        <w:numPr>
          <w:ilvl w:val="2"/>
          <w:numId w:val="1"/>
        </w:numPr>
        <w:bidi w:val="0"/>
        <w:jc w:val="left"/>
        <w:rPr/>
      </w:pPr>
      <w:bookmarkStart w:id="292" w:name="__RefHeading___Toc4074751_2749589250"/>
      <w:bookmarkStart w:id="293" w:name="_Toc114"/>
      <w:bookmarkEnd w:id="292"/>
      <w:r>
        <w:rPr/>
        <w:t>K</w:t>
      </w:r>
      <w:bookmarkEnd w:id="293"/>
    </w:p>
    <w:p>
      <w:pPr>
        <w:pStyle w:val="BookText"/>
        <w:bidi w:val="0"/>
        <w:jc w:val="both"/>
        <w:rPr/>
      </w:pPr>
      <w:r>
        <w:rPr>
          <w:rFonts w:eastAsia="Times New Roman" w:cs="Times New Roman" w:ascii="Times New Roman" w:hAnsi="Times New Roman"/>
          <w:color w:val="111111"/>
          <w:sz w:val="28"/>
          <w:szCs w:val="28"/>
          <w:lang w:val="en-US"/>
        </w:rPr>
        <w:t>Khass: specific</w:t>
      </w:r>
    </w:p>
    <w:p>
      <w:pPr>
        <w:pStyle w:val="BookText"/>
        <w:bidi w:val="0"/>
        <w:jc w:val="both"/>
        <w:rPr/>
      </w:pPr>
      <w:r>
        <w:rPr>
          <w:rFonts w:eastAsia="Times New Roman" w:cs="Times New Roman" w:ascii="Times New Roman" w:hAnsi="Times New Roman"/>
          <w:color w:val="111111"/>
          <w:sz w:val="28"/>
          <w:szCs w:val="28"/>
          <w:lang w:val="en-US"/>
        </w:rPr>
        <w:t>Khalifah: leader</w:t>
      </w:r>
    </w:p>
    <w:p>
      <w:pPr>
        <w:pStyle w:val="BookText"/>
        <w:bidi w:val="0"/>
        <w:jc w:val="both"/>
        <w:rPr/>
      </w:pPr>
      <w:r>
        <w:rPr>
          <w:rFonts w:eastAsia="Times New Roman" w:cs="Times New Roman" w:ascii="Times New Roman" w:hAnsi="Times New Roman"/>
          <w:color w:val="111111"/>
          <w:sz w:val="28"/>
          <w:szCs w:val="28"/>
          <w:lang w:val="en-US"/>
        </w:rPr>
        <w:t>Khazima: single evidence</w:t>
      </w:r>
    </w:p>
    <w:p>
      <w:pPr>
        <w:pStyle w:val="BookText"/>
        <w:bidi w:val="0"/>
        <w:jc w:val="both"/>
        <w:rPr/>
      </w:pPr>
      <w:r>
        <w:rPr>
          <w:rFonts w:eastAsia="Times New Roman" w:cs="Times New Roman" w:ascii="Times New Roman" w:hAnsi="Times New Roman"/>
          <w:color w:val="111111"/>
          <w:sz w:val="28"/>
          <w:szCs w:val="28"/>
          <w:lang w:val="en-US"/>
        </w:rPr>
        <w:t>Khilafat: leadership</w:t>
      </w:r>
    </w:p>
    <w:p>
      <w:pPr>
        <w:pStyle w:val="BookText"/>
        <w:bidi w:val="0"/>
        <w:jc w:val="both"/>
        <w:rPr/>
      </w:pPr>
      <w:r>
        <w:rPr>
          <w:rFonts w:eastAsia="Times New Roman" w:cs="Times New Roman" w:ascii="Times New Roman" w:hAnsi="Times New Roman"/>
          <w:color w:val="111111"/>
          <w:sz w:val="28"/>
          <w:szCs w:val="28"/>
          <w:lang w:val="en-US"/>
        </w:rPr>
        <w:t>Kisa: cloak</w:t>
      </w:r>
    </w:p>
    <w:p>
      <w:pPr>
        <w:pStyle w:val="BookText"/>
        <w:bidi w:val="0"/>
        <w:jc w:val="both"/>
        <w:rPr/>
      </w:pPr>
      <w:r>
        <w:rPr>
          <w:rFonts w:eastAsia="Times New Roman" w:cs="Times New Roman" w:ascii="Times New Roman" w:hAnsi="Times New Roman"/>
          <w:color w:val="111111"/>
          <w:sz w:val="28"/>
          <w:szCs w:val="28"/>
          <w:lang w:val="en-US"/>
        </w:rPr>
        <w:t>Kufr: apostasy</w:t>
      </w:r>
    </w:p>
    <w:p>
      <w:pPr>
        <w:pStyle w:val="Heading3"/>
        <w:numPr>
          <w:ilvl w:val="2"/>
          <w:numId w:val="1"/>
        </w:numPr>
        <w:bidi w:val="0"/>
        <w:jc w:val="left"/>
        <w:rPr/>
      </w:pPr>
      <w:bookmarkStart w:id="294" w:name="__RefHeading___Toc4074753_2749589250"/>
      <w:bookmarkStart w:id="295" w:name="_Toc115"/>
      <w:bookmarkEnd w:id="294"/>
      <w:r>
        <w:rPr/>
        <w:t>M</w:t>
      </w:r>
      <w:bookmarkEnd w:id="295"/>
    </w:p>
    <w:p>
      <w:pPr>
        <w:pStyle w:val="BookText"/>
        <w:bidi w:val="0"/>
        <w:jc w:val="both"/>
        <w:rPr/>
      </w:pPr>
      <w:r>
        <w:rPr>
          <w:rFonts w:eastAsia="Times New Roman" w:cs="Times New Roman" w:ascii="Times New Roman" w:hAnsi="Times New Roman"/>
          <w:color w:val="111111"/>
          <w:sz w:val="28"/>
          <w:szCs w:val="28"/>
          <w:lang w:val="en-US"/>
        </w:rPr>
        <w:t>(al-)Madhab: school of Islamic thought</w:t>
      </w:r>
    </w:p>
    <w:p>
      <w:pPr>
        <w:pStyle w:val="BookText"/>
        <w:bidi w:val="0"/>
        <w:jc w:val="both"/>
        <w:rPr/>
      </w:pPr>
      <w:r>
        <w:rPr>
          <w:rFonts w:eastAsia="Times New Roman" w:cs="Times New Roman" w:ascii="Times New Roman" w:hAnsi="Times New Roman"/>
          <w:color w:val="111111"/>
          <w:sz w:val="28"/>
          <w:szCs w:val="28"/>
          <w:lang w:val="en-US"/>
        </w:rPr>
        <w:t>Mahdi: guided one</w:t>
      </w:r>
    </w:p>
    <w:p>
      <w:pPr>
        <w:pStyle w:val="BookText"/>
        <w:bidi w:val="0"/>
        <w:jc w:val="both"/>
        <w:rPr/>
      </w:pPr>
      <w:r>
        <w:rPr>
          <w:rFonts w:eastAsia="Times New Roman" w:cs="Times New Roman" w:ascii="Times New Roman" w:hAnsi="Times New Roman"/>
          <w:color w:val="111111"/>
          <w:sz w:val="28"/>
          <w:szCs w:val="28"/>
          <w:lang w:val="en-US"/>
        </w:rPr>
        <w:t>Masjid: mosque</w:t>
      </w:r>
    </w:p>
    <w:p>
      <w:pPr>
        <w:pStyle w:val="BookText"/>
        <w:bidi w:val="0"/>
        <w:jc w:val="both"/>
        <w:rPr/>
      </w:pPr>
      <w:r>
        <w:rPr>
          <w:rFonts w:eastAsia="Times New Roman" w:cs="Times New Roman" w:ascii="Times New Roman" w:hAnsi="Times New Roman"/>
          <w:color w:val="111111"/>
          <w:sz w:val="28"/>
          <w:szCs w:val="28"/>
          <w:lang w:val="en-US"/>
        </w:rPr>
        <w:t>Mawla: guardian, leader, or master</w:t>
      </w:r>
    </w:p>
    <w:p>
      <w:pPr>
        <w:pStyle w:val="BookText"/>
        <w:bidi w:val="0"/>
        <w:jc w:val="both"/>
        <w:rPr/>
      </w:pPr>
      <w:r>
        <w:rPr>
          <w:rFonts w:eastAsia="Times New Roman" w:cs="Times New Roman" w:ascii="Times New Roman" w:hAnsi="Times New Roman"/>
          <w:color w:val="111111"/>
          <w:sz w:val="28"/>
          <w:szCs w:val="28"/>
          <w:lang w:val="en-US"/>
        </w:rPr>
        <w:t>Minbar: pulpit</w:t>
      </w:r>
    </w:p>
    <w:p>
      <w:pPr>
        <w:pStyle w:val="BookText"/>
        <w:bidi w:val="0"/>
        <w:jc w:val="both"/>
        <w:rPr/>
      </w:pPr>
      <w:r>
        <w:rPr>
          <w:rFonts w:eastAsia="Times New Roman" w:cs="Times New Roman" w:ascii="Times New Roman" w:hAnsi="Times New Roman"/>
          <w:color w:val="111111"/>
          <w:sz w:val="28"/>
          <w:szCs w:val="28"/>
          <w:lang w:val="en-US"/>
        </w:rPr>
        <w:t>Muadhdhin: the person calling out the call to prayer (also called: muezzin)</w:t>
      </w:r>
    </w:p>
    <w:p>
      <w:pPr>
        <w:pStyle w:val="BookText"/>
        <w:bidi w:val="0"/>
        <w:jc w:val="both"/>
        <w:rPr/>
      </w:pPr>
      <w:r>
        <w:rPr>
          <w:rFonts w:eastAsia="Times New Roman" w:cs="Times New Roman" w:ascii="Times New Roman" w:hAnsi="Times New Roman"/>
          <w:color w:val="111111"/>
          <w:sz w:val="28"/>
          <w:szCs w:val="28"/>
          <w:lang w:val="en-US"/>
        </w:rPr>
        <w:t>Mubayan: clearly recognized</w:t>
      </w:r>
    </w:p>
    <w:p>
      <w:pPr>
        <w:pStyle w:val="BookText"/>
        <w:bidi w:val="0"/>
        <w:jc w:val="both"/>
        <w:rPr/>
      </w:pPr>
      <w:r>
        <w:rPr>
          <w:rFonts w:eastAsia="Times New Roman" w:cs="Times New Roman" w:ascii="Times New Roman" w:hAnsi="Times New Roman"/>
          <w:color w:val="111111"/>
          <w:sz w:val="28"/>
          <w:szCs w:val="28"/>
          <w:lang w:val="en-US"/>
        </w:rPr>
        <w:t>Mubahilah: invocation</w:t>
      </w:r>
    </w:p>
    <w:p>
      <w:pPr>
        <w:pStyle w:val="BookText"/>
        <w:bidi w:val="0"/>
        <w:jc w:val="both"/>
        <w:rPr/>
      </w:pPr>
      <w:r>
        <w:rPr>
          <w:rFonts w:eastAsia="Times New Roman" w:cs="Times New Roman" w:ascii="Times New Roman" w:hAnsi="Times New Roman"/>
          <w:color w:val="111111"/>
          <w:sz w:val="28"/>
          <w:szCs w:val="28"/>
          <w:lang w:val="en-US"/>
        </w:rPr>
        <w:t>Muhaddithun: narrators</w:t>
      </w:r>
    </w:p>
    <w:p>
      <w:pPr>
        <w:pStyle w:val="BookText"/>
        <w:bidi w:val="0"/>
        <w:jc w:val="both"/>
        <w:rPr/>
      </w:pPr>
      <w:r>
        <w:rPr>
          <w:rFonts w:eastAsia="Times New Roman" w:cs="Times New Roman" w:ascii="Times New Roman" w:hAnsi="Times New Roman"/>
          <w:color w:val="111111"/>
          <w:sz w:val="28"/>
          <w:szCs w:val="28"/>
          <w:lang w:val="en-US"/>
        </w:rPr>
        <w:t>Muhaddith: narrator of hadith</w:t>
      </w:r>
    </w:p>
    <w:p>
      <w:pPr>
        <w:pStyle w:val="BookText"/>
        <w:bidi w:val="0"/>
        <w:jc w:val="both"/>
        <w:rPr/>
      </w:pPr>
      <w:r>
        <w:rPr>
          <w:rFonts w:eastAsia="Times New Roman" w:cs="Times New Roman" w:ascii="Times New Roman" w:hAnsi="Times New Roman"/>
          <w:color w:val="111111"/>
          <w:sz w:val="28"/>
          <w:szCs w:val="28"/>
          <w:lang w:val="en-US"/>
        </w:rPr>
        <w:t>Muhkam: fundamental or basic</w:t>
      </w:r>
    </w:p>
    <w:p>
      <w:pPr>
        <w:pStyle w:val="BookText"/>
        <w:bidi w:val="0"/>
        <w:jc w:val="both"/>
        <w:rPr/>
      </w:pPr>
      <w:r>
        <w:rPr>
          <w:rFonts w:eastAsia="Times New Roman" w:cs="Times New Roman" w:ascii="Times New Roman" w:hAnsi="Times New Roman"/>
          <w:color w:val="111111"/>
          <w:sz w:val="28"/>
          <w:szCs w:val="28"/>
          <w:lang w:val="en-US"/>
        </w:rPr>
        <w:t>Munsukh: abrogated</w:t>
      </w:r>
    </w:p>
    <w:p>
      <w:pPr>
        <w:pStyle w:val="BookText"/>
        <w:bidi w:val="0"/>
        <w:jc w:val="both"/>
        <w:rPr/>
      </w:pPr>
      <w:r>
        <w:rPr>
          <w:rFonts w:eastAsia="Times New Roman" w:cs="Times New Roman" w:ascii="Times New Roman" w:hAnsi="Times New Roman"/>
          <w:color w:val="111111"/>
          <w:sz w:val="28"/>
          <w:szCs w:val="28"/>
          <w:lang w:val="en-US"/>
        </w:rPr>
        <w:t>Mujmal: unexplained</w:t>
      </w:r>
    </w:p>
    <w:p>
      <w:pPr>
        <w:pStyle w:val="BookText"/>
        <w:bidi w:val="0"/>
        <w:jc w:val="both"/>
        <w:rPr/>
      </w:pPr>
      <w:r>
        <w:rPr>
          <w:rFonts w:eastAsia="Times New Roman" w:cs="Times New Roman" w:ascii="Times New Roman" w:hAnsi="Times New Roman"/>
          <w:color w:val="111111"/>
          <w:sz w:val="28"/>
          <w:szCs w:val="28"/>
          <w:lang w:val="en-US"/>
        </w:rPr>
        <w:t>Mushnat: Jewish scripts</w:t>
      </w:r>
    </w:p>
    <w:p>
      <w:pPr>
        <w:pStyle w:val="BookText"/>
        <w:bidi w:val="0"/>
        <w:jc w:val="both"/>
        <w:rPr/>
      </w:pPr>
      <w:r>
        <w:rPr>
          <w:rFonts w:eastAsia="Times New Roman" w:cs="Times New Roman" w:ascii="Times New Roman" w:hAnsi="Times New Roman"/>
          <w:color w:val="111111"/>
          <w:sz w:val="28"/>
          <w:szCs w:val="28"/>
          <w:lang w:val="en-US"/>
        </w:rPr>
        <w:t>Mushrikeen (plural) (mushrik: singular): a person who associate someone or something with God)</w:t>
      </w:r>
    </w:p>
    <w:p>
      <w:pPr>
        <w:pStyle w:val="BookText"/>
        <w:bidi w:val="0"/>
        <w:jc w:val="both"/>
        <w:rPr/>
      </w:pPr>
      <w:r>
        <w:rPr>
          <w:rFonts w:eastAsia="Times New Roman" w:cs="Times New Roman" w:ascii="Times New Roman" w:hAnsi="Times New Roman"/>
          <w:color w:val="111111"/>
          <w:sz w:val="28"/>
          <w:szCs w:val="28"/>
          <w:lang w:val="en-US"/>
        </w:rPr>
        <w:t>Mutashabih: vague</w:t>
      </w:r>
    </w:p>
    <w:p>
      <w:pPr>
        <w:pStyle w:val="Heading3"/>
        <w:numPr>
          <w:ilvl w:val="2"/>
          <w:numId w:val="1"/>
        </w:numPr>
        <w:bidi w:val="0"/>
        <w:jc w:val="left"/>
        <w:rPr/>
      </w:pPr>
      <w:bookmarkStart w:id="296" w:name="__RefHeading___Toc4074755_2749589250"/>
      <w:bookmarkStart w:id="297" w:name="_Toc116"/>
      <w:bookmarkEnd w:id="296"/>
      <w:r>
        <w:rPr/>
        <w:t>N</w:t>
      </w:r>
      <w:bookmarkEnd w:id="297"/>
    </w:p>
    <w:p>
      <w:pPr>
        <w:pStyle w:val="BookText"/>
        <w:bidi w:val="0"/>
        <w:jc w:val="both"/>
        <w:rPr/>
      </w:pPr>
      <w:r>
        <w:rPr>
          <w:rFonts w:eastAsia="Times New Roman" w:cs="Times New Roman" w:ascii="Times New Roman" w:hAnsi="Times New Roman"/>
          <w:color w:val="111111"/>
          <w:sz w:val="28"/>
          <w:szCs w:val="28"/>
          <w:lang w:val="en-US"/>
        </w:rPr>
        <w:t>Nabeeth: a form of wine</w:t>
      </w:r>
    </w:p>
    <w:p>
      <w:pPr>
        <w:pStyle w:val="BookText"/>
        <w:bidi w:val="0"/>
        <w:jc w:val="both"/>
        <w:rPr/>
      </w:pPr>
      <w:r>
        <w:rPr>
          <w:rFonts w:eastAsia="Times New Roman" w:cs="Times New Roman" w:ascii="Times New Roman" w:hAnsi="Times New Roman"/>
          <w:color w:val="111111"/>
          <w:sz w:val="28"/>
          <w:szCs w:val="28"/>
          <w:lang w:val="en-US"/>
        </w:rPr>
        <w:t>Nasikh: abrogating</w:t>
      </w:r>
    </w:p>
    <w:p>
      <w:pPr>
        <w:pStyle w:val="Heading3"/>
        <w:numPr>
          <w:ilvl w:val="2"/>
          <w:numId w:val="1"/>
        </w:numPr>
        <w:bidi w:val="0"/>
        <w:jc w:val="left"/>
        <w:rPr/>
      </w:pPr>
      <w:bookmarkStart w:id="298" w:name="__RefHeading___Toc4074757_2749589250"/>
      <w:bookmarkStart w:id="299" w:name="_Toc117"/>
      <w:bookmarkEnd w:id="298"/>
      <w:r>
        <w:rPr/>
        <w:t>Q</w:t>
      </w:r>
      <w:bookmarkEnd w:id="299"/>
    </w:p>
    <w:p>
      <w:pPr>
        <w:pStyle w:val="BookText"/>
        <w:bidi w:val="0"/>
        <w:jc w:val="both"/>
        <w:rPr/>
      </w:pPr>
      <w:r>
        <w:rPr>
          <w:rFonts w:eastAsia="Times New Roman" w:cs="Times New Roman" w:ascii="Times New Roman" w:hAnsi="Times New Roman"/>
          <w:color w:val="111111"/>
          <w:sz w:val="28"/>
          <w:szCs w:val="28"/>
          <w:lang w:val="en-US"/>
        </w:rPr>
        <w:t>Qadha: judiciary leadership</w:t>
      </w:r>
    </w:p>
    <w:p>
      <w:pPr>
        <w:pStyle w:val="BookText"/>
        <w:bidi w:val="0"/>
        <w:jc w:val="both"/>
        <w:rPr/>
      </w:pPr>
      <w:r>
        <w:rPr>
          <w:rFonts w:eastAsia="Times New Roman" w:cs="Times New Roman" w:ascii="Times New Roman" w:hAnsi="Times New Roman"/>
          <w:color w:val="111111"/>
          <w:sz w:val="28"/>
          <w:szCs w:val="28"/>
          <w:lang w:val="en-US"/>
        </w:rPr>
        <w:t>(al-)Qada: judiciary system</w:t>
      </w:r>
    </w:p>
    <w:p>
      <w:pPr>
        <w:pStyle w:val="BookText"/>
        <w:bidi w:val="0"/>
        <w:jc w:val="both"/>
        <w:rPr/>
      </w:pPr>
      <w:r>
        <w:rPr>
          <w:rFonts w:eastAsia="Times New Roman" w:cs="Times New Roman" w:ascii="Times New Roman" w:hAnsi="Times New Roman"/>
          <w:color w:val="111111"/>
          <w:sz w:val="28"/>
          <w:szCs w:val="28"/>
          <w:lang w:val="en-US"/>
        </w:rPr>
        <w:t>Qasr: shortened version</w:t>
      </w:r>
    </w:p>
    <w:p>
      <w:pPr>
        <w:pStyle w:val="BookText"/>
        <w:bidi w:val="0"/>
        <w:jc w:val="both"/>
        <w:rPr/>
      </w:pPr>
      <w:r>
        <w:rPr>
          <w:rFonts w:eastAsia="Times New Roman" w:cs="Times New Roman" w:ascii="Times New Roman" w:hAnsi="Times New Roman"/>
          <w:color w:val="111111"/>
          <w:sz w:val="28"/>
          <w:szCs w:val="28"/>
          <w:lang w:val="en-US"/>
        </w:rPr>
        <w:t>Qayyid(u): document</w:t>
      </w:r>
    </w:p>
    <w:p>
      <w:pPr>
        <w:pStyle w:val="BookText"/>
        <w:bidi w:val="0"/>
        <w:jc w:val="both"/>
        <w:rPr/>
      </w:pPr>
      <w:r>
        <w:rPr>
          <w:rFonts w:eastAsia="Times New Roman" w:cs="Times New Roman" w:ascii="Times New Roman" w:hAnsi="Times New Roman"/>
          <w:color w:val="111111"/>
          <w:sz w:val="28"/>
          <w:szCs w:val="28"/>
          <w:lang w:val="en-US"/>
        </w:rPr>
        <w:t>Qayyim: self-subsisting</w:t>
      </w:r>
    </w:p>
    <w:p>
      <w:pPr>
        <w:pStyle w:val="BookText"/>
        <w:bidi w:val="0"/>
        <w:jc w:val="both"/>
        <w:rPr/>
      </w:pPr>
      <w:r>
        <w:rPr>
          <w:rFonts w:eastAsia="Times New Roman" w:cs="Times New Roman" w:ascii="Times New Roman" w:hAnsi="Times New Roman"/>
          <w:color w:val="111111"/>
          <w:sz w:val="28"/>
          <w:szCs w:val="28"/>
          <w:lang w:val="en-US"/>
        </w:rPr>
        <w:t>Qiyas: analogy</w:t>
      </w:r>
    </w:p>
    <w:p>
      <w:pPr>
        <w:pStyle w:val="Heading3"/>
        <w:numPr>
          <w:ilvl w:val="2"/>
          <w:numId w:val="1"/>
        </w:numPr>
        <w:bidi w:val="0"/>
        <w:jc w:val="left"/>
        <w:rPr/>
      </w:pPr>
      <w:bookmarkStart w:id="300" w:name="__RefHeading___Toc4074759_2749589250"/>
      <w:bookmarkStart w:id="301" w:name="_Toc118"/>
      <w:bookmarkEnd w:id="300"/>
      <w:r>
        <w:rPr/>
        <w:t>R</w:t>
      </w:r>
      <w:bookmarkEnd w:id="301"/>
    </w:p>
    <w:p>
      <w:pPr>
        <w:pStyle w:val="BookText"/>
        <w:bidi w:val="0"/>
        <w:jc w:val="both"/>
        <w:rPr/>
      </w:pPr>
      <w:r>
        <w:rPr>
          <w:rFonts w:eastAsia="Times New Roman" w:cs="Times New Roman" w:ascii="Times New Roman" w:hAnsi="Times New Roman"/>
          <w:color w:val="111111"/>
          <w:sz w:val="28"/>
          <w:szCs w:val="28"/>
          <w:lang w:val="en-US"/>
        </w:rPr>
        <w:t>Rafidah: rejecters</w:t>
      </w:r>
    </w:p>
    <w:p>
      <w:pPr>
        <w:pStyle w:val="BookText"/>
        <w:bidi w:val="0"/>
        <w:jc w:val="both"/>
        <w:rPr/>
      </w:pPr>
      <w:r>
        <w:rPr>
          <w:rFonts w:eastAsia="Times New Roman" w:cs="Times New Roman" w:ascii="Times New Roman" w:hAnsi="Times New Roman"/>
          <w:color w:val="111111"/>
          <w:sz w:val="28"/>
          <w:szCs w:val="28"/>
          <w:lang w:val="en-US"/>
        </w:rPr>
        <w:t>Ra´i: opinion</w:t>
      </w:r>
    </w:p>
    <w:p>
      <w:pPr>
        <w:pStyle w:val="BookText"/>
        <w:bidi w:val="0"/>
        <w:jc w:val="both"/>
        <w:rPr/>
      </w:pPr>
      <w:r>
        <w:rPr>
          <w:rFonts w:eastAsia="Times New Roman" w:cs="Times New Roman" w:ascii="Times New Roman" w:hAnsi="Times New Roman"/>
          <w:color w:val="111111"/>
          <w:sz w:val="28"/>
          <w:szCs w:val="28"/>
          <w:lang w:val="en-US"/>
        </w:rPr>
        <w:t>Raja: return</w:t>
      </w:r>
    </w:p>
    <w:p>
      <w:pPr>
        <w:pStyle w:val="BookText"/>
        <w:bidi w:val="0"/>
        <w:jc w:val="both"/>
        <w:rPr/>
      </w:pPr>
      <w:r>
        <w:rPr>
          <w:rFonts w:eastAsia="Times New Roman" w:cs="Times New Roman" w:ascii="Times New Roman" w:hAnsi="Times New Roman"/>
          <w:color w:val="111111"/>
          <w:sz w:val="28"/>
          <w:szCs w:val="28"/>
          <w:lang w:val="en-US"/>
        </w:rPr>
        <w:t>Rakat(s): unit(s) of prayer</w:t>
      </w:r>
    </w:p>
    <w:p>
      <w:pPr>
        <w:pStyle w:val="BookText"/>
        <w:bidi w:val="0"/>
        <w:jc w:val="both"/>
        <w:rPr/>
      </w:pPr>
      <w:r>
        <w:rPr>
          <w:rFonts w:eastAsia="Times New Roman" w:cs="Times New Roman" w:ascii="Times New Roman" w:hAnsi="Times New Roman"/>
          <w:color w:val="111111"/>
          <w:sz w:val="28"/>
          <w:szCs w:val="28"/>
          <w:lang w:val="en-US"/>
        </w:rPr>
        <w:t>Riyasah: leadership</w:t>
      </w:r>
    </w:p>
    <w:p>
      <w:pPr>
        <w:pStyle w:val="BookText"/>
        <w:bidi w:val="0"/>
        <w:jc w:val="both"/>
        <w:rPr/>
      </w:pPr>
      <w:r>
        <w:rPr>
          <w:rFonts w:eastAsia="Times New Roman" w:cs="Times New Roman" w:ascii="Times New Roman" w:hAnsi="Times New Roman"/>
          <w:color w:val="111111"/>
          <w:sz w:val="28"/>
          <w:szCs w:val="28"/>
          <w:lang w:val="en-US"/>
        </w:rPr>
        <w:t>Rukhsah: leniency</w:t>
      </w:r>
    </w:p>
    <w:p>
      <w:pPr>
        <w:pStyle w:val="Heading3"/>
        <w:numPr>
          <w:ilvl w:val="2"/>
          <w:numId w:val="1"/>
        </w:numPr>
        <w:bidi w:val="0"/>
        <w:jc w:val="left"/>
        <w:rPr/>
      </w:pPr>
      <w:bookmarkStart w:id="302" w:name="__RefHeading___Toc4074761_2749589250"/>
      <w:bookmarkStart w:id="303" w:name="_Toc119"/>
      <w:bookmarkEnd w:id="302"/>
      <w:r>
        <w:rPr/>
        <w:t>S</w:t>
      </w:r>
      <w:bookmarkEnd w:id="303"/>
    </w:p>
    <w:p>
      <w:pPr>
        <w:pStyle w:val="BookText"/>
        <w:bidi w:val="0"/>
        <w:jc w:val="both"/>
        <w:rPr/>
      </w:pPr>
      <w:r>
        <w:rPr>
          <w:rFonts w:eastAsia="Times New Roman" w:cs="Times New Roman" w:ascii="Times New Roman" w:hAnsi="Times New Roman"/>
          <w:color w:val="111111"/>
          <w:sz w:val="28"/>
          <w:szCs w:val="28"/>
          <w:lang w:val="en-US"/>
        </w:rPr>
        <w:t>Sadaq: truthful</w:t>
      </w:r>
    </w:p>
    <w:p>
      <w:pPr>
        <w:pStyle w:val="BookText"/>
        <w:bidi w:val="0"/>
        <w:jc w:val="both"/>
        <w:rPr/>
      </w:pPr>
      <w:r>
        <w:rPr>
          <w:rFonts w:eastAsia="Times New Roman" w:cs="Times New Roman" w:ascii="Times New Roman" w:hAnsi="Times New Roman"/>
          <w:color w:val="111111"/>
          <w:sz w:val="28"/>
          <w:szCs w:val="28"/>
          <w:lang w:val="en-US"/>
        </w:rPr>
        <w:t>Sahaabah: companions</w:t>
      </w:r>
    </w:p>
    <w:p>
      <w:pPr>
        <w:pStyle w:val="BookText"/>
        <w:bidi w:val="0"/>
        <w:jc w:val="both"/>
        <w:rPr/>
      </w:pPr>
      <w:r>
        <w:rPr>
          <w:rFonts w:eastAsia="Times New Roman" w:cs="Times New Roman" w:ascii="Times New Roman" w:hAnsi="Times New Roman"/>
          <w:color w:val="111111"/>
          <w:sz w:val="28"/>
          <w:szCs w:val="28"/>
          <w:lang w:val="en-US"/>
        </w:rPr>
        <w:t>Shadaid: harshness</w:t>
      </w:r>
    </w:p>
    <w:p>
      <w:pPr>
        <w:pStyle w:val="BookText"/>
        <w:bidi w:val="0"/>
        <w:jc w:val="both"/>
        <w:rPr/>
      </w:pPr>
      <w:r>
        <w:rPr>
          <w:rFonts w:eastAsia="Times New Roman" w:cs="Times New Roman" w:ascii="Times New Roman" w:hAnsi="Times New Roman"/>
          <w:color w:val="111111"/>
          <w:sz w:val="28"/>
          <w:szCs w:val="28"/>
          <w:lang w:val="en-US"/>
        </w:rPr>
        <w:t>Shaheed: witness</w:t>
      </w:r>
    </w:p>
    <w:p>
      <w:pPr>
        <w:pStyle w:val="BookText"/>
        <w:bidi w:val="0"/>
        <w:jc w:val="both"/>
        <w:rPr/>
      </w:pPr>
      <w:r>
        <w:rPr>
          <w:rFonts w:eastAsia="Times New Roman" w:cs="Times New Roman" w:ascii="Times New Roman" w:hAnsi="Times New Roman"/>
          <w:color w:val="111111"/>
          <w:sz w:val="28"/>
          <w:szCs w:val="28"/>
          <w:lang w:val="en-US"/>
        </w:rPr>
        <w:t>Sharia: law</w:t>
      </w:r>
    </w:p>
    <w:p>
      <w:pPr>
        <w:pStyle w:val="BookText"/>
        <w:bidi w:val="0"/>
        <w:jc w:val="both"/>
        <w:rPr/>
      </w:pPr>
      <w:r>
        <w:rPr>
          <w:rFonts w:eastAsia="Times New Roman" w:cs="Times New Roman" w:ascii="Times New Roman" w:hAnsi="Times New Roman"/>
          <w:color w:val="111111"/>
          <w:sz w:val="28"/>
          <w:szCs w:val="28"/>
          <w:lang w:val="en-US"/>
        </w:rPr>
        <w:t>Shaytan: Satan</w:t>
      </w:r>
    </w:p>
    <w:p>
      <w:pPr>
        <w:pStyle w:val="BookText"/>
        <w:bidi w:val="0"/>
        <w:jc w:val="both"/>
        <w:rPr/>
      </w:pPr>
      <w:r>
        <w:rPr>
          <w:rFonts w:eastAsia="Times New Roman" w:cs="Times New Roman" w:ascii="Times New Roman" w:hAnsi="Times New Roman"/>
          <w:color w:val="111111"/>
          <w:sz w:val="28"/>
          <w:szCs w:val="28"/>
          <w:lang w:val="en-US"/>
        </w:rPr>
        <w:t>Shawath: eccentricity</w:t>
      </w:r>
    </w:p>
    <w:p>
      <w:pPr>
        <w:pStyle w:val="BookText"/>
        <w:bidi w:val="0"/>
        <w:jc w:val="both"/>
        <w:rPr/>
      </w:pPr>
      <w:r>
        <w:rPr>
          <w:rFonts w:eastAsia="Times New Roman" w:cs="Times New Roman" w:ascii="Times New Roman" w:hAnsi="Times New Roman"/>
          <w:color w:val="111111"/>
          <w:sz w:val="28"/>
          <w:szCs w:val="28"/>
          <w:lang w:val="en-US"/>
        </w:rPr>
        <w:t>Siddiq: truthful person</w:t>
      </w:r>
    </w:p>
    <w:p>
      <w:pPr>
        <w:pStyle w:val="BookText"/>
        <w:bidi w:val="0"/>
        <w:jc w:val="both"/>
        <w:rPr/>
      </w:pPr>
      <w:r>
        <w:rPr>
          <w:rFonts w:eastAsia="Times New Roman" w:cs="Times New Roman" w:ascii="Times New Roman" w:hAnsi="Times New Roman"/>
          <w:color w:val="111111"/>
          <w:sz w:val="28"/>
          <w:szCs w:val="28"/>
          <w:lang w:val="en-US"/>
        </w:rPr>
        <w:t>Surah: chapter of the Qur’an</w:t>
      </w:r>
    </w:p>
    <w:p>
      <w:pPr>
        <w:pStyle w:val="BookText"/>
        <w:bidi w:val="0"/>
        <w:jc w:val="both"/>
        <w:rPr/>
      </w:pPr>
      <w:r>
        <w:rPr>
          <w:rFonts w:eastAsia="Times New Roman" w:cs="Times New Roman" w:ascii="Times New Roman" w:hAnsi="Times New Roman"/>
          <w:color w:val="111111"/>
          <w:sz w:val="28"/>
          <w:szCs w:val="28"/>
          <w:lang w:val="en-US"/>
        </w:rPr>
        <w:t>Shura: consultation</w:t>
      </w:r>
    </w:p>
    <w:p>
      <w:pPr>
        <w:pStyle w:val="Heading3"/>
        <w:numPr>
          <w:ilvl w:val="2"/>
          <w:numId w:val="1"/>
        </w:numPr>
        <w:bidi w:val="0"/>
        <w:jc w:val="left"/>
        <w:rPr/>
      </w:pPr>
      <w:bookmarkStart w:id="304" w:name="__RefHeading___Toc4074763_2749589250"/>
      <w:bookmarkStart w:id="305" w:name="_Toc120"/>
      <w:bookmarkEnd w:id="304"/>
      <w:r>
        <w:rPr/>
        <w:t>T</w:t>
      </w:r>
      <w:bookmarkEnd w:id="305"/>
    </w:p>
    <w:p>
      <w:pPr>
        <w:pStyle w:val="BookText"/>
        <w:bidi w:val="0"/>
        <w:jc w:val="both"/>
        <w:rPr/>
      </w:pPr>
      <w:r>
        <w:rPr>
          <w:rFonts w:eastAsia="Times New Roman" w:cs="Times New Roman" w:ascii="Times New Roman" w:hAnsi="Times New Roman"/>
          <w:color w:val="111111"/>
          <w:sz w:val="28"/>
          <w:szCs w:val="28"/>
          <w:lang w:val="en-US"/>
        </w:rPr>
        <w:t>Tabieen: second generation after the sahabahs</w:t>
      </w:r>
    </w:p>
    <w:p>
      <w:pPr>
        <w:pStyle w:val="BookText"/>
        <w:bidi w:val="0"/>
        <w:jc w:val="both"/>
        <w:rPr/>
      </w:pPr>
      <w:r>
        <w:rPr>
          <w:rFonts w:eastAsia="Times New Roman" w:cs="Times New Roman" w:ascii="Times New Roman" w:hAnsi="Times New Roman"/>
          <w:color w:val="111111"/>
          <w:sz w:val="28"/>
          <w:szCs w:val="28"/>
          <w:lang w:val="en-US"/>
        </w:rPr>
        <w:t>Tafseer: the interpretation or explanation of the verses of the Holy Qur’an or hadith</w:t>
      </w:r>
    </w:p>
    <w:p>
      <w:pPr>
        <w:pStyle w:val="BookText"/>
        <w:bidi w:val="0"/>
        <w:jc w:val="both"/>
        <w:rPr/>
      </w:pPr>
      <w:r>
        <w:rPr>
          <w:rFonts w:eastAsia="Times New Roman" w:cs="Times New Roman" w:ascii="Times New Roman" w:hAnsi="Times New Roman"/>
          <w:color w:val="111111"/>
          <w:sz w:val="28"/>
          <w:szCs w:val="28"/>
          <w:lang w:val="en-US"/>
        </w:rPr>
        <w:t>Taharah: ritual Purity</w:t>
      </w:r>
    </w:p>
    <w:p>
      <w:pPr>
        <w:pStyle w:val="BookText"/>
        <w:bidi w:val="0"/>
        <w:jc w:val="both"/>
        <w:rPr/>
      </w:pPr>
      <w:r>
        <w:rPr>
          <w:rFonts w:eastAsia="Times New Roman" w:cs="Times New Roman" w:ascii="Times New Roman" w:hAnsi="Times New Roman"/>
          <w:color w:val="111111"/>
          <w:sz w:val="28"/>
          <w:szCs w:val="28"/>
          <w:lang w:val="en-US"/>
        </w:rPr>
        <w:t>Takbeer: uttering “Allahu akbar”</w:t>
      </w:r>
    </w:p>
    <w:p>
      <w:pPr>
        <w:pStyle w:val="BookText"/>
        <w:bidi w:val="0"/>
        <w:jc w:val="both"/>
        <w:rPr/>
      </w:pPr>
      <w:r>
        <w:rPr>
          <w:rFonts w:eastAsia="Times New Roman" w:cs="Times New Roman" w:ascii="Times New Roman" w:hAnsi="Times New Roman"/>
          <w:color w:val="111111"/>
          <w:sz w:val="28"/>
          <w:szCs w:val="28"/>
          <w:lang w:val="en-US"/>
        </w:rPr>
        <w:t>Tayammum: ritual purification by means of dust</w:t>
      </w:r>
    </w:p>
    <w:p>
      <w:pPr>
        <w:pStyle w:val="Heading3"/>
        <w:numPr>
          <w:ilvl w:val="2"/>
          <w:numId w:val="1"/>
        </w:numPr>
        <w:bidi w:val="0"/>
        <w:jc w:val="left"/>
        <w:rPr/>
      </w:pPr>
      <w:bookmarkStart w:id="306" w:name="__RefHeading___Toc4074765_2749589250"/>
      <w:bookmarkStart w:id="307" w:name="_Toc121"/>
      <w:bookmarkEnd w:id="306"/>
      <w:r>
        <w:rPr/>
        <w:t>U</w:t>
      </w:r>
      <w:bookmarkEnd w:id="307"/>
    </w:p>
    <w:p>
      <w:pPr>
        <w:pStyle w:val="BookText"/>
        <w:bidi w:val="0"/>
        <w:jc w:val="both"/>
        <w:rPr/>
      </w:pPr>
      <w:r>
        <w:rPr>
          <w:rFonts w:eastAsia="Times New Roman" w:cs="Times New Roman" w:ascii="Times New Roman" w:hAnsi="Times New Roman"/>
          <w:color w:val="111111"/>
          <w:sz w:val="28"/>
          <w:szCs w:val="28"/>
          <w:lang w:val="en-US"/>
        </w:rPr>
        <w:t>Ummah: Muslim nation</w:t>
      </w:r>
    </w:p>
    <w:p>
      <w:pPr>
        <w:pStyle w:val="BookText"/>
        <w:bidi w:val="0"/>
        <w:jc w:val="both"/>
        <w:rPr/>
      </w:pPr>
      <w:r>
        <w:rPr>
          <w:rFonts w:eastAsia="Times New Roman" w:cs="Times New Roman" w:ascii="Times New Roman" w:hAnsi="Times New Roman"/>
          <w:color w:val="111111"/>
          <w:sz w:val="28"/>
          <w:szCs w:val="28"/>
          <w:lang w:val="en-US"/>
        </w:rPr>
        <w:t>Usuliyun: jurists of Islamic law</w:t>
      </w:r>
    </w:p>
    <w:p>
      <w:pPr>
        <w:pStyle w:val="BookText"/>
        <w:bidi w:val="0"/>
        <w:jc w:val="both"/>
        <w:rPr/>
      </w:pPr>
      <w:r>
        <w:rPr>
          <w:rFonts w:eastAsia="Times New Roman" w:cs="Times New Roman" w:ascii="Times New Roman" w:hAnsi="Times New Roman"/>
          <w:color w:val="111111"/>
          <w:sz w:val="28"/>
          <w:szCs w:val="28"/>
          <w:lang w:val="en-US"/>
        </w:rPr>
        <w:t>Uktub(u): write</w:t>
      </w:r>
    </w:p>
    <w:p>
      <w:pPr>
        <w:pStyle w:val="Heading3"/>
        <w:numPr>
          <w:ilvl w:val="2"/>
          <w:numId w:val="1"/>
        </w:numPr>
        <w:bidi w:val="0"/>
        <w:jc w:val="left"/>
        <w:rPr/>
      </w:pPr>
      <w:bookmarkStart w:id="308" w:name="__RefHeading___Toc4074767_2749589250"/>
      <w:bookmarkStart w:id="309" w:name="_Toc122"/>
      <w:bookmarkEnd w:id="308"/>
      <w:r>
        <w:rPr/>
        <w:t>W</w:t>
      </w:r>
      <w:bookmarkEnd w:id="309"/>
    </w:p>
    <w:p>
      <w:pPr>
        <w:pStyle w:val="BookText"/>
        <w:bidi w:val="0"/>
        <w:jc w:val="both"/>
        <w:rPr/>
      </w:pPr>
      <w:r>
        <w:rPr>
          <w:rFonts w:eastAsia="Times New Roman" w:cs="Times New Roman" w:ascii="Times New Roman" w:hAnsi="Times New Roman"/>
          <w:color w:val="111111"/>
          <w:sz w:val="28"/>
          <w:szCs w:val="28"/>
          <w:lang w:val="en-US"/>
        </w:rPr>
        <w:t>Wilayah: Authority</w:t>
      </w:r>
    </w:p>
    <w:p>
      <w:pPr>
        <w:pStyle w:val="BookText"/>
        <w:bidi w:val="0"/>
        <w:jc w:val="both"/>
        <w:rPr/>
      </w:pPr>
      <w:r>
        <w:rPr>
          <w:rFonts w:eastAsia="Times New Roman" w:cs="Times New Roman" w:ascii="Times New Roman" w:hAnsi="Times New Roman"/>
          <w:color w:val="111111"/>
          <w:sz w:val="28"/>
          <w:szCs w:val="28"/>
          <w:lang w:val="en-US"/>
        </w:rPr>
        <w:t>Wudhu: ablution for prayer</w:t>
      </w:r>
    </w:p>
    <w:p>
      <w:pPr>
        <w:pStyle w:val="Heading3"/>
        <w:numPr>
          <w:ilvl w:val="2"/>
          <w:numId w:val="1"/>
        </w:numPr>
        <w:bidi w:val="0"/>
        <w:jc w:val="left"/>
        <w:rPr/>
      </w:pPr>
      <w:bookmarkStart w:id="310" w:name="__RefHeading___Toc4074769_2749589250"/>
      <w:bookmarkStart w:id="311" w:name="_Toc123"/>
      <w:bookmarkEnd w:id="310"/>
      <w:r>
        <w:rPr/>
        <w:t>Y</w:t>
      </w:r>
      <w:bookmarkEnd w:id="3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Yahjor: hallucination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Caliph (caliphs) is the person intended to be the successor (leader) to Prophet Muhammad.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Abdullah Ibn Abi Quhafah, his mother is Salma bint Shakher. He is the father of Aishah the wife of the Prophet. He was born fifty-one years before the Hijrah; died on the 22nd Jumadi al-Awwal, 13 ah and assumed the caliphate after the Prophet’s death for a period of two years and four months.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Ibn al-Khattab was born forty years before the Hijrah. He accepted Islam six years after the advent of Islam and was appointed by Abu Bakr to be the second successor to the Prophet and reined for ten years. He was assassinated in 23 ah in Madinah. He appointed Mu’awiyah Ibn Abu Sufyan as the governor of Damascus.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Uthman Ibn al-Affan was chosen by ‘Umar to be in the group of six candidates for succession. His tribe, Bani Umayyah, swept and dominated important political and military leadership. He assumed the caliphate in 23 ah and during his reign, the “fitna kubra” (great mischief) occurred. He was killed in his home by revolutionist in 35 ah in Madinah.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63:1, “When the hypocrites come to you they say, ‘We bear witness that you are indeed the apostle of God.’ God knows that you are indeed His Apostle, and God bears witness that the hypocrites are indeed liars.”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9:101, “Round about you [Muhammad and his community] and among you in Madinah are hypocrites and they are obstinate in hypocrisy. You do not know them, We know them, twice shall We punish them and in addition shall be sent to a grievous penalty.”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9:100, “And as to the foremost from among the Muhajireen (Immigrants) and Ansar (Helpers) and those who followed them in goodness, Allah is well pleased with them and they are well pleased with Him...”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is a form of concealment of one’s belief in order to protect one’s life, property, family, etc.</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Bab al-Asabiyah, p. 308, hadith 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name of Madinah was Yathrib, but it later became known as Madinatul Nabi (the City of the Prophet) after the migration (Hijrah) of the Prophet from Mecca to Madinah.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fil-Tarikh, 3:24; Al-Tabari, Tarikh al-Tabari, 2:223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Successorship (khalifah or imamah) according to both schools of thought, Ahlul Bayt and Companions, is the representation of Prophet Muhammad, in the affairs of deen (faith) and duniyah (life).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Ghadir Khum (which is close to today’s al-Juhfah in the Arabian Peninsula). It was the center point where routes from different provinces met and then parted to go their separate ways.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al-Tabari, 2:435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Ahmad, 4:281; Sirr al-Alamin; Al-Tabari, Al-Riyadh al-Nadhirah, 2:169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Ahmad 4:81, Ibn Abu Yallah al-Musilli, Musnad; Abu Bakr Ibn Abi Shibah, Al-Musnaf; Abu Bakr al-Baghdadi; Sirr al-Alamin, Abu Hamid al-Ghazali; Al-Milal wal-Nihal, Abu al-Fattah al-Shahrestani; Al-Bidayah wa al-Nihaya, 5:209; Ibn Katheer al-Shami; Al-Sawaeq al-Muhriqah, Ibn Hajar al-Askalani, p.26; Tafseer al-Tabari, 3:310; Muhammad Ibn Jarrer, Allamah Amini in Al-Ghadeer, 1:283, has compiled over sixty prominent Sunni sources that narrated the congratulations of Abu Bakr and ‘Umar to Imam ‘Ali on his  succession by the Prophet on the Day of Ghadir.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Holy Qur’an, 108:1-3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Feast of the Clan,” after the revelation of c. 26:214 (“And warn thy nearest relations”), the Prophet made a feast and invited his extended family, so he could announce his prophethood and invite them to embrace his message. It was also the same event, in which the Prophet first declared that ‘Ali Ibn Abi Talib would be his successor and caliph after him.</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Holy Qur’an, 5:55 and 4:59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Shahristani, Al-Milal wal-Nihal, 1:29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of God said, “Bring me a tablet (lawh) and an inkpot (dawat), so that I can write for you a document, after which you will not go astray.” A person said that the Messenger of God was talking “deliriously.”  Tarikh al-Tabari, Vol. 9 translated by Ismail. K. Poonawala p. 175.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older Sahih al-Bukhari books, the term “yahjor” can be found, but in the latest versions, the hadith has been modified as, “that the Prophet has been overwhelmed by pain.”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al-Jihad wal-Seer, 2:118; Sahih al-Muslim; Ithbat al-Wasyah; Musnad Ahmad, 3:346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full details read Inquiries about Shi’a Islam by the same author.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3:114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Ansar (the Helpers) consisted of two tribes, the Aws and the Khazraj who lived in the oasis desert of Yathrib which is about 250 miles northeast of Mecca. These two tribes had been at bitter and deadly odds with each other for many years and with the Prophet’s assistance, they put aside their differences and invited the Prophet and his followers to Yathrib, which was later renamed Madinah.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migrated with the Prophet from Mecca to Madinah are known as the Muhajireen - a term that means someone who is fleeing. The Muhajireen were the indigenous inhabitants of Mecca, mainly from the tribe of Quraysh.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Pledge of Ridhwan: In Dhul-Qa’dah, 6 ah, the Prophet decided to perform the umrah (the lesser pilgrimage) to the Ka’abah which had been until then denied to the Muslims due to the hostility of the Meccans. Fourteen hundred Muhajireen and Ansar showed readiness to go with him. Lest there be any misgivings in any quarter about his intentions, he directed the Muslims not to carry any arms other than swords, and he himself put on the robes of ihram and took camels to sacrifice.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2:123; Ibn Hajar, Al-Isabah, 1:325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Usud al-Ghabah, 4:20; Ansab al-Ashraf, 2:106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3:198; Ibn al-Atheer, 5:157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Al-Uqdul Farid, 3:63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2:442; Sirat Ibn Hisham, 4:305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Al-Shahrestani, Al-Milal wal-Nihal, Vol. 115; Sunan al-Darimi, Vol. 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Al-Kamil fil Tarikh, 2:323; Sirat Ibn Hisham, 4:305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Al-Qanduzi, Yanabi al-Muwaddah, c. 77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Nuaym, Haliyat al-Awliyaa, 1:86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Hisham, 4:494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 al-Tarikh, 2:231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1:239, 405, &amp; 442; Tarikh al-Madinah al-Munawarah, 3:1006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5:185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5:13; Ibn al-Atheer, Al-Kamil fil al-Tarikh, 3:63 &amp; 3:288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Vol. 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2:446 &amp; 3:198; Sahih al-Bukhari, 4:111; Musnad Ahmad Ibn Hanbal, 1:55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2:457-463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1:589; Abd al-Fattah Abd al-Maqsud, Al-Saqifah wal-Khalifah, 13; Al-Aqd al-Farid, 4:247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reference regarding the death of Sa’d Ibn Ibadah see, Al-Khulafa al-Rashidun by the Egyptian author Taha Husain, p.33. He says in his book that politics killed Sa’d Ibn Ibadah, meaning that they wanted to keep him away from power because they deemed his as a threat to the regime, and he was a man who insisted that the khalifah and the succession goes to the rightful people, the people appointed by Allah.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3:292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1:174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context, the term “faltah” can be defined with any of the following: an unexpected event, a sudden occurrence, a slip or lapse, and something that only happens once and would never happen again.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2:29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217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fil-Tarikh, 3:67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5:33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1:11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al-Dhahabi, 3:12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Shabah, Tarikh al-Madinah al-Munawarah, 2:148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al-Umal, 5:727, hadith 14259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fil-Tarikh, 3:71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3:294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Talha Ibn Ubaydillah was one of the companions who was known for his strong opposition against ‘Uthman. He was killed by his friend Marwan Ibn Hakim in the Battle of Camel, 36 ah and is buried outside Basra.</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 Ibn Awam was born twenty-eight years before the Hijrah. He embraced Islam at the age of fifteen. He was the son of Saffiah bint Abdul Muttalib, the aunt of the Prophet. He married Asmah bint Abu Bakr. He was killed in 36 ah in the Battle of Camel, which was spearheaded by Aishah against Imam ‘Ali. He is buried near Basra, Iraq.</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Siffeen, p. 34-39; Tarikh Ibn Khaldun, 2:625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Sirr Alam al-Nubala, 2:396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5:30; Qasas al-Arab, 2:363; Ibn al-Atheer, Al-Kamil fil-Tarikh, 3:63; Ibn Abil  Hadid, Sharh Nahjul-Balaghah, 3:107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47:9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68:4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26:215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28:68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33:33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3:198; Tarikh Abul Fida, 1:156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Rabbah al-Andalusi, Al-Aqd al-Farid, 4:259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2:198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2.:119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Al-Baladri, Ansab al-Ashraf, 1:586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Shahrestani, Al-Milal wal-Nihal, 1:56; Salah al-Din al-Susti; Al-Shafi’i, Manaqib al-Ibadah, 3:407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1:12; ‘Umar Ridha (Kahhalah), Alam Al-Nisa, 4:14; Abd al-Fattah Abd al-Maqsud; Al-Saqifah wal-Khalifah, 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‘Umar attacked Fatima in her home, others physically accosted her as well.</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Al-Tabrasi, Al-Ihtijaj, 1:414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1:12-13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14:192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Al-Mahqari, Waqt Siffeen, 1:63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Al-Ma’arif, 1:93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 Mizan, 8:189; Ibn Qutaybah, Al-Imamah wa Siyasah, 1:18; Ibn Abil Hadid, Sharh Nahjul-Balaghah, 6:51; Tarikh al-Ya´qubi, 2:137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1:14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5:36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3:202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4:96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hadith 1259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al-Isfahani, Maqatil al-Talibi´in, 19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17:26, 30:38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27:16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Al-Marif, 195; Ibn Abil Hadid, Sharh Nahjul-Balaghah</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The Last Years of the Prophet (English translation), 4:196; Futuhal Buldan, p.42; Tarikh al-Khamees, 2:64; Ibn Atheer, Tarikh al-Kamil, 2:85; Ibn Hisham, Seerah, 3:48; Ibn Khuldun, Al-Tarikh, 2, part 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4:46, 7:82, &amp; 9:121-22; Sahih al-Muslim, 5:151; Abu Dawood, Sunan, 3:139-41; Nasa’i, Sunan, 7:132; Ahmad al-Hanbal, al-Musnad, p.25, 48, 60, &amp; 208; Al-Kubra (Al-Bayhaqi), Sunan, 6:296-99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al-Hibat, no. 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43:19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33:33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17:26, “And render to the kindred their due rights…”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Narration can be found through al-Bazzaz, Abu Yala, Ibn Abi Hatim, Ibn Marduwayh, and others from Abu Said al-Khudri and through Ibn Marduwayh from Abdullah Ibn al-Abbas; al-Mustadrak, 4:63; History of Tabari, 3:3460; al-Istiab, 4:1793; Usud al-Ghabah, 5:567; al-Tabaqat, 8:192; al-Isabah, 4:432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Burhanuddin al-Halabi al-Shafi, comp., Siratu’l-Halabiyya, p.39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Karmani’s commentary, Sahih al-Bukhari, 15:4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Siratul Halabiyya, p.39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 More Facts on Fadak, comments from Futuhul Buldan, p.48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al-Tarikh, 3:195-96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33:33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7:75-76; Ahmad al-Hanbal, al-Musnad, 3:307-308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4:24 &amp; 6:146; Abu Dawud, Sunan, 3:308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al-Jihad Was`-Siyar, no. 49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4:7 &amp; 4:33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27:16 &amp; 19:5-6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1:42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7:127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104:351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27:16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part 1:39; Moulana Shibli al-Noumani, Siratan Nabi, 1:122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fil-Tarikh, 5:42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2:301; Sahih al-Nisai, 2:271; Sahih Ibn Majah, p. 12; Abu Nuaym, Hiliyat al-Awiya, 4:185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al-Hanbal, 4:164; Kanz al-Ummal, 6:153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6:52; Al-Imamah wal-Siyasah, 1163; Tarikh al-Tabari, 4:469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Usud al-Ghabah, 2:154; Al-Isabah, 1:501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al-Hasakani, Al-Mustadrak, 4:480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2:38; Usd al-Ghabah, 3:76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Al-Bayhaqi, Al-Dalail</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Al-Istiab, 2:690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 Balaghah</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3:440; Al-Istiab, p. 839;  Ibn Hajar, Al-Isabah, 3:384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7:78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3:115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Sunan al-Tirmidhi; Al-Bidayah wal-Nihayah, 8:120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4:42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3:2 91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96:4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68:1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2:22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4:146, hadith 2805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1:106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4:145, hadith 2804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I 5:106; Musnad Ahmad, 2:162; Jami Bayan al-Ilm, 1:71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5:237, hadith 4845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Ridha, Tafseer al-Manar, 10:766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Uday, Taqaid al-Ilm, 73; Al-Kamil, 1:36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5:108; Sunan Ibn Majah, 1:85; Al-Tirmidhi, 2:152; Mustadrak al-Hakim, 3:174, and others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10:158, hadith 28817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10:158, hadith 28818, and others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Despite being forbidden from doing so, the followers of Ahlul Bayt continued to record the hadith.</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1:5; Hujiyat al-Sunnah, p. 394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Sharh Sahih al-Muslim, 17-18; Musnad Ahmad 3:12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4:80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53:2-4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Al-Ahkam, 1:159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4:131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4:132; Sunan Ibn Majah, 1:6, hadith 12; Sunan Abu Dawood, 4:200, hadith 4604; Sunan al-Bayhaqi, 9:331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Kanzl Ummal, 10, hadith 29474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Taqid al-Ilm, 49; Hujjiyat al-Sunnah, 3:95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al-Kubra, 1:140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5:239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al-Kabeer, 7:281; Tafseer al-Qurtubi, 7:273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full name is Ka’ab Ibn Mate’ah al-Himyari, a prominent Jewish rabbi from Yemen. He accepted Islam during the reign of ‘Umar Ibn al-Khattab and migrated from Yemen to Syria. Mu’awiyah favored him and made him one of his important right hand aids and advisors. He is one of the main sources of the Israelite folklore that infected the Islamic tradition and was known for his lies. He died during the reign of ‘Uthman in 32 ah.</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Tamim Ibn Aus al-Dari was a prominent Christian monk in Palestine. He embraced Islam in 9 ah. He was the first person to introduce story telling in the mosque during the reign of ‘Umar al-Khattab and it was only during Imam ‘Ali’s reign that he put an end to it. He infiltrated Islamic tradition with unsubstantiated Israelite stories and died in the year 40 ah.</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1:110; Tarikh Abu Zarah, 270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10, hadith 29479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 al-Tarikh, 3:180-181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16:44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writing of the hadith was short-lived because the reign of ‘Umar Ibn Abd al-Aziz lasted for only two years.</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Imam ‘Ali removed the ban on writing the hadith; nonetheless, it was not enough time to take full effect because his reign lasted for only four years and nine months.</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10:291; Ibn Abil Hadid, Sharh Nahjul-Balaghah, 1:360; Tarikh Abi Zaah, p. 270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Bab Marad al-Nabi; Ketab al-Marda wa al-Tib, 7:9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Al-Bidayah wal-Nihayah, 8:116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1:360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4:1857, hadith 2388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Amr Ibn al-Aas was one of the most cunning figures in Arab history. He is known for ridiculing and deriding the Prophet. The Holy Qur’an says about him,</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al-Nawawi, Al-Taqrib</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Mizan al-Itedaal</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24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Al-Estiaab</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1:61 and 1:182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3:96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al-Fakhr al-Raizi, 3:175; Tafseer al-Kashshaf, 3:573; Al-Jami li-Akham al-Qur’an, 14:277; Al-Durr al-Manthur, 5:229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Al-Estiaab, 3:1103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Al-Mukhtasar Tarikh Ibn Asakir, 18:323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Tafseer al-Qurtubi, 7:69; 14:126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7:37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Al-Estiaab, 2:430; Al-Hakim, Al-Mustadrak, 3:86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al-Fakher al-Razi, 21:88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5:281, hadith 3769; Al-Mustadrak ‘ala Sahihayn, 3:85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5:15; Sahih al-Muslim, 4:1864/28; Mustadrak ‘ala Sahihayn, 3:86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Nuaym, Hiliyat al-Awliya, 1:24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Sahihayn, 3:167, hadith 473; Usd al-Ghabah, 7:224; Al-Isabah, 4:378; Al-Tahdheeb, 12:469; Majma al-Zawaid, 9:203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 Baghdad, 3:49; Ibn Hajr, Lisan al-Mizan, 5:225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Mukhtasar Tarikh Ibn Asakir, 18:282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Al-Mizan, 2:12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Usd al-Ghabah, 4:173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Lisan al-Mizan, 5:180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4:1858, hadith 2389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al-Tha’laby, 4:92; Al-Thahabi Tarikh al-Islam, 3:633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 al-Kabir, 1:55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 127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4:1866, hadith 2401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Bab Fadahil ‘Uthman, 7:117, Musnad Ahmad Ibn Hanbal, 4:353; Al-Adbe al-Mufrad, Sahih al-Buhkari, p.131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p.39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7:28; Musnad Ahmad Ibn Hanbal, 6:57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2:240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p.122-123</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p.124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al-Nawawi, Al-Tahdheeb</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Al-Abshihi, Al-Mustadraf, 2:260; Ibn Shabbah, Tarikh al-Madinah al-Muhawarah, 3:863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Al-khulafa min badi ithna ashar wa kulluhum min Quraysh (Bani Hashim)</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3:1452, hadith 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9:101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4:106, hadith  4280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5:106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5:86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Mujam al-Kabeer, 2:196, hadith 1794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Fath al-Bari fi Sharh al-Bukhari</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Mahmoud Abu Rayah, Adwa ala al-Sunnah al-Muhammadiyah, p.325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1:358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Al-Istiab, 1:65; Ibn Hajar, Al-Isabah, 1:154; Ibn Atheer, Al-Kamil fil-Tarikh, 3:162; Tarikh al-Tabari, 6:77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Round about you [Muhammad and his community] and among you in Madinah are hypocrites and they are obstinate in hypocrisy. You do not know them, We know them, twice shall We punish them and in addition they shall be sent to a grievous penalty.” (9:101)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Al-Mufradat fi Gharib al-Qur’an, the section on Sahab</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Miqbaas al-Hidayah; Al-Darajat al-Rafia, 10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2:67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Miqbaas al-Hidayah</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1:10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Kamilites – one of the schools of thought in Islamic theology.</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attributed divinity to certain individuals.</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al-Isabah, 1:17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al-Isabah, 1:19; Ibn Abd al-Birr, al-Estiaab, 1:8; Ibn al-Atheer, Usd al-Ghabah, 1:3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 al-Tafatahzani, Sharh al-Maqasir, 5:310; al-Marizi, al-Isabah, 1:19; al-Shawqani, Irshad al-Fuhul</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Muhammad Abduh, Adwa ala al-Sunnah Muhammadi; Sheikh Mahmud Abu Riyah, Abu Huraira, 1:01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Jami Bayan al-Ilm</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 al-Mukhtasar fi Akhbar al-Bashar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Ashabi kal-nujum...”</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Al-Taysir fi Sharh al-Tahrer, 3:243, Al-Muntakhab, Ibn Qudamah</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Jami Bayan al-Ilm, 2:89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Jami Bayan al-Ilm, 2:90; Ilam al-Muwaqain, 2:223; Al-Bahr al-Muhit, 5:528</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al-Muwaqain, 2:223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Sahih al-Muslim, Bab al-Hawdh, 7:65; Musnad Ahmad Ibn al-Hanbal, 5:333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p.213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Dalail al-Nubuwah, 3:218; Ibn Qutaybah, Al-Marif, p.159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2:197; Ibn al-Atheer, Al-Kamil fil-Tarikh, 2:154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5:78; Dalail al-Nubuwah; Al-Bayhaqi, 3:234; Al-Dhahabi, Tarikh al-Islam, p. 191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Hasanain al-Haykil, Hayatu Muhammad, p. 244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15:22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al-Haykil, Hayat Muhammad, p.245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al-Ghayb, 9:53; Tafseer al-Fakhr al-Razi, 3:198; Al-Serah al-Halabiyah, 2:227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fil-Tarikh, 2:158; Ibn Katheer, Al-Bidayah wal-Nihayah, 4:32; Tarikh al-Tabari, 2:203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Al-Serah al-Nabawiyah, 2:391-395; Dalail al-Nubuwah, 3:106; Al-Bidayah wal-Nihayah, 3:321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al-Waqidi, 1:152; Dalail al-Nubuwah, 3:124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Shabah, Tarikh al-Madinah al-Munawarah, 3:1033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Majma al-Zawaid, 9:124; Sahih al-Bukhari, 4:465, hadith 1155; Muhammad Hasanain Hayqil, Hayat Muhammad, p.312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Tarikh al-Islam, 2:412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al-Halabiyah, 3:39; Maghazi al-Waqidi, 2:654; Sirat Ibn Hisham, 3:349; Tarikh al-Tabari, 2:200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Tafseer al-Kashshaf, 2:259; Tarikh Abul Fida, 1:208; Al-Serah al-Halabiyyah, 3:110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al-Nisai, 3:871, hadith 3877</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al-Waqidi, 2:904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Maghazi al-Waqidi, 2:904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p.102; Al-Serah al-Halabiyah, 3:109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2:462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Al-Marif, 167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2:615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Sa’ad, 3:187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2:316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al-Munawarah, 2:654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Usd al-Ghabah, 4:145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5:17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Al-Aqad, Abqariyat ‘Umar, p. 33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Ishaq, Al-Serah al-Nabawiyah, 160; Ibn Asakir, Mukhtasar Tarikh Damashq, 18:271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Mukhtasar Tarikh Damashq, 18:269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Al-Aqad, Abqariyat ‘Umar, p. 33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1:693, Musnad Ahmad, 1:20</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Tarikh ‘Umar Ibn al-Khattab, p.114; al-Shaykhan, p.189</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al-Umam wal-Muluk, 5:17; Ibn Atheer, al-Kamil fil-Tarikh, 3:54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Hajir, al-Isabah, 3:606; Ibn Sa’d, Tabaqat Ibn Sa´d, 3:208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3:111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1:237; Mustadrak al-Hakim, 3:191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Bab al-Tabasum, 4:63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Al-Munawarah, 2:686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5:60</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al-Qari, 7:143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Majma al-Zawaid, 5:35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Majma al-Zawaid; Sahih al-Muslim, 1:310; Musnad Ahmad Ibn Hanbal, 4:102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p.130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Nahjul-Balaghah, 1:55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2:241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5:60; Umdat al-Qari, 7:143; Sahih al-Muslim, 1:310; Musnad Ahmad, 4:102; Ibn al-Jawzi, Sirat ‘Umar Ibn al-Khattab, p.174; Kanz al-Umal, 4:334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5:64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al-Huffaz, 1:2; Adwa ala Sunan Muhammadiyah, p.45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Ibn al-Arabi, Al-Awasim min al-Qawasim, p.75-76</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Majm al-Zawaid, 8:216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Nabeeth is a form of wine.</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Al-Aqad, Abqariyat ‘Umar, 61:265</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al-Kubra al-Bayhaqi, 5:69; Al-Muhalla, 9:62; Al Tabaqaat al-Kubraa, 4:163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5:91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Intahayna, intahayna;” Al-Mustadraf, 2:499-500; Jami al-Bayan, 2:211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3:230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Muwatta Imam al-Malik, 2:894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Tabaqat Ibn Sa´d, 3:257; Istiab of Ibn Abd al-Birr, 3:1154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80:13-15, 76:77-79, 25:5, &amp; 98:2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Nadeem, Al-Fihrist, p. 41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5:179</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10:43; Abu Ubaydah, Al-Itqan, 2:42; Al-Suyuti, Al-Dur al-Manthur, 1:106</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 al-Manthur, 3:296; Al-Mutaqi al-Hindi, Kanz al-Ummal,  8:74-75 &amp; 78</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 al-Manthur, 6:222; Al-Haythami, Majma al-Zawaid,  7:163; Kanz al-Umal, 1:517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5:132; Mustadrak al-Hakim, 2:415; Sunan al-Bayhaqi, 8:211</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2:330; Al-Suyuti, Al-Durr al-Manthur, 1:105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1:229; Al-Suyuti, Al-Durr al-Manthur, 6:321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80:31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6:317; Al-Muttaqi al-Hindi, Kanz al-Ummal, 2:328</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3:2 &amp;120</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2:568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2:605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3:201</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Shabbah, Tarikh al-Madinah al-Munawwarah, 2:709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Usd al-Ghabah</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129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142; Muntakhab Kanz al-Ummal, 4:361, 6:365</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 al-Ummal, 4:361</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1.120; Kitab al-Ilm; Sahih al-Muslim, 11:89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2:442; Sirat Ibn Hisham, 4:305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al-Libas; Kanz al-Umaal, hadith 4403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2:132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5:72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Nathal was a Jewish man with a long beard who resided in Madinah at the time.</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3:477; Ibn A’atham, Al-Futuh, 1:64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Mu’awiyah came into power, he extended the boundaries of al-Baqi cemetery to include the burial site of ‘Uthman.</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al-Munawarah, 3:1052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2:452</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Abu Bakr was unwilling to prosecute Khalid Ibn al-Waleed, who killed Malik Ibn Nuwayrah, and who on the same night, had committed adultery with the wife of the victim. Abu Bakr said, “He made ijtihad (deducing Muslim law), but of course he made an error,” and left the matter at that.</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al-Khudari, Tarikh al-Tashri al-Islami, p.83</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2:617</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Sunni tradition, tarawih is done as a congregational prayer during the nights of the Month of Ramadhan, while the Shi’a perform it individually.</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al-Deen al-Suyuti, footnoted in Tanweer al-Hawalik, referencing Muwatta Malik; Sunan al-Tirmidhi, 1:64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4:612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Muhammad said, “‘Ali, you can see all that I can see, and you can hear all that I can hear; except that you are not a prophet but a vicegerent and you are virtually on the path of virtue.” Nahjul Balaghah, sermon 192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al-Nisa’i, 1:169; Sunan Ibn Majah, 1:188; Al-Bayhaqi, Al-Sunan al-Kubaa, 1:209; Tafseer Ibn Katheer, 4:505; Ibn Qudaamah, Al-Mughni, 1:234; Ibn Rushd, Al-Bidayah wal-Nihayah, 1:63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al-Bukaari, 3:58; Tarikh al-Madinah al-Munawarah, 2:713; Al-Riyadh al-Nadhirah, 1:309; Tarikh al-Yaqubi, 2:114</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4:370; Sahih al-Muslim, Baab al-Salat ala al-Qabr; Kitab al-Janazah</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al-Khulafah, p. 137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1:378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Ishaq, 2:191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Chapter of Talaq al-Thalath, 1:575; Musnad Ahmad Ibn Hanbal, 1:314; Al-Bayhaqi, 7:336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al-Qari, 4:87; Sahih al-Bukhari, 2:102; Sahih al-Muslim, 2:238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5:51; Umdat al-Qari, 7:143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3:64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4:365; Ibn al-Atheer, Al-Kamil fil-Tarikh, 3:167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Al-Kamil fil-Tarikh, 3:67</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5:33</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5:32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5:30; Ibn Abil Hadid, Sharh Nahjul-Balaghah, 3:17</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5:32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5:34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5:40; Tarikh al-Tabari, 4:322; Kamil fil-Tarikh, 3:137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Al-Baladri, Ansab al-Ashraf, 5:25; Ibn Abil Hadid, Sharh Nahjul-Balaghah, 3:35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5:39; al-Muntazam, 5:7</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Shaybah, al-Musanaf, 2:48; Al-Zuhai; and others</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2:162</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4:268; Ansab al-Ashraf,  5:39</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Fath al-Bari, 2:261</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5:29</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Nahjul-Balaghah, 9:36</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Hayliyat al-Awliya, Sharh Nahjul-Balaghah, 1:38; 3:42; Ansab al-Ashraf, 5:36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Siffeen, 3:19</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1:48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1:40; Ansab al-Ashraf,  5:46</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5:48; Al-Futuh, 1:64; Sharh Nahjul-Balaghah, 3:49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3:73; Al-Bidayah wal-Nihayah, 7:193; Al-Kamil, 3:178; Al-Imamah wal-Siyasah, 1:44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5:53; Sharh Nahjul-Balaghah, 3:55</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5:83; al-Muntazam, 5:58</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4:251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4:339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98:7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6:376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Inna hadha wa shiatuhu la-hum al-faizun yawm al-qiyamah.</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Khaldun, 3:364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2:104</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Hasan Ibrahim, Tarikh al-Islam, 1:371</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Ahmad Amin, Fajr al-Islam, 266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Firaq al-Shiah, p.16; Ibn al-Nadeem, Al-Fihrist, p.175</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26:214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4:62; Tarikh al-Tabari, 2:117; Musnad Ahmad Ibn Hanbal, 1:159; Tarikh Abul Fida, 1:116; Nadhm Durar al-Simtayn, p.82; Kifayat al-Talib, p.205; Tarikh Madinat Dimishq, 1:87, hadith 139 &amp; 143; Al-Hasakani, Shawahid al-Tanzil, 1:420; Muhammad Ibn Jarir al-Tabari, Jami al-Bayan, 19:131; Jalal al-Din al-Suyuti, Al-Durr al-Manthur, 5:97; Tafseer Ibn Kathir, 3:350; Al-Baghdadi, Tafseer al-Khazin, 3:371; Al-Alusi al-Baghdadi, Ruh al-Maani, 19:122; Al-Tantawi, Tafseer al-Jawahir, 13:103; Al-Hakim al-Naysaburi, Al-Mustadrak ala al-Sahihayn, 3:135. Other historical sources, such as Sirat al-Halabi, say that the Holy Prophet added, “And he will be my minister (wazir) and inheritor (warith).”</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16:43 &amp; 21:7</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al-Tabari, 14:109; Al-Alusi, Tafseer Ruh al-Maani, 14:134; Tafseer al-Qurtubi, 11:272; Tafseer Ibn al-Katheer, 2:570; Al-Hakim, Tafseer Shawahid al-Tanzel, 1:334; Tafseer al-Thalabi</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33:33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al-Kashshaf</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Allahumma salli ala Muhammadin wa aale Muhammad kama sallayta ala Ibrahim wa aale Ibrahim, wa barik ala Muhammadin wa aale Muhammad kama barakta ala Ibrahim wa aale Ibrahim fil-aalameena innaka hamidun majeed.</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al-Umal, 10:435, hadith 30050</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al-Umal 6:216; Mustadrak al-Sahihayn, 2:343; Al-Tabarani, Al-Mujam al-Kabeer, 12:27; Ibn Hajar, Al-Sawaiq al-Muhriqah, 1:86</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Kunuz al-Haqaiq, 153; Al-Riyadh al-Nadhirah, 2:208</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Al-Zubaydi, Taj al-Arus, 5:35; Al-Jawhari, 3:1078</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kana rafdhan hubbu aale Muhammadin. Fal yashhad al-thaqalan anni rafidahi.</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6:108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3:12; al-Ghadir, 8:143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9:218</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Wajdi, Muhammad Fareed; Dairat al-Marif al-Qarn al-Aishren, 5:17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Atayllah, Ahmad; Al-Qamus al-Islami,  3:222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Al-Fitnah al-Kubra, the chapter on Ibn Saba.</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work on Abdullah Ibn Saba is available in English under the title of Abdullah Ibn Saba and Other Myths and has been printed in two volumes.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Al-Zarakli, Al-Alam, 6:80</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6:144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Al-Dahlawi, Hujjat Allah al-Balighah, 1:151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wal-Siyasah, 2:150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 ala Deen Mulukihim</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al-Udaba, 17:287</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descendants of the Holy Prophet through Imam ‘Ali.</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2:178</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Abi Talib huwa al-Imam al-Haq.</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wal-Nihayah, 10:350</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Al-Sawa’iq al-Muhriqah, c.11, section 1, p.225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6.320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43636</Words>
  <Characters>212119</Characters>
  <CharactersWithSpaces>254462</CharactersWithSpaces>
  <Paragraphs>1267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2026-08-18T01:07:33Z</dcterms:created>
  <dc:creator>ghaemiyeh.com</dc:creator>
  <dc:description/>
  <dc:language>en-US</dc:language>
  <cp:lastModifiedBy/>
  <dcterms:modified xsi:type="dcterms:W3CDTF">2026-08-18T04:37:39Z</dcterms:modified>
  <cp:revision>1</cp:revision>
  <dc:subject/>
  <dc:title>When Power and Piety Collide</dc:title>
</cp:coreProperties>
</file>

<file path=docProps/custom.xml><?xml version="1.0" encoding="utf-8"?>
<Properties xmlns="http://schemas.openxmlformats.org/officeDocument/2006/custom-properties" xmlns:vt="http://schemas.openxmlformats.org/officeDocument/2006/docPropsVTypes"/>
</file>