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1503_2749589250">
            <w:r>
              <w:rPr>
                <w:webHidden/>
                <w:rStyle w:val="IndexLink"/>
                <w:rtl w:val="true"/>
              </w:rPr>
              <w:t>مشخصات فصلنامه</w:t>
            </w:r>
            <w:r>
              <w:rPr>
                <w:rStyle w:val="IndexLink"/>
                <w:rtl w:val="true"/>
              </w:rPr>
              <w:tab/>
            </w:r>
            <w:r>
              <w:rPr>
                <w:rStyle w:val="IndexLink"/>
              </w:rPr>
              <w:t>9</w:t>
            </w:r>
          </w:hyperlink>
        </w:p>
        <w:p>
          <w:pPr>
            <w:pStyle w:val="Contents2"/>
            <w:tabs>
              <w:tab w:val="clear" w:pos="8743"/>
              <w:tab w:val="right" w:pos="9026" w:leader="dot"/>
            </w:tabs>
            <w:rPr/>
          </w:pPr>
          <w:hyperlink w:anchor="__RefHeading___Toc2051505_2749589250">
            <w:r>
              <w:rPr>
                <w:webHidden/>
                <w:rStyle w:val="IndexLink"/>
                <w:rtl w:val="true"/>
              </w:rPr>
              <w:t>رتبه علمی فصلنامه</w:t>
            </w:r>
            <w:r>
              <w:rPr>
                <w:rStyle w:val="IndexLink"/>
                <w:rtl w:val="true"/>
              </w:rPr>
              <w:tab/>
            </w:r>
            <w:r>
              <w:rPr>
                <w:rStyle w:val="IndexLink"/>
              </w:rPr>
              <w:t>9</w:t>
            </w:r>
          </w:hyperlink>
        </w:p>
        <w:p>
          <w:pPr>
            <w:pStyle w:val="Contents2"/>
            <w:tabs>
              <w:tab w:val="clear" w:pos="8743"/>
              <w:tab w:val="right" w:pos="9026" w:leader="dot"/>
            </w:tabs>
            <w:rPr/>
          </w:pPr>
          <w:hyperlink w:anchor="__RefHeading___Toc2051507_2749589250">
            <w:r>
              <w:rPr>
                <w:webHidden/>
                <w:rStyle w:val="IndexLink"/>
                <w:rtl w:val="true"/>
              </w:rPr>
              <w:t>راهنمای نویسندگان</w:t>
            </w:r>
            <w:r>
              <w:rPr>
                <w:rStyle w:val="IndexLink"/>
                <w:rtl w:val="true"/>
              </w:rPr>
              <w:tab/>
            </w:r>
            <w:r>
              <w:rPr>
                <w:rStyle w:val="IndexLink"/>
              </w:rPr>
              <w:t>11</w:t>
            </w:r>
          </w:hyperlink>
        </w:p>
        <w:p>
          <w:pPr>
            <w:pStyle w:val="Contents2"/>
            <w:tabs>
              <w:tab w:val="clear" w:pos="8743"/>
              <w:tab w:val="right" w:pos="9026" w:leader="dot"/>
            </w:tabs>
            <w:rPr/>
          </w:pPr>
          <w:hyperlink w:anchor="__RefHeading___Toc2051509_274958925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2051511_2749589250">
            <w:r>
              <w:rPr>
                <w:webHidden/>
                <w:rStyle w:val="IndexLink"/>
                <w:rtl w:val="true"/>
              </w:rPr>
              <w:t xml:space="preserve">حقیقتِ ترکیبی انسان از روح و جسم؛ نظریه‌پردازی هشام بن حکم دربارۀ حقیقت انسان </w:t>
            </w:r>
            <w:r>
              <w:rPr>
                <w:rStyle w:val="IndexLink"/>
                <w:rtl w:val="true"/>
              </w:rPr>
              <w:t>/</w:t>
            </w:r>
            <w:r>
              <w:rPr>
                <w:rStyle w:val="IndexLink"/>
                <w:rtl w:val="true"/>
              </w:rPr>
              <w:t xml:space="preserve">محمد تقی سبحانی </w:t>
            </w:r>
            <w:r>
              <w:rPr>
                <w:rStyle w:val="IndexLink"/>
                <w:rtl w:val="true"/>
              </w:rPr>
              <w:t xml:space="preserve">- </w:t>
            </w:r>
            <w:r>
              <w:rPr>
                <w:rStyle w:val="IndexLink"/>
                <w:rtl w:val="true"/>
              </w:rPr>
              <w:t>حسین نعیم آبادی</w:t>
            </w:r>
            <w:r>
              <w:rPr>
                <w:rStyle w:val="IndexLink"/>
                <w:rtl w:val="true"/>
              </w:rPr>
              <w:tab/>
            </w:r>
            <w:r>
              <w:rPr>
                <w:rStyle w:val="IndexLink"/>
              </w:rPr>
              <w:t>14</w:t>
            </w:r>
          </w:hyperlink>
        </w:p>
        <w:p>
          <w:pPr>
            <w:pStyle w:val="Contents3"/>
            <w:tabs>
              <w:tab w:val="clear" w:pos="8459"/>
              <w:tab w:val="right" w:pos="9026" w:leader="dot"/>
            </w:tabs>
            <w:rPr/>
          </w:pPr>
          <w:hyperlink w:anchor="__RefHeading___Toc2051513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051515_2749589250">
            <w:r>
              <w:rPr>
                <w:webHidden/>
                <w:rStyle w:val="IndexLink"/>
                <w:rtl w:val="true"/>
              </w:rPr>
              <w:t>چکیده</w:t>
            </w:r>
            <w:r>
              <w:rPr>
                <w:rStyle w:val="IndexLink"/>
                <w:rtl w:val="true"/>
              </w:rPr>
              <w:tab/>
            </w:r>
            <w:r>
              <w:rPr>
                <w:rStyle w:val="IndexLink"/>
              </w:rPr>
              <w:t>14</w:t>
            </w:r>
          </w:hyperlink>
        </w:p>
        <w:p>
          <w:pPr>
            <w:pStyle w:val="Contents3"/>
            <w:tabs>
              <w:tab w:val="clear" w:pos="8459"/>
              <w:tab w:val="right" w:pos="9026" w:leader="dot"/>
            </w:tabs>
            <w:rPr/>
          </w:pPr>
          <w:hyperlink w:anchor="__RefHeading___Toc2051517_2749589250">
            <w:r>
              <w:rPr>
                <w:webHidden/>
                <w:rStyle w:val="IndexLink"/>
                <w:rtl w:val="true"/>
              </w:rPr>
              <w:t>واژگان کلیدی</w:t>
            </w:r>
            <w:r>
              <w:rPr>
                <w:rStyle w:val="IndexLink"/>
                <w:rtl w:val="true"/>
              </w:rPr>
              <w:tab/>
            </w:r>
            <w:r>
              <w:rPr>
                <w:rStyle w:val="IndexLink"/>
              </w:rPr>
              <w:t>14</w:t>
            </w:r>
          </w:hyperlink>
        </w:p>
        <w:p>
          <w:pPr>
            <w:pStyle w:val="Contents3"/>
            <w:tabs>
              <w:tab w:val="clear" w:pos="8459"/>
              <w:tab w:val="right" w:pos="9026" w:leader="dot"/>
            </w:tabs>
            <w:rPr/>
          </w:pPr>
          <w:hyperlink w:anchor="__RefHeading___Toc2051519_2749589250">
            <w:r>
              <w:rPr>
                <w:webHidden/>
                <w:rStyle w:val="IndexLink"/>
                <w:rtl w:val="true"/>
              </w:rPr>
              <w:t>مقدمه</w:t>
            </w:r>
            <w:r>
              <w:rPr>
                <w:rStyle w:val="IndexLink"/>
                <w:rtl w:val="true"/>
              </w:rPr>
              <w:tab/>
            </w:r>
            <w:r>
              <w:rPr>
                <w:rStyle w:val="IndexLink"/>
              </w:rPr>
              <w:t>15</w:t>
            </w:r>
          </w:hyperlink>
        </w:p>
        <w:p>
          <w:pPr>
            <w:pStyle w:val="Contents4"/>
            <w:tabs>
              <w:tab w:val="clear" w:pos="8176"/>
              <w:tab w:val="right" w:pos="9026" w:leader="dot"/>
            </w:tabs>
            <w:rPr/>
          </w:pPr>
          <w:hyperlink w:anchor="__RefHeading___Toc2051521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051523_2749589250">
            <w:r>
              <w:rPr>
                <w:webHidden/>
                <w:rStyle w:val="IndexLink"/>
                <w:rtl w:val="true"/>
              </w:rPr>
              <w:t>دیدگاه‌های موجود در عصر هشام بن حکم</w:t>
            </w:r>
            <w:r>
              <w:rPr>
                <w:rStyle w:val="IndexLink"/>
                <w:rtl w:val="true"/>
              </w:rPr>
              <w:tab/>
            </w:r>
            <w:r>
              <w:rPr>
                <w:rStyle w:val="IndexLink"/>
              </w:rPr>
              <w:t>17</w:t>
            </w:r>
          </w:hyperlink>
        </w:p>
        <w:p>
          <w:pPr>
            <w:pStyle w:val="Contents3"/>
            <w:tabs>
              <w:tab w:val="clear" w:pos="8459"/>
              <w:tab w:val="right" w:pos="9026" w:leader="dot"/>
            </w:tabs>
            <w:rPr/>
          </w:pPr>
          <w:hyperlink w:anchor="__RefHeading___Toc2051525_2749589250">
            <w:r>
              <w:rPr>
                <w:webHidden/>
                <w:rStyle w:val="IndexLink"/>
                <w:rtl w:val="true"/>
              </w:rPr>
              <w:t>امامیه و نظریۀ دوآلیستی واقعی</w:t>
            </w:r>
            <w:r>
              <w:rPr>
                <w:rStyle w:val="IndexLink"/>
                <w:rtl w:val="true"/>
              </w:rPr>
              <w:tab/>
            </w:r>
            <w:r>
              <w:rPr>
                <w:rStyle w:val="IndexLink"/>
              </w:rPr>
              <w:t>18</w:t>
            </w:r>
          </w:hyperlink>
        </w:p>
        <w:p>
          <w:pPr>
            <w:pStyle w:val="Contents3"/>
            <w:tabs>
              <w:tab w:val="clear" w:pos="8459"/>
              <w:tab w:val="right" w:pos="9026" w:leader="dot"/>
            </w:tabs>
            <w:rPr/>
          </w:pPr>
          <w:hyperlink w:anchor="__RefHeading___Toc2051527_2749589250">
            <w:r>
              <w:rPr>
                <w:webHidden/>
                <w:rStyle w:val="IndexLink"/>
                <w:rtl w:val="true"/>
              </w:rPr>
              <w:t>نظریۀ هشام بن حکم</w:t>
            </w:r>
            <w:r>
              <w:rPr>
                <w:rStyle w:val="IndexLink"/>
                <w:rtl w:val="true"/>
              </w:rPr>
              <w:tab/>
            </w:r>
            <w:r>
              <w:rPr>
                <w:rStyle w:val="IndexLink"/>
              </w:rPr>
              <w:t>23</w:t>
            </w:r>
          </w:hyperlink>
        </w:p>
        <w:p>
          <w:pPr>
            <w:pStyle w:val="Contents3"/>
            <w:tabs>
              <w:tab w:val="clear" w:pos="8459"/>
              <w:tab w:val="right" w:pos="9026" w:leader="dot"/>
            </w:tabs>
            <w:rPr/>
          </w:pPr>
          <w:hyperlink w:anchor="__RefHeading___Toc2051529_2749589250">
            <w:r>
              <w:rPr>
                <w:webHidden/>
                <w:rStyle w:val="IndexLink"/>
                <w:rtl w:val="true"/>
              </w:rPr>
              <w:t>نتایج</w:t>
            </w:r>
            <w:r>
              <w:rPr>
                <w:rStyle w:val="IndexLink"/>
                <w:rtl w:val="true"/>
              </w:rPr>
              <w:tab/>
            </w:r>
            <w:r>
              <w:rPr>
                <w:rStyle w:val="IndexLink"/>
              </w:rPr>
              <w:t>29</w:t>
            </w:r>
          </w:hyperlink>
        </w:p>
        <w:p>
          <w:pPr>
            <w:pStyle w:val="Contents3"/>
            <w:tabs>
              <w:tab w:val="clear" w:pos="8459"/>
              <w:tab w:val="right" w:pos="9026" w:leader="dot"/>
            </w:tabs>
            <w:rPr/>
          </w:pPr>
          <w:hyperlink w:anchor="__RefHeading___Toc2051531_2749589250">
            <w:r>
              <w:rPr>
                <w:webHidden/>
                <w:rStyle w:val="IndexLink"/>
                <w:rtl w:val="true"/>
              </w:rPr>
              <w:t>منابع</w:t>
            </w:r>
            <w:r>
              <w:rPr>
                <w:rStyle w:val="IndexLink"/>
                <w:rtl w:val="true"/>
              </w:rPr>
              <w:tab/>
            </w:r>
            <w:r>
              <w:rPr>
                <w:rStyle w:val="IndexLink"/>
              </w:rPr>
              <w:t>31</w:t>
            </w:r>
          </w:hyperlink>
        </w:p>
        <w:p>
          <w:pPr>
            <w:pStyle w:val="Contents4"/>
            <w:tabs>
              <w:tab w:val="clear" w:pos="8176"/>
              <w:tab w:val="right" w:pos="9026" w:leader="dot"/>
            </w:tabs>
            <w:rPr/>
          </w:pPr>
          <w:hyperlink w:anchor="__RefHeading___Toc2051533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051535_2749589250">
            <w:r>
              <w:rPr>
                <w:webHidden/>
                <w:rStyle w:val="IndexLink"/>
              </w:rPr>
              <w:t>Point</w:t>
            </w:r>
            <w:r>
              <w:rPr>
                <w:rStyle w:val="IndexLink"/>
                <w:rtl w:val="true"/>
              </w:rPr>
              <w:tab/>
            </w:r>
            <w:r>
              <w:rPr>
                <w:rStyle w:val="IndexLink"/>
              </w:rPr>
              <w:t>33</w:t>
            </w:r>
          </w:hyperlink>
        </w:p>
        <w:p>
          <w:pPr>
            <w:pStyle w:val="Contents2"/>
            <w:tabs>
              <w:tab w:val="clear" w:pos="8743"/>
              <w:tab w:val="right" w:pos="9026" w:leader="dot"/>
            </w:tabs>
            <w:rPr/>
          </w:pPr>
          <w:hyperlink w:anchor="__RefHeading___Toc2051537_2749589250">
            <w:r>
              <w:rPr>
                <w:webHidden/>
                <w:rStyle w:val="IndexLink"/>
                <w:rtl w:val="true"/>
              </w:rPr>
              <w:t xml:space="preserve">بررسی دیدگاه متکلمان امامیه دربارۀ گسترۀ علم امام با تکیه بر روایات </w:t>
            </w:r>
            <w:r>
              <w:rPr>
                <w:rStyle w:val="IndexLink"/>
                <w:rtl w:val="true"/>
              </w:rPr>
              <w:t xml:space="preserve">/ </w:t>
            </w:r>
            <w:r>
              <w:rPr>
                <w:rStyle w:val="IndexLink"/>
                <w:rtl w:val="true"/>
              </w:rPr>
              <w:t>محمد حسین فاریاب</w:t>
            </w:r>
            <w:r>
              <w:rPr>
                <w:rStyle w:val="IndexLink"/>
                <w:rtl w:val="true"/>
              </w:rPr>
              <w:tab/>
            </w:r>
            <w:r>
              <w:rPr>
                <w:rStyle w:val="IndexLink"/>
              </w:rPr>
              <w:t>34</w:t>
            </w:r>
          </w:hyperlink>
        </w:p>
        <w:p>
          <w:pPr>
            <w:pStyle w:val="Contents3"/>
            <w:tabs>
              <w:tab w:val="clear" w:pos="8459"/>
              <w:tab w:val="right" w:pos="9026" w:leader="dot"/>
            </w:tabs>
            <w:rPr/>
          </w:pPr>
          <w:hyperlink w:anchor="__RefHeading___Toc2051539_274958925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051541_2749589250">
            <w:r>
              <w:rPr>
                <w:webHidden/>
                <w:rStyle w:val="IndexLink"/>
                <w:rtl w:val="true"/>
              </w:rPr>
              <w:t>چکیده</w:t>
            </w:r>
            <w:r>
              <w:rPr>
                <w:rStyle w:val="IndexLink"/>
                <w:rtl w:val="true"/>
              </w:rPr>
              <w:tab/>
            </w:r>
            <w:r>
              <w:rPr>
                <w:rStyle w:val="IndexLink"/>
              </w:rPr>
              <w:t>34</w:t>
            </w:r>
          </w:hyperlink>
        </w:p>
        <w:p>
          <w:pPr>
            <w:pStyle w:val="Contents3"/>
            <w:tabs>
              <w:tab w:val="clear" w:pos="8459"/>
              <w:tab w:val="right" w:pos="9026" w:leader="dot"/>
            </w:tabs>
            <w:rPr/>
          </w:pPr>
          <w:hyperlink w:anchor="__RefHeading___Toc2051543_2749589250">
            <w:r>
              <w:rPr>
                <w:webHidden/>
                <w:rStyle w:val="IndexLink"/>
                <w:rtl w:val="true"/>
              </w:rPr>
              <w:t>واژگان کلیدی</w:t>
            </w:r>
            <w:r>
              <w:rPr>
                <w:rStyle w:val="IndexLink"/>
                <w:rtl w:val="true"/>
              </w:rPr>
              <w:tab/>
            </w:r>
            <w:r>
              <w:rPr>
                <w:rStyle w:val="IndexLink"/>
              </w:rPr>
              <w:t>34</w:t>
            </w:r>
          </w:hyperlink>
        </w:p>
        <w:p>
          <w:pPr>
            <w:pStyle w:val="Contents3"/>
            <w:tabs>
              <w:tab w:val="clear" w:pos="8459"/>
              <w:tab w:val="right" w:pos="9026" w:leader="dot"/>
            </w:tabs>
            <w:rPr/>
          </w:pPr>
          <w:hyperlink w:anchor="__RefHeading___Toc2051545_2749589250">
            <w:r>
              <w:rPr>
                <w:webHidden/>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2051547_2749589250">
            <w:r>
              <w:rPr>
                <w:webHidden/>
                <w:rStyle w:val="IndexLink"/>
              </w:rPr>
              <w:t>1</w:t>
            </w:r>
            <w:r>
              <w:rPr>
                <w:rStyle w:val="IndexLink"/>
                <w:rtl w:val="true"/>
              </w:rPr>
              <w:t xml:space="preserve">. </w:t>
            </w:r>
            <w:r>
              <w:rPr>
                <w:rStyle w:val="IndexLink"/>
                <w:rtl w:val="true"/>
              </w:rPr>
              <w:t>نظریۀ علم امام از مفید تا فاضل مقداد</w:t>
            </w:r>
            <w:r>
              <w:rPr>
                <w:rStyle w:val="IndexLink"/>
                <w:rtl w:val="true"/>
              </w:rPr>
              <w:tab/>
            </w:r>
            <w:r>
              <w:rPr>
                <w:rStyle w:val="IndexLink"/>
              </w:rPr>
              <w:t>36</w:t>
            </w:r>
          </w:hyperlink>
        </w:p>
        <w:p>
          <w:pPr>
            <w:pStyle w:val="Contents4"/>
            <w:tabs>
              <w:tab w:val="clear" w:pos="8176"/>
              <w:tab w:val="right" w:pos="9026" w:leader="dot"/>
            </w:tabs>
            <w:rPr/>
          </w:pPr>
          <w:hyperlink w:anchor="__RefHeading___Toc2051549_274958925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051551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علم امام در مکتب بغداد</w:t>
            </w:r>
            <w:r>
              <w:rPr>
                <w:rStyle w:val="IndexLink"/>
                <w:rtl w:val="true"/>
              </w:rPr>
              <w:tab/>
            </w:r>
            <w:r>
              <w:rPr>
                <w:rStyle w:val="IndexLink"/>
              </w:rPr>
              <w:t>37</w:t>
            </w:r>
          </w:hyperlink>
        </w:p>
        <w:p>
          <w:pPr>
            <w:pStyle w:val="Contents5"/>
            <w:tabs>
              <w:tab w:val="clear" w:pos="7892"/>
              <w:tab w:val="right" w:pos="9026" w:leader="dot"/>
            </w:tabs>
            <w:rPr/>
          </w:pPr>
          <w:hyperlink w:anchor="__RefHeading___Toc2051553_274958925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051555_2749589250">
            <w:r>
              <w:rPr>
                <w:webHidden/>
                <w:rStyle w:val="IndexLink"/>
                <w:rtl w:val="true"/>
              </w:rPr>
              <w:t>یکم</w:t>
            </w:r>
            <w:r>
              <w:rPr>
                <w:rStyle w:val="IndexLink"/>
                <w:rtl w:val="true"/>
              </w:rPr>
              <w:t xml:space="preserve">: </w:t>
            </w:r>
            <w:r>
              <w:rPr>
                <w:rStyle w:val="IndexLink"/>
                <w:rtl w:val="true"/>
              </w:rPr>
              <w:t xml:space="preserve">شیخ مفید </w:t>
            </w:r>
            <w:r>
              <w:rPr>
                <w:rStyle w:val="IndexLink"/>
                <w:rtl w:val="true"/>
              </w:rPr>
              <w:t>(</w:t>
            </w:r>
            <w:r>
              <w:rPr>
                <w:rStyle w:val="IndexLink"/>
              </w:rPr>
              <w:t>413</w:t>
            </w:r>
            <w:r>
              <w:rPr>
                <w:rStyle w:val="IndexLink"/>
                <w:rtl w:val="true"/>
              </w:rPr>
              <w:t>ق</w:t>
            </w:r>
            <w:r>
              <w:rPr>
                <w:rStyle w:val="IndexLink"/>
                <w:rtl w:val="true"/>
              </w:rPr>
              <w:t>)</w:t>
              <w:tab/>
            </w:r>
            <w:r>
              <w:rPr>
                <w:rStyle w:val="IndexLink"/>
              </w:rPr>
              <w:t>37</w:t>
            </w:r>
          </w:hyperlink>
        </w:p>
        <w:p>
          <w:pPr>
            <w:pStyle w:val="Contents6"/>
            <w:tabs>
              <w:tab w:val="clear" w:pos="7609"/>
              <w:tab w:val="right" w:pos="9026" w:leader="dot"/>
            </w:tabs>
            <w:rPr/>
          </w:pPr>
          <w:hyperlink w:anchor="__RefHeading___Toc2051557_274958925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2051559_2749589250">
            <w:r>
              <w:rPr>
                <w:webHidden/>
                <w:rStyle w:val="IndexLink"/>
              </w:rPr>
              <w:t>1</w:t>
            </w:r>
            <w:r>
              <w:rPr>
                <w:rStyle w:val="IndexLink"/>
                <w:rtl w:val="true"/>
              </w:rPr>
              <w:tab/>
            </w:r>
            <w:r>
              <w:rPr>
                <w:rStyle w:val="IndexLink"/>
              </w:rPr>
              <w:t>37</w:t>
            </w:r>
          </w:hyperlink>
        </w:p>
        <w:p>
          <w:pPr>
            <w:pStyle w:val="Contents6"/>
            <w:tabs>
              <w:tab w:val="clear" w:pos="7609"/>
              <w:tab w:val="right" w:pos="9026" w:leader="dot"/>
            </w:tabs>
            <w:rPr/>
          </w:pPr>
          <w:hyperlink w:anchor="__RefHeading___Toc2051561_2749589250">
            <w:r>
              <w:rPr>
                <w:webHidden/>
                <w:rStyle w:val="IndexLink"/>
              </w:rPr>
              <w:t>2</w:t>
            </w:r>
            <w:r>
              <w:rPr>
                <w:rStyle w:val="IndexLink"/>
                <w:rtl w:val="true"/>
              </w:rPr>
              <w:tab/>
            </w:r>
            <w:r>
              <w:rPr>
                <w:rStyle w:val="IndexLink"/>
              </w:rPr>
              <w:t>37</w:t>
            </w:r>
          </w:hyperlink>
        </w:p>
        <w:p>
          <w:pPr>
            <w:pStyle w:val="Contents6"/>
            <w:tabs>
              <w:tab w:val="clear" w:pos="7609"/>
              <w:tab w:val="right" w:pos="9026" w:leader="dot"/>
            </w:tabs>
            <w:rPr/>
          </w:pPr>
          <w:hyperlink w:anchor="__RefHeading___Toc2051563_2749589250">
            <w:r>
              <w:rPr>
                <w:webHidden/>
                <w:rStyle w:val="IndexLink"/>
              </w:rPr>
              <w:t>3</w:t>
            </w:r>
            <w:r>
              <w:rPr>
                <w:rStyle w:val="IndexLink"/>
                <w:rtl w:val="true"/>
              </w:rPr>
              <w:tab/>
            </w:r>
            <w:r>
              <w:rPr>
                <w:rStyle w:val="IndexLink"/>
              </w:rPr>
              <w:t>37</w:t>
            </w:r>
          </w:hyperlink>
        </w:p>
        <w:p>
          <w:pPr>
            <w:pStyle w:val="Contents6"/>
            <w:tabs>
              <w:tab w:val="clear" w:pos="7609"/>
              <w:tab w:val="right" w:pos="9026" w:leader="dot"/>
            </w:tabs>
            <w:rPr/>
          </w:pPr>
          <w:hyperlink w:anchor="__RefHeading___Toc2051565_2749589250">
            <w:r>
              <w:rPr>
                <w:webHidden/>
                <w:rStyle w:val="IndexLink"/>
              </w:rPr>
              <w:t>4</w:t>
            </w:r>
            <w:r>
              <w:rPr>
                <w:rStyle w:val="IndexLink"/>
                <w:rtl w:val="true"/>
              </w:rPr>
              <w:tab/>
            </w:r>
            <w:r>
              <w:rPr>
                <w:rStyle w:val="IndexLink"/>
              </w:rPr>
              <w:t>37</w:t>
            </w:r>
          </w:hyperlink>
        </w:p>
        <w:p>
          <w:pPr>
            <w:pStyle w:val="Contents5"/>
            <w:tabs>
              <w:tab w:val="clear" w:pos="7892"/>
              <w:tab w:val="right" w:pos="9026" w:leader="dot"/>
            </w:tabs>
            <w:rPr/>
          </w:pPr>
          <w:hyperlink w:anchor="__RefHeading___Toc2051567_2749589250">
            <w:r>
              <w:rPr>
                <w:webHidden/>
                <w:rStyle w:val="IndexLink"/>
                <w:rtl w:val="true"/>
              </w:rPr>
              <w:t>دوم</w:t>
            </w:r>
            <w:r>
              <w:rPr>
                <w:rStyle w:val="IndexLink"/>
                <w:rtl w:val="true"/>
              </w:rPr>
              <w:t xml:space="preserve">: </w:t>
            </w:r>
            <w:r>
              <w:rPr>
                <w:rStyle w:val="IndexLink"/>
                <w:rtl w:val="true"/>
              </w:rPr>
              <w:t xml:space="preserve">سید مرتضی </w:t>
            </w:r>
            <w:r>
              <w:rPr>
                <w:rStyle w:val="IndexLink"/>
                <w:rtl w:val="true"/>
              </w:rPr>
              <w:t>(</w:t>
            </w:r>
            <w:r>
              <w:rPr>
                <w:rStyle w:val="IndexLink"/>
              </w:rPr>
              <w:t>436</w:t>
            </w:r>
            <w:r>
              <w:rPr>
                <w:rStyle w:val="IndexLink"/>
                <w:rtl w:val="true"/>
              </w:rPr>
              <w:t>ق</w:t>
            </w:r>
            <w:r>
              <w:rPr>
                <w:rStyle w:val="IndexLink"/>
                <w:rtl w:val="true"/>
              </w:rPr>
              <w:t>)</w:t>
              <w:tab/>
            </w:r>
            <w:r>
              <w:rPr>
                <w:rStyle w:val="IndexLink"/>
              </w:rPr>
              <w:t>38</w:t>
            </w:r>
          </w:hyperlink>
        </w:p>
        <w:p>
          <w:pPr>
            <w:pStyle w:val="Contents6"/>
            <w:tabs>
              <w:tab w:val="clear" w:pos="7609"/>
              <w:tab w:val="right" w:pos="9026" w:leader="dot"/>
            </w:tabs>
            <w:rPr/>
          </w:pPr>
          <w:hyperlink w:anchor="__RefHeading___Toc2051569_2749589250">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2051571_2749589250">
            <w:r>
              <w:rPr>
                <w:webHidden/>
                <w:rStyle w:val="IndexLink"/>
              </w:rPr>
              <w:t>1</w:t>
            </w:r>
            <w:r>
              <w:rPr>
                <w:rStyle w:val="IndexLink"/>
                <w:rtl w:val="true"/>
              </w:rPr>
              <w:tab/>
            </w:r>
            <w:r>
              <w:rPr>
                <w:rStyle w:val="IndexLink"/>
              </w:rPr>
              <w:t>38</w:t>
            </w:r>
          </w:hyperlink>
        </w:p>
        <w:p>
          <w:pPr>
            <w:pStyle w:val="Contents6"/>
            <w:tabs>
              <w:tab w:val="clear" w:pos="7609"/>
              <w:tab w:val="right" w:pos="9026" w:leader="dot"/>
            </w:tabs>
            <w:rPr/>
          </w:pPr>
          <w:hyperlink w:anchor="__RefHeading___Toc2051573_2749589250">
            <w:r>
              <w:rPr>
                <w:webHidden/>
                <w:rStyle w:val="IndexLink"/>
              </w:rPr>
              <w:t>2</w:t>
            </w:r>
            <w:r>
              <w:rPr>
                <w:rStyle w:val="IndexLink"/>
                <w:rtl w:val="true"/>
              </w:rPr>
              <w:tab/>
            </w:r>
            <w:r>
              <w:rPr>
                <w:rStyle w:val="IndexLink"/>
              </w:rPr>
              <w:t>38</w:t>
            </w:r>
          </w:hyperlink>
        </w:p>
        <w:p>
          <w:pPr>
            <w:pStyle w:val="Contents6"/>
            <w:tabs>
              <w:tab w:val="clear" w:pos="7609"/>
              <w:tab w:val="right" w:pos="9026" w:leader="dot"/>
            </w:tabs>
            <w:rPr/>
          </w:pPr>
          <w:hyperlink w:anchor="__RefHeading___Toc2051575_2749589250">
            <w:r>
              <w:rPr>
                <w:webHidden/>
                <w:rStyle w:val="IndexLink"/>
              </w:rPr>
              <w:t>3</w:t>
            </w:r>
            <w:r>
              <w:rPr>
                <w:rStyle w:val="IndexLink"/>
                <w:rtl w:val="true"/>
              </w:rPr>
              <w:tab/>
            </w:r>
            <w:r>
              <w:rPr>
                <w:rStyle w:val="IndexLink"/>
              </w:rPr>
              <w:t>38</w:t>
            </w:r>
          </w:hyperlink>
        </w:p>
        <w:p>
          <w:pPr>
            <w:pStyle w:val="Contents6"/>
            <w:tabs>
              <w:tab w:val="clear" w:pos="7609"/>
              <w:tab w:val="right" w:pos="9026" w:leader="dot"/>
            </w:tabs>
            <w:rPr/>
          </w:pPr>
          <w:hyperlink w:anchor="__RefHeading___Toc2051577_2749589250">
            <w:r>
              <w:rPr>
                <w:webHidden/>
                <w:rStyle w:val="IndexLink"/>
              </w:rPr>
              <w:t>4</w:t>
            </w:r>
            <w:r>
              <w:rPr>
                <w:rStyle w:val="IndexLink"/>
                <w:rtl w:val="true"/>
              </w:rPr>
              <w:tab/>
            </w:r>
            <w:r>
              <w:rPr>
                <w:rStyle w:val="IndexLink"/>
              </w:rPr>
              <w:t>38</w:t>
            </w:r>
          </w:hyperlink>
        </w:p>
        <w:p>
          <w:pPr>
            <w:pStyle w:val="Contents5"/>
            <w:tabs>
              <w:tab w:val="clear" w:pos="7892"/>
              <w:tab w:val="right" w:pos="9026" w:leader="dot"/>
            </w:tabs>
            <w:rPr/>
          </w:pPr>
          <w:hyperlink w:anchor="__RefHeading___Toc2051579_2749589250">
            <w:r>
              <w:rPr>
                <w:webHidden/>
                <w:rStyle w:val="IndexLink"/>
                <w:rtl w:val="true"/>
              </w:rPr>
              <w:t>سوم</w:t>
            </w:r>
            <w:r>
              <w:rPr>
                <w:rStyle w:val="IndexLink"/>
                <w:rtl w:val="true"/>
              </w:rPr>
              <w:t xml:space="preserve">: </w:t>
            </w:r>
            <w:r>
              <w:rPr>
                <w:rStyle w:val="IndexLink"/>
                <w:rtl w:val="true"/>
              </w:rPr>
              <w:t xml:space="preserve">ابوالصلاح حلبی </w:t>
            </w:r>
            <w:r>
              <w:rPr>
                <w:rStyle w:val="IndexLink"/>
                <w:rtl w:val="true"/>
              </w:rPr>
              <w:t>(</w:t>
            </w:r>
            <w:r>
              <w:rPr>
                <w:rStyle w:val="IndexLink"/>
              </w:rPr>
              <w:t>447</w:t>
            </w:r>
            <w:r>
              <w:rPr>
                <w:rStyle w:val="IndexLink"/>
                <w:rtl w:val="true"/>
              </w:rPr>
              <w:t>ق</w:t>
            </w:r>
            <w:r>
              <w:rPr>
                <w:rStyle w:val="IndexLink"/>
                <w:rtl w:val="true"/>
              </w:rPr>
              <w:t>)</w:t>
              <w:tab/>
            </w:r>
            <w:r>
              <w:rPr>
                <w:rStyle w:val="IndexLink"/>
              </w:rPr>
              <w:t>39</w:t>
            </w:r>
          </w:hyperlink>
        </w:p>
        <w:p>
          <w:pPr>
            <w:pStyle w:val="Contents5"/>
            <w:tabs>
              <w:tab w:val="clear" w:pos="7892"/>
              <w:tab w:val="right" w:pos="9026" w:leader="dot"/>
            </w:tabs>
            <w:rPr/>
          </w:pPr>
          <w:hyperlink w:anchor="__RefHeading___Toc2051581_2749589250">
            <w:r>
              <w:rPr>
                <w:webHidden/>
                <w:rStyle w:val="IndexLink"/>
                <w:rtl w:val="true"/>
              </w:rPr>
              <w:t>چهارم</w:t>
            </w:r>
            <w:r>
              <w:rPr>
                <w:rStyle w:val="IndexLink"/>
                <w:rtl w:val="true"/>
              </w:rPr>
              <w:t xml:space="preserve">: </w:t>
            </w:r>
            <w:r>
              <w:rPr>
                <w:rStyle w:val="IndexLink"/>
                <w:rtl w:val="true"/>
              </w:rPr>
              <w:t xml:space="preserve">ابوالفتح کراجکی </w:t>
            </w:r>
            <w:r>
              <w:rPr>
                <w:rStyle w:val="IndexLink"/>
                <w:rtl w:val="true"/>
              </w:rPr>
              <w:t>(</w:t>
            </w:r>
            <w:r>
              <w:rPr>
                <w:rStyle w:val="IndexLink"/>
              </w:rPr>
              <w:t>449</w:t>
            </w:r>
            <w:r>
              <w:rPr>
                <w:rStyle w:val="IndexLink"/>
                <w:rtl w:val="true"/>
              </w:rPr>
              <w:t>ق</w:t>
            </w:r>
            <w:r>
              <w:rPr>
                <w:rStyle w:val="IndexLink"/>
                <w:rtl w:val="true"/>
              </w:rPr>
              <w:t>)</w:t>
              <w:tab/>
            </w:r>
            <w:r>
              <w:rPr>
                <w:rStyle w:val="IndexLink"/>
              </w:rPr>
              <w:t>39</w:t>
            </w:r>
          </w:hyperlink>
        </w:p>
        <w:p>
          <w:pPr>
            <w:pStyle w:val="Contents5"/>
            <w:tabs>
              <w:tab w:val="clear" w:pos="7892"/>
              <w:tab w:val="right" w:pos="9026" w:leader="dot"/>
            </w:tabs>
            <w:rPr/>
          </w:pPr>
          <w:hyperlink w:anchor="__RefHeading___Toc2051583_2749589250">
            <w:r>
              <w:rPr>
                <w:webHidden/>
                <w:rStyle w:val="IndexLink"/>
                <w:rtl w:val="true"/>
              </w:rPr>
              <w:t>پنجم</w:t>
            </w:r>
            <w:r>
              <w:rPr>
                <w:rStyle w:val="IndexLink"/>
                <w:rtl w:val="true"/>
              </w:rPr>
              <w:t xml:space="preserve">: </w:t>
            </w:r>
            <w:r>
              <w:rPr>
                <w:rStyle w:val="IndexLink"/>
                <w:rtl w:val="true"/>
              </w:rPr>
              <w:t xml:space="preserve">شیخ طوسی </w:t>
            </w:r>
            <w:r>
              <w:rPr>
                <w:rStyle w:val="IndexLink"/>
                <w:rtl w:val="true"/>
              </w:rPr>
              <w:t>(</w:t>
            </w:r>
            <w:r>
              <w:rPr>
                <w:rStyle w:val="IndexLink"/>
              </w:rPr>
              <w:t>460</w:t>
            </w:r>
            <w:r>
              <w:rPr>
                <w:rStyle w:val="IndexLink"/>
                <w:rtl w:val="true"/>
              </w:rPr>
              <w:t>ق</w:t>
            </w:r>
            <w:r>
              <w:rPr>
                <w:rStyle w:val="IndexLink"/>
                <w:rtl w:val="true"/>
              </w:rPr>
              <w:t>)</w:t>
              <w:tab/>
            </w:r>
            <w:r>
              <w:rPr>
                <w:rStyle w:val="IndexLink"/>
              </w:rPr>
              <w:t>39</w:t>
            </w:r>
          </w:hyperlink>
        </w:p>
        <w:p>
          <w:pPr>
            <w:pStyle w:val="Contents6"/>
            <w:tabs>
              <w:tab w:val="clear" w:pos="7609"/>
              <w:tab w:val="right" w:pos="9026" w:leader="dot"/>
            </w:tabs>
            <w:rPr/>
          </w:pPr>
          <w:hyperlink w:anchor="__RefHeading___Toc2051585_274958925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2051587_2749589250">
            <w:r>
              <w:rPr>
                <w:webHidden/>
                <w:rStyle w:val="IndexLink"/>
                <w:rtl w:val="true"/>
              </w:rPr>
              <w:t>الف</w:t>
            </w:r>
            <w:r>
              <w:rPr>
                <w:rStyle w:val="IndexLink"/>
                <w:rtl w:val="true"/>
              </w:rPr>
              <w:tab/>
            </w:r>
            <w:r>
              <w:rPr>
                <w:rStyle w:val="IndexLink"/>
              </w:rPr>
              <w:t>40</w:t>
            </w:r>
          </w:hyperlink>
        </w:p>
        <w:p>
          <w:pPr>
            <w:pStyle w:val="Contents6"/>
            <w:tabs>
              <w:tab w:val="clear" w:pos="7609"/>
              <w:tab w:val="right" w:pos="9026" w:leader="dot"/>
            </w:tabs>
            <w:rPr/>
          </w:pPr>
          <w:hyperlink w:anchor="__RefHeading___Toc2051589_2749589250">
            <w:r>
              <w:rPr>
                <w:webHidden/>
                <w:rStyle w:val="IndexLink"/>
                <w:rtl w:val="true"/>
              </w:rPr>
              <w:t>ب</w:t>
            </w:r>
            <w:r>
              <w:rPr>
                <w:rStyle w:val="IndexLink"/>
                <w:rtl w:val="true"/>
              </w:rPr>
              <w:tab/>
            </w:r>
            <w:r>
              <w:rPr>
                <w:rStyle w:val="IndexLink"/>
              </w:rPr>
              <w:t>40</w:t>
            </w:r>
          </w:hyperlink>
        </w:p>
        <w:p>
          <w:pPr>
            <w:pStyle w:val="Contents6"/>
            <w:tabs>
              <w:tab w:val="clear" w:pos="7609"/>
              <w:tab w:val="right" w:pos="9026" w:leader="dot"/>
            </w:tabs>
            <w:rPr/>
          </w:pPr>
          <w:hyperlink w:anchor="__RefHeading___Toc2051591_2749589250">
            <w:r>
              <w:rPr>
                <w:webHidden/>
                <w:rStyle w:val="IndexLink"/>
                <w:rtl w:val="true"/>
              </w:rPr>
              <w:t>ج</w:t>
            </w:r>
            <w:r>
              <w:rPr>
                <w:rStyle w:val="IndexLink"/>
                <w:rtl w:val="true"/>
              </w:rPr>
              <w:tab/>
            </w:r>
            <w:r>
              <w:rPr>
                <w:rStyle w:val="IndexLink"/>
              </w:rPr>
              <w:t>40</w:t>
            </w:r>
          </w:hyperlink>
        </w:p>
        <w:p>
          <w:pPr>
            <w:pStyle w:val="Contents6"/>
            <w:tabs>
              <w:tab w:val="clear" w:pos="7609"/>
              <w:tab w:val="right" w:pos="9026" w:leader="dot"/>
            </w:tabs>
            <w:rPr/>
          </w:pPr>
          <w:hyperlink w:anchor="__RefHeading___Toc2051593_2749589250">
            <w:r>
              <w:rPr>
                <w:webHidden/>
                <w:rStyle w:val="IndexLink"/>
                <w:rtl w:val="true"/>
              </w:rPr>
              <w:t>د</w:t>
            </w:r>
            <w:r>
              <w:rPr>
                <w:rStyle w:val="IndexLink"/>
                <w:rtl w:val="true"/>
              </w:rPr>
              <w:tab/>
            </w:r>
            <w:r>
              <w:rPr>
                <w:rStyle w:val="IndexLink"/>
              </w:rPr>
              <w:t>40</w:t>
            </w:r>
          </w:hyperlink>
        </w:p>
        <w:p>
          <w:pPr>
            <w:pStyle w:val="Contents4"/>
            <w:tabs>
              <w:tab w:val="clear" w:pos="8176"/>
              <w:tab w:val="right" w:pos="9026" w:leader="dot"/>
            </w:tabs>
            <w:rPr/>
          </w:pPr>
          <w:hyperlink w:anchor="__RefHeading___Toc2051595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علم امام در مکتب کلامی ری</w:t>
            </w:r>
            <w:r>
              <w:rPr>
                <w:rStyle w:val="IndexLink"/>
                <w:rtl w:val="true"/>
              </w:rPr>
              <w:tab/>
            </w:r>
            <w:r>
              <w:rPr>
                <w:rStyle w:val="IndexLink"/>
              </w:rPr>
              <w:t>40</w:t>
            </w:r>
          </w:hyperlink>
        </w:p>
        <w:p>
          <w:pPr>
            <w:pStyle w:val="Contents5"/>
            <w:tabs>
              <w:tab w:val="clear" w:pos="7892"/>
              <w:tab w:val="right" w:pos="9026" w:leader="dot"/>
            </w:tabs>
            <w:rPr/>
          </w:pPr>
          <w:hyperlink w:anchor="__RefHeading___Toc2051597_274958925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051599_2749589250">
            <w:r>
              <w:rPr>
                <w:webHidden/>
                <w:rStyle w:val="IndexLink"/>
                <w:rtl w:val="true"/>
              </w:rPr>
              <w:t>یکم</w:t>
            </w:r>
            <w:r>
              <w:rPr>
                <w:rStyle w:val="IndexLink"/>
                <w:rtl w:val="true"/>
              </w:rPr>
              <w:t xml:space="preserve">: </w:t>
            </w:r>
            <w:r>
              <w:rPr>
                <w:rStyle w:val="IndexLink"/>
                <w:rtl w:val="true"/>
              </w:rPr>
              <w:t xml:space="preserve">عبدالجلیل قزوینی </w:t>
            </w:r>
            <w:r>
              <w:rPr>
                <w:rStyle w:val="IndexLink"/>
                <w:rtl w:val="true"/>
              </w:rPr>
              <w:t>(</w:t>
            </w:r>
            <w:r>
              <w:rPr>
                <w:rStyle w:val="IndexLink"/>
                <w:rtl w:val="true"/>
              </w:rPr>
              <w:t>قرن ششم هجری</w:t>
            </w:r>
            <w:r>
              <w:rPr>
                <w:rStyle w:val="IndexLink"/>
                <w:rtl w:val="true"/>
              </w:rPr>
              <w:t>)</w:t>
              <w:tab/>
            </w:r>
            <w:r>
              <w:rPr>
                <w:rStyle w:val="IndexLink"/>
              </w:rPr>
              <w:t>40</w:t>
            </w:r>
          </w:hyperlink>
        </w:p>
        <w:p>
          <w:pPr>
            <w:pStyle w:val="Contents5"/>
            <w:tabs>
              <w:tab w:val="clear" w:pos="7892"/>
              <w:tab w:val="right" w:pos="9026" w:leader="dot"/>
            </w:tabs>
            <w:rPr/>
          </w:pPr>
          <w:hyperlink w:anchor="__RefHeading___Toc2051601_2749589250">
            <w:r>
              <w:rPr>
                <w:webHidden/>
                <w:rStyle w:val="IndexLink"/>
                <w:rtl w:val="true"/>
              </w:rPr>
              <w:t>دوم</w:t>
            </w:r>
            <w:r>
              <w:rPr>
                <w:rStyle w:val="IndexLink"/>
                <w:rtl w:val="true"/>
              </w:rPr>
              <w:t xml:space="preserve">: </w:t>
            </w:r>
            <w:r>
              <w:rPr>
                <w:rStyle w:val="IndexLink"/>
                <w:rtl w:val="true"/>
              </w:rPr>
              <w:t xml:space="preserve">سدیدالدین حمصی </w:t>
            </w:r>
            <w:r>
              <w:rPr>
                <w:rStyle w:val="IndexLink"/>
                <w:rtl w:val="true"/>
              </w:rPr>
              <w:t>(</w:t>
            </w:r>
            <w:r>
              <w:rPr>
                <w:rStyle w:val="IndexLink"/>
                <w:rtl w:val="true"/>
              </w:rPr>
              <w:t>قرن ششم هجری</w:t>
            </w:r>
            <w:r>
              <w:rPr>
                <w:rStyle w:val="IndexLink"/>
                <w:rtl w:val="true"/>
              </w:rPr>
              <w:t>)</w:t>
              <w:tab/>
            </w:r>
            <w:r>
              <w:rPr>
                <w:rStyle w:val="IndexLink"/>
              </w:rPr>
              <w:t>41</w:t>
            </w:r>
          </w:hyperlink>
        </w:p>
        <w:p>
          <w:pPr>
            <w:pStyle w:val="Contents4"/>
            <w:tabs>
              <w:tab w:val="clear" w:pos="8176"/>
              <w:tab w:val="right" w:pos="9026" w:leader="dot"/>
            </w:tabs>
            <w:rPr/>
          </w:pPr>
          <w:hyperlink w:anchor="__RefHeading___Toc2051603_274958925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علم امام در مکتب کلامی حله</w:t>
            </w:r>
            <w:r>
              <w:rPr>
                <w:rStyle w:val="IndexLink"/>
                <w:rtl w:val="true"/>
              </w:rPr>
              <w:tab/>
            </w:r>
            <w:r>
              <w:rPr>
                <w:rStyle w:val="IndexLink"/>
              </w:rPr>
              <w:t>41</w:t>
            </w:r>
          </w:hyperlink>
        </w:p>
        <w:p>
          <w:pPr>
            <w:pStyle w:val="Contents5"/>
            <w:tabs>
              <w:tab w:val="clear" w:pos="7892"/>
              <w:tab w:val="right" w:pos="9026" w:leader="dot"/>
            </w:tabs>
            <w:rPr/>
          </w:pPr>
          <w:hyperlink w:anchor="__RefHeading___Toc2051605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051607_2749589250">
            <w:r>
              <w:rPr>
                <w:webHidden/>
                <w:rStyle w:val="IndexLink"/>
                <w:rtl w:val="true"/>
              </w:rPr>
              <w:t>یکم</w:t>
            </w:r>
            <w:r>
              <w:rPr>
                <w:rStyle w:val="IndexLink"/>
                <w:rtl w:val="true"/>
              </w:rPr>
              <w:t xml:space="preserve">: </w:t>
            </w:r>
            <w:r>
              <w:rPr>
                <w:rStyle w:val="IndexLink"/>
                <w:rtl w:val="true"/>
              </w:rPr>
              <w:t xml:space="preserve">خواجه نصیرالدین طوسی </w:t>
            </w:r>
            <w:r>
              <w:rPr>
                <w:rStyle w:val="IndexLink"/>
                <w:rtl w:val="true"/>
              </w:rPr>
              <w:t>(</w:t>
            </w:r>
            <w:r>
              <w:rPr>
                <w:rStyle w:val="IndexLink"/>
              </w:rPr>
              <w:t>672</w:t>
            </w:r>
            <w:r>
              <w:rPr>
                <w:rStyle w:val="IndexLink"/>
                <w:rtl w:val="true"/>
              </w:rPr>
              <w:t>ق</w:t>
            </w:r>
            <w:r>
              <w:rPr>
                <w:rStyle w:val="IndexLink"/>
                <w:rtl w:val="true"/>
              </w:rPr>
              <w:t>)</w:t>
              <w:tab/>
            </w:r>
            <w:r>
              <w:rPr>
                <w:rStyle w:val="IndexLink"/>
              </w:rPr>
              <w:t>41</w:t>
            </w:r>
          </w:hyperlink>
        </w:p>
        <w:p>
          <w:pPr>
            <w:pStyle w:val="Contents5"/>
            <w:tabs>
              <w:tab w:val="clear" w:pos="7892"/>
              <w:tab w:val="right" w:pos="9026" w:leader="dot"/>
            </w:tabs>
            <w:rPr/>
          </w:pPr>
          <w:hyperlink w:anchor="__RefHeading___Toc2051609_2749589250">
            <w:r>
              <w:rPr>
                <w:webHidden/>
                <w:rStyle w:val="IndexLink"/>
                <w:rtl w:val="true"/>
              </w:rPr>
              <w:t>دوم</w:t>
            </w:r>
            <w:r>
              <w:rPr>
                <w:rStyle w:val="IndexLink"/>
                <w:rtl w:val="true"/>
              </w:rPr>
              <w:t xml:space="preserve">: </w:t>
            </w:r>
            <w:r>
              <w:rPr>
                <w:rStyle w:val="IndexLink"/>
                <w:rtl w:val="true"/>
              </w:rPr>
              <w:t xml:space="preserve">ابن‌میثم بحرانی </w:t>
            </w:r>
            <w:r>
              <w:rPr>
                <w:rStyle w:val="IndexLink"/>
                <w:rtl w:val="true"/>
              </w:rPr>
              <w:t>(</w:t>
            </w:r>
            <w:r>
              <w:rPr>
                <w:rStyle w:val="IndexLink"/>
              </w:rPr>
              <w:t>699</w:t>
            </w:r>
            <w:r>
              <w:rPr>
                <w:rStyle w:val="IndexLink"/>
                <w:rtl w:val="true"/>
              </w:rPr>
              <w:t>ق</w:t>
            </w:r>
            <w:r>
              <w:rPr>
                <w:rStyle w:val="IndexLink"/>
                <w:rtl w:val="true"/>
              </w:rPr>
              <w:t>)</w:t>
              <w:tab/>
            </w:r>
            <w:r>
              <w:rPr>
                <w:rStyle w:val="IndexLink"/>
              </w:rPr>
              <w:t>42</w:t>
            </w:r>
          </w:hyperlink>
        </w:p>
        <w:p>
          <w:pPr>
            <w:pStyle w:val="Contents5"/>
            <w:tabs>
              <w:tab w:val="clear" w:pos="7892"/>
              <w:tab w:val="right" w:pos="9026" w:leader="dot"/>
            </w:tabs>
            <w:rPr/>
          </w:pPr>
          <w:hyperlink w:anchor="__RefHeading___Toc2051611_2749589250">
            <w:r>
              <w:rPr>
                <w:webHidden/>
                <w:rStyle w:val="IndexLink"/>
                <w:rtl w:val="true"/>
              </w:rPr>
              <w:t>سوم</w:t>
            </w:r>
            <w:r>
              <w:rPr>
                <w:rStyle w:val="IndexLink"/>
                <w:rtl w:val="true"/>
              </w:rPr>
              <w:t xml:space="preserve">: </w:t>
            </w:r>
            <w:r>
              <w:rPr>
                <w:rStyle w:val="IndexLink"/>
                <w:rtl w:val="true"/>
              </w:rPr>
              <w:t xml:space="preserve">علامه حلی </w:t>
            </w:r>
            <w:r>
              <w:rPr>
                <w:rStyle w:val="IndexLink"/>
                <w:rtl w:val="true"/>
              </w:rPr>
              <w:t>(</w:t>
            </w:r>
            <w:r>
              <w:rPr>
                <w:rStyle w:val="IndexLink"/>
              </w:rPr>
              <w:t>726</w:t>
            </w:r>
            <w:r>
              <w:rPr>
                <w:rStyle w:val="IndexLink"/>
                <w:rtl w:val="true"/>
              </w:rPr>
              <w:t>ق</w:t>
            </w:r>
            <w:r>
              <w:rPr>
                <w:rStyle w:val="IndexLink"/>
                <w:rtl w:val="true"/>
              </w:rPr>
              <w:t>)</w:t>
              <w:tab/>
            </w:r>
            <w:r>
              <w:rPr>
                <w:rStyle w:val="IndexLink"/>
              </w:rPr>
              <w:t>42</w:t>
            </w:r>
          </w:hyperlink>
        </w:p>
        <w:p>
          <w:pPr>
            <w:pStyle w:val="Contents5"/>
            <w:tabs>
              <w:tab w:val="clear" w:pos="7892"/>
              <w:tab w:val="right" w:pos="9026" w:leader="dot"/>
            </w:tabs>
            <w:rPr/>
          </w:pPr>
          <w:hyperlink w:anchor="__RefHeading___Toc2051613_2749589250">
            <w:r>
              <w:rPr>
                <w:webHidden/>
                <w:rStyle w:val="IndexLink"/>
                <w:rtl w:val="true"/>
              </w:rPr>
              <w:t>چهارم</w:t>
            </w:r>
            <w:r>
              <w:rPr>
                <w:rStyle w:val="IndexLink"/>
                <w:rtl w:val="true"/>
              </w:rPr>
              <w:t xml:space="preserve">: </w:t>
            </w:r>
            <w:r>
              <w:rPr>
                <w:rStyle w:val="IndexLink"/>
                <w:rtl w:val="true"/>
              </w:rPr>
              <w:t xml:space="preserve">فاضل مقداد </w:t>
            </w:r>
            <w:r>
              <w:rPr>
                <w:rStyle w:val="IndexLink"/>
                <w:rtl w:val="true"/>
              </w:rPr>
              <w:t>(</w:t>
            </w:r>
            <w:r>
              <w:rPr>
                <w:rStyle w:val="IndexLink"/>
              </w:rPr>
              <w:t>826</w:t>
            </w:r>
            <w:r>
              <w:rPr>
                <w:rStyle w:val="IndexLink"/>
                <w:rtl w:val="true"/>
              </w:rPr>
              <w:t>ق</w:t>
            </w:r>
            <w:r>
              <w:rPr>
                <w:rStyle w:val="IndexLink"/>
                <w:rtl w:val="true"/>
              </w:rPr>
              <w:t>)</w:t>
              <w:tab/>
            </w:r>
            <w:r>
              <w:rPr>
                <w:rStyle w:val="IndexLink"/>
              </w:rPr>
              <w:t>43</w:t>
            </w:r>
          </w:hyperlink>
        </w:p>
        <w:p>
          <w:pPr>
            <w:pStyle w:val="Contents5"/>
            <w:tabs>
              <w:tab w:val="clear" w:pos="7892"/>
              <w:tab w:val="right" w:pos="9026" w:leader="dot"/>
            </w:tabs>
            <w:rPr/>
          </w:pPr>
          <w:hyperlink w:anchor="__RefHeading___Toc2051615_2749589250">
            <w:r>
              <w:rPr>
                <w:webHidden/>
                <w:rStyle w:val="IndexLink"/>
                <w:rtl w:val="true"/>
              </w:rPr>
              <w:t>جمع بندی</w:t>
            </w:r>
            <w:r>
              <w:rPr>
                <w:rStyle w:val="IndexLink"/>
                <w:rtl w:val="true"/>
              </w:rPr>
              <w:tab/>
            </w:r>
            <w:r>
              <w:rPr>
                <w:rStyle w:val="IndexLink"/>
              </w:rPr>
              <w:t>44</w:t>
            </w:r>
          </w:hyperlink>
        </w:p>
        <w:p>
          <w:pPr>
            <w:pStyle w:val="Contents3"/>
            <w:tabs>
              <w:tab w:val="clear" w:pos="8459"/>
              <w:tab w:val="right" w:pos="9026" w:leader="dot"/>
            </w:tabs>
            <w:rPr/>
          </w:pPr>
          <w:hyperlink w:anchor="__RefHeading___Toc2051617_2749589250">
            <w:r>
              <w:rPr>
                <w:webHidden/>
                <w:rStyle w:val="IndexLink"/>
              </w:rPr>
              <w:t>2</w:t>
            </w:r>
            <w:r>
              <w:rPr>
                <w:rStyle w:val="IndexLink"/>
                <w:rtl w:val="true"/>
              </w:rPr>
              <w:t xml:space="preserve">. </w:t>
            </w:r>
            <w:r>
              <w:rPr>
                <w:rStyle w:val="IndexLink"/>
                <w:rtl w:val="true"/>
              </w:rPr>
              <w:t>بررسی دیدگاه متکلمان و ارائۀ دیدگاه برگزیده</w:t>
            </w:r>
            <w:r>
              <w:rPr>
                <w:rStyle w:val="IndexLink"/>
                <w:rtl w:val="true"/>
              </w:rPr>
              <w:tab/>
            </w:r>
            <w:r>
              <w:rPr>
                <w:rStyle w:val="IndexLink"/>
              </w:rPr>
              <w:t>44</w:t>
            </w:r>
          </w:hyperlink>
        </w:p>
        <w:p>
          <w:pPr>
            <w:pStyle w:val="Contents4"/>
            <w:tabs>
              <w:tab w:val="clear" w:pos="8176"/>
              <w:tab w:val="right" w:pos="9026" w:leader="dot"/>
            </w:tabs>
            <w:rPr/>
          </w:pPr>
          <w:hyperlink w:anchor="__RefHeading___Toc2051619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051621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علم به معارف دین و تزکیۀ انسان</w:t>
            </w:r>
            <w:r>
              <w:rPr>
                <w:rStyle w:val="IndexLink"/>
                <w:rtl w:val="true"/>
              </w:rPr>
              <w:t>¬</w:t>
            </w:r>
            <w:r>
              <w:rPr>
                <w:rStyle w:val="IndexLink"/>
                <w:rtl w:val="true"/>
              </w:rPr>
              <w:t>ها</w:t>
            </w:r>
            <w:r>
              <w:rPr>
                <w:rStyle w:val="IndexLink"/>
                <w:rtl w:val="true"/>
              </w:rPr>
              <w:tab/>
            </w:r>
            <w:r>
              <w:rPr>
                <w:rStyle w:val="IndexLink"/>
              </w:rPr>
              <w:t>45</w:t>
            </w:r>
          </w:hyperlink>
        </w:p>
        <w:p>
          <w:pPr>
            <w:pStyle w:val="Contents4"/>
            <w:tabs>
              <w:tab w:val="clear" w:pos="8176"/>
              <w:tab w:val="right" w:pos="9026" w:leader="dot"/>
            </w:tabs>
            <w:rPr/>
          </w:pPr>
          <w:hyperlink w:anchor="__RefHeading___Toc2051623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علم به مدیریت جامعه</w:t>
            </w:r>
            <w:r>
              <w:rPr>
                <w:rStyle w:val="IndexLink"/>
                <w:rtl w:val="true"/>
              </w:rPr>
              <w:tab/>
            </w:r>
            <w:r>
              <w:rPr>
                <w:rStyle w:val="IndexLink"/>
              </w:rPr>
              <w:t>45</w:t>
            </w:r>
          </w:hyperlink>
        </w:p>
        <w:p>
          <w:pPr>
            <w:pStyle w:val="Contents4"/>
            <w:tabs>
              <w:tab w:val="clear" w:pos="8176"/>
              <w:tab w:val="right" w:pos="9026" w:leader="dot"/>
            </w:tabs>
            <w:rPr/>
          </w:pPr>
          <w:hyperlink w:anchor="__RefHeading___Toc2051625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علم امام به دیگر مسائل</w:t>
            </w:r>
            <w:r>
              <w:rPr>
                <w:rStyle w:val="IndexLink"/>
                <w:rtl w:val="true"/>
              </w:rPr>
              <w:tab/>
            </w:r>
            <w:r>
              <w:rPr>
                <w:rStyle w:val="IndexLink"/>
              </w:rPr>
              <w:t>46</w:t>
            </w:r>
          </w:hyperlink>
        </w:p>
        <w:p>
          <w:pPr>
            <w:pStyle w:val="Contents5"/>
            <w:tabs>
              <w:tab w:val="clear" w:pos="7892"/>
              <w:tab w:val="right" w:pos="9026" w:leader="dot"/>
            </w:tabs>
            <w:rPr/>
          </w:pPr>
          <w:hyperlink w:anchor="__RefHeading___Toc2051627_274958925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2051629_2749589250">
            <w:r>
              <w:rPr>
                <w:webHidden/>
                <w:rStyle w:val="IndexLink"/>
                <w:rtl w:val="true"/>
              </w:rPr>
              <w:t>روایات دستۀ اول</w:t>
            </w:r>
            <w:r>
              <w:rPr>
                <w:rStyle w:val="IndexLink"/>
                <w:rtl w:val="true"/>
              </w:rPr>
              <w:tab/>
            </w:r>
            <w:r>
              <w:rPr>
                <w:rStyle w:val="IndexLink"/>
              </w:rPr>
              <w:t>46</w:t>
            </w:r>
          </w:hyperlink>
        </w:p>
        <w:p>
          <w:pPr>
            <w:pStyle w:val="Contents6"/>
            <w:tabs>
              <w:tab w:val="clear" w:pos="7609"/>
              <w:tab w:val="right" w:pos="9026" w:leader="dot"/>
            </w:tabs>
            <w:rPr/>
          </w:pPr>
          <w:hyperlink w:anchor="__RefHeading___Toc2051631_2749589250">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2051633_2749589250">
            <w:r>
              <w:rPr>
                <w:webHidden/>
                <w:rStyle w:val="IndexLink"/>
                <w:rtl w:val="true"/>
              </w:rPr>
              <w:t>یک</w:t>
            </w:r>
            <w:r>
              <w:rPr>
                <w:rStyle w:val="IndexLink"/>
                <w:rtl w:val="true"/>
              </w:rPr>
              <w:tab/>
            </w:r>
            <w:r>
              <w:rPr>
                <w:rStyle w:val="IndexLink"/>
              </w:rPr>
              <w:t>46</w:t>
            </w:r>
          </w:hyperlink>
        </w:p>
        <w:p>
          <w:pPr>
            <w:pStyle w:val="Contents6"/>
            <w:tabs>
              <w:tab w:val="clear" w:pos="7609"/>
              <w:tab w:val="right" w:pos="9026" w:leader="dot"/>
            </w:tabs>
            <w:rPr/>
          </w:pPr>
          <w:hyperlink w:anchor="__RefHeading___Toc2051635_2749589250">
            <w:r>
              <w:rPr>
                <w:webHidden/>
                <w:rStyle w:val="IndexLink"/>
                <w:rtl w:val="true"/>
              </w:rPr>
              <w:t>دو</w:t>
            </w:r>
            <w:r>
              <w:rPr>
                <w:rStyle w:val="IndexLink"/>
                <w:rtl w:val="true"/>
              </w:rPr>
              <w:tab/>
            </w:r>
            <w:r>
              <w:rPr>
                <w:rStyle w:val="IndexLink"/>
              </w:rPr>
              <w:t>46</w:t>
            </w:r>
          </w:hyperlink>
        </w:p>
        <w:p>
          <w:pPr>
            <w:pStyle w:val="Contents6"/>
            <w:tabs>
              <w:tab w:val="clear" w:pos="7609"/>
              <w:tab w:val="right" w:pos="9026" w:leader="dot"/>
            </w:tabs>
            <w:rPr/>
          </w:pPr>
          <w:hyperlink w:anchor="__RefHeading___Toc2051637_2749589250">
            <w:r>
              <w:rPr>
                <w:webHidden/>
                <w:rStyle w:val="IndexLink"/>
                <w:rtl w:val="true"/>
              </w:rPr>
              <w:t>سه</w:t>
            </w:r>
            <w:r>
              <w:rPr>
                <w:rStyle w:val="IndexLink"/>
                <w:rtl w:val="true"/>
              </w:rPr>
              <w:tab/>
            </w:r>
            <w:r>
              <w:rPr>
                <w:rStyle w:val="IndexLink"/>
              </w:rPr>
              <w:t>47</w:t>
            </w:r>
          </w:hyperlink>
        </w:p>
        <w:p>
          <w:pPr>
            <w:pStyle w:val="Contents6"/>
            <w:tabs>
              <w:tab w:val="clear" w:pos="7609"/>
              <w:tab w:val="right" w:pos="9026" w:leader="dot"/>
            </w:tabs>
            <w:rPr/>
          </w:pPr>
          <w:hyperlink w:anchor="__RefHeading___Toc2051639_2749589250">
            <w:r>
              <w:rPr>
                <w:webHidden/>
                <w:rStyle w:val="IndexLink"/>
                <w:rtl w:val="true"/>
              </w:rPr>
              <w:t>چهار</w:t>
            </w:r>
            <w:r>
              <w:rPr>
                <w:rStyle w:val="IndexLink"/>
                <w:rtl w:val="true"/>
              </w:rPr>
              <w:tab/>
            </w:r>
            <w:r>
              <w:rPr>
                <w:rStyle w:val="IndexLink"/>
              </w:rPr>
              <w:t>47</w:t>
            </w:r>
          </w:hyperlink>
        </w:p>
        <w:p>
          <w:pPr>
            <w:pStyle w:val="Contents5"/>
            <w:tabs>
              <w:tab w:val="clear" w:pos="7892"/>
              <w:tab w:val="right" w:pos="9026" w:leader="dot"/>
            </w:tabs>
            <w:rPr/>
          </w:pPr>
          <w:hyperlink w:anchor="__RefHeading___Toc2051641_2749589250">
            <w:r>
              <w:rPr>
                <w:webHidden/>
                <w:rStyle w:val="IndexLink"/>
                <w:rtl w:val="true"/>
              </w:rPr>
              <w:t>روایات دستۀ دوم</w:t>
            </w:r>
            <w:r>
              <w:rPr>
                <w:rStyle w:val="IndexLink"/>
                <w:rtl w:val="true"/>
              </w:rPr>
              <w:tab/>
            </w:r>
            <w:r>
              <w:rPr>
                <w:rStyle w:val="IndexLink"/>
              </w:rPr>
              <w:t>47</w:t>
            </w:r>
          </w:hyperlink>
        </w:p>
        <w:p>
          <w:pPr>
            <w:pStyle w:val="Contents6"/>
            <w:tabs>
              <w:tab w:val="clear" w:pos="7609"/>
              <w:tab w:val="right" w:pos="9026" w:leader="dot"/>
            </w:tabs>
            <w:rPr/>
          </w:pPr>
          <w:hyperlink w:anchor="__RefHeading___Toc2051643_274958925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2051645_2749589250">
            <w:r>
              <w:rPr>
                <w:webHidden/>
                <w:rStyle w:val="IndexLink"/>
                <w:rtl w:val="true"/>
              </w:rPr>
              <w:t>یک</w:t>
            </w:r>
            <w:r>
              <w:rPr>
                <w:rStyle w:val="IndexLink"/>
                <w:rtl w:val="true"/>
              </w:rPr>
              <w:tab/>
            </w:r>
            <w:r>
              <w:rPr>
                <w:rStyle w:val="IndexLink"/>
              </w:rPr>
              <w:t>47</w:t>
            </w:r>
          </w:hyperlink>
        </w:p>
        <w:p>
          <w:pPr>
            <w:pStyle w:val="Contents6"/>
            <w:tabs>
              <w:tab w:val="clear" w:pos="7609"/>
              <w:tab w:val="right" w:pos="9026" w:leader="dot"/>
            </w:tabs>
            <w:rPr/>
          </w:pPr>
          <w:hyperlink w:anchor="__RefHeading___Toc2051647_2749589250">
            <w:r>
              <w:rPr>
                <w:webHidden/>
                <w:rStyle w:val="IndexLink"/>
                <w:rtl w:val="true"/>
              </w:rPr>
              <w:t>دو</w:t>
            </w:r>
            <w:r>
              <w:rPr>
                <w:rStyle w:val="IndexLink"/>
                <w:rtl w:val="true"/>
              </w:rPr>
              <w:tab/>
            </w:r>
            <w:r>
              <w:rPr>
                <w:rStyle w:val="IndexLink"/>
              </w:rPr>
              <w:t>47</w:t>
            </w:r>
          </w:hyperlink>
        </w:p>
        <w:p>
          <w:pPr>
            <w:pStyle w:val="Contents6"/>
            <w:tabs>
              <w:tab w:val="clear" w:pos="7609"/>
              <w:tab w:val="right" w:pos="9026" w:leader="dot"/>
            </w:tabs>
            <w:rPr/>
          </w:pPr>
          <w:hyperlink w:anchor="__RefHeading___Toc2051649_2749589250">
            <w:r>
              <w:rPr>
                <w:webHidden/>
                <w:rStyle w:val="IndexLink"/>
                <w:rtl w:val="true"/>
              </w:rPr>
              <w:t>سه</w:t>
            </w:r>
            <w:r>
              <w:rPr>
                <w:rStyle w:val="IndexLink"/>
                <w:rtl w:val="true"/>
              </w:rPr>
              <w:tab/>
            </w:r>
            <w:r>
              <w:rPr>
                <w:rStyle w:val="IndexLink"/>
              </w:rPr>
              <w:t>47</w:t>
            </w:r>
          </w:hyperlink>
        </w:p>
        <w:p>
          <w:pPr>
            <w:pStyle w:val="Contents6"/>
            <w:tabs>
              <w:tab w:val="clear" w:pos="7609"/>
              <w:tab w:val="right" w:pos="9026" w:leader="dot"/>
            </w:tabs>
            <w:rPr/>
          </w:pPr>
          <w:hyperlink w:anchor="__RefHeading___Toc2051651_2749589250">
            <w:r>
              <w:rPr>
                <w:webHidden/>
                <w:rStyle w:val="IndexLink"/>
                <w:rtl w:val="true"/>
              </w:rPr>
              <w:t>چهار</w:t>
            </w:r>
            <w:r>
              <w:rPr>
                <w:rStyle w:val="IndexLink"/>
                <w:rtl w:val="true"/>
              </w:rPr>
              <w:tab/>
            </w:r>
            <w:r>
              <w:rPr>
                <w:rStyle w:val="IndexLink"/>
              </w:rPr>
              <w:t>48</w:t>
            </w:r>
          </w:hyperlink>
        </w:p>
        <w:p>
          <w:pPr>
            <w:pStyle w:val="Contents3"/>
            <w:tabs>
              <w:tab w:val="clear" w:pos="8459"/>
              <w:tab w:val="right" w:pos="9026" w:leader="dot"/>
            </w:tabs>
            <w:rPr/>
          </w:pPr>
          <w:hyperlink w:anchor="__RefHeading___Toc2051653_2749589250">
            <w:r>
              <w:rPr>
                <w:webHidden/>
                <w:rStyle w:val="IndexLink"/>
                <w:rtl w:val="true"/>
              </w:rPr>
              <w:t>هماهنگی میان روایات دستة اول و دوم</w:t>
            </w:r>
            <w:r>
              <w:rPr>
                <w:rStyle w:val="IndexLink"/>
                <w:rtl w:val="true"/>
              </w:rPr>
              <w:tab/>
            </w:r>
            <w:r>
              <w:rPr>
                <w:rStyle w:val="IndexLink"/>
              </w:rPr>
              <w:t>48</w:t>
            </w:r>
          </w:hyperlink>
        </w:p>
        <w:p>
          <w:pPr>
            <w:pStyle w:val="Contents4"/>
            <w:tabs>
              <w:tab w:val="clear" w:pos="8176"/>
              <w:tab w:val="right" w:pos="9026" w:leader="dot"/>
            </w:tabs>
            <w:rPr/>
          </w:pPr>
          <w:hyperlink w:anchor="__RefHeading___Toc2051655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051657_2749589250">
            <w:r>
              <w:rPr>
                <w:webHidden/>
                <w:rStyle w:val="IndexLink"/>
                <w:rtl w:val="true"/>
              </w:rPr>
              <w:t>نکتۀ مهم تر</w:t>
            </w:r>
            <w:r>
              <w:rPr>
                <w:rStyle w:val="IndexLink"/>
                <w:rtl w:val="true"/>
              </w:rPr>
              <w:tab/>
            </w:r>
            <w:r>
              <w:rPr>
                <w:rStyle w:val="IndexLink"/>
              </w:rPr>
              <w:t>49</w:t>
            </w:r>
          </w:hyperlink>
        </w:p>
        <w:p>
          <w:pPr>
            <w:pStyle w:val="Contents3"/>
            <w:tabs>
              <w:tab w:val="clear" w:pos="8459"/>
              <w:tab w:val="right" w:pos="9026" w:leader="dot"/>
            </w:tabs>
            <w:rPr/>
          </w:pPr>
          <w:hyperlink w:anchor="__RefHeading___Toc2051659_2749589250">
            <w:r>
              <w:rPr>
                <w:webHidden/>
                <w:rStyle w:val="IndexLink"/>
                <w:rtl w:val="true"/>
              </w:rPr>
              <w:t>نتیجه گیری</w:t>
            </w:r>
            <w:r>
              <w:rPr>
                <w:rStyle w:val="IndexLink"/>
                <w:rtl w:val="true"/>
              </w:rPr>
              <w:tab/>
            </w:r>
            <w:r>
              <w:rPr>
                <w:rStyle w:val="IndexLink"/>
              </w:rPr>
              <w:t>49</w:t>
            </w:r>
          </w:hyperlink>
        </w:p>
        <w:p>
          <w:pPr>
            <w:pStyle w:val="Contents4"/>
            <w:tabs>
              <w:tab w:val="clear" w:pos="8176"/>
              <w:tab w:val="right" w:pos="9026" w:leader="dot"/>
            </w:tabs>
            <w:rPr/>
          </w:pPr>
          <w:hyperlink w:anchor="__RefHeading___Toc2051661_274958925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051663_2749589250">
            <w:r>
              <w:rPr>
                <w:webHidden/>
                <w:rStyle w:val="IndexLink"/>
              </w:rPr>
              <w:t>1</w:t>
            </w:r>
            <w:r>
              <w:rPr>
                <w:rStyle w:val="IndexLink"/>
                <w:rtl w:val="true"/>
              </w:rPr>
              <w:tab/>
            </w:r>
            <w:r>
              <w:rPr>
                <w:rStyle w:val="IndexLink"/>
              </w:rPr>
              <w:t>49</w:t>
            </w:r>
          </w:hyperlink>
        </w:p>
        <w:p>
          <w:pPr>
            <w:pStyle w:val="Contents4"/>
            <w:tabs>
              <w:tab w:val="clear" w:pos="8176"/>
              <w:tab w:val="right" w:pos="9026" w:leader="dot"/>
            </w:tabs>
            <w:rPr/>
          </w:pPr>
          <w:hyperlink w:anchor="__RefHeading___Toc2051665_2749589250">
            <w:r>
              <w:rPr>
                <w:webHidden/>
                <w:rStyle w:val="IndexLink"/>
              </w:rPr>
              <w:t>2</w:t>
            </w:r>
            <w:r>
              <w:rPr>
                <w:rStyle w:val="IndexLink"/>
                <w:rtl w:val="true"/>
              </w:rPr>
              <w:tab/>
            </w:r>
            <w:r>
              <w:rPr>
                <w:rStyle w:val="IndexLink"/>
              </w:rPr>
              <w:t>50</w:t>
            </w:r>
          </w:hyperlink>
        </w:p>
        <w:p>
          <w:pPr>
            <w:pStyle w:val="Contents4"/>
            <w:tabs>
              <w:tab w:val="clear" w:pos="8176"/>
              <w:tab w:val="right" w:pos="9026" w:leader="dot"/>
            </w:tabs>
            <w:rPr/>
          </w:pPr>
          <w:hyperlink w:anchor="__RefHeading___Toc2051667_2749589250">
            <w:r>
              <w:rPr>
                <w:webHidden/>
                <w:rStyle w:val="IndexLink"/>
              </w:rPr>
              <w:t>3</w:t>
            </w:r>
            <w:r>
              <w:rPr>
                <w:rStyle w:val="IndexLink"/>
                <w:rtl w:val="true"/>
              </w:rPr>
              <w:tab/>
            </w:r>
            <w:r>
              <w:rPr>
                <w:rStyle w:val="IndexLink"/>
              </w:rPr>
              <w:t>50</w:t>
            </w:r>
          </w:hyperlink>
        </w:p>
        <w:p>
          <w:pPr>
            <w:pStyle w:val="Contents4"/>
            <w:tabs>
              <w:tab w:val="clear" w:pos="8176"/>
              <w:tab w:val="right" w:pos="9026" w:leader="dot"/>
            </w:tabs>
            <w:rPr/>
          </w:pPr>
          <w:hyperlink w:anchor="__RefHeading___Toc2051669_2749589250">
            <w:r>
              <w:rPr>
                <w:webHidden/>
                <w:rStyle w:val="IndexLink"/>
              </w:rPr>
              <w:t>4</w:t>
            </w:r>
            <w:r>
              <w:rPr>
                <w:rStyle w:val="IndexLink"/>
                <w:rtl w:val="true"/>
              </w:rPr>
              <w:tab/>
            </w:r>
            <w:r>
              <w:rPr>
                <w:rStyle w:val="IndexLink"/>
              </w:rPr>
              <w:t>50</w:t>
            </w:r>
          </w:hyperlink>
        </w:p>
        <w:p>
          <w:pPr>
            <w:pStyle w:val="Contents4"/>
            <w:tabs>
              <w:tab w:val="clear" w:pos="8176"/>
              <w:tab w:val="right" w:pos="9026" w:leader="dot"/>
            </w:tabs>
            <w:rPr/>
          </w:pPr>
          <w:hyperlink w:anchor="__RefHeading___Toc2051671_2749589250">
            <w:r>
              <w:rPr>
                <w:webHidden/>
                <w:rStyle w:val="IndexLink"/>
              </w:rPr>
              <w:t>5</w:t>
            </w:r>
            <w:r>
              <w:rPr>
                <w:rStyle w:val="IndexLink"/>
                <w:rtl w:val="true"/>
              </w:rPr>
              <w:tab/>
            </w:r>
            <w:r>
              <w:rPr>
                <w:rStyle w:val="IndexLink"/>
              </w:rPr>
              <w:t>50</w:t>
            </w:r>
          </w:hyperlink>
        </w:p>
        <w:p>
          <w:pPr>
            <w:pStyle w:val="Contents4"/>
            <w:tabs>
              <w:tab w:val="clear" w:pos="8176"/>
              <w:tab w:val="right" w:pos="9026" w:leader="dot"/>
            </w:tabs>
            <w:rPr/>
          </w:pPr>
          <w:hyperlink w:anchor="__RefHeading___Toc2051673_2749589250">
            <w:r>
              <w:rPr>
                <w:webHidden/>
                <w:rStyle w:val="IndexLink"/>
              </w:rPr>
              <w:t>6</w:t>
            </w:r>
            <w:r>
              <w:rPr>
                <w:rStyle w:val="IndexLink"/>
                <w:rtl w:val="true"/>
              </w:rPr>
              <w:tab/>
            </w:r>
            <w:r>
              <w:rPr>
                <w:rStyle w:val="IndexLink"/>
              </w:rPr>
              <w:t>50</w:t>
            </w:r>
          </w:hyperlink>
        </w:p>
        <w:p>
          <w:pPr>
            <w:pStyle w:val="Contents3"/>
            <w:tabs>
              <w:tab w:val="clear" w:pos="8459"/>
              <w:tab w:val="right" w:pos="9026" w:leader="dot"/>
            </w:tabs>
            <w:rPr/>
          </w:pPr>
          <w:hyperlink w:anchor="__RefHeading___Toc2051675_2749589250">
            <w:r>
              <w:rPr>
                <w:webHidden/>
                <w:rStyle w:val="IndexLink"/>
                <w:rtl w:val="true"/>
              </w:rPr>
              <w:t>منابع</w:t>
            </w:r>
            <w:r>
              <w:rPr>
                <w:rStyle w:val="IndexLink"/>
                <w:rtl w:val="true"/>
              </w:rPr>
              <w:tab/>
            </w:r>
            <w:r>
              <w:rPr>
                <w:rStyle w:val="IndexLink"/>
              </w:rPr>
              <w:t>50</w:t>
            </w:r>
          </w:hyperlink>
        </w:p>
        <w:p>
          <w:pPr>
            <w:pStyle w:val="Contents2"/>
            <w:tabs>
              <w:tab w:val="clear" w:pos="8743"/>
              <w:tab w:val="right" w:pos="9026" w:leader="dot"/>
            </w:tabs>
            <w:rPr/>
          </w:pPr>
          <w:hyperlink w:anchor="__RefHeading___Toc2051677_2749589250">
            <w:r>
              <w:rPr>
                <w:webHidden/>
                <w:rStyle w:val="IndexLink"/>
                <w:rtl w:val="true"/>
              </w:rPr>
              <w:t xml:space="preserve">رابطۀ ربوبیت توحیدی و عنایت الهی در نظام اندیشۀ قرآنی </w:t>
            </w:r>
            <w:r>
              <w:rPr>
                <w:rStyle w:val="IndexLink"/>
                <w:rtl w:val="true"/>
              </w:rPr>
              <w:t xml:space="preserve">/ </w:t>
            </w:r>
            <w:r>
              <w:rPr>
                <w:rStyle w:val="IndexLink"/>
                <w:rtl w:val="true"/>
              </w:rPr>
              <w:t>یدالله ربیعی</w:t>
            </w:r>
            <w:r>
              <w:rPr>
                <w:rStyle w:val="IndexLink"/>
                <w:rtl w:val="true"/>
              </w:rPr>
              <w:t xml:space="preserve">- </w:t>
            </w:r>
            <w:r>
              <w:rPr>
                <w:rStyle w:val="IndexLink"/>
                <w:rtl w:val="true"/>
              </w:rPr>
              <w:t>حمید نگارش</w:t>
            </w:r>
            <w:r>
              <w:rPr>
                <w:rStyle w:val="IndexLink"/>
                <w:rtl w:val="true"/>
              </w:rPr>
              <w:tab/>
            </w:r>
            <w:r>
              <w:rPr>
                <w:rStyle w:val="IndexLink"/>
              </w:rPr>
              <w:t>52</w:t>
            </w:r>
          </w:hyperlink>
        </w:p>
        <w:p>
          <w:pPr>
            <w:pStyle w:val="Contents3"/>
            <w:tabs>
              <w:tab w:val="clear" w:pos="8459"/>
              <w:tab w:val="right" w:pos="9026" w:leader="dot"/>
            </w:tabs>
            <w:rPr/>
          </w:pPr>
          <w:hyperlink w:anchor="__RefHeading___Toc2051679_274958925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051681_2749589250">
            <w:r>
              <w:rPr>
                <w:webHidden/>
                <w:rStyle w:val="IndexLink"/>
                <w:rtl w:val="true"/>
              </w:rPr>
              <w:t>چکیده</w:t>
            </w:r>
            <w:r>
              <w:rPr>
                <w:rStyle w:val="IndexLink"/>
                <w:rtl w:val="true"/>
              </w:rPr>
              <w:tab/>
            </w:r>
            <w:r>
              <w:rPr>
                <w:rStyle w:val="IndexLink"/>
              </w:rPr>
              <w:t>52</w:t>
            </w:r>
          </w:hyperlink>
        </w:p>
        <w:p>
          <w:pPr>
            <w:pStyle w:val="Contents3"/>
            <w:tabs>
              <w:tab w:val="clear" w:pos="8459"/>
              <w:tab w:val="right" w:pos="9026" w:leader="dot"/>
            </w:tabs>
            <w:rPr/>
          </w:pPr>
          <w:hyperlink w:anchor="__RefHeading___Toc2051683_2749589250">
            <w:r>
              <w:rPr>
                <w:webHidden/>
                <w:rStyle w:val="IndexLink"/>
                <w:rtl w:val="true"/>
              </w:rPr>
              <w:t>واژگان کلیدی</w:t>
            </w:r>
            <w:r>
              <w:rPr>
                <w:rStyle w:val="IndexLink"/>
                <w:rtl w:val="true"/>
              </w:rPr>
              <w:tab/>
            </w:r>
            <w:r>
              <w:rPr>
                <w:rStyle w:val="IndexLink"/>
              </w:rPr>
              <w:t>52</w:t>
            </w:r>
          </w:hyperlink>
        </w:p>
        <w:p>
          <w:pPr>
            <w:pStyle w:val="Contents3"/>
            <w:tabs>
              <w:tab w:val="clear" w:pos="8459"/>
              <w:tab w:val="right" w:pos="9026" w:leader="dot"/>
            </w:tabs>
            <w:rPr/>
          </w:pPr>
          <w:hyperlink w:anchor="__RefHeading___Toc2051685_2749589250">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2051687_2749589250">
            <w:r>
              <w:rPr>
                <w:webHidden/>
                <w:rStyle w:val="IndexLink"/>
                <w:rtl w:val="true"/>
              </w:rPr>
              <w:t>توحید و مراتب آن</w:t>
            </w:r>
            <w:r>
              <w:rPr>
                <w:rStyle w:val="IndexLink"/>
                <w:rtl w:val="true"/>
              </w:rPr>
              <w:tab/>
            </w:r>
            <w:r>
              <w:rPr>
                <w:rStyle w:val="IndexLink"/>
              </w:rPr>
              <w:t>53</w:t>
            </w:r>
          </w:hyperlink>
        </w:p>
        <w:p>
          <w:pPr>
            <w:pStyle w:val="Contents3"/>
            <w:tabs>
              <w:tab w:val="clear" w:pos="8459"/>
              <w:tab w:val="right" w:pos="9026" w:leader="dot"/>
            </w:tabs>
            <w:rPr/>
          </w:pPr>
          <w:hyperlink w:anchor="__RefHeading___Toc2051689_2749589250">
            <w:r>
              <w:rPr>
                <w:webHidden/>
                <w:rStyle w:val="IndexLink"/>
                <w:rtl w:val="true"/>
              </w:rPr>
              <w:t>تقابل با اندیشۀ ربوبیت توحیدی در ثنویت</w:t>
            </w:r>
            <w:r>
              <w:rPr>
                <w:rStyle w:val="IndexLink"/>
                <w:rtl w:val="true"/>
              </w:rPr>
              <w:tab/>
            </w:r>
            <w:r>
              <w:rPr>
                <w:rStyle w:val="IndexLink"/>
              </w:rPr>
              <w:t>54</w:t>
            </w:r>
          </w:hyperlink>
        </w:p>
        <w:p>
          <w:pPr>
            <w:pStyle w:val="Contents3"/>
            <w:tabs>
              <w:tab w:val="clear" w:pos="8459"/>
              <w:tab w:val="right" w:pos="9026" w:leader="dot"/>
            </w:tabs>
            <w:rPr/>
          </w:pPr>
          <w:hyperlink w:anchor="__RefHeading___Toc2051691_2749589250">
            <w:r>
              <w:rPr>
                <w:webHidden/>
                <w:rStyle w:val="IndexLink"/>
                <w:rtl w:val="true"/>
              </w:rPr>
              <w:t>باورمندی به توحید و لوازم آن از نگاه قرآن</w:t>
            </w:r>
            <w:r>
              <w:rPr>
                <w:rStyle w:val="IndexLink"/>
                <w:rtl w:val="true"/>
              </w:rPr>
              <w:tab/>
            </w:r>
            <w:r>
              <w:rPr>
                <w:rStyle w:val="IndexLink"/>
              </w:rPr>
              <w:t>55</w:t>
            </w:r>
          </w:hyperlink>
        </w:p>
        <w:p>
          <w:pPr>
            <w:pStyle w:val="Contents3"/>
            <w:tabs>
              <w:tab w:val="clear" w:pos="8459"/>
              <w:tab w:val="right" w:pos="9026" w:leader="dot"/>
            </w:tabs>
            <w:rPr/>
          </w:pPr>
          <w:hyperlink w:anchor="__RefHeading___Toc2051693_2749589250">
            <w:r>
              <w:rPr>
                <w:webHidden/>
                <w:rStyle w:val="IndexLink"/>
                <w:rtl w:val="true"/>
              </w:rPr>
              <w:t>مؤلفه‌های توحید ربوبی</w:t>
            </w:r>
            <w:r>
              <w:rPr>
                <w:rStyle w:val="IndexLink"/>
                <w:rtl w:val="true"/>
              </w:rPr>
              <w:tab/>
            </w:r>
            <w:r>
              <w:rPr>
                <w:rStyle w:val="IndexLink"/>
              </w:rPr>
              <w:t>57</w:t>
            </w:r>
          </w:hyperlink>
        </w:p>
        <w:p>
          <w:pPr>
            <w:pStyle w:val="Contents4"/>
            <w:tabs>
              <w:tab w:val="clear" w:pos="8176"/>
              <w:tab w:val="right" w:pos="9026" w:leader="dot"/>
            </w:tabs>
            <w:rPr/>
          </w:pPr>
          <w:hyperlink w:anchor="__RefHeading___Toc2051695_274958925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051697_2749589250">
            <w:r>
              <w:rPr>
                <w:webHidden/>
                <w:rStyle w:val="IndexLink"/>
              </w:rPr>
              <w:t>1</w:t>
            </w:r>
            <w:r>
              <w:rPr>
                <w:rStyle w:val="IndexLink"/>
                <w:rtl w:val="true"/>
              </w:rPr>
              <w:t xml:space="preserve">. </w:t>
            </w:r>
            <w:r>
              <w:rPr>
                <w:rStyle w:val="IndexLink"/>
                <w:rtl w:val="true"/>
              </w:rPr>
              <w:t>علم الهی</w:t>
            </w:r>
            <w:r>
              <w:rPr>
                <w:rStyle w:val="IndexLink"/>
                <w:rtl w:val="true"/>
              </w:rPr>
              <w:tab/>
            </w:r>
            <w:r>
              <w:rPr>
                <w:rStyle w:val="IndexLink"/>
              </w:rPr>
              <w:t>58</w:t>
            </w:r>
          </w:hyperlink>
        </w:p>
        <w:p>
          <w:pPr>
            <w:pStyle w:val="Contents4"/>
            <w:tabs>
              <w:tab w:val="clear" w:pos="8176"/>
              <w:tab w:val="right" w:pos="9026" w:leader="dot"/>
            </w:tabs>
            <w:rPr/>
          </w:pPr>
          <w:hyperlink w:anchor="__RefHeading___Toc2051699_2749589250">
            <w:r>
              <w:rPr>
                <w:webHidden/>
                <w:rStyle w:val="IndexLink"/>
              </w:rPr>
              <w:t>2</w:t>
            </w:r>
            <w:r>
              <w:rPr>
                <w:rStyle w:val="IndexLink"/>
                <w:rtl w:val="true"/>
              </w:rPr>
              <w:t xml:space="preserve">. </w:t>
            </w:r>
            <w:r>
              <w:rPr>
                <w:rStyle w:val="IndexLink"/>
                <w:rtl w:val="true"/>
              </w:rPr>
              <w:t>قدرت الهی</w:t>
            </w:r>
            <w:r>
              <w:rPr>
                <w:rStyle w:val="IndexLink"/>
                <w:rtl w:val="true"/>
              </w:rPr>
              <w:tab/>
            </w:r>
            <w:r>
              <w:rPr>
                <w:rStyle w:val="IndexLink"/>
              </w:rPr>
              <w:t>58</w:t>
            </w:r>
          </w:hyperlink>
        </w:p>
        <w:p>
          <w:pPr>
            <w:pStyle w:val="Contents3"/>
            <w:tabs>
              <w:tab w:val="clear" w:pos="8459"/>
              <w:tab w:val="right" w:pos="9026" w:leader="dot"/>
            </w:tabs>
            <w:rPr/>
          </w:pPr>
          <w:hyperlink w:anchor="__RefHeading___Toc2051701_2749589250">
            <w:r>
              <w:rPr>
                <w:webHidden/>
                <w:rStyle w:val="IndexLink"/>
                <w:rtl w:val="true"/>
              </w:rPr>
              <w:t>عنایت در اصطلاح</w:t>
            </w:r>
            <w:r>
              <w:rPr>
                <w:rStyle w:val="IndexLink"/>
                <w:rtl w:val="true"/>
              </w:rPr>
              <w:tab/>
            </w:r>
            <w:r>
              <w:rPr>
                <w:rStyle w:val="IndexLink"/>
              </w:rPr>
              <w:t>60</w:t>
            </w:r>
          </w:hyperlink>
        </w:p>
        <w:p>
          <w:pPr>
            <w:pStyle w:val="Contents3"/>
            <w:tabs>
              <w:tab w:val="clear" w:pos="8459"/>
              <w:tab w:val="right" w:pos="9026" w:leader="dot"/>
            </w:tabs>
            <w:rPr/>
          </w:pPr>
          <w:hyperlink w:anchor="__RefHeading___Toc2051703_2749589250">
            <w:r>
              <w:rPr>
                <w:webHidden/>
                <w:rStyle w:val="IndexLink"/>
                <w:rtl w:val="true"/>
              </w:rPr>
              <w:t>نگاه قرآن به عنایت الهی</w:t>
            </w:r>
            <w:r>
              <w:rPr>
                <w:rStyle w:val="IndexLink"/>
                <w:rtl w:val="true"/>
              </w:rPr>
              <w:tab/>
            </w:r>
            <w:r>
              <w:rPr>
                <w:rStyle w:val="IndexLink"/>
              </w:rPr>
              <w:t>61</w:t>
            </w:r>
          </w:hyperlink>
        </w:p>
        <w:p>
          <w:pPr>
            <w:pStyle w:val="Contents3"/>
            <w:tabs>
              <w:tab w:val="clear" w:pos="8459"/>
              <w:tab w:val="right" w:pos="9026" w:leader="dot"/>
            </w:tabs>
            <w:rPr/>
          </w:pPr>
          <w:hyperlink w:anchor="__RefHeading___Toc2051705_2749589250">
            <w:r>
              <w:rPr>
                <w:webHidden/>
                <w:rStyle w:val="IndexLink"/>
                <w:rtl w:val="true"/>
              </w:rPr>
              <w:t>هدایت الهی و واسطه‌های آن</w:t>
            </w:r>
            <w:r>
              <w:rPr>
                <w:rStyle w:val="IndexLink"/>
                <w:rtl w:val="true"/>
              </w:rPr>
              <w:tab/>
            </w:r>
            <w:r>
              <w:rPr>
                <w:rStyle w:val="IndexLink"/>
              </w:rPr>
              <w:t>62</w:t>
            </w:r>
          </w:hyperlink>
        </w:p>
        <w:p>
          <w:pPr>
            <w:pStyle w:val="Contents3"/>
            <w:tabs>
              <w:tab w:val="clear" w:pos="8459"/>
              <w:tab w:val="right" w:pos="9026" w:leader="dot"/>
            </w:tabs>
            <w:rPr/>
          </w:pPr>
          <w:hyperlink w:anchor="__RefHeading___Toc2051707_2749589250">
            <w:r>
              <w:rPr>
                <w:webHidden/>
                <w:rStyle w:val="IndexLink"/>
                <w:rtl w:val="true"/>
              </w:rPr>
              <w:t>هدایت عام یا هدایت تکوینی</w:t>
            </w:r>
            <w:r>
              <w:rPr>
                <w:rStyle w:val="IndexLink"/>
                <w:rtl w:val="true"/>
              </w:rPr>
              <w:tab/>
            </w:r>
            <w:r>
              <w:rPr>
                <w:rStyle w:val="IndexLink"/>
              </w:rPr>
              <w:t>63</w:t>
            </w:r>
          </w:hyperlink>
        </w:p>
        <w:p>
          <w:pPr>
            <w:pStyle w:val="Contents3"/>
            <w:tabs>
              <w:tab w:val="clear" w:pos="8459"/>
              <w:tab w:val="right" w:pos="9026" w:leader="dot"/>
            </w:tabs>
            <w:rPr/>
          </w:pPr>
          <w:hyperlink w:anchor="__RefHeading___Toc2051709_2749589250">
            <w:r>
              <w:rPr>
                <w:webHidden/>
                <w:rStyle w:val="IndexLink"/>
                <w:rtl w:val="true"/>
              </w:rPr>
              <w:t>هدایت انسان</w:t>
            </w:r>
            <w:r>
              <w:rPr>
                <w:rStyle w:val="IndexLink"/>
                <w:rtl w:val="true"/>
              </w:rPr>
              <w:tab/>
            </w:r>
            <w:r>
              <w:rPr>
                <w:rStyle w:val="IndexLink"/>
              </w:rPr>
              <w:t>63</w:t>
            </w:r>
          </w:hyperlink>
        </w:p>
        <w:p>
          <w:pPr>
            <w:pStyle w:val="Contents3"/>
            <w:tabs>
              <w:tab w:val="clear" w:pos="8459"/>
              <w:tab w:val="right" w:pos="9026" w:leader="dot"/>
            </w:tabs>
            <w:rPr/>
          </w:pPr>
          <w:hyperlink w:anchor="__RefHeading___Toc2051711_2749589250">
            <w:r>
              <w:rPr>
                <w:webHidden/>
                <w:rStyle w:val="IndexLink"/>
                <w:rtl w:val="true"/>
              </w:rPr>
              <w:t>هدایت ویژه</w:t>
            </w:r>
            <w:r>
              <w:rPr>
                <w:rStyle w:val="IndexLink"/>
                <w:rtl w:val="true"/>
              </w:rPr>
              <w:tab/>
            </w:r>
            <w:r>
              <w:rPr>
                <w:rStyle w:val="IndexLink"/>
              </w:rPr>
              <w:t>63</w:t>
            </w:r>
          </w:hyperlink>
        </w:p>
        <w:p>
          <w:pPr>
            <w:pStyle w:val="Contents3"/>
            <w:tabs>
              <w:tab w:val="clear" w:pos="8459"/>
              <w:tab w:val="right" w:pos="9026" w:leader="dot"/>
            </w:tabs>
            <w:rPr/>
          </w:pPr>
          <w:hyperlink w:anchor="__RefHeading___Toc2051713_2749589250">
            <w:r>
              <w:rPr>
                <w:webHidden/>
                <w:rStyle w:val="IndexLink"/>
                <w:rtl w:val="true"/>
              </w:rPr>
              <w:t>سنت‌های ناپیدا</w:t>
            </w:r>
            <w:r>
              <w:rPr>
                <w:rStyle w:val="IndexLink"/>
                <w:rtl w:val="true"/>
              </w:rPr>
              <w:tab/>
            </w:r>
            <w:r>
              <w:rPr>
                <w:rStyle w:val="IndexLink"/>
              </w:rPr>
              <w:t>64</w:t>
            </w:r>
          </w:hyperlink>
        </w:p>
        <w:p>
          <w:pPr>
            <w:pStyle w:val="Contents3"/>
            <w:tabs>
              <w:tab w:val="clear" w:pos="8459"/>
              <w:tab w:val="right" w:pos="9026" w:leader="dot"/>
            </w:tabs>
            <w:rPr/>
          </w:pPr>
          <w:hyperlink w:anchor="__RefHeading___Toc2051715_2749589250">
            <w:r>
              <w:rPr>
                <w:webHidden/>
                <w:rStyle w:val="IndexLink"/>
                <w:rtl w:val="true"/>
              </w:rPr>
              <w:t>نتیجه</w:t>
            </w:r>
            <w:r>
              <w:rPr>
                <w:rStyle w:val="IndexLink"/>
                <w:rtl w:val="true"/>
              </w:rPr>
              <w:tab/>
            </w:r>
            <w:r>
              <w:rPr>
                <w:rStyle w:val="IndexLink"/>
              </w:rPr>
              <w:t>66</w:t>
            </w:r>
          </w:hyperlink>
        </w:p>
        <w:p>
          <w:pPr>
            <w:pStyle w:val="Contents3"/>
            <w:tabs>
              <w:tab w:val="clear" w:pos="8459"/>
              <w:tab w:val="right" w:pos="9026" w:leader="dot"/>
            </w:tabs>
            <w:rPr/>
          </w:pPr>
          <w:hyperlink w:anchor="__RefHeading___Toc2051717_2749589250">
            <w:r>
              <w:rPr>
                <w:webHidden/>
                <w:rStyle w:val="IndexLink"/>
                <w:rtl w:val="true"/>
              </w:rPr>
              <w:t>منابع</w:t>
            </w:r>
            <w:r>
              <w:rPr>
                <w:rStyle w:val="IndexLink"/>
                <w:rtl w:val="true"/>
              </w:rPr>
              <w:tab/>
            </w:r>
            <w:r>
              <w:rPr>
                <w:rStyle w:val="IndexLink"/>
              </w:rPr>
              <w:t>66</w:t>
            </w:r>
          </w:hyperlink>
        </w:p>
        <w:p>
          <w:pPr>
            <w:pStyle w:val="Contents2"/>
            <w:tabs>
              <w:tab w:val="clear" w:pos="8743"/>
              <w:tab w:val="right" w:pos="9026" w:leader="dot"/>
            </w:tabs>
            <w:rPr/>
          </w:pPr>
          <w:hyperlink w:anchor="__RefHeading___Toc2051719_2749589250">
            <w:r>
              <w:rPr>
                <w:webHidden/>
                <w:rStyle w:val="IndexLink"/>
                <w:rtl w:val="true"/>
              </w:rPr>
              <w:t xml:space="preserve">الهیات سلبی در مدرسۀ کلامی حلّه </w:t>
            </w:r>
            <w:r>
              <w:rPr>
                <w:rStyle w:val="IndexLink"/>
                <w:rtl w:val="true"/>
              </w:rPr>
              <w:t xml:space="preserve">/ </w:t>
            </w:r>
            <w:r>
              <w:rPr>
                <w:rStyle w:val="IndexLink"/>
                <w:rtl w:val="true"/>
              </w:rPr>
              <w:t xml:space="preserve">رضا برنجکار </w:t>
            </w:r>
            <w:r>
              <w:rPr>
                <w:rStyle w:val="IndexLink"/>
                <w:rtl w:val="true"/>
              </w:rPr>
              <w:t xml:space="preserve">- </w:t>
            </w:r>
            <w:r>
              <w:rPr>
                <w:rStyle w:val="IndexLink"/>
                <w:rtl w:val="true"/>
              </w:rPr>
              <w:t>سید مسیح شاه چراغ</w:t>
            </w:r>
            <w:r>
              <w:rPr>
                <w:rStyle w:val="IndexLink"/>
                <w:rtl w:val="true"/>
              </w:rPr>
              <w:tab/>
            </w:r>
            <w:r>
              <w:rPr>
                <w:rStyle w:val="IndexLink"/>
              </w:rPr>
              <w:t>68</w:t>
            </w:r>
          </w:hyperlink>
        </w:p>
        <w:p>
          <w:pPr>
            <w:pStyle w:val="Contents3"/>
            <w:tabs>
              <w:tab w:val="clear" w:pos="8459"/>
              <w:tab w:val="right" w:pos="9026" w:leader="dot"/>
            </w:tabs>
            <w:rPr/>
          </w:pPr>
          <w:hyperlink w:anchor="__RefHeading___Toc2051721_274958925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051723_2749589250">
            <w:r>
              <w:rPr>
                <w:webHidden/>
                <w:rStyle w:val="IndexLink"/>
                <w:rtl w:val="true"/>
              </w:rPr>
              <w:t>چکیده</w:t>
            </w:r>
            <w:r>
              <w:rPr>
                <w:rStyle w:val="IndexLink"/>
                <w:rtl w:val="true"/>
              </w:rPr>
              <w:tab/>
            </w:r>
            <w:r>
              <w:rPr>
                <w:rStyle w:val="IndexLink"/>
              </w:rPr>
              <w:t>68</w:t>
            </w:r>
          </w:hyperlink>
        </w:p>
        <w:p>
          <w:pPr>
            <w:pStyle w:val="Contents3"/>
            <w:tabs>
              <w:tab w:val="clear" w:pos="8459"/>
              <w:tab w:val="right" w:pos="9026" w:leader="dot"/>
            </w:tabs>
            <w:rPr/>
          </w:pPr>
          <w:hyperlink w:anchor="__RefHeading___Toc2051725_2749589250">
            <w:r>
              <w:rPr>
                <w:webHidden/>
                <w:rStyle w:val="IndexLink"/>
                <w:rtl w:val="true"/>
              </w:rPr>
              <w:t>واژگان کلیدی</w:t>
            </w:r>
            <w:r>
              <w:rPr>
                <w:rStyle w:val="IndexLink"/>
                <w:rtl w:val="true"/>
              </w:rPr>
              <w:tab/>
            </w:r>
            <w:r>
              <w:rPr>
                <w:rStyle w:val="IndexLink"/>
              </w:rPr>
              <w:t>68</w:t>
            </w:r>
          </w:hyperlink>
        </w:p>
        <w:p>
          <w:pPr>
            <w:pStyle w:val="Contents3"/>
            <w:tabs>
              <w:tab w:val="clear" w:pos="8459"/>
              <w:tab w:val="right" w:pos="9026" w:leader="dot"/>
            </w:tabs>
            <w:rPr/>
          </w:pPr>
          <w:hyperlink w:anchor="__RefHeading___Toc2051727_2749589250">
            <w:r>
              <w:rPr>
                <w:webHidden/>
                <w:rStyle w:val="IndexLink"/>
                <w:rtl w:val="true"/>
              </w:rPr>
              <w:t>طرح مسئله</w:t>
            </w:r>
            <w:r>
              <w:rPr>
                <w:rStyle w:val="IndexLink"/>
                <w:rtl w:val="true"/>
              </w:rPr>
              <w:tab/>
            </w:r>
            <w:r>
              <w:rPr>
                <w:rStyle w:val="IndexLink"/>
              </w:rPr>
              <w:t>69</w:t>
            </w:r>
          </w:hyperlink>
        </w:p>
        <w:p>
          <w:pPr>
            <w:pStyle w:val="Contents3"/>
            <w:tabs>
              <w:tab w:val="clear" w:pos="8459"/>
              <w:tab w:val="right" w:pos="9026" w:leader="dot"/>
            </w:tabs>
            <w:rPr/>
          </w:pPr>
          <w:hyperlink w:anchor="__RefHeading___Toc2051729_2749589250">
            <w:r>
              <w:rPr>
                <w:webHidden/>
                <w:rStyle w:val="IndexLink"/>
              </w:rPr>
              <w:t>1</w:t>
            </w:r>
            <w:r>
              <w:rPr>
                <w:rStyle w:val="IndexLink"/>
                <w:rtl w:val="true"/>
              </w:rPr>
              <w:t xml:space="preserve">. </w:t>
            </w:r>
            <w:r>
              <w:rPr>
                <w:rStyle w:val="IndexLink"/>
                <w:rtl w:val="true"/>
              </w:rPr>
              <w:t>خواجه‌نصیر طوسی</w:t>
            </w:r>
            <w:r>
              <w:rPr>
                <w:rStyle w:val="IndexLink"/>
                <w:rtl w:val="true"/>
              </w:rPr>
              <w:tab/>
            </w:r>
            <w:r>
              <w:rPr>
                <w:rStyle w:val="IndexLink"/>
              </w:rPr>
              <w:t>71</w:t>
            </w:r>
          </w:hyperlink>
        </w:p>
        <w:p>
          <w:pPr>
            <w:pStyle w:val="Contents4"/>
            <w:tabs>
              <w:tab w:val="clear" w:pos="8176"/>
              <w:tab w:val="right" w:pos="9026" w:leader="dot"/>
            </w:tabs>
            <w:rPr/>
          </w:pPr>
          <w:hyperlink w:anchor="__RefHeading___Toc2051731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051733_2749589250">
            <w:r>
              <w:rPr>
                <w:webHidden/>
                <w:rStyle w:val="IndexLink"/>
                <w:rtl w:val="true"/>
              </w:rPr>
              <w:t>الف</w:t>
            </w:r>
            <w:r>
              <w:rPr>
                <w:rStyle w:val="IndexLink"/>
                <w:rtl w:val="true"/>
              </w:rPr>
              <w:t xml:space="preserve">. </w:t>
            </w:r>
            <w:r>
              <w:rPr>
                <w:rStyle w:val="IndexLink"/>
                <w:rtl w:val="true"/>
              </w:rPr>
              <w:t>اشتراک معنوی وجود</w:t>
            </w:r>
            <w:r>
              <w:rPr>
                <w:rStyle w:val="IndexLink"/>
                <w:rtl w:val="true"/>
              </w:rPr>
              <w:tab/>
            </w:r>
            <w:r>
              <w:rPr>
                <w:rStyle w:val="IndexLink"/>
              </w:rPr>
              <w:t>71</w:t>
            </w:r>
          </w:hyperlink>
        </w:p>
        <w:p>
          <w:pPr>
            <w:pStyle w:val="Contents4"/>
            <w:tabs>
              <w:tab w:val="clear" w:pos="8176"/>
              <w:tab w:val="right" w:pos="9026" w:leader="dot"/>
            </w:tabs>
            <w:rPr/>
          </w:pPr>
          <w:hyperlink w:anchor="__RefHeading___Toc2051735_2749589250">
            <w:r>
              <w:rPr>
                <w:webHidden/>
                <w:rStyle w:val="IndexLink"/>
                <w:rtl w:val="true"/>
              </w:rPr>
              <w:t>ب</w:t>
            </w:r>
            <w:r>
              <w:rPr>
                <w:rStyle w:val="IndexLink"/>
                <w:rtl w:val="true"/>
              </w:rPr>
              <w:t xml:space="preserve">. </w:t>
            </w:r>
            <w:r>
              <w:rPr>
                <w:rStyle w:val="IndexLink"/>
                <w:rtl w:val="true"/>
              </w:rPr>
              <w:t>محدودیت ادراک عقلی</w:t>
            </w:r>
            <w:r>
              <w:rPr>
                <w:rStyle w:val="IndexLink"/>
                <w:rtl w:val="true"/>
              </w:rPr>
              <w:tab/>
            </w:r>
            <w:r>
              <w:rPr>
                <w:rStyle w:val="IndexLink"/>
              </w:rPr>
              <w:t>74</w:t>
            </w:r>
          </w:hyperlink>
        </w:p>
        <w:p>
          <w:pPr>
            <w:pStyle w:val="Contents4"/>
            <w:tabs>
              <w:tab w:val="clear" w:pos="8176"/>
              <w:tab w:val="right" w:pos="9026" w:leader="dot"/>
            </w:tabs>
            <w:rPr/>
          </w:pPr>
          <w:hyperlink w:anchor="__RefHeading___Toc2051737_2749589250">
            <w:r>
              <w:rPr>
                <w:webHidden/>
                <w:rStyle w:val="IndexLink"/>
                <w:rtl w:val="true"/>
              </w:rPr>
              <w:t>ج</w:t>
            </w:r>
            <w:r>
              <w:rPr>
                <w:rStyle w:val="IndexLink"/>
                <w:rtl w:val="true"/>
              </w:rPr>
              <w:t xml:space="preserve">. </w:t>
            </w:r>
            <w:r>
              <w:rPr>
                <w:rStyle w:val="IndexLink"/>
                <w:rtl w:val="true"/>
              </w:rPr>
              <w:t>عینیت صفات با ذات</w:t>
            </w:r>
            <w:r>
              <w:rPr>
                <w:rStyle w:val="IndexLink"/>
                <w:rtl w:val="true"/>
              </w:rPr>
              <w:tab/>
            </w:r>
            <w:r>
              <w:rPr>
                <w:rStyle w:val="IndexLink"/>
              </w:rPr>
              <w:t>74</w:t>
            </w:r>
          </w:hyperlink>
        </w:p>
        <w:p>
          <w:pPr>
            <w:pStyle w:val="Contents4"/>
            <w:tabs>
              <w:tab w:val="clear" w:pos="8176"/>
              <w:tab w:val="right" w:pos="9026" w:leader="dot"/>
            </w:tabs>
            <w:rPr/>
          </w:pPr>
          <w:hyperlink w:anchor="__RefHeading___Toc2051739_2749589250">
            <w:r>
              <w:rPr>
                <w:webHidden/>
                <w:rStyle w:val="IndexLink"/>
                <w:rtl w:val="true"/>
              </w:rPr>
              <w:t>د</w:t>
            </w:r>
            <w:r>
              <w:rPr>
                <w:rStyle w:val="IndexLink"/>
                <w:rtl w:val="true"/>
              </w:rPr>
              <w:t xml:space="preserve">. </w:t>
            </w:r>
            <w:r>
              <w:rPr>
                <w:rStyle w:val="IndexLink"/>
                <w:rtl w:val="true"/>
              </w:rPr>
              <w:t>الهیات سلبی</w:t>
            </w:r>
            <w:r>
              <w:rPr>
                <w:rStyle w:val="IndexLink"/>
                <w:rtl w:val="true"/>
              </w:rPr>
              <w:tab/>
            </w:r>
            <w:r>
              <w:rPr>
                <w:rStyle w:val="IndexLink"/>
              </w:rPr>
              <w:t>75</w:t>
            </w:r>
          </w:hyperlink>
        </w:p>
        <w:p>
          <w:pPr>
            <w:pStyle w:val="Contents3"/>
            <w:tabs>
              <w:tab w:val="clear" w:pos="8459"/>
              <w:tab w:val="right" w:pos="9026" w:leader="dot"/>
            </w:tabs>
            <w:rPr/>
          </w:pPr>
          <w:hyperlink w:anchor="__RefHeading___Toc2051741_2749589250">
            <w:r>
              <w:rPr>
                <w:webHidden/>
                <w:rStyle w:val="IndexLink"/>
              </w:rPr>
              <w:t>2</w:t>
            </w:r>
            <w:r>
              <w:rPr>
                <w:rStyle w:val="IndexLink"/>
                <w:rtl w:val="true"/>
              </w:rPr>
              <w:t xml:space="preserve">. </w:t>
            </w:r>
            <w:r>
              <w:rPr>
                <w:rStyle w:val="IndexLink"/>
                <w:rtl w:val="true"/>
              </w:rPr>
              <w:t>علامه حلی</w:t>
            </w:r>
            <w:r>
              <w:rPr>
                <w:rStyle w:val="IndexLink"/>
                <w:rtl w:val="true"/>
              </w:rPr>
              <w:tab/>
            </w:r>
            <w:r>
              <w:rPr>
                <w:rStyle w:val="IndexLink"/>
              </w:rPr>
              <w:t>77</w:t>
            </w:r>
          </w:hyperlink>
        </w:p>
        <w:p>
          <w:pPr>
            <w:pStyle w:val="Contents4"/>
            <w:tabs>
              <w:tab w:val="clear" w:pos="8176"/>
              <w:tab w:val="right" w:pos="9026" w:leader="dot"/>
            </w:tabs>
            <w:rPr/>
          </w:pPr>
          <w:hyperlink w:anchor="__RefHeading___Toc2051743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051745_2749589250">
            <w:r>
              <w:rPr>
                <w:webHidden/>
                <w:rStyle w:val="IndexLink"/>
                <w:rtl w:val="true"/>
              </w:rPr>
              <w:t>الف</w:t>
            </w:r>
            <w:r>
              <w:rPr>
                <w:rStyle w:val="IndexLink"/>
                <w:rtl w:val="true"/>
              </w:rPr>
              <w:t xml:space="preserve">. </w:t>
            </w:r>
            <w:r>
              <w:rPr>
                <w:rStyle w:val="IndexLink"/>
                <w:rtl w:val="true"/>
              </w:rPr>
              <w:t>اشتراک در وجود</w:t>
            </w:r>
            <w:r>
              <w:rPr>
                <w:rStyle w:val="IndexLink"/>
                <w:rtl w:val="true"/>
              </w:rPr>
              <w:tab/>
            </w:r>
            <w:r>
              <w:rPr>
                <w:rStyle w:val="IndexLink"/>
              </w:rPr>
              <w:t>77</w:t>
            </w:r>
          </w:hyperlink>
        </w:p>
        <w:p>
          <w:pPr>
            <w:pStyle w:val="Contents4"/>
            <w:tabs>
              <w:tab w:val="clear" w:pos="8176"/>
              <w:tab w:val="right" w:pos="9026" w:leader="dot"/>
            </w:tabs>
            <w:rPr/>
          </w:pPr>
          <w:hyperlink w:anchor="__RefHeading___Toc2051747_2749589250">
            <w:r>
              <w:rPr>
                <w:webHidden/>
                <w:rStyle w:val="IndexLink"/>
                <w:rtl w:val="true"/>
              </w:rPr>
              <w:t>ب</w:t>
            </w:r>
            <w:r>
              <w:rPr>
                <w:rStyle w:val="IndexLink"/>
                <w:rtl w:val="true"/>
              </w:rPr>
              <w:t xml:space="preserve">. </w:t>
            </w:r>
            <w:r>
              <w:rPr>
                <w:rStyle w:val="IndexLink"/>
                <w:rtl w:val="true"/>
              </w:rPr>
              <w:t>محدودیت ادراکات عقلی</w:t>
            </w:r>
            <w:r>
              <w:rPr>
                <w:rStyle w:val="IndexLink"/>
                <w:rtl w:val="true"/>
              </w:rPr>
              <w:tab/>
            </w:r>
            <w:r>
              <w:rPr>
                <w:rStyle w:val="IndexLink"/>
              </w:rPr>
              <w:t>79</w:t>
            </w:r>
          </w:hyperlink>
        </w:p>
        <w:p>
          <w:pPr>
            <w:pStyle w:val="Contents4"/>
            <w:tabs>
              <w:tab w:val="clear" w:pos="8176"/>
              <w:tab w:val="right" w:pos="9026" w:leader="dot"/>
            </w:tabs>
            <w:rPr/>
          </w:pPr>
          <w:hyperlink w:anchor="__RefHeading___Toc2051749_2749589250">
            <w:r>
              <w:rPr>
                <w:webHidden/>
                <w:rStyle w:val="IndexLink"/>
                <w:rtl w:val="true"/>
              </w:rPr>
              <w:t>ج</w:t>
            </w:r>
            <w:r>
              <w:rPr>
                <w:rStyle w:val="IndexLink"/>
                <w:rtl w:val="true"/>
              </w:rPr>
              <w:t xml:space="preserve">. </w:t>
            </w:r>
            <w:r>
              <w:rPr>
                <w:rStyle w:val="IndexLink"/>
                <w:rtl w:val="true"/>
              </w:rPr>
              <w:t>عینیتِ صفات با ذات</w:t>
            </w:r>
            <w:r>
              <w:rPr>
                <w:rStyle w:val="IndexLink"/>
                <w:rtl w:val="true"/>
              </w:rPr>
              <w:tab/>
            </w:r>
            <w:r>
              <w:rPr>
                <w:rStyle w:val="IndexLink"/>
              </w:rPr>
              <w:t>79</w:t>
            </w:r>
          </w:hyperlink>
        </w:p>
        <w:p>
          <w:pPr>
            <w:pStyle w:val="Contents4"/>
            <w:tabs>
              <w:tab w:val="clear" w:pos="8176"/>
              <w:tab w:val="right" w:pos="9026" w:leader="dot"/>
            </w:tabs>
            <w:rPr/>
          </w:pPr>
          <w:hyperlink w:anchor="__RefHeading___Toc2051751_2749589250">
            <w:r>
              <w:rPr>
                <w:webHidden/>
                <w:rStyle w:val="IndexLink"/>
                <w:rtl w:val="true"/>
              </w:rPr>
              <w:t>د</w:t>
            </w:r>
            <w:r>
              <w:rPr>
                <w:rStyle w:val="IndexLink"/>
                <w:rtl w:val="true"/>
              </w:rPr>
              <w:t xml:space="preserve">. </w:t>
            </w:r>
            <w:r>
              <w:rPr>
                <w:rStyle w:val="IndexLink"/>
                <w:rtl w:val="true"/>
              </w:rPr>
              <w:t>الهیات سلبی</w:t>
            </w:r>
            <w:r>
              <w:rPr>
                <w:rStyle w:val="IndexLink"/>
                <w:rtl w:val="true"/>
              </w:rPr>
              <w:tab/>
            </w:r>
            <w:r>
              <w:rPr>
                <w:rStyle w:val="IndexLink"/>
              </w:rPr>
              <w:t>81</w:t>
            </w:r>
          </w:hyperlink>
        </w:p>
        <w:p>
          <w:pPr>
            <w:pStyle w:val="Contents3"/>
            <w:tabs>
              <w:tab w:val="clear" w:pos="8459"/>
              <w:tab w:val="right" w:pos="9026" w:leader="dot"/>
            </w:tabs>
            <w:rPr/>
          </w:pPr>
          <w:hyperlink w:anchor="__RefHeading___Toc2051753_2749589250">
            <w:r>
              <w:rPr>
                <w:webHidden/>
                <w:rStyle w:val="IndexLink"/>
              </w:rPr>
              <w:t>4</w:t>
            </w:r>
            <w:r>
              <w:rPr>
                <w:rStyle w:val="IndexLink"/>
                <w:rtl w:val="true"/>
              </w:rPr>
              <w:t xml:space="preserve">. </w:t>
            </w:r>
            <w:r>
              <w:rPr>
                <w:rStyle w:val="IndexLink"/>
                <w:rtl w:val="true"/>
              </w:rPr>
              <w:t>فاضل مقداد</w:t>
            </w:r>
            <w:r>
              <w:rPr>
                <w:rStyle w:val="IndexLink"/>
                <w:rtl w:val="true"/>
              </w:rPr>
              <w:tab/>
            </w:r>
            <w:r>
              <w:rPr>
                <w:rStyle w:val="IndexLink"/>
              </w:rPr>
              <w:t>82</w:t>
            </w:r>
          </w:hyperlink>
        </w:p>
        <w:p>
          <w:pPr>
            <w:pStyle w:val="Contents4"/>
            <w:tabs>
              <w:tab w:val="clear" w:pos="8176"/>
              <w:tab w:val="right" w:pos="9026" w:leader="dot"/>
            </w:tabs>
            <w:rPr/>
          </w:pPr>
          <w:hyperlink w:anchor="__RefHeading___Toc2051755_274958925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051757_2749589250">
            <w:r>
              <w:rPr>
                <w:webHidden/>
                <w:rStyle w:val="IndexLink"/>
                <w:rtl w:val="true"/>
              </w:rPr>
              <w:t>الف</w:t>
            </w:r>
            <w:r>
              <w:rPr>
                <w:rStyle w:val="IndexLink"/>
                <w:rtl w:val="true"/>
              </w:rPr>
              <w:t xml:space="preserve">. </w:t>
            </w:r>
            <w:r>
              <w:rPr>
                <w:rStyle w:val="IndexLink"/>
                <w:rtl w:val="true"/>
              </w:rPr>
              <w:t>اشتراک معنوی وجود</w:t>
            </w:r>
            <w:r>
              <w:rPr>
                <w:rStyle w:val="IndexLink"/>
                <w:rtl w:val="true"/>
              </w:rPr>
              <w:tab/>
            </w:r>
            <w:r>
              <w:rPr>
                <w:rStyle w:val="IndexLink"/>
              </w:rPr>
              <w:t>82</w:t>
            </w:r>
          </w:hyperlink>
        </w:p>
        <w:p>
          <w:pPr>
            <w:pStyle w:val="Contents4"/>
            <w:tabs>
              <w:tab w:val="clear" w:pos="8176"/>
              <w:tab w:val="right" w:pos="9026" w:leader="dot"/>
            </w:tabs>
            <w:rPr/>
          </w:pPr>
          <w:hyperlink w:anchor="__RefHeading___Toc2051759_2749589250">
            <w:r>
              <w:rPr>
                <w:webHidden/>
                <w:rStyle w:val="IndexLink"/>
                <w:rtl w:val="true"/>
              </w:rPr>
              <w:t>ب</w:t>
            </w:r>
            <w:r>
              <w:rPr>
                <w:rStyle w:val="IndexLink"/>
                <w:rtl w:val="true"/>
              </w:rPr>
              <w:t xml:space="preserve">. </w:t>
            </w:r>
            <w:r>
              <w:rPr>
                <w:rStyle w:val="IndexLink"/>
                <w:rtl w:val="true"/>
              </w:rPr>
              <w:t>حیطۀ ادراک عقل</w:t>
            </w:r>
            <w:r>
              <w:rPr>
                <w:rStyle w:val="IndexLink"/>
                <w:rtl w:val="true"/>
              </w:rPr>
              <w:tab/>
            </w:r>
            <w:r>
              <w:rPr>
                <w:rStyle w:val="IndexLink"/>
              </w:rPr>
              <w:t>83</w:t>
            </w:r>
          </w:hyperlink>
        </w:p>
        <w:p>
          <w:pPr>
            <w:pStyle w:val="Contents4"/>
            <w:tabs>
              <w:tab w:val="clear" w:pos="8176"/>
              <w:tab w:val="right" w:pos="9026" w:leader="dot"/>
            </w:tabs>
            <w:rPr/>
          </w:pPr>
          <w:hyperlink w:anchor="__RefHeading___Toc2051761_2749589250">
            <w:r>
              <w:rPr>
                <w:webHidden/>
                <w:rStyle w:val="IndexLink"/>
                <w:rtl w:val="true"/>
              </w:rPr>
              <w:t>ج</w:t>
            </w:r>
            <w:r>
              <w:rPr>
                <w:rStyle w:val="IndexLink"/>
                <w:rtl w:val="true"/>
              </w:rPr>
              <w:t xml:space="preserve">. </w:t>
            </w:r>
            <w:r>
              <w:rPr>
                <w:rStyle w:val="IndexLink"/>
                <w:rtl w:val="true"/>
              </w:rPr>
              <w:t>نیابت ذات از صفات</w:t>
            </w:r>
            <w:r>
              <w:rPr>
                <w:rStyle w:val="IndexLink"/>
                <w:rtl w:val="true"/>
              </w:rPr>
              <w:tab/>
            </w:r>
            <w:r>
              <w:rPr>
                <w:rStyle w:val="IndexLink"/>
              </w:rPr>
              <w:t>84</w:t>
            </w:r>
          </w:hyperlink>
        </w:p>
        <w:p>
          <w:pPr>
            <w:pStyle w:val="Contents4"/>
            <w:tabs>
              <w:tab w:val="clear" w:pos="8176"/>
              <w:tab w:val="right" w:pos="9026" w:leader="dot"/>
            </w:tabs>
            <w:rPr/>
          </w:pPr>
          <w:hyperlink w:anchor="__RefHeading___Toc2051763_2749589250">
            <w:r>
              <w:rPr>
                <w:webHidden/>
                <w:rStyle w:val="IndexLink"/>
                <w:rtl w:val="true"/>
              </w:rPr>
              <w:t>د</w:t>
            </w:r>
            <w:r>
              <w:rPr>
                <w:rStyle w:val="IndexLink"/>
                <w:rtl w:val="true"/>
              </w:rPr>
              <w:t xml:space="preserve">. </w:t>
            </w:r>
            <w:r>
              <w:rPr>
                <w:rStyle w:val="IndexLink"/>
                <w:rtl w:val="true"/>
              </w:rPr>
              <w:t>الهیات سلبی</w:t>
            </w:r>
            <w:r>
              <w:rPr>
                <w:rStyle w:val="IndexLink"/>
                <w:rtl w:val="true"/>
              </w:rPr>
              <w:tab/>
            </w:r>
            <w:r>
              <w:rPr>
                <w:rStyle w:val="IndexLink"/>
              </w:rPr>
              <w:t>85</w:t>
            </w:r>
          </w:hyperlink>
        </w:p>
        <w:p>
          <w:pPr>
            <w:pStyle w:val="Contents3"/>
            <w:tabs>
              <w:tab w:val="clear" w:pos="8459"/>
              <w:tab w:val="right" w:pos="9026" w:leader="dot"/>
            </w:tabs>
            <w:rPr/>
          </w:pPr>
          <w:hyperlink w:anchor="__RefHeading___Toc2051765_2749589250">
            <w:r>
              <w:rPr>
                <w:webHidden/>
                <w:rStyle w:val="IndexLink"/>
                <w:rtl w:val="true"/>
              </w:rPr>
              <w:t>نتیجه گیری</w:t>
            </w:r>
            <w:r>
              <w:rPr>
                <w:rStyle w:val="IndexLink"/>
                <w:rtl w:val="true"/>
              </w:rPr>
              <w:tab/>
            </w:r>
            <w:r>
              <w:rPr>
                <w:rStyle w:val="IndexLink"/>
              </w:rPr>
              <w:t>86</w:t>
            </w:r>
          </w:hyperlink>
        </w:p>
        <w:p>
          <w:pPr>
            <w:pStyle w:val="Contents3"/>
            <w:tabs>
              <w:tab w:val="clear" w:pos="8459"/>
              <w:tab w:val="right" w:pos="9026" w:leader="dot"/>
            </w:tabs>
            <w:rPr/>
          </w:pPr>
          <w:hyperlink w:anchor="__RefHeading___Toc2051767_2749589250">
            <w:r>
              <w:rPr>
                <w:webHidden/>
                <w:rStyle w:val="IndexLink"/>
                <w:rtl w:val="true"/>
              </w:rPr>
              <w:t>منابع</w:t>
            </w:r>
            <w:r>
              <w:rPr>
                <w:rStyle w:val="IndexLink"/>
                <w:rtl w:val="true"/>
              </w:rPr>
              <w:tab/>
            </w:r>
            <w:r>
              <w:rPr>
                <w:rStyle w:val="IndexLink"/>
              </w:rPr>
              <w:t>87</w:t>
            </w:r>
          </w:hyperlink>
        </w:p>
        <w:p>
          <w:pPr>
            <w:pStyle w:val="Contents4"/>
            <w:tabs>
              <w:tab w:val="clear" w:pos="8176"/>
              <w:tab w:val="right" w:pos="9026" w:leader="dot"/>
            </w:tabs>
            <w:rPr/>
          </w:pPr>
          <w:hyperlink w:anchor="__RefHeading___Toc2051769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051771_2749589250">
            <w:r>
              <w:rPr>
                <w:webHidden/>
                <w:rStyle w:val="IndexLink"/>
              </w:rPr>
              <w:t>Point</w:t>
            </w:r>
            <w:r>
              <w:rPr>
                <w:rStyle w:val="IndexLink"/>
                <w:rtl w:val="true"/>
              </w:rPr>
              <w:tab/>
            </w:r>
            <w:r>
              <w:rPr>
                <w:rStyle w:val="IndexLink"/>
              </w:rPr>
              <w:t>88</w:t>
            </w:r>
          </w:hyperlink>
        </w:p>
        <w:p>
          <w:pPr>
            <w:pStyle w:val="Contents2"/>
            <w:tabs>
              <w:tab w:val="clear" w:pos="8743"/>
              <w:tab w:val="right" w:pos="9026" w:leader="dot"/>
            </w:tabs>
            <w:rPr/>
          </w:pPr>
          <w:hyperlink w:anchor="__RefHeading___Toc2051773_2749589250">
            <w:r>
              <w:rPr>
                <w:webHidden/>
                <w:rStyle w:val="IndexLink"/>
                <w:rtl w:val="true"/>
              </w:rPr>
              <w:t xml:space="preserve">رهیافت نیایش‌های شیعی به حل مسئله شرّ </w:t>
            </w:r>
            <w:r>
              <w:rPr>
                <w:rStyle w:val="IndexLink"/>
                <w:rtl w:val="true"/>
              </w:rPr>
              <w:t xml:space="preserve">/ </w:t>
            </w:r>
            <w:r>
              <w:rPr>
                <w:rStyle w:val="IndexLink"/>
                <w:rtl w:val="true"/>
              </w:rPr>
              <w:t xml:space="preserve">احمد کریمی </w:t>
            </w:r>
            <w:r>
              <w:rPr>
                <w:rStyle w:val="IndexLink"/>
                <w:rtl w:val="true"/>
              </w:rPr>
              <w:t xml:space="preserve">- </w:t>
            </w:r>
            <w:r>
              <w:rPr>
                <w:rStyle w:val="IndexLink"/>
                <w:rtl w:val="true"/>
              </w:rPr>
              <w:t>محمد صالح مازنی</w:t>
            </w:r>
            <w:r>
              <w:rPr>
                <w:rStyle w:val="IndexLink"/>
                <w:rtl w:val="true"/>
              </w:rPr>
              <w:tab/>
            </w:r>
            <w:r>
              <w:rPr>
                <w:rStyle w:val="IndexLink"/>
              </w:rPr>
              <w:t>90</w:t>
            </w:r>
          </w:hyperlink>
        </w:p>
        <w:p>
          <w:pPr>
            <w:pStyle w:val="Contents3"/>
            <w:tabs>
              <w:tab w:val="clear" w:pos="8459"/>
              <w:tab w:val="right" w:pos="9026" w:leader="dot"/>
            </w:tabs>
            <w:rPr/>
          </w:pPr>
          <w:hyperlink w:anchor="__RefHeading___Toc2051775_274958925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051777_2749589250">
            <w:r>
              <w:rPr>
                <w:webHidden/>
                <w:rStyle w:val="IndexLink"/>
                <w:rtl w:val="true"/>
              </w:rPr>
              <w:t>چکیده</w:t>
            </w:r>
            <w:r>
              <w:rPr>
                <w:rStyle w:val="IndexLink"/>
                <w:rtl w:val="true"/>
              </w:rPr>
              <w:tab/>
            </w:r>
            <w:r>
              <w:rPr>
                <w:rStyle w:val="IndexLink"/>
              </w:rPr>
              <w:t>90</w:t>
            </w:r>
          </w:hyperlink>
        </w:p>
        <w:p>
          <w:pPr>
            <w:pStyle w:val="Contents3"/>
            <w:tabs>
              <w:tab w:val="clear" w:pos="8459"/>
              <w:tab w:val="right" w:pos="9026" w:leader="dot"/>
            </w:tabs>
            <w:rPr/>
          </w:pPr>
          <w:hyperlink w:anchor="__RefHeading___Toc2051779_2749589250">
            <w:r>
              <w:rPr>
                <w:webHidden/>
                <w:rStyle w:val="IndexLink"/>
                <w:rtl w:val="true"/>
              </w:rPr>
              <w:t>واژگان کلیدی</w:t>
            </w:r>
            <w:r>
              <w:rPr>
                <w:rStyle w:val="IndexLink"/>
                <w:rtl w:val="true"/>
              </w:rPr>
              <w:tab/>
            </w:r>
            <w:r>
              <w:rPr>
                <w:rStyle w:val="IndexLink"/>
              </w:rPr>
              <w:t>90</w:t>
            </w:r>
          </w:hyperlink>
        </w:p>
        <w:p>
          <w:pPr>
            <w:pStyle w:val="Contents3"/>
            <w:tabs>
              <w:tab w:val="clear" w:pos="8459"/>
              <w:tab w:val="right" w:pos="9026" w:leader="dot"/>
            </w:tabs>
            <w:rPr/>
          </w:pPr>
          <w:hyperlink w:anchor="__RefHeading___Toc2051781_2749589250">
            <w:r>
              <w:rPr>
                <w:webHidden/>
                <w:rStyle w:val="IndexLink"/>
                <w:rtl w:val="true"/>
              </w:rPr>
              <w:t>مقدمه</w:t>
            </w:r>
            <w:r>
              <w:rPr>
                <w:rStyle w:val="IndexLink"/>
                <w:rtl w:val="true"/>
              </w:rPr>
              <w:tab/>
            </w:r>
            <w:r>
              <w:rPr>
                <w:rStyle w:val="IndexLink"/>
              </w:rPr>
              <w:t>91</w:t>
            </w:r>
          </w:hyperlink>
        </w:p>
        <w:p>
          <w:pPr>
            <w:pStyle w:val="Contents3"/>
            <w:tabs>
              <w:tab w:val="clear" w:pos="8459"/>
              <w:tab w:val="right" w:pos="9026" w:leader="dot"/>
            </w:tabs>
            <w:rPr/>
          </w:pPr>
          <w:hyperlink w:anchor="__RefHeading___Toc2051783_2749589250">
            <w:r>
              <w:rPr>
                <w:webHidden/>
                <w:rStyle w:val="IndexLink"/>
              </w:rPr>
              <w:t>1</w:t>
            </w:r>
            <w:r>
              <w:rPr>
                <w:rStyle w:val="IndexLink"/>
                <w:rtl w:val="true"/>
              </w:rPr>
              <w:t xml:space="preserve">. </w:t>
            </w:r>
            <w:r>
              <w:rPr>
                <w:rStyle w:val="IndexLink"/>
                <w:rtl w:val="true"/>
              </w:rPr>
              <w:t>مفهوم‌شناسی شرّ</w:t>
            </w:r>
            <w:r>
              <w:rPr>
                <w:rStyle w:val="IndexLink"/>
                <w:rtl w:val="true"/>
              </w:rPr>
              <w:tab/>
            </w:r>
            <w:r>
              <w:rPr>
                <w:rStyle w:val="IndexLink"/>
              </w:rPr>
              <w:t>91</w:t>
            </w:r>
          </w:hyperlink>
        </w:p>
        <w:p>
          <w:pPr>
            <w:pStyle w:val="Contents4"/>
            <w:tabs>
              <w:tab w:val="clear" w:pos="8176"/>
              <w:tab w:val="right" w:pos="9026" w:leader="dot"/>
            </w:tabs>
            <w:rPr/>
          </w:pPr>
          <w:hyperlink w:anchor="__RefHeading___Toc2051785_274958925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051787_2749589250">
            <w:r>
              <w:rPr>
                <w:webHidden/>
                <w:rStyle w:val="IndexLink"/>
                <w:rtl w:val="true"/>
              </w:rPr>
              <w:t>نسبتِ نقص و شرّ</w:t>
            </w:r>
            <w:r>
              <w:rPr>
                <w:rStyle w:val="IndexLink"/>
                <w:rtl w:val="true"/>
              </w:rPr>
              <w:tab/>
            </w:r>
            <w:r>
              <w:rPr>
                <w:rStyle w:val="IndexLink"/>
              </w:rPr>
              <w:t>92</w:t>
            </w:r>
          </w:hyperlink>
        </w:p>
        <w:p>
          <w:pPr>
            <w:pStyle w:val="Contents4"/>
            <w:tabs>
              <w:tab w:val="clear" w:pos="8176"/>
              <w:tab w:val="right" w:pos="9026" w:leader="dot"/>
            </w:tabs>
            <w:rPr/>
          </w:pPr>
          <w:hyperlink w:anchor="__RefHeading___Toc2051789_2749589250">
            <w:r>
              <w:rPr>
                <w:webHidden/>
                <w:rStyle w:val="IndexLink"/>
                <w:rtl w:val="true"/>
              </w:rPr>
              <w:t>نسبتِ سیئه و شرّ</w:t>
            </w:r>
            <w:r>
              <w:rPr>
                <w:rStyle w:val="IndexLink"/>
                <w:rtl w:val="true"/>
              </w:rPr>
              <w:tab/>
            </w:r>
            <w:r>
              <w:rPr>
                <w:rStyle w:val="IndexLink"/>
              </w:rPr>
              <w:t>92</w:t>
            </w:r>
          </w:hyperlink>
        </w:p>
        <w:p>
          <w:pPr>
            <w:pStyle w:val="Contents4"/>
            <w:tabs>
              <w:tab w:val="clear" w:pos="8176"/>
              <w:tab w:val="right" w:pos="9026" w:leader="dot"/>
            </w:tabs>
            <w:rPr/>
          </w:pPr>
          <w:hyperlink w:anchor="__RefHeading___Toc2051791_2749589250">
            <w:r>
              <w:rPr>
                <w:webHidden/>
                <w:rStyle w:val="IndexLink"/>
                <w:rtl w:val="true"/>
              </w:rPr>
              <w:t>نسبتِ ضرر و شرّ</w:t>
            </w:r>
            <w:r>
              <w:rPr>
                <w:rStyle w:val="IndexLink"/>
                <w:rtl w:val="true"/>
              </w:rPr>
              <w:tab/>
            </w:r>
            <w:r>
              <w:rPr>
                <w:rStyle w:val="IndexLink"/>
              </w:rPr>
              <w:t>92</w:t>
            </w:r>
          </w:hyperlink>
        </w:p>
        <w:p>
          <w:pPr>
            <w:pStyle w:val="Contents4"/>
            <w:tabs>
              <w:tab w:val="clear" w:pos="8176"/>
              <w:tab w:val="right" w:pos="9026" w:leader="dot"/>
            </w:tabs>
            <w:rPr/>
          </w:pPr>
          <w:hyperlink w:anchor="__RefHeading___Toc2051793_2749589250">
            <w:r>
              <w:rPr>
                <w:webHidden/>
                <w:rStyle w:val="IndexLink"/>
                <w:rtl w:val="true"/>
              </w:rPr>
              <w:t>نسبتِ شرّ با قبح</w:t>
            </w:r>
            <w:r>
              <w:rPr>
                <w:rStyle w:val="IndexLink"/>
                <w:rtl w:val="true"/>
              </w:rPr>
              <w:tab/>
            </w:r>
            <w:r>
              <w:rPr>
                <w:rStyle w:val="IndexLink"/>
              </w:rPr>
              <w:t>93</w:t>
            </w:r>
          </w:hyperlink>
        </w:p>
        <w:p>
          <w:pPr>
            <w:pStyle w:val="Contents4"/>
            <w:tabs>
              <w:tab w:val="clear" w:pos="8176"/>
              <w:tab w:val="right" w:pos="9026" w:leader="dot"/>
            </w:tabs>
            <w:rPr/>
          </w:pPr>
          <w:hyperlink w:anchor="__RefHeading___Toc2051795_2749589250">
            <w:r>
              <w:rPr>
                <w:webHidden/>
                <w:rStyle w:val="IndexLink"/>
                <w:rtl w:val="true"/>
              </w:rPr>
              <w:t>نسبت شرّ و عدم</w:t>
            </w:r>
            <w:r>
              <w:rPr>
                <w:rStyle w:val="IndexLink"/>
                <w:rtl w:val="true"/>
              </w:rPr>
              <w:tab/>
            </w:r>
            <w:r>
              <w:rPr>
                <w:rStyle w:val="IndexLink"/>
              </w:rPr>
              <w:t>93</w:t>
            </w:r>
          </w:hyperlink>
        </w:p>
        <w:p>
          <w:pPr>
            <w:pStyle w:val="Contents3"/>
            <w:tabs>
              <w:tab w:val="clear" w:pos="8459"/>
              <w:tab w:val="right" w:pos="9026" w:leader="dot"/>
            </w:tabs>
            <w:rPr/>
          </w:pPr>
          <w:hyperlink w:anchor="__RefHeading___Toc2051797_2749589250">
            <w:r>
              <w:rPr>
                <w:webHidden/>
                <w:rStyle w:val="IndexLink"/>
              </w:rPr>
              <w:t>2</w:t>
            </w:r>
            <w:r>
              <w:rPr>
                <w:rStyle w:val="IndexLink"/>
                <w:rtl w:val="true"/>
              </w:rPr>
              <w:t xml:space="preserve">. </w:t>
            </w:r>
            <w:r>
              <w:rPr>
                <w:rStyle w:val="IndexLink"/>
                <w:rtl w:val="true"/>
              </w:rPr>
              <w:t>مفهوم‌شناسی دعا و نیایش</w:t>
            </w:r>
            <w:r>
              <w:rPr>
                <w:rStyle w:val="IndexLink"/>
                <w:rtl w:val="true"/>
              </w:rPr>
              <w:tab/>
            </w:r>
            <w:r>
              <w:rPr>
                <w:rStyle w:val="IndexLink"/>
              </w:rPr>
              <w:t>93</w:t>
            </w:r>
          </w:hyperlink>
        </w:p>
        <w:p>
          <w:pPr>
            <w:pStyle w:val="Contents4"/>
            <w:tabs>
              <w:tab w:val="clear" w:pos="8176"/>
              <w:tab w:val="right" w:pos="9026" w:leader="dot"/>
            </w:tabs>
            <w:rPr/>
          </w:pPr>
          <w:hyperlink w:anchor="__RefHeading___Toc2051799_2749589250">
            <w:r>
              <w:rPr>
                <w:webHidden/>
                <w:rStyle w:val="IndexLink"/>
                <w:rtl w:val="true"/>
              </w:rPr>
              <w:t>معنای لغوی دعا</w:t>
            </w:r>
            <w:r>
              <w:rPr>
                <w:rStyle w:val="IndexLink"/>
                <w:rtl w:val="true"/>
              </w:rPr>
              <w:tab/>
            </w:r>
            <w:r>
              <w:rPr>
                <w:rStyle w:val="IndexLink"/>
              </w:rPr>
              <w:t>93</w:t>
            </w:r>
          </w:hyperlink>
        </w:p>
        <w:p>
          <w:pPr>
            <w:pStyle w:val="Contents4"/>
            <w:tabs>
              <w:tab w:val="clear" w:pos="8176"/>
              <w:tab w:val="right" w:pos="9026" w:leader="dot"/>
            </w:tabs>
            <w:rPr/>
          </w:pPr>
          <w:hyperlink w:anchor="__RefHeading___Toc2051801_2749589250">
            <w:r>
              <w:rPr>
                <w:webHidden/>
                <w:rStyle w:val="IndexLink"/>
                <w:rtl w:val="true"/>
              </w:rPr>
              <w:t>معنای اصطلاحی دعا</w:t>
            </w:r>
            <w:r>
              <w:rPr>
                <w:rStyle w:val="IndexLink"/>
                <w:rtl w:val="true"/>
              </w:rPr>
              <w:tab/>
            </w:r>
            <w:r>
              <w:rPr>
                <w:rStyle w:val="IndexLink"/>
              </w:rPr>
              <w:t>94</w:t>
            </w:r>
          </w:hyperlink>
        </w:p>
        <w:p>
          <w:pPr>
            <w:pStyle w:val="Contents3"/>
            <w:tabs>
              <w:tab w:val="clear" w:pos="8459"/>
              <w:tab w:val="right" w:pos="9026" w:leader="dot"/>
            </w:tabs>
            <w:rPr/>
          </w:pPr>
          <w:hyperlink w:anchor="__RefHeading___Toc2051803_2749589250">
            <w:r>
              <w:rPr>
                <w:webHidden/>
                <w:rStyle w:val="IndexLink"/>
              </w:rPr>
              <w:t>3</w:t>
            </w:r>
            <w:r>
              <w:rPr>
                <w:rStyle w:val="IndexLink"/>
                <w:rtl w:val="true"/>
              </w:rPr>
              <w:t xml:space="preserve">. </w:t>
            </w:r>
            <w:r>
              <w:rPr>
                <w:rStyle w:val="IndexLink"/>
                <w:rtl w:val="true"/>
              </w:rPr>
              <w:t>جنبه‌های وجودشناختی و مصادیق مسئله شرّ در نیایش‌های شیعی</w:t>
            </w:r>
            <w:r>
              <w:rPr>
                <w:rStyle w:val="IndexLink"/>
                <w:rtl w:val="true"/>
              </w:rPr>
              <w:tab/>
            </w:r>
            <w:r>
              <w:rPr>
                <w:rStyle w:val="IndexLink"/>
              </w:rPr>
              <w:t>94</w:t>
            </w:r>
          </w:hyperlink>
        </w:p>
        <w:p>
          <w:pPr>
            <w:pStyle w:val="Contents4"/>
            <w:tabs>
              <w:tab w:val="clear" w:pos="8176"/>
              <w:tab w:val="right" w:pos="9026" w:leader="dot"/>
            </w:tabs>
            <w:rPr/>
          </w:pPr>
          <w:hyperlink w:anchor="__RefHeading___Toc2051805_274958925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051807_2749589250">
            <w:r>
              <w:rPr>
                <w:webHidden/>
                <w:rStyle w:val="IndexLink"/>
                <w:rtl w:val="true"/>
              </w:rPr>
              <w:t>وجودی بودن شرّ در نیایش‌ها</w:t>
            </w:r>
            <w:r>
              <w:rPr>
                <w:rStyle w:val="IndexLink"/>
                <w:rtl w:val="true"/>
              </w:rPr>
              <w:tab/>
            </w:r>
            <w:r>
              <w:rPr>
                <w:rStyle w:val="IndexLink"/>
              </w:rPr>
              <w:t>95</w:t>
            </w:r>
          </w:hyperlink>
        </w:p>
        <w:p>
          <w:pPr>
            <w:pStyle w:val="Contents4"/>
            <w:tabs>
              <w:tab w:val="clear" w:pos="8176"/>
              <w:tab w:val="right" w:pos="9026" w:leader="dot"/>
            </w:tabs>
            <w:rPr/>
          </w:pPr>
          <w:hyperlink w:anchor="__RefHeading___Toc2051809_2749589250">
            <w:r>
              <w:rPr>
                <w:webHidden/>
                <w:rStyle w:val="IndexLink"/>
                <w:rtl w:val="true"/>
              </w:rPr>
              <w:t>پیامدها و آثار آلام در نیایش‌های شیعی</w:t>
            </w:r>
            <w:r>
              <w:rPr>
                <w:rStyle w:val="IndexLink"/>
                <w:rtl w:val="true"/>
              </w:rPr>
              <w:tab/>
            </w:r>
            <w:r>
              <w:rPr>
                <w:rStyle w:val="IndexLink"/>
              </w:rPr>
              <w:t>95</w:t>
            </w:r>
          </w:hyperlink>
        </w:p>
        <w:p>
          <w:pPr>
            <w:pStyle w:val="Contents4"/>
            <w:tabs>
              <w:tab w:val="clear" w:pos="8176"/>
              <w:tab w:val="right" w:pos="9026" w:leader="dot"/>
            </w:tabs>
            <w:rPr/>
          </w:pPr>
          <w:hyperlink w:anchor="__RefHeading___Toc2051811_2749589250">
            <w:r>
              <w:rPr>
                <w:webHidden/>
                <w:rStyle w:val="IndexLink"/>
                <w:rtl w:val="true"/>
              </w:rPr>
              <w:t>مصادیق شرّ در نیایش‌های شیعی</w:t>
            </w:r>
            <w:r>
              <w:rPr>
                <w:rStyle w:val="IndexLink"/>
                <w:rtl w:val="true"/>
              </w:rPr>
              <w:tab/>
            </w:r>
            <w:r>
              <w:rPr>
                <w:rStyle w:val="IndexLink"/>
              </w:rPr>
              <w:t>96</w:t>
            </w:r>
          </w:hyperlink>
        </w:p>
        <w:p>
          <w:pPr>
            <w:pStyle w:val="Contents4"/>
            <w:tabs>
              <w:tab w:val="clear" w:pos="8176"/>
              <w:tab w:val="right" w:pos="9026" w:leader="dot"/>
            </w:tabs>
            <w:rPr/>
          </w:pPr>
          <w:hyperlink w:anchor="__RefHeading___Toc2051813_2749589250">
            <w:r>
              <w:rPr>
                <w:webHidden/>
                <w:rStyle w:val="IndexLink"/>
                <w:rtl w:val="true"/>
              </w:rPr>
              <w:t>مسئله شرّ، مقوله‌ای قابل کنترل</w:t>
            </w:r>
            <w:r>
              <w:rPr>
                <w:rStyle w:val="IndexLink"/>
                <w:rtl w:val="true"/>
              </w:rPr>
              <w:tab/>
            </w:r>
            <w:r>
              <w:rPr>
                <w:rStyle w:val="IndexLink"/>
              </w:rPr>
              <w:t>97</w:t>
            </w:r>
          </w:hyperlink>
        </w:p>
        <w:p>
          <w:pPr>
            <w:pStyle w:val="Contents3"/>
            <w:tabs>
              <w:tab w:val="clear" w:pos="8459"/>
              <w:tab w:val="right" w:pos="9026" w:leader="dot"/>
            </w:tabs>
            <w:rPr/>
          </w:pPr>
          <w:hyperlink w:anchor="__RefHeading___Toc2051815_2749589250">
            <w:r>
              <w:rPr>
                <w:webHidden/>
                <w:rStyle w:val="IndexLink"/>
              </w:rPr>
              <w:t>4</w:t>
            </w:r>
            <w:r>
              <w:rPr>
                <w:rStyle w:val="IndexLink"/>
                <w:rtl w:val="true"/>
              </w:rPr>
              <w:t xml:space="preserve">. </w:t>
            </w:r>
            <w:r>
              <w:rPr>
                <w:rStyle w:val="IndexLink"/>
                <w:rtl w:val="true"/>
              </w:rPr>
              <w:t>رهیافت انواع شرور در نیایش‌های شیعی</w:t>
            </w:r>
            <w:r>
              <w:rPr>
                <w:rStyle w:val="IndexLink"/>
                <w:rtl w:val="true"/>
              </w:rPr>
              <w:tab/>
            </w:r>
            <w:r>
              <w:rPr>
                <w:rStyle w:val="IndexLink"/>
              </w:rPr>
              <w:t>97</w:t>
            </w:r>
          </w:hyperlink>
        </w:p>
        <w:p>
          <w:pPr>
            <w:pStyle w:val="Contents3"/>
            <w:tabs>
              <w:tab w:val="clear" w:pos="8459"/>
              <w:tab w:val="right" w:pos="9026" w:leader="dot"/>
            </w:tabs>
            <w:rPr/>
          </w:pPr>
          <w:hyperlink w:anchor="__RefHeading___Toc2051817_2749589250">
            <w:r>
              <w:rPr>
                <w:webHidden/>
                <w:rStyle w:val="IndexLink"/>
              </w:rPr>
              <w:t>5</w:t>
            </w:r>
            <w:r>
              <w:rPr>
                <w:rStyle w:val="IndexLink"/>
                <w:rtl w:val="true"/>
              </w:rPr>
              <w:t xml:space="preserve">. </w:t>
            </w:r>
            <w:r>
              <w:rPr>
                <w:rStyle w:val="IndexLink"/>
                <w:rtl w:val="true"/>
              </w:rPr>
              <w:t>نقش خداوند در کنترل شرور</w:t>
            </w:r>
            <w:r>
              <w:rPr>
                <w:rStyle w:val="IndexLink"/>
                <w:rtl w:val="true"/>
              </w:rPr>
              <w:tab/>
            </w:r>
            <w:r>
              <w:rPr>
                <w:rStyle w:val="IndexLink"/>
              </w:rPr>
              <w:t>99</w:t>
            </w:r>
          </w:hyperlink>
        </w:p>
        <w:p>
          <w:pPr>
            <w:pStyle w:val="Contents3"/>
            <w:tabs>
              <w:tab w:val="clear" w:pos="8459"/>
              <w:tab w:val="right" w:pos="9026" w:leader="dot"/>
            </w:tabs>
            <w:rPr/>
          </w:pPr>
          <w:hyperlink w:anchor="__RefHeading___Toc2051819_2749589250">
            <w:r>
              <w:rPr>
                <w:webHidden/>
                <w:rStyle w:val="IndexLink"/>
              </w:rPr>
              <w:t>6</w:t>
            </w:r>
            <w:r>
              <w:rPr>
                <w:rStyle w:val="IndexLink"/>
                <w:rtl w:val="true"/>
              </w:rPr>
              <w:t xml:space="preserve">. </w:t>
            </w:r>
            <w:r>
              <w:rPr>
                <w:rStyle w:val="IndexLink"/>
                <w:rtl w:val="true"/>
              </w:rPr>
              <w:t>نقش انسان در مسئله شرّ</w:t>
            </w:r>
            <w:r>
              <w:rPr>
                <w:rStyle w:val="IndexLink"/>
                <w:rtl w:val="true"/>
              </w:rPr>
              <w:tab/>
            </w:r>
            <w:r>
              <w:rPr>
                <w:rStyle w:val="IndexLink"/>
              </w:rPr>
              <w:t>105</w:t>
            </w:r>
          </w:hyperlink>
        </w:p>
        <w:p>
          <w:pPr>
            <w:pStyle w:val="Contents3"/>
            <w:tabs>
              <w:tab w:val="clear" w:pos="8459"/>
              <w:tab w:val="right" w:pos="9026" w:leader="dot"/>
            </w:tabs>
            <w:rPr/>
          </w:pPr>
          <w:hyperlink w:anchor="__RefHeading___Toc2051821_2749589250">
            <w:r>
              <w:rPr>
                <w:webHidden/>
                <w:rStyle w:val="IndexLink"/>
              </w:rPr>
              <w:t>7</w:t>
            </w:r>
            <w:r>
              <w:rPr>
                <w:rStyle w:val="IndexLink"/>
                <w:rtl w:val="true"/>
              </w:rPr>
              <w:t xml:space="preserve">. </w:t>
            </w:r>
            <w:r>
              <w:rPr>
                <w:rStyle w:val="IndexLink"/>
                <w:rtl w:val="true"/>
              </w:rPr>
              <w:t>نتیجه‌گیری</w:t>
            </w:r>
            <w:r>
              <w:rPr>
                <w:rStyle w:val="IndexLink"/>
                <w:rtl w:val="true"/>
              </w:rPr>
              <w:tab/>
            </w:r>
            <w:r>
              <w:rPr>
                <w:rStyle w:val="IndexLink"/>
              </w:rPr>
              <w:t>106</w:t>
            </w:r>
          </w:hyperlink>
        </w:p>
        <w:p>
          <w:pPr>
            <w:pStyle w:val="Contents3"/>
            <w:tabs>
              <w:tab w:val="clear" w:pos="8459"/>
              <w:tab w:val="right" w:pos="9026" w:leader="dot"/>
            </w:tabs>
            <w:rPr/>
          </w:pPr>
          <w:hyperlink w:anchor="__RefHeading___Toc2051823_2749589250">
            <w:r>
              <w:rPr>
                <w:webHidden/>
                <w:rStyle w:val="IndexLink"/>
                <w:rtl w:val="true"/>
              </w:rPr>
              <w:t>منابع</w:t>
            </w:r>
            <w:r>
              <w:rPr>
                <w:rStyle w:val="IndexLink"/>
                <w:rtl w:val="true"/>
              </w:rPr>
              <w:tab/>
            </w:r>
            <w:r>
              <w:rPr>
                <w:rStyle w:val="IndexLink"/>
              </w:rPr>
              <w:t>107</w:t>
            </w:r>
          </w:hyperlink>
        </w:p>
        <w:p>
          <w:pPr>
            <w:pStyle w:val="Contents2"/>
            <w:tabs>
              <w:tab w:val="clear" w:pos="8743"/>
              <w:tab w:val="right" w:pos="9026" w:leader="dot"/>
            </w:tabs>
            <w:rPr/>
          </w:pPr>
          <w:hyperlink w:anchor="__RefHeading___Toc2051825_2749589250">
            <w:r>
              <w:rPr>
                <w:webHidden/>
                <w:rStyle w:val="IndexLink"/>
                <w:rtl w:val="true"/>
              </w:rPr>
              <w:t xml:space="preserve">واکاوی پدیدۀ </w:t>
            </w:r>
            <w:r>
              <w:rPr>
                <w:rStyle w:val="IndexLink"/>
                <w:rtl w:val="true"/>
              </w:rPr>
              <w:t>«</w:t>
            </w:r>
            <w:r>
              <w:rPr>
                <w:rStyle w:val="IndexLink"/>
                <w:rtl w:val="true"/>
              </w:rPr>
              <w:t>فرقه‌سازی درون‌مذهبی</w:t>
            </w:r>
            <w:r>
              <w:rPr>
                <w:rStyle w:val="IndexLink"/>
                <w:rtl w:val="true"/>
              </w:rPr>
              <w:t xml:space="preserve">» </w:t>
            </w:r>
            <w:r>
              <w:rPr>
                <w:rStyle w:val="IndexLink"/>
                <w:rtl w:val="true"/>
              </w:rPr>
              <w:t xml:space="preserve">در جریان سلفیه معاصر </w:t>
            </w:r>
            <w:r>
              <w:rPr>
                <w:rStyle w:val="IndexLink"/>
                <w:rtl w:val="true"/>
              </w:rPr>
              <w:t xml:space="preserve">/ </w:t>
            </w:r>
            <w:r>
              <w:rPr>
                <w:rStyle w:val="IndexLink"/>
                <w:rtl w:val="true"/>
              </w:rPr>
              <w:t xml:space="preserve">حمید ایماندار </w:t>
            </w:r>
            <w:r>
              <w:rPr>
                <w:rStyle w:val="IndexLink"/>
                <w:rtl w:val="true"/>
              </w:rPr>
              <w:t xml:space="preserve">- </w:t>
            </w:r>
            <w:r>
              <w:rPr>
                <w:rStyle w:val="IndexLink"/>
                <w:rtl w:val="true"/>
              </w:rPr>
              <w:t>رضا ملا زاده یامچی</w:t>
            </w:r>
            <w:r>
              <w:rPr>
                <w:rStyle w:val="IndexLink"/>
                <w:rtl w:val="true"/>
              </w:rPr>
              <w:tab/>
            </w:r>
            <w:r>
              <w:rPr>
                <w:rStyle w:val="IndexLink"/>
              </w:rPr>
              <w:t>108</w:t>
            </w:r>
          </w:hyperlink>
        </w:p>
        <w:p>
          <w:pPr>
            <w:pStyle w:val="Contents3"/>
            <w:tabs>
              <w:tab w:val="clear" w:pos="8459"/>
              <w:tab w:val="right" w:pos="9026" w:leader="dot"/>
            </w:tabs>
            <w:rPr/>
          </w:pPr>
          <w:hyperlink w:anchor="__RefHeading___Toc2051827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051829_2749589250">
            <w:r>
              <w:rPr>
                <w:webHidden/>
                <w:rStyle w:val="IndexLink"/>
                <w:rtl w:val="true"/>
              </w:rPr>
              <w:t>چکیده</w:t>
            </w:r>
            <w:r>
              <w:rPr>
                <w:rStyle w:val="IndexLink"/>
                <w:rtl w:val="true"/>
              </w:rPr>
              <w:tab/>
            </w:r>
            <w:r>
              <w:rPr>
                <w:rStyle w:val="IndexLink"/>
              </w:rPr>
              <w:t>108</w:t>
            </w:r>
          </w:hyperlink>
        </w:p>
        <w:p>
          <w:pPr>
            <w:pStyle w:val="Contents3"/>
            <w:tabs>
              <w:tab w:val="clear" w:pos="8459"/>
              <w:tab w:val="right" w:pos="9026" w:leader="dot"/>
            </w:tabs>
            <w:rPr/>
          </w:pPr>
          <w:hyperlink w:anchor="__RefHeading___Toc2051831_2749589250">
            <w:r>
              <w:rPr>
                <w:webHidden/>
                <w:rStyle w:val="IndexLink"/>
                <w:rtl w:val="true"/>
              </w:rPr>
              <w:t>واژگان کلیدی</w:t>
            </w:r>
            <w:r>
              <w:rPr>
                <w:rStyle w:val="IndexLink"/>
                <w:rtl w:val="true"/>
              </w:rPr>
              <w:tab/>
            </w:r>
            <w:r>
              <w:rPr>
                <w:rStyle w:val="IndexLink"/>
              </w:rPr>
              <w:t>108</w:t>
            </w:r>
          </w:hyperlink>
        </w:p>
        <w:p>
          <w:pPr>
            <w:pStyle w:val="Contents3"/>
            <w:tabs>
              <w:tab w:val="clear" w:pos="8459"/>
              <w:tab w:val="right" w:pos="9026" w:leader="dot"/>
            </w:tabs>
            <w:rPr/>
          </w:pPr>
          <w:hyperlink w:anchor="__RefHeading___Toc2051833_2749589250">
            <w:r>
              <w:rPr>
                <w:webHidden/>
                <w:rStyle w:val="IndexLink"/>
                <w:rtl w:val="true"/>
              </w:rPr>
              <w:t>مقدمه</w:t>
            </w:r>
            <w:r>
              <w:rPr>
                <w:rStyle w:val="IndexLink"/>
                <w:rtl w:val="true"/>
              </w:rPr>
              <w:tab/>
            </w:r>
            <w:r>
              <w:rPr>
                <w:rStyle w:val="IndexLink"/>
              </w:rPr>
              <w:t>109</w:t>
            </w:r>
          </w:hyperlink>
        </w:p>
        <w:p>
          <w:pPr>
            <w:pStyle w:val="Contents3"/>
            <w:tabs>
              <w:tab w:val="clear" w:pos="8459"/>
              <w:tab w:val="right" w:pos="9026" w:leader="dot"/>
            </w:tabs>
            <w:rPr/>
          </w:pPr>
          <w:hyperlink w:anchor="__RefHeading___Toc2051835_2749589250">
            <w:r>
              <w:rPr>
                <w:webHidden/>
                <w:rStyle w:val="IndexLink"/>
              </w:rPr>
              <w:t>1</w:t>
            </w:r>
            <w:r>
              <w:rPr>
                <w:rStyle w:val="IndexLink"/>
                <w:rtl w:val="true"/>
              </w:rPr>
              <w:t xml:space="preserve">. </w:t>
            </w:r>
            <w:r>
              <w:rPr>
                <w:rStyle w:val="IndexLink"/>
                <w:rtl w:val="true"/>
              </w:rPr>
              <w:t xml:space="preserve">جریان سلفیۀ جامیه </w:t>
            </w:r>
            <w:r>
              <w:rPr>
                <w:rStyle w:val="IndexLink"/>
                <w:rtl w:val="true"/>
              </w:rPr>
              <w:t>(</w:t>
            </w:r>
            <w:r>
              <w:rPr>
                <w:rStyle w:val="IndexLink"/>
                <w:rtl w:val="true"/>
              </w:rPr>
              <w:t>مدخلیه</w:t>
            </w:r>
            <w:r>
              <w:rPr>
                <w:rStyle w:val="IndexLink"/>
                <w:rtl w:val="true"/>
              </w:rPr>
              <w:t xml:space="preserve">) </w:t>
            </w:r>
            <w:r>
              <w:rPr>
                <w:rStyle w:val="IndexLink"/>
                <w:rtl w:val="true"/>
              </w:rPr>
              <w:t>و زمینه‌های تاریخی شکل‌گیری آن</w:t>
            </w:r>
            <w:r>
              <w:rPr>
                <w:rStyle w:val="IndexLink"/>
                <w:rtl w:val="true"/>
              </w:rPr>
              <w:tab/>
            </w:r>
            <w:r>
              <w:rPr>
                <w:rStyle w:val="IndexLink"/>
              </w:rPr>
              <w:t>109</w:t>
            </w:r>
          </w:hyperlink>
        </w:p>
        <w:p>
          <w:pPr>
            <w:pStyle w:val="Contents4"/>
            <w:tabs>
              <w:tab w:val="clear" w:pos="8176"/>
              <w:tab w:val="right" w:pos="9026" w:leader="dot"/>
            </w:tabs>
            <w:rPr/>
          </w:pPr>
          <w:hyperlink w:anchor="__RefHeading___Toc2051837_274958925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051839_2749589250">
            <w:r>
              <w:rPr>
                <w:webHidden/>
                <w:rStyle w:val="IndexLink"/>
                <w:rtl w:val="true"/>
              </w:rPr>
              <w:t xml:space="preserve">مؤلفه‌های عقیدتی و کلامی جریان سلفیۀ جامیه </w:t>
            </w:r>
            <w:r>
              <w:rPr>
                <w:rStyle w:val="IndexLink"/>
                <w:rtl w:val="true"/>
              </w:rPr>
              <w:t>(</w:t>
            </w:r>
            <w:r>
              <w:rPr>
                <w:rStyle w:val="IndexLink"/>
                <w:rtl w:val="true"/>
              </w:rPr>
              <w:t>مدخلیه</w:t>
            </w:r>
            <w:r>
              <w:rPr>
                <w:rStyle w:val="IndexLink"/>
                <w:rtl w:val="true"/>
              </w:rPr>
              <w:t>)</w:t>
              <w:tab/>
            </w:r>
            <w:r>
              <w:rPr>
                <w:rStyle w:val="IndexLink"/>
              </w:rPr>
              <w:t>110</w:t>
            </w:r>
          </w:hyperlink>
        </w:p>
        <w:p>
          <w:pPr>
            <w:pStyle w:val="Contents5"/>
            <w:tabs>
              <w:tab w:val="clear" w:pos="7892"/>
              <w:tab w:val="right" w:pos="9026" w:leader="dot"/>
            </w:tabs>
            <w:rPr/>
          </w:pPr>
          <w:hyperlink w:anchor="__RefHeading___Toc2051841_274958925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051843_2749589250">
            <w:r>
              <w:rPr>
                <w:webHidden/>
                <w:rStyle w:val="IndexLink"/>
                <w:rtl w:val="true"/>
              </w:rPr>
              <w:t>الف</w:t>
            </w:r>
            <w:r>
              <w:rPr>
                <w:rStyle w:val="IndexLink"/>
                <w:rtl w:val="true"/>
              </w:rPr>
              <w:t xml:space="preserve">. </w:t>
            </w:r>
            <w:r>
              <w:rPr>
                <w:rStyle w:val="IndexLink"/>
                <w:rtl w:val="true"/>
              </w:rPr>
              <w:t>تأثر از رویکردهای عقیدتی محمد بن عبدالوهاب و ابن‌تیمیه در اصل توحید</w:t>
            </w:r>
            <w:r>
              <w:rPr>
                <w:rStyle w:val="IndexLink"/>
                <w:rtl w:val="true"/>
              </w:rPr>
              <w:tab/>
            </w:r>
            <w:r>
              <w:rPr>
                <w:rStyle w:val="IndexLink"/>
              </w:rPr>
              <w:t>110</w:t>
            </w:r>
          </w:hyperlink>
        </w:p>
        <w:p>
          <w:pPr>
            <w:pStyle w:val="Contents5"/>
            <w:tabs>
              <w:tab w:val="clear" w:pos="7892"/>
              <w:tab w:val="right" w:pos="9026" w:leader="dot"/>
            </w:tabs>
            <w:rPr/>
          </w:pPr>
          <w:hyperlink w:anchor="__RefHeading___Toc2051845_2749589250">
            <w:r>
              <w:rPr>
                <w:webHidden/>
                <w:rStyle w:val="IndexLink"/>
                <w:rtl w:val="true"/>
              </w:rPr>
              <w:t>ب</w:t>
            </w:r>
            <w:r>
              <w:rPr>
                <w:rStyle w:val="IndexLink"/>
                <w:rtl w:val="true"/>
              </w:rPr>
              <w:t xml:space="preserve">. </w:t>
            </w:r>
            <w:r>
              <w:rPr>
                <w:rStyle w:val="IndexLink"/>
                <w:rtl w:val="true"/>
              </w:rPr>
              <w:t>توسعه دامنۀ تخطئه علمای مخالف با مبانی عقیدتی جامیه</w:t>
            </w:r>
            <w:r>
              <w:rPr>
                <w:rStyle w:val="IndexLink"/>
                <w:rtl w:val="true"/>
              </w:rPr>
              <w:tab/>
            </w:r>
            <w:r>
              <w:rPr>
                <w:rStyle w:val="IndexLink"/>
              </w:rPr>
              <w:t>113</w:t>
            </w:r>
          </w:hyperlink>
        </w:p>
        <w:p>
          <w:pPr>
            <w:pStyle w:val="Contents5"/>
            <w:tabs>
              <w:tab w:val="clear" w:pos="7892"/>
              <w:tab w:val="right" w:pos="9026" w:leader="dot"/>
            </w:tabs>
            <w:rPr/>
          </w:pPr>
          <w:hyperlink w:anchor="__RefHeading___Toc2051847_2749589250">
            <w:r>
              <w:rPr>
                <w:webHidden/>
                <w:rStyle w:val="IndexLink"/>
                <w:rtl w:val="true"/>
              </w:rPr>
              <w:t>ج</w:t>
            </w:r>
            <w:r>
              <w:rPr>
                <w:rStyle w:val="IndexLink"/>
                <w:rtl w:val="true"/>
              </w:rPr>
              <w:t xml:space="preserve">. </w:t>
            </w:r>
            <w:r>
              <w:rPr>
                <w:rStyle w:val="IndexLink"/>
                <w:rtl w:val="true"/>
              </w:rPr>
              <w:t>تأکید بر حرمت خروج بر حکام و ولات</w:t>
            </w:r>
            <w:r>
              <w:rPr>
                <w:rStyle w:val="IndexLink"/>
                <w:rtl w:val="true"/>
              </w:rPr>
              <w:tab/>
            </w:r>
            <w:r>
              <w:rPr>
                <w:rStyle w:val="IndexLink"/>
              </w:rPr>
              <w:t>115</w:t>
            </w:r>
          </w:hyperlink>
        </w:p>
        <w:p>
          <w:pPr>
            <w:pStyle w:val="Contents5"/>
            <w:tabs>
              <w:tab w:val="clear" w:pos="7892"/>
              <w:tab w:val="right" w:pos="9026" w:leader="dot"/>
            </w:tabs>
            <w:rPr/>
          </w:pPr>
          <w:hyperlink w:anchor="__RefHeading___Toc2051849_2749589250">
            <w:r>
              <w:rPr>
                <w:webHidden/>
                <w:rStyle w:val="IndexLink"/>
                <w:rtl w:val="true"/>
              </w:rPr>
              <w:t>د</w:t>
            </w:r>
            <w:r>
              <w:rPr>
                <w:rStyle w:val="IndexLink"/>
                <w:rtl w:val="true"/>
              </w:rPr>
              <w:t xml:space="preserve">. </w:t>
            </w:r>
            <w:r>
              <w:rPr>
                <w:rStyle w:val="IndexLink"/>
                <w:rtl w:val="true"/>
              </w:rPr>
              <w:t>مخالفت با تحزب، دموکراسی و جمعیات و انجمن‌های سیاسی</w:t>
            </w:r>
            <w:r>
              <w:rPr>
                <w:rStyle w:val="IndexLink"/>
                <w:rtl w:val="true"/>
              </w:rPr>
              <w:tab/>
            </w:r>
            <w:r>
              <w:rPr>
                <w:rStyle w:val="IndexLink"/>
              </w:rPr>
              <w:t>115</w:t>
            </w:r>
          </w:hyperlink>
        </w:p>
        <w:p>
          <w:pPr>
            <w:pStyle w:val="Contents5"/>
            <w:tabs>
              <w:tab w:val="clear" w:pos="7892"/>
              <w:tab w:val="right" w:pos="9026" w:leader="dot"/>
            </w:tabs>
            <w:rPr/>
          </w:pPr>
          <w:hyperlink w:anchor="__RefHeading___Toc2051851_2749589250">
            <w:r>
              <w:rPr>
                <w:webHidden/>
                <w:rStyle w:val="IndexLink"/>
                <w:rtl w:val="true"/>
              </w:rPr>
              <w:t>هـ</w:t>
            </w:r>
            <w:r>
              <w:rPr>
                <w:rStyle w:val="IndexLink"/>
                <w:rtl w:val="true"/>
              </w:rPr>
              <w:t xml:space="preserve">. </w:t>
            </w:r>
            <w:r>
              <w:rPr>
                <w:rStyle w:val="IndexLink"/>
                <w:rtl w:val="true"/>
              </w:rPr>
              <w:t>جمودگرایی و مخالفت با افکار روشن</w:t>
            </w:r>
            <w:r>
              <w:rPr>
                <w:rStyle w:val="IndexLink"/>
                <w:rtl w:val="true"/>
              </w:rPr>
              <w:t>¬</w:t>
            </w:r>
            <w:r>
              <w:rPr>
                <w:rStyle w:val="IndexLink"/>
                <w:rtl w:val="true"/>
              </w:rPr>
              <w:t>فکری، فلسفی، کلامی و عرفانی</w:t>
            </w:r>
            <w:r>
              <w:rPr>
                <w:rStyle w:val="IndexLink"/>
                <w:rtl w:val="true"/>
              </w:rPr>
              <w:tab/>
            </w:r>
            <w:r>
              <w:rPr>
                <w:rStyle w:val="IndexLink"/>
              </w:rPr>
              <w:t>116</w:t>
            </w:r>
          </w:hyperlink>
        </w:p>
        <w:p>
          <w:pPr>
            <w:pStyle w:val="Contents3"/>
            <w:tabs>
              <w:tab w:val="clear" w:pos="8459"/>
              <w:tab w:val="right" w:pos="9026" w:leader="dot"/>
            </w:tabs>
            <w:rPr/>
          </w:pPr>
          <w:hyperlink w:anchor="__RefHeading___Toc2051853_2749589250">
            <w:r>
              <w:rPr>
                <w:webHidden/>
                <w:rStyle w:val="IndexLink"/>
              </w:rPr>
              <w:t>2</w:t>
            </w:r>
            <w:r>
              <w:rPr>
                <w:rStyle w:val="IndexLink"/>
                <w:rtl w:val="true"/>
              </w:rPr>
              <w:t xml:space="preserve">. </w:t>
            </w:r>
            <w:r>
              <w:rPr>
                <w:rStyle w:val="IndexLink"/>
                <w:rtl w:val="true"/>
              </w:rPr>
              <w:t xml:space="preserve">جریان سلفیه سروریه </w:t>
            </w:r>
            <w:r>
              <w:rPr>
                <w:rStyle w:val="IndexLink"/>
                <w:rtl w:val="true"/>
              </w:rPr>
              <w:t>(</w:t>
            </w:r>
            <w:r>
              <w:rPr>
                <w:rStyle w:val="IndexLink"/>
                <w:rtl w:val="true"/>
              </w:rPr>
              <w:t>قطبیه، اخوانیون</w:t>
            </w:r>
            <w:r>
              <w:rPr>
                <w:rStyle w:val="IndexLink"/>
                <w:rtl w:val="true"/>
              </w:rPr>
              <w:t xml:space="preserve">) </w:t>
            </w:r>
            <w:r>
              <w:rPr>
                <w:rStyle w:val="IndexLink"/>
                <w:rtl w:val="true"/>
              </w:rPr>
              <w:t>و زمینه‌های تاریخی و اجتماعی شکل‌گیری آن</w:t>
            </w:r>
            <w:r>
              <w:rPr>
                <w:rStyle w:val="IndexLink"/>
                <w:rtl w:val="true"/>
              </w:rPr>
              <w:tab/>
            </w:r>
            <w:r>
              <w:rPr>
                <w:rStyle w:val="IndexLink"/>
              </w:rPr>
              <w:t>116</w:t>
            </w:r>
          </w:hyperlink>
        </w:p>
        <w:p>
          <w:pPr>
            <w:pStyle w:val="Contents4"/>
            <w:tabs>
              <w:tab w:val="clear" w:pos="8176"/>
              <w:tab w:val="right" w:pos="9026" w:leader="dot"/>
            </w:tabs>
            <w:rPr/>
          </w:pPr>
          <w:hyperlink w:anchor="__RefHeading___Toc2051855_274958925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051857_2749589250">
            <w:r>
              <w:rPr>
                <w:webHidden/>
                <w:rStyle w:val="IndexLink"/>
                <w:rtl w:val="true"/>
              </w:rPr>
              <w:t>مؤلفه‌های خاصّ جریان سلفیۀ سروریه</w:t>
            </w:r>
            <w:r>
              <w:rPr>
                <w:rStyle w:val="IndexLink"/>
                <w:rtl w:val="true"/>
              </w:rPr>
              <w:tab/>
            </w:r>
            <w:r>
              <w:rPr>
                <w:rStyle w:val="IndexLink"/>
              </w:rPr>
              <w:t>117</w:t>
            </w:r>
          </w:hyperlink>
        </w:p>
        <w:p>
          <w:pPr>
            <w:pStyle w:val="Contents5"/>
            <w:tabs>
              <w:tab w:val="clear" w:pos="7892"/>
              <w:tab w:val="right" w:pos="9026" w:leader="dot"/>
            </w:tabs>
            <w:rPr/>
          </w:pPr>
          <w:hyperlink w:anchor="__RefHeading___Toc2051859_274958925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051861_2749589250">
            <w:r>
              <w:rPr>
                <w:webHidden/>
                <w:rStyle w:val="IndexLink"/>
                <w:rtl w:val="true"/>
              </w:rPr>
              <w:t>الف</w:t>
            </w:r>
            <w:r>
              <w:rPr>
                <w:rStyle w:val="IndexLink"/>
                <w:rtl w:val="true"/>
              </w:rPr>
              <w:t xml:space="preserve">. </w:t>
            </w:r>
            <w:r>
              <w:rPr>
                <w:rStyle w:val="IndexLink"/>
                <w:rtl w:val="true"/>
              </w:rPr>
              <w:t>تکفیر فرد مصرّ بر کبائر از منظر سروریه</w:t>
            </w:r>
            <w:r>
              <w:rPr>
                <w:rStyle w:val="IndexLink"/>
                <w:rtl w:val="true"/>
              </w:rPr>
              <w:tab/>
            </w:r>
            <w:r>
              <w:rPr>
                <w:rStyle w:val="IndexLink"/>
              </w:rPr>
              <w:t>117</w:t>
            </w:r>
          </w:hyperlink>
        </w:p>
        <w:p>
          <w:pPr>
            <w:pStyle w:val="Contents5"/>
            <w:tabs>
              <w:tab w:val="clear" w:pos="7892"/>
              <w:tab w:val="right" w:pos="9026" w:leader="dot"/>
            </w:tabs>
            <w:rPr/>
          </w:pPr>
          <w:hyperlink w:anchor="__RefHeading___Toc2051863_2749589250">
            <w:r>
              <w:rPr>
                <w:webHidden/>
                <w:rStyle w:val="IndexLink"/>
                <w:rtl w:val="true"/>
              </w:rPr>
              <w:t>ب</w:t>
            </w:r>
            <w:r>
              <w:rPr>
                <w:rStyle w:val="IndexLink"/>
                <w:rtl w:val="true"/>
              </w:rPr>
              <w:t xml:space="preserve">. </w:t>
            </w:r>
            <w:r>
              <w:rPr>
                <w:rStyle w:val="IndexLink"/>
                <w:rtl w:val="true"/>
              </w:rPr>
              <w:t>متهم کردن مخالفان به تفکر ارجائی در رویکرد عقیدتی سروریه</w:t>
            </w:r>
            <w:r>
              <w:rPr>
                <w:rStyle w:val="IndexLink"/>
                <w:rtl w:val="true"/>
              </w:rPr>
              <w:tab/>
            </w:r>
            <w:r>
              <w:rPr>
                <w:rStyle w:val="IndexLink"/>
              </w:rPr>
              <w:t>117</w:t>
            </w:r>
          </w:hyperlink>
        </w:p>
        <w:p>
          <w:pPr>
            <w:pStyle w:val="Contents3"/>
            <w:tabs>
              <w:tab w:val="clear" w:pos="8459"/>
              <w:tab w:val="right" w:pos="9026" w:leader="dot"/>
            </w:tabs>
            <w:rPr/>
          </w:pPr>
          <w:hyperlink w:anchor="__RefHeading___Toc2051865_2749589250">
            <w:r>
              <w:rPr>
                <w:webHidden/>
                <w:rStyle w:val="IndexLink"/>
              </w:rPr>
              <w:t>3</w:t>
            </w:r>
            <w:r>
              <w:rPr>
                <w:rStyle w:val="IndexLink"/>
                <w:rtl w:val="true"/>
              </w:rPr>
              <w:t xml:space="preserve">. </w:t>
            </w:r>
            <w:r>
              <w:rPr>
                <w:rStyle w:val="IndexLink"/>
                <w:rtl w:val="true"/>
              </w:rPr>
              <w:t>جریان سلفیۀ حدادیه و زمینه‌های شکل‌گیری آن</w:t>
            </w:r>
            <w:r>
              <w:rPr>
                <w:rStyle w:val="IndexLink"/>
                <w:rtl w:val="true"/>
              </w:rPr>
              <w:tab/>
            </w:r>
            <w:r>
              <w:rPr>
                <w:rStyle w:val="IndexLink"/>
              </w:rPr>
              <w:t>118</w:t>
            </w:r>
          </w:hyperlink>
        </w:p>
        <w:p>
          <w:pPr>
            <w:pStyle w:val="Contents4"/>
            <w:tabs>
              <w:tab w:val="clear" w:pos="8176"/>
              <w:tab w:val="right" w:pos="9026" w:leader="dot"/>
            </w:tabs>
            <w:rPr/>
          </w:pPr>
          <w:hyperlink w:anchor="__RefHeading___Toc2051867_2749589250">
            <w:r>
              <w:rPr>
                <w:webHidden/>
                <w:rStyle w:val="IndexLink"/>
                <w:rtl w:val="true"/>
              </w:rPr>
              <w:t xml:space="preserve">یکی از پیامدهای افراط‌گرایی جامیون در مسئله تجریح مخالفان، با ظهور افرادی چون </w:t>
            </w:r>
            <w:r>
              <w:rPr>
                <w:rStyle w:val="IndexLink"/>
                <w:rtl w:val="true"/>
              </w:rPr>
              <w:t>«</w:t>
            </w:r>
            <w:r>
              <w:rPr>
                <w:rStyle w:val="IndexLink"/>
                <w:rtl w:val="true"/>
              </w:rPr>
              <w:t>شیخ محمود حداد</w:t>
            </w:r>
            <w:r>
              <w:rPr>
                <w:rStyle w:val="IndexLink"/>
                <w:rtl w:val="true"/>
              </w:rPr>
              <w:t xml:space="preserve">» </w:t>
            </w:r>
            <w:r>
              <w:rPr>
                <w:rStyle w:val="IndexLink"/>
                <w:rtl w:val="true"/>
              </w:rPr>
              <w:t>در درون این جریان ظهور پیدا کرد</w:t>
            </w:r>
            <w:r>
              <w:rPr>
                <w:rStyle w:val="IndexLink"/>
                <w:rtl w:val="true"/>
              </w:rPr>
              <w:t xml:space="preserve">. </w:t>
            </w:r>
            <w:r>
              <w:rPr>
                <w:rStyle w:val="IndexLink"/>
                <w:rtl w:val="true"/>
              </w:rPr>
              <w:t>محمود الحداد مصری ضمن پای‌بندی به غالب معتقدات سلفیۀ سنتی، تأکید عجیبی بر مسئله هجر مبتدع، ترک ترحم بر او و تسرع در تبدیع بدعت‌گذاران داشت و حتی متقدمان سلفیه چون</w:t>
            </w:r>
            <w:r>
              <w:rPr>
                <w:rStyle w:val="IndexLink"/>
                <w:rtl w:val="true"/>
              </w:rPr>
              <w:t xml:space="preserve">: </w:t>
            </w:r>
            <w:r>
              <w:rPr>
                <w:rStyle w:val="IndexLink"/>
                <w:rtl w:val="true"/>
              </w:rPr>
              <w:t xml:space="preserve">نووی، ابن‌حجر، طحاوی و شوکانی را بدعت‌گذار می‌خواند </w:t>
            </w:r>
            <w:r>
              <w:rPr>
                <w:rStyle w:val="IndexLink"/>
                <w:rtl w:val="true"/>
              </w:rPr>
              <w:t>(</w:t>
            </w:r>
            <w:r>
              <w:rPr>
                <w:rStyle w:val="IndexLink"/>
                <w:rtl w:val="true"/>
              </w:rPr>
              <w:t>المدخلی، بی</w:t>
            </w:r>
            <w:r>
              <w:rPr>
                <w:rStyle w:val="IndexLink"/>
                <w:rtl w:val="true"/>
              </w:rPr>
              <w:t>¬</w:t>
            </w:r>
            <w:r>
              <w:rPr>
                <w:rStyle w:val="IndexLink"/>
                <w:rtl w:val="true"/>
              </w:rPr>
              <w:t xml:space="preserve">تا </w:t>
            </w:r>
            <w:r>
              <w:rPr>
                <w:rStyle w:val="IndexLink"/>
                <w:rtl w:val="true"/>
              </w:rPr>
              <w:t>(</w:t>
            </w:r>
            <w:r>
              <w:rPr>
                <w:rStyle w:val="IndexLink"/>
                <w:rtl w:val="true"/>
              </w:rPr>
              <w:t>ب</w:t>
            </w:r>
            <w:r>
              <w:rPr>
                <w:rStyle w:val="IndexLink"/>
                <w:rtl w:val="true"/>
              </w:rPr>
              <w:t xml:space="preserve">): </w:t>
            </w:r>
            <w:r>
              <w:rPr>
                <w:rStyle w:val="IndexLink"/>
              </w:rPr>
              <w:t>18</w:t>
            </w:r>
            <w:r>
              <w:rPr>
                <w:rStyle w:val="IndexLink"/>
                <w:rtl w:val="true"/>
              </w:rPr>
              <w:t>؛ غامدی، بی</w:t>
            </w:r>
            <w:r>
              <w:rPr>
                <w:rStyle w:val="IndexLink"/>
                <w:rtl w:val="true"/>
              </w:rPr>
              <w:t>¬</w:t>
            </w:r>
            <w:r>
              <w:rPr>
                <w:rStyle w:val="IndexLink"/>
                <w:rtl w:val="true"/>
              </w:rPr>
              <w:t>تا</w:t>
            </w:r>
            <w:r>
              <w:rPr>
                <w:rStyle w:val="IndexLink"/>
                <w:rtl w:val="true"/>
              </w:rPr>
              <w:t xml:space="preserve">: </w:t>
            </w:r>
            <w:r>
              <w:rPr>
                <w:rStyle w:val="IndexLink"/>
              </w:rPr>
              <w:t>266</w:t>
            </w:r>
            <w:r>
              <w:rPr>
                <w:rStyle w:val="IndexLink"/>
                <w:rtl w:val="true"/>
              </w:rPr>
              <w:t xml:space="preserve">). </w:t>
            </w:r>
            <w:r>
              <w:rPr>
                <w:rStyle w:val="IndexLink"/>
                <w:rtl w:val="true"/>
              </w:rPr>
              <w:t xml:space="preserve">فوزی الاثری بحرینی، المعسکر، عبدالحمید الجهنی و عبدالله بن صوان الغامدی نیز دنباله‌رو حداد در این امر شدند </w:t>
            </w:r>
            <w:r>
              <w:rPr>
                <w:rStyle w:val="IndexLink"/>
                <w:rtl w:val="true"/>
              </w:rPr>
              <w:t>(</w:t>
            </w:r>
            <w:r>
              <w:rPr>
                <w:rStyle w:val="IndexLink"/>
                <w:rtl w:val="true"/>
              </w:rPr>
              <w:t>الکردی، بی</w:t>
            </w:r>
            <w:r>
              <w:rPr>
                <w:rStyle w:val="IndexLink"/>
                <w:rtl w:val="true"/>
              </w:rPr>
              <w:t>¬</w:t>
            </w:r>
            <w:r>
              <w:rPr>
                <w:rStyle w:val="IndexLink"/>
                <w:rtl w:val="true"/>
              </w:rPr>
              <w:t>تا</w:t>
            </w:r>
            <w:r>
              <w:rPr>
                <w:rStyle w:val="IndexLink"/>
                <w:rtl w:val="true"/>
              </w:rPr>
              <w:t xml:space="preserve">: </w:t>
            </w:r>
            <w:r>
              <w:rPr>
                <w:rStyle w:val="IndexLink"/>
              </w:rPr>
              <w:t>16</w:t>
            </w:r>
            <w:r>
              <w:rPr>
                <w:rStyle w:val="IndexLink"/>
                <w:rtl w:val="true"/>
              </w:rPr>
              <w:t xml:space="preserve">). </w:t>
            </w:r>
            <w:r>
              <w:rPr>
                <w:rStyle w:val="IndexLink"/>
                <w:rtl w:val="true"/>
              </w:rPr>
              <w:t>این مسئله را خیلی زود افرادی چون مدخلی، صاحب لواء جرح و تعدیل در جریان جامیه، دریافته و به ردّ تندروی افرادی چون محمود الحداد پرداختند</w:t>
            </w:r>
            <w:r>
              <w:rPr>
                <w:rStyle w:val="IndexLink"/>
                <w:rtl w:val="true"/>
              </w:rPr>
              <w:t xml:space="preserve">. </w:t>
            </w:r>
            <w:r>
              <w:rPr>
                <w:rStyle w:val="IndexLink"/>
                <w:rtl w:val="true"/>
              </w:rPr>
              <w:t>شاید معرفی البانی به یکی از بدعت</w:t>
            </w:r>
            <w:r>
              <w:rPr>
                <w:rStyle w:val="IndexLink"/>
                <w:rtl w:val="true"/>
              </w:rPr>
              <w:t>¬</w:t>
            </w:r>
            <w:r>
              <w:rPr>
                <w:rStyle w:val="IndexLink"/>
                <w:rtl w:val="true"/>
              </w:rPr>
              <w:t>گذاران سلفیه و لزوم کناره</w:t>
            </w:r>
            <w:r>
              <w:rPr>
                <w:rStyle w:val="IndexLink"/>
                <w:rtl w:val="true"/>
              </w:rPr>
              <w:t>¬</w:t>
            </w:r>
            <w:r>
              <w:rPr>
                <w:rStyle w:val="IndexLink"/>
                <w:rtl w:val="true"/>
              </w:rPr>
              <w:t>گیری از وی به عنوان فردی مبتدع از سوی محمود الحداد باعث شد تا مدخلی به پیامدهای سوء رویۀ خود در مسئله تجریح و تبدیع مخالفان آگاه شده و خود در معرفی اتباع حداد به عنوان متبعان مسلک حدادیه پیش‌قدم گردد</w:t>
            </w:r>
            <w:r>
              <w:rPr>
                <w:rStyle w:val="IndexLink"/>
                <w:rtl w:val="true"/>
              </w:rPr>
              <w:t xml:space="preserve">. </w:t>
            </w:r>
            <w:r>
              <w:rPr>
                <w:rStyle w:val="IndexLink"/>
                <w:rtl w:val="true"/>
              </w:rPr>
              <w:t xml:space="preserve">وی حداد و پیروانش را به غلوّ در امر تبدیع متهم کرده و معتقد است ائمه سلفی سعی می‌کردند از تصریح به عنوان </w:t>
            </w:r>
            <w:r>
              <w:rPr>
                <w:rStyle w:val="IndexLink"/>
                <w:rtl w:val="true"/>
              </w:rPr>
              <w:t>«</w:t>
            </w:r>
            <w:r>
              <w:rPr>
                <w:rStyle w:val="IndexLink"/>
                <w:rtl w:val="true"/>
              </w:rPr>
              <w:t>مبتدع</w:t>
            </w:r>
            <w:r>
              <w:rPr>
                <w:rStyle w:val="IndexLink"/>
                <w:rtl w:val="true"/>
              </w:rPr>
              <w:t xml:space="preserve">» </w:t>
            </w:r>
            <w:r>
              <w:rPr>
                <w:rStyle w:val="IndexLink"/>
                <w:rtl w:val="true"/>
              </w:rPr>
              <w:t xml:space="preserve">خودداری کرده و میان مبلغانِ افراط‌کننده در بدعت و غیر آن‌ها تمایز قائل شوند </w:t>
            </w:r>
            <w:r>
              <w:rPr>
                <w:rStyle w:val="IndexLink"/>
                <w:rtl w:val="true"/>
              </w:rPr>
              <w:t>(</w:t>
            </w:r>
            <w:r>
              <w:rPr>
                <w:rStyle w:val="IndexLink"/>
                <w:rtl w:val="true"/>
              </w:rPr>
              <w:t>المدخلی، بی</w:t>
            </w:r>
            <w:r>
              <w:rPr>
                <w:rStyle w:val="IndexLink"/>
                <w:rtl w:val="true"/>
              </w:rPr>
              <w:t>¬</w:t>
            </w:r>
            <w:r>
              <w:rPr>
                <w:rStyle w:val="IndexLink"/>
                <w:rtl w:val="true"/>
              </w:rPr>
              <w:t xml:space="preserve">تا </w:t>
            </w:r>
            <w:r>
              <w:rPr>
                <w:rStyle w:val="IndexLink"/>
                <w:rtl w:val="true"/>
              </w:rPr>
              <w:t>(</w:t>
            </w:r>
            <w:r>
              <w:rPr>
                <w:rStyle w:val="IndexLink"/>
                <w:rtl w:val="true"/>
              </w:rPr>
              <w:t>ب</w:t>
            </w:r>
            <w:r>
              <w:rPr>
                <w:rStyle w:val="IndexLink"/>
                <w:rtl w:val="true"/>
              </w:rPr>
              <w:t xml:space="preserve">): </w:t>
            </w:r>
            <w:r>
              <w:rPr>
                <w:rStyle w:val="IndexLink"/>
              </w:rPr>
              <w:t>4</w:t>
            </w:r>
            <w:r>
              <w:rPr>
                <w:rStyle w:val="IndexLink"/>
                <w:rtl w:val="true"/>
              </w:rPr>
              <w:t xml:space="preserve">). </w:t>
            </w:r>
            <w:r>
              <w:rPr>
                <w:rStyle w:val="IndexLink"/>
                <w:rtl w:val="true"/>
              </w:rPr>
              <w:t xml:space="preserve">به علاوه، جامیه عدم اشتراط تحقق اقامۀ حجت بر فرد پیش از اتصاف به عنوان مبتدع را از دیگر لغزش‌های حدادیه برمی‌شمرند </w:t>
            </w:r>
            <w:r>
              <w:rPr>
                <w:rStyle w:val="IndexLink"/>
                <w:rtl w:val="true"/>
              </w:rPr>
              <w:t>(</w:t>
            </w:r>
            <w:r>
              <w:rPr>
                <w:rStyle w:val="IndexLink"/>
                <w:rtl w:val="true"/>
              </w:rPr>
              <w:t xml:space="preserve">الاحمری، </w:t>
            </w:r>
            <w:r>
              <w:rPr>
                <w:rStyle w:val="IndexLink"/>
              </w:rPr>
              <w:t>2008</w:t>
            </w:r>
            <w:r>
              <w:rPr>
                <w:rStyle w:val="IndexLink"/>
                <w:rtl w:val="true"/>
              </w:rPr>
              <w:t xml:space="preserve">: </w:t>
            </w:r>
            <w:r>
              <w:rPr>
                <w:rStyle w:val="IndexLink"/>
              </w:rPr>
              <w:t>81</w:t>
            </w:r>
            <w:r>
              <w:rPr>
                <w:rStyle w:val="IndexLink"/>
                <w:rtl w:val="true"/>
              </w:rPr>
              <w:t>).</w:t>
              <w:tab/>
            </w:r>
            <w:r>
              <w:rPr>
                <w:rStyle w:val="IndexLink"/>
              </w:rPr>
              <w:t>118</w:t>
            </w:r>
          </w:hyperlink>
        </w:p>
        <w:p>
          <w:pPr>
            <w:pStyle w:val="Contents4"/>
            <w:tabs>
              <w:tab w:val="clear" w:pos="8176"/>
              <w:tab w:val="right" w:pos="9026" w:leader="dot"/>
            </w:tabs>
            <w:rPr/>
          </w:pPr>
          <w:hyperlink w:anchor="__RefHeading___Toc2051869_2749589250">
            <w:r>
              <w:rPr>
                <w:webHidden/>
                <w:rStyle w:val="IndexLink"/>
                <w:rtl w:val="true"/>
              </w:rPr>
              <w:t>مؤلفه‌های جریان حدادیه از منظر بنیان‌گذار این مکتب</w:t>
            </w:r>
            <w:r>
              <w:rPr>
                <w:rStyle w:val="IndexLink"/>
                <w:rtl w:val="true"/>
              </w:rPr>
              <w:tab/>
            </w:r>
            <w:r>
              <w:rPr>
                <w:rStyle w:val="IndexLink"/>
              </w:rPr>
              <w:t>118</w:t>
            </w:r>
          </w:hyperlink>
        </w:p>
        <w:p>
          <w:pPr>
            <w:pStyle w:val="Contents3"/>
            <w:tabs>
              <w:tab w:val="clear" w:pos="8459"/>
              <w:tab w:val="right" w:pos="9026" w:leader="dot"/>
            </w:tabs>
            <w:rPr/>
          </w:pPr>
          <w:hyperlink w:anchor="__RefHeading___Toc2051871_2749589250">
            <w:r>
              <w:rPr>
                <w:webHidden/>
                <w:rStyle w:val="IndexLink"/>
              </w:rPr>
              <w:t>4</w:t>
            </w:r>
            <w:r>
              <w:rPr>
                <w:rStyle w:val="IndexLink"/>
                <w:rtl w:val="true"/>
              </w:rPr>
              <w:t xml:space="preserve">. </w:t>
            </w:r>
            <w:r>
              <w:rPr>
                <w:rStyle w:val="IndexLink"/>
                <w:rtl w:val="true"/>
              </w:rPr>
              <w:t>جریان سلفیه ممیعه و زمینه‌های تاریخی شکل‌گیری آن</w:t>
            </w:r>
            <w:r>
              <w:rPr>
                <w:rStyle w:val="IndexLink"/>
                <w:rtl w:val="true"/>
              </w:rPr>
              <w:tab/>
            </w:r>
            <w:r>
              <w:rPr>
                <w:rStyle w:val="IndexLink"/>
              </w:rPr>
              <w:t>119</w:t>
            </w:r>
          </w:hyperlink>
        </w:p>
        <w:p>
          <w:pPr>
            <w:pStyle w:val="Contents4"/>
            <w:tabs>
              <w:tab w:val="clear" w:pos="8176"/>
              <w:tab w:val="right" w:pos="9026" w:leader="dot"/>
            </w:tabs>
            <w:rPr/>
          </w:pPr>
          <w:hyperlink w:anchor="__RefHeading___Toc2051873_274958925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051875_2749589250">
            <w:r>
              <w:rPr>
                <w:webHidden/>
                <w:rStyle w:val="IndexLink"/>
                <w:rtl w:val="true"/>
              </w:rPr>
              <w:t>مؤلفه‌های عقیدتی جریان سلفیه ممیعه</w:t>
            </w:r>
            <w:r>
              <w:rPr>
                <w:rStyle w:val="IndexLink"/>
                <w:rtl w:val="true"/>
              </w:rPr>
              <w:tab/>
            </w:r>
            <w:r>
              <w:rPr>
                <w:rStyle w:val="IndexLink"/>
              </w:rPr>
              <w:t>120</w:t>
            </w:r>
          </w:hyperlink>
        </w:p>
        <w:p>
          <w:pPr>
            <w:pStyle w:val="Contents3"/>
            <w:tabs>
              <w:tab w:val="clear" w:pos="8459"/>
              <w:tab w:val="right" w:pos="9026" w:leader="dot"/>
            </w:tabs>
            <w:rPr/>
          </w:pPr>
          <w:hyperlink w:anchor="__RefHeading___Toc2051877_2749589250">
            <w:r>
              <w:rPr>
                <w:webHidden/>
                <w:rStyle w:val="IndexLink"/>
                <w:rtl w:val="true"/>
              </w:rPr>
              <w:t>نتیجه پژوهش</w:t>
            </w:r>
            <w:r>
              <w:rPr>
                <w:rStyle w:val="IndexLink"/>
                <w:rtl w:val="true"/>
              </w:rPr>
              <w:tab/>
            </w:r>
            <w:r>
              <w:rPr>
                <w:rStyle w:val="IndexLink"/>
              </w:rPr>
              <w:t>122</w:t>
            </w:r>
          </w:hyperlink>
        </w:p>
        <w:p>
          <w:pPr>
            <w:pStyle w:val="Contents3"/>
            <w:tabs>
              <w:tab w:val="clear" w:pos="8459"/>
              <w:tab w:val="right" w:pos="9026" w:leader="dot"/>
            </w:tabs>
            <w:rPr/>
          </w:pPr>
          <w:hyperlink w:anchor="__RefHeading___Toc2051879_2749589250">
            <w:r>
              <w:rPr>
                <w:webHidden/>
                <w:rStyle w:val="IndexLink"/>
                <w:rtl w:val="true"/>
              </w:rPr>
              <w:t>منابع</w:t>
            </w:r>
            <w:r>
              <w:rPr>
                <w:rStyle w:val="IndexLink"/>
                <w:rtl w:val="true"/>
              </w:rPr>
              <w:tab/>
            </w:r>
            <w:r>
              <w:rPr>
                <w:rStyle w:val="IndexLink"/>
              </w:rPr>
              <w:t>123</w:t>
            </w:r>
          </w:hyperlink>
        </w:p>
        <w:p>
          <w:pPr>
            <w:pStyle w:val="Contents4"/>
            <w:tabs>
              <w:tab w:val="clear" w:pos="8176"/>
              <w:tab w:val="right" w:pos="9026" w:leader="dot"/>
            </w:tabs>
            <w:rPr/>
          </w:pPr>
          <w:hyperlink w:anchor="__RefHeading___Toc2051881_274958925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051883_2749589250">
            <w:r>
              <w:rPr>
                <w:webHidden/>
                <w:rStyle w:val="IndexLink"/>
              </w:rPr>
              <w:t>Point</w:t>
            </w:r>
            <w:r>
              <w:rPr>
                <w:rStyle w:val="IndexLink"/>
                <w:rtl w:val="true"/>
              </w:rPr>
              <w:tab/>
            </w:r>
            <w:r>
              <w:rPr>
                <w:rStyle w:val="IndexLink"/>
              </w:rPr>
              <w:t>125</w:t>
            </w:r>
          </w:hyperlink>
        </w:p>
        <w:p>
          <w:pPr>
            <w:pStyle w:val="Contents2"/>
            <w:tabs>
              <w:tab w:val="clear" w:pos="8743"/>
              <w:tab w:val="right" w:pos="9026" w:leader="dot"/>
            </w:tabs>
            <w:rPr/>
          </w:pPr>
          <w:hyperlink w:anchor="__RefHeading___Toc2051885_2749589250">
            <w:r>
              <w:rPr>
                <w:webHidden/>
                <w:rStyle w:val="IndexLink"/>
                <w:rtl w:val="true"/>
              </w:rPr>
              <w:t xml:space="preserve">صحیح بخاری و تحریف حقیقت </w:t>
            </w:r>
            <w:r>
              <w:rPr>
                <w:rStyle w:val="IndexLink"/>
                <w:rtl w:val="true"/>
              </w:rPr>
              <w:t xml:space="preserve">/ </w:t>
            </w:r>
            <w:r>
              <w:rPr>
                <w:rStyle w:val="IndexLink"/>
                <w:rtl w:val="true"/>
              </w:rPr>
              <w:t>عبد الرحمان باقر زاده</w:t>
            </w:r>
            <w:r>
              <w:rPr>
                <w:rStyle w:val="IndexLink"/>
                <w:rtl w:val="true"/>
              </w:rPr>
              <w:tab/>
            </w:r>
            <w:r>
              <w:rPr>
                <w:rStyle w:val="IndexLink"/>
              </w:rPr>
              <w:t>126</w:t>
            </w:r>
          </w:hyperlink>
        </w:p>
        <w:p>
          <w:pPr>
            <w:pStyle w:val="Contents3"/>
            <w:tabs>
              <w:tab w:val="clear" w:pos="8459"/>
              <w:tab w:val="right" w:pos="9026" w:leader="dot"/>
            </w:tabs>
            <w:rPr/>
          </w:pPr>
          <w:hyperlink w:anchor="__RefHeading___Toc2051887_27495892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051889_2749589250">
            <w:r>
              <w:rPr>
                <w:webHidden/>
                <w:rStyle w:val="IndexLink"/>
                <w:rtl w:val="true"/>
              </w:rPr>
              <w:t>چکیده</w:t>
            </w:r>
            <w:r>
              <w:rPr>
                <w:rStyle w:val="IndexLink"/>
                <w:rtl w:val="true"/>
              </w:rPr>
              <w:tab/>
            </w:r>
            <w:r>
              <w:rPr>
                <w:rStyle w:val="IndexLink"/>
              </w:rPr>
              <w:t>126</w:t>
            </w:r>
          </w:hyperlink>
        </w:p>
        <w:p>
          <w:pPr>
            <w:pStyle w:val="Contents3"/>
            <w:tabs>
              <w:tab w:val="clear" w:pos="8459"/>
              <w:tab w:val="right" w:pos="9026" w:leader="dot"/>
            </w:tabs>
            <w:rPr/>
          </w:pPr>
          <w:hyperlink w:anchor="__RefHeading___Toc2051891_2749589250">
            <w:r>
              <w:rPr>
                <w:webHidden/>
                <w:rStyle w:val="IndexLink"/>
                <w:rtl w:val="true"/>
              </w:rPr>
              <w:t>واژگان کلیدی</w:t>
            </w:r>
            <w:r>
              <w:rPr>
                <w:rStyle w:val="IndexLink"/>
                <w:rtl w:val="true"/>
              </w:rPr>
              <w:tab/>
            </w:r>
            <w:r>
              <w:rPr>
                <w:rStyle w:val="IndexLink"/>
              </w:rPr>
              <w:t>126</w:t>
            </w:r>
          </w:hyperlink>
        </w:p>
        <w:p>
          <w:pPr>
            <w:pStyle w:val="Contents3"/>
            <w:tabs>
              <w:tab w:val="clear" w:pos="8459"/>
              <w:tab w:val="right" w:pos="9026" w:leader="dot"/>
            </w:tabs>
            <w:rPr/>
          </w:pPr>
          <w:hyperlink w:anchor="__RefHeading___Toc2051893_2749589250">
            <w:r>
              <w:rPr>
                <w:webHidden/>
                <w:rStyle w:val="IndexLink"/>
                <w:rtl w:val="true"/>
              </w:rPr>
              <w:t>طرح مساله</w:t>
            </w:r>
            <w:r>
              <w:rPr>
                <w:rStyle w:val="IndexLink"/>
                <w:rtl w:val="true"/>
              </w:rPr>
              <w:tab/>
            </w:r>
            <w:r>
              <w:rPr>
                <w:rStyle w:val="IndexLink"/>
              </w:rPr>
              <w:t>127</w:t>
            </w:r>
          </w:hyperlink>
        </w:p>
        <w:p>
          <w:pPr>
            <w:pStyle w:val="Contents3"/>
            <w:tabs>
              <w:tab w:val="clear" w:pos="8459"/>
              <w:tab w:val="right" w:pos="9026" w:leader="dot"/>
            </w:tabs>
            <w:rPr/>
          </w:pPr>
          <w:hyperlink w:anchor="__RefHeading___Toc2051895_2749589250">
            <w:r>
              <w:rPr>
                <w:webHidden/>
                <w:rStyle w:val="IndexLink"/>
                <w:rtl w:val="true"/>
              </w:rPr>
              <w:t>تحریف در حدیث ولایت</w:t>
            </w:r>
            <w:r>
              <w:rPr>
                <w:rStyle w:val="IndexLink"/>
                <w:rtl w:val="true"/>
              </w:rPr>
              <w:tab/>
            </w:r>
            <w:r>
              <w:rPr>
                <w:rStyle w:val="IndexLink"/>
              </w:rPr>
              <w:t>128</w:t>
            </w:r>
          </w:hyperlink>
        </w:p>
        <w:p>
          <w:pPr>
            <w:pStyle w:val="Contents3"/>
            <w:tabs>
              <w:tab w:val="clear" w:pos="8459"/>
              <w:tab w:val="right" w:pos="9026" w:leader="dot"/>
            </w:tabs>
            <w:rPr/>
          </w:pPr>
          <w:hyperlink w:anchor="__RefHeading___Toc2051897_2749589250">
            <w:r>
              <w:rPr>
                <w:webHidden/>
                <w:rStyle w:val="IndexLink"/>
                <w:rtl w:val="true"/>
              </w:rPr>
              <w:t>تحریف در داستان حدیبیه</w:t>
            </w:r>
            <w:r>
              <w:rPr>
                <w:rStyle w:val="IndexLink"/>
                <w:rtl w:val="true"/>
              </w:rPr>
              <w:tab/>
            </w:r>
            <w:r>
              <w:rPr>
                <w:rStyle w:val="IndexLink"/>
              </w:rPr>
              <w:t>131</w:t>
            </w:r>
          </w:hyperlink>
        </w:p>
        <w:p>
          <w:pPr>
            <w:pStyle w:val="Contents3"/>
            <w:tabs>
              <w:tab w:val="clear" w:pos="8459"/>
              <w:tab w:val="right" w:pos="9026" w:leader="dot"/>
            </w:tabs>
            <w:rPr/>
          </w:pPr>
          <w:hyperlink w:anchor="__RefHeading___Toc2051899_2749589250">
            <w:r>
              <w:rPr>
                <w:webHidden/>
                <w:rStyle w:val="IndexLink"/>
                <w:rtl w:val="true"/>
              </w:rPr>
              <w:t>پنج‌شنبۀ سیاه</w:t>
            </w:r>
            <w:r>
              <w:rPr>
                <w:rStyle w:val="IndexLink"/>
                <w:rtl w:val="true"/>
              </w:rPr>
              <w:tab/>
            </w:r>
            <w:r>
              <w:rPr>
                <w:rStyle w:val="IndexLink"/>
              </w:rPr>
              <w:t>131</w:t>
            </w:r>
          </w:hyperlink>
        </w:p>
        <w:p>
          <w:pPr>
            <w:pStyle w:val="Contents3"/>
            <w:tabs>
              <w:tab w:val="clear" w:pos="8459"/>
              <w:tab w:val="right" w:pos="9026" w:leader="dot"/>
            </w:tabs>
            <w:rPr/>
          </w:pPr>
          <w:hyperlink w:anchor="__RefHeading___Toc2051901_2749589250">
            <w:r>
              <w:rPr>
                <w:webHidden/>
                <w:rStyle w:val="IndexLink"/>
                <w:rtl w:val="true"/>
              </w:rPr>
              <w:t>تحریف دیدگاه امیرالمؤمنین</w:t>
            </w:r>
            <w:r>
              <w:rPr>
                <w:rStyle w:val="IndexLink"/>
              </w:rPr>
              <w:t></w:t>
            </w:r>
            <w:r>
              <w:rPr>
                <w:rStyle w:val="IndexLink"/>
                <w:rtl w:val="true"/>
              </w:rPr>
              <w:t xml:space="preserve"> دربارۀ خلفا</w:t>
            </w:r>
            <w:r>
              <w:rPr>
                <w:rStyle w:val="IndexLink"/>
                <w:rtl w:val="true"/>
              </w:rPr>
              <w:tab/>
            </w:r>
            <w:r>
              <w:rPr>
                <w:rStyle w:val="IndexLink"/>
              </w:rPr>
              <w:t>132</w:t>
            </w:r>
          </w:hyperlink>
        </w:p>
        <w:p>
          <w:pPr>
            <w:pStyle w:val="Contents3"/>
            <w:tabs>
              <w:tab w:val="clear" w:pos="8459"/>
              <w:tab w:val="right" w:pos="9026" w:leader="dot"/>
            </w:tabs>
            <w:rPr/>
          </w:pPr>
          <w:hyperlink w:anchor="__RefHeading___Toc2051903_2749589250">
            <w:r>
              <w:rPr>
                <w:webHidden/>
                <w:rStyle w:val="IndexLink"/>
                <w:rtl w:val="true"/>
              </w:rPr>
              <w:t>تحریف روایت وضوی امام علی</w:t>
            </w:r>
            <w:r>
              <w:rPr>
                <w:rStyle w:val="IndexLink"/>
              </w:rPr>
              <w:t></w:t>
            </w:r>
            <w:r>
              <w:rPr>
                <w:rStyle w:val="IndexLink"/>
                <w:rtl w:val="true"/>
              </w:rPr>
              <w:tab/>
            </w:r>
            <w:r>
              <w:rPr>
                <w:rStyle w:val="IndexLink"/>
              </w:rPr>
              <w:t>134</w:t>
            </w:r>
          </w:hyperlink>
        </w:p>
        <w:p>
          <w:pPr>
            <w:pStyle w:val="Contents3"/>
            <w:tabs>
              <w:tab w:val="clear" w:pos="8459"/>
              <w:tab w:val="right" w:pos="9026" w:leader="dot"/>
            </w:tabs>
            <w:rPr/>
          </w:pPr>
          <w:hyperlink w:anchor="__RefHeading___Toc2051905_2749589250">
            <w:r>
              <w:rPr>
                <w:webHidden/>
                <w:rStyle w:val="IndexLink"/>
                <w:rtl w:val="true"/>
              </w:rPr>
              <w:t>بخاری و بانوان برگزیدۀ عالم</w:t>
            </w:r>
            <w:r>
              <w:rPr>
                <w:rStyle w:val="IndexLink"/>
                <w:rtl w:val="true"/>
              </w:rPr>
              <w:tab/>
            </w:r>
            <w:r>
              <w:rPr>
                <w:rStyle w:val="IndexLink"/>
              </w:rPr>
              <w:t>134</w:t>
            </w:r>
          </w:hyperlink>
        </w:p>
        <w:p>
          <w:pPr>
            <w:pStyle w:val="Contents3"/>
            <w:tabs>
              <w:tab w:val="clear" w:pos="8459"/>
              <w:tab w:val="right" w:pos="9026" w:leader="dot"/>
            </w:tabs>
            <w:rPr/>
          </w:pPr>
          <w:hyperlink w:anchor="__RefHeading___Toc2051907_2749589250">
            <w:r>
              <w:rPr>
                <w:webHidden/>
                <w:rStyle w:val="IndexLink"/>
                <w:rtl w:val="true"/>
              </w:rPr>
              <w:t>تدلیس بخاری در رجم مجنونه</w:t>
            </w:r>
            <w:r>
              <w:rPr>
                <w:rStyle w:val="IndexLink"/>
                <w:rtl w:val="true"/>
              </w:rPr>
              <w:tab/>
            </w:r>
            <w:r>
              <w:rPr>
                <w:rStyle w:val="IndexLink"/>
              </w:rPr>
              <w:t>136</w:t>
            </w:r>
          </w:hyperlink>
        </w:p>
        <w:p>
          <w:pPr>
            <w:pStyle w:val="Contents3"/>
            <w:tabs>
              <w:tab w:val="clear" w:pos="8459"/>
              <w:tab w:val="right" w:pos="9026" w:leader="dot"/>
            </w:tabs>
            <w:rPr/>
          </w:pPr>
          <w:hyperlink w:anchor="__RefHeading___Toc2051909_2749589250">
            <w:r>
              <w:rPr>
                <w:webHidden/>
                <w:rStyle w:val="IndexLink"/>
                <w:rtl w:val="true"/>
              </w:rPr>
              <w:t>حرمت عایشه</w:t>
            </w:r>
            <w:r>
              <w:rPr>
                <w:rStyle w:val="IndexLink"/>
                <w:rtl w:val="true"/>
              </w:rPr>
              <w:tab/>
            </w:r>
            <w:r>
              <w:rPr>
                <w:rStyle w:val="IndexLink"/>
              </w:rPr>
              <w:t>137</w:t>
            </w:r>
          </w:hyperlink>
        </w:p>
        <w:p>
          <w:pPr>
            <w:pStyle w:val="Contents3"/>
            <w:tabs>
              <w:tab w:val="clear" w:pos="8459"/>
              <w:tab w:val="right" w:pos="9026" w:leader="dot"/>
            </w:tabs>
            <w:rPr/>
          </w:pPr>
          <w:hyperlink w:anchor="__RefHeading___Toc2051911_2749589250">
            <w:r>
              <w:rPr>
                <w:webHidden/>
                <w:rStyle w:val="IndexLink"/>
                <w:rtl w:val="true"/>
              </w:rPr>
              <w:t>سانسور اعتراض عایشه به پیامبر</w:t>
            </w:r>
            <w:r>
              <w:rPr>
                <w:rStyle w:val="IndexLink"/>
              </w:rPr>
              <w:t></w:t>
            </w:r>
            <w:r>
              <w:rPr>
                <w:rStyle w:val="IndexLink"/>
                <w:rtl w:val="true"/>
              </w:rPr>
              <w:tab/>
            </w:r>
            <w:r>
              <w:rPr>
                <w:rStyle w:val="IndexLink"/>
              </w:rPr>
              <w:t>138</w:t>
            </w:r>
          </w:hyperlink>
        </w:p>
        <w:p>
          <w:pPr>
            <w:pStyle w:val="Contents3"/>
            <w:tabs>
              <w:tab w:val="clear" w:pos="8459"/>
              <w:tab w:val="right" w:pos="9026" w:leader="dot"/>
            </w:tabs>
            <w:rPr/>
          </w:pPr>
          <w:hyperlink w:anchor="__RefHeading___Toc2051913_2749589250">
            <w:r>
              <w:rPr>
                <w:webHidden/>
                <w:rStyle w:val="IndexLink"/>
                <w:rtl w:val="true"/>
              </w:rPr>
              <w:t>مشروب‌فروشی سمرۀ بن جندب</w:t>
            </w:r>
            <w:r>
              <w:rPr>
                <w:rStyle w:val="IndexLink"/>
                <w:rtl w:val="true"/>
              </w:rPr>
              <w:tab/>
            </w:r>
            <w:r>
              <w:rPr>
                <w:rStyle w:val="IndexLink"/>
              </w:rPr>
              <w:t>139</w:t>
            </w:r>
          </w:hyperlink>
        </w:p>
        <w:p>
          <w:pPr>
            <w:pStyle w:val="Contents3"/>
            <w:tabs>
              <w:tab w:val="clear" w:pos="8459"/>
              <w:tab w:val="right" w:pos="9026" w:leader="dot"/>
            </w:tabs>
            <w:rPr/>
          </w:pPr>
          <w:hyperlink w:anchor="__RefHeading___Toc2051915_2749589250">
            <w:r>
              <w:rPr>
                <w:webHidden/>
                <w:rStyle w:val="IndexLink"/>
                <w:rtl w:val="true"/>
              </w:rPr>
              <w:t>حذف تکذیب عمر</w:t>
            </w:r>
            <w:r>
              <w:rPr>
                <w:rStyle w:val="IndexLink"/>
                <w:rtl w:val="true"/>
              </w:rPr>
              <w:tab/>
            </w:r>
            <w:r>
              <w:rPr>
                <w:rStyle w:val="IndexLink"/>
              </w:rPr>
              <w:t>140</w:t>
            </w:r>
          </w:hyperlink>
        </w:p>
        <w:p>
          <w:pPr>
            <w:pStyle w:val="Contents3"/>
            <w:tabs>
              <w:tab w:val="clear" w:pos="8459"/>
              <w:tab w:val="right" w:pos="9026" w:leader="dot"/>
            </w:tabs>
            <w:rPr/>
          </w:pPr>
          <w:hyperlink w:anchor="__RefHeading___Toc2051917_2749589250">
            <w:r>
              <w:rPr>
                <w:webHidden/>
                <w:rStyle w:val="IndexLink"/>
                <w:rtl w:val="true"/>
              </w:rPr>
              <w:t>تحریف حدیث متعه</w:t>
            </w:r>
            <w:r>
              <w:rPr>
                <w:rStyle w:val="IndexLink"/>
                <w:rtl w:val="true"/>
              </w:rPr>
              <w:tab/>
            </w:r>
            <w:r>
              <w:rPr>
                <w:rStyle w:val="IndexLink"/>
              </w:rPr>
              <w:t>141</w:t>
            </w:r>
          </w:hyperlink>
        </w:p>
        <w:p>
          <w:pPr>
            <w:pStyle w:val="Contents3"/>
            <w:tabs>
              <w:tab w:val="clear" w:pos="8459"/>
              <w:tab w:val="right" w:pos="9026" w:leader="dot"/>
            </w:tabs>
            <w:rPr/>
          </w:pPr>
          <w:hyperlink w:anchor="__RefHeading___Toc2051919_2749589250">
            <w:r>
              <w:rPr>
                <w:webHidden/>
                <w:rStyle w:val="IndexLink"/>
                <w:rtl w:val="true"/>
              </w:rPr>
              <w:t>تغییر حدیث روضه</w:t>
            </w:r>
            <w:r>
              <w:rPr>
                <w:rStyle w:val="IndexLink"/>
                <w:rtl w:val="true"/>
              </w:rPr>
              <w:tab/>
            </w:r>
            <w:r>
              <w:rPr>
                <w:rStyle w:val="IndexLink"/>
              </w:rPr>
              <w:t>143</w:t>
            </w:r>
          </w:hyperlink>
        </w:p>
        <w:p>
          <w:pPr>
            <w:pStyle w:val="Contents3"/>
            <w:tabs>
              <w:tab w:val="clear" w:pos="8459"/>
              <w:tab w:val="right" w:pos="9026" w:leader="dot"/>
            </w:tabs>
            <w:rPr/>
          </w:pPr>
          <w:hyperlink w:anchor="__RefHeading___Toc2051921_2749589250">
            <w:r>
              <w:rPr>
                <w:webHidden/>
                <w:rStyle w:val="IndexLink"/>
                <w:rtl w:val="true"/>
              </w:rPr>
              <w:t>حذف اقتدای ابن‌عمر به حجاج بن یوسف</w:t>
            </w:r>
            <w:r>
              <w:rPr>
                <w:rStyle w:val="IndexLink"/>
                <w:rtl w:val="true"/>
              </w:rPr>
              <w:tab/>
            </w:r>
            <w:r>
              <w:rPr>
                <w:rStyle w:val="IndexLink"/>
              </w:rPr>
              <w:t>145</w:t>
            </w:r>
          </w:hyperlink>
        </w:p>
        <w:p>
          <w:pPr>
            <w:pStyle w:val="Contents3"/>
            <w:tabs>
              <w:tab w:val="clear" w:pos="8459"/>
              <w:tab w:val="right" w:pos="9026" w:leader="dot"/>
            </w:tabs>
            <w:rPr/>
          </w:pPr>
          <w:hyperlink w:anchor="__RefHeading___Toc2051923_2749589250">
            <w:r>
              <w:rPr>
                <w:webHidden/>
                <w:rStyle w:val="IndexLink"/>
                <w:rtl w:val="true"/>
              </w:rPr>
              <w:t>نتیجه‌گیری</w:t>
            </w:r>
            <w:r>
              <w:rPr>
                <w:rStyle w:val="IndexLink"/>
                <w:rtl w:val="true"/>
              </w:rPr>
              <w:tab/>
            </w:r>
            <w:r>
              <w:rPr>
                <w:rStyle w:val="IndexLink"/>
              </w:rPr>
              <w:t>146</w:t>
            </w:r>
          </w:hyperlink>
        </w:p>
        <w:p>
          <w:pPr>
            <w:pStyle w:val="Contents3"/>
            <w:tabs>
              <w:tab w:val="clear" w:pos="8459"/>
              <w:tab w:val="right" w:pos="9026" w:leader="dot"/>
            </w:tabs>
            <w:rPr/>
          </w:pPr>
          <w:hyperlink w:anchor="__RefHeading___Toc2051925_2749589250">
            <w:r>
              <w:rPr>
                <w:webHidden/>
                <w:rStyle w:val="IndexLink"/>
                <w:rtl w:val="true"/>
              </w:rPr>
              <w:t>منابع</w:t>
            </w:r>
            <w:r>
              <w:rPr>
                <w:rStyle w:val="IndexLink"/>
                <w:rtl w:val="true"/>
              </w:rPr>
              <w:tab/>
            </w:r>
            <w:r>
              <w:rPr>
                <w:rStyle w:val="IndexLink"/>
              </w:rPr>
              <w:t>146</w:t>
            </w:r>
          </w:hyperlink>
        </w:p>
        <w:p>
          <w:pPr>
            <w:pStyle w:val="Contents2"/>
            <w:tabs>
              <w:tab w:val="clear" w:pos="8743"/>
              <w:tab w:val="right" w:pos="9026" w:leader="dot"/>
            </w:tabs>
            <w:rPr/>
          </w:pPr>
          <w:hyperlink w:anchor="__RefHeading___Toc2051927_2749589250">
            <w:r>
              <w:rPr>
                <w:webHidden/>
                <w:rStyle w:val="IndexLink"/>
                <w:rtl w:val="true"/>
              </w:rPr>
              <w:t>خلاصة المقالات باللغة العربیة</w:t>
            </w:r>
            <w:r>
              <w:rPr>
                <w:rStyle w:val="IndexLink"/>
                <w:rtl w:val="true"/>
              </w:rPr>
              <w:tab/>
            </w:r>
            <w:r>
              <w:rPr>
                <w:rStyle w:val="IndexLink"/>
              </w:rPr>
              <w:t>150</w:t>
            </w:r>
          </w:hyperlink>
        </w:p>
        <w:p>
          <w:pPr>
            <w:pStyle w:val="Contents3"/>
            <w:tabs>
              <w:tab w:val="clear" w:pos="8459"/>
              <w:tab w:val="right" w:pos="9026" w:leader="dot"/>
            </w:tabs>
            <w:rPr/>
          </w:pPr>
          <w:hyperlink w:anchor="__RefHeading___Toc2051929_2749589250">
            <w:r>
              <w:rPr>
                <w:webHidden/>
                <w:rStyle w:val="IndexLink"/>
                <w:rtl w:val="true"/>
              </w:rPr>
              <w:t xml:space="preserve">حقیقة الانسان المرکبة من الروح و الجسد، تنظیر هشام بن الحکم بشأن حقیقة الانسان </w:t>
            </w:r>
            <w:r>
              <w:rPr>
                <w:rStyle w:val="IndexLink"/>
                <w:rtl w:val="true"/>
              </w:rPr>
              <w:t xml:space="preserve">/ </w:t>
            </w:r>
            <w:r>
              <w:rPr>
                <w:rStyle w:val="IndexLink"/>
                <w:rtl w:val="true"/>
              </w:rPr>
              <w:t xml:space="preserve">محمدتقی السبحانی </w:t>
            </w:r>
            <w:r>
              <w:rPr>
                <w:rStyle w:val="IndexLink"/>
                <w:rtl w:val="true"/>
              </w:rPr>
              <w:t>-</w:t>
            </w:r>
            <w:r>
              <w:rPr>
                <w:rStyle w:val="IndexLink"/>
                <w:rtl w:val="true"/>
              </w:rPr>
              <w:t>حسین نعیم</w:t>
            </w:r>
            <w:r>
              <w:rPr>
                <w:rStyle w:val="IndexLink"/>
                <w:rtl w:val="true"/>
              </w:rPr>
              <w:t>¬</w:t>
            </w:r>
            <w:r>
              <w:rPr>
                <w:rStyle w:val="IndexLink"/>
                <w:rtl w:val="true"/>
              </w:rPr>
              <w:t>آبادی</w:t>
            </w:r>
            <w:r>
              <w:rPr>
                <w:rStyle w:val="IndexLink"/>
                <w:rtl w:val="true"/>
              </w:rPr>
              <w:tab/>
            </w:r>
            <w:r>
              <w:rPr>
                <w:rStyle w:val="IndexLink"/>
              </w:rPr>
              <w:t>150</w:t>
            </w:r>
          </w:hyperlink>
        </w:p>
        <w:p>
          <w:pPr>
            <w:pStyle w:val="Contents4"/>
            <w:tabs>
              <w:tab w:val="clear" w:pos="8176"/>
              <w:tab w:val="right" w:pos="9026" w:leader="dot"/>
            </w:tabs>
            <w:rPr/>
          </w:pPr>
          <w:hyperlink w:anchor="__RefHeading___Toc2051931_274958925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051933_2749589250">
            <w:r>
              <w:rPr>
                <w:webHidden/>
                <w:rStyle w:val="IndexLink"/>
                <w:rtl w:val="true"/>
              </w:rPr>
              <w:t>الألفاظ المحوریة</w:t>
            </w:r>
            <w:r>
              <w:rPr>
                <w:rStyle w:val="IndexLink"/>
                <w:rtl w:val="true"/>
              </w:rPr>
              <w:tab/>
            </w:r>
            <w:r>
              <w:rPr>
                <w:rStyle w:val="IndexLink"/>
              </w:rPr>
              <w:t>150</w:t>
            </w:r>
          </w:hyperlink>
        </w:p>
        <w:p>
          <w:pPr>
            <w:pStyle w:val="Contents3"/>
            <w:tabs>
              <w:tab w:val="clear" w:pos="8459"/>
              <w:tab w:val="right" w:pos="9026" w:leader="dot"/>
            </w:tabs>
            <w:rPr/>
          </w:pPr>
          <w:hyperlink w:anchor="__RefHeading___Toc2051935_2749589250">
            <w:r>
              <w:rPr>
                <w:webHidden/>
                <w:rStyle w:val="IndexLink"/>
                <w:rtl w:val="true"/>
              </w:rPr>
              <w:t>دراسة آراء متکلمی الإمامیة بشأن سعة نطاق علم الإمام بالاعتماد علی الروایات</w:t>
            </w:r>
            <w:r>
              <w:rPr>
                <w:rStyle w:val="IndexLink"/>
                <w:rtl w:val="true"/>
              </w:rPr>
              <w:t xml:space="preserve">/ </w:t>
            </w:r>
            <w:r>
              <w:rPr>
                <w:rStyle w:val="IndexLink"/>
                <w:rtl w:val="true"/>
              </w:rPr>
              <w:t>محمد حسین الفاریاب</w:t>
            </w:r>
            <w:r>
              <w:rPr>
                <w:rStyle w:val="IndexLink"/>
                <w:rtl w:val="true"/>
              </w:rPr>
              <w:tab/>
            </w:r>
            <w:r>
              <w:rPr>
                <w:rStyle w:val="IndexLink"/>
              </w:rPr>
              <w:t>151</w:t>
            </w:r>
          </w:hyperlink>
        </w:p>
        <w:p>
          <w:pPr>
            <w:pStyle w:val="Contents4"/>
            <w:tabs>
              <w:tab w:val="clear" w:pos="8176"/>
              <w:tab w:val="right" w:pos="9026" w:leader="dot"/>
            </w:tabs>
            <w:rPr/>
          </w:pPr>
          <w:hyperlink w:anchor="__RefHeading___Toc2051937_274958925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051939_2749589250">
            <w:r>
              <w:rPr>
                <w:webHidden/>
                <w:rStyle w:val="IndexLink"/>
                <w:rtl w:val="true"/>
              </w:rPr>
              <w:t>الألفاظ المحوریة</w:t>
            </w:r>
            <w:r>
              <w:rPr>
                <w:rStyle w:val="IndexLink"/>
                <w:rtl w:val="true"/>
              </w:rPr>
              <w:tab/>
            </w:r>
            <w:r>
              <w:rPr>
                <w:rStyle w:val="IndexLink"/>
              </w:rPr>
              <w:t>151</w:t>
            </w:r>
          </w:hyperlink>
        </w:p>
        <w:p>
          <w:pPr>
            <w:pStyle w:val="Contents3"/>
            <w:tabs>
              <w:tab w:val="clear" w:pos="8459"/>
              <w:tab w:val="right" w:pos="9026" w:leader="dot"/>
            </w:tabs>
            <w:rPr/>
          </w:pPr>
          <w:hyperlink w:anchor="__RefHeading___Toc2051941_2749589250">
            <w:r>
              <w:rPr>
                <w:webHidden/>
                <w:rStyle w:val="IndexLink"/>
                <w:rtl w:val="true"/>
              </w:rPr>
              <w:t xml:space="preserve">العلقة بین الربوبیة التوحیدیة و العنایة الإلهیة فی النظام المعرفی القرآنی </w:t>
            </w:r>
            <w:r>
              <w:rPr>
                <w:rStyle w:val="IndexLink"/>
                <w:rtl w:val="true"/>
              </w:rPr>
              <w:t xml:space="preserve">/ </w:t>
            </w:r>
            <w:r>
              <w:rPr>
                <w:rStyle w:val="IndexLink"/>
                <w:rtl w:val="true"/>
              </w:rPr>
              <w:t xml:space="preserve">ید الله الربیعی </w:t>
            </w:r>
            <w:r>
              <w:rPr>
                <w:rStyle w:val="IndexLink"/>
                <w:rtl w:val="true"/>
              </w:rPr>
              <w:t xml:space="preserve">- </w:t>
            </w:r>
            <w:r>
              <w:rPr>
                <w:rStyle w:val="IndexLink"/>
                <w:rtl w:val="true"/>
              </w:rPr>
              <w:t>حمید نگارش</w:t>
            </w:r>
            <w:r>
              <w:rPr>
                <w:rStyle w:val="IndexLink"/>
                <w:rtl w:val="true"/>
              </w:rPr>
              <w:tab/>
            </w:r>
            <w:r>
              <w:rPr>
                <w:rStyle w:val="IndexLink"/>
              </w:rPr>
              <w:t>152</w:t>
            </w:r>
          </w:hyperlink>
        </w:p>
        <w:p>
          <w:pPr>
            <w:pStyle w:val="Contents4"/>
            <w:tabs>
              <w:tab w:val="clear" w:pos="8176"/>
              <w:tab w:val="right" w:pos="9026" w:leader="dot"/>
            </w:tabs>
            <w:rPr/>
          </w:pPr>
          <w:hyperlink w:anchor="__RefHeading___Toc2051943_274958925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051945_2749589250">
            <w:r>
              <w:rPr>
                <w:webHidden/>
                <w:rStyle w:val="IndexLink"/>
                <w:rtl w:val="true"/>
              </w:rPr>
              <w:t>الألفاظ المحوریة</w:t>
            </w:r>
            <w:r>
              <w:rPr>
                <w:rStyle w:val="IndexLink"/>
                <w:rtl w:val="true"/>
              </w:rPr>
              <w:tab/>
            </w:r>
            <w:r>
              <w:rPr>
                <w:rStyle w:val="IndexLink"/>
              </w:rPr>
              <w:t>152</w:t>
            </w:r>
          </w:hyperlink>
        </w:p>
        <w:p>
          <w:pPr>
            <w:pStyle w:val="Contents3"/>
            <w:tabs>
              <w:tab w:val="clear" w:pos="8459"/>
              <w:tab w:val="right" w:pos="9026" w:leader="dot"/>
            </w:tabs>
            <w:rPr/>
          </w:pPr>
          <w:hyperlink w:anchor="__RefHeading___Toc2051947_2749589250">
            <w:r>
              <w:rPr>
                <w:webHidden/>
                <w:rStyle w:val="IndexLink"/>
                <w:rtl w:val="true"/>
              </w:rPr>
              <w:t>الإلهیات السلبیة فی المدرسة الکلامیة فی الحلة</w:t>
            </w:r>
            <w:r>
              <w:rPr>
                <w:rStyle w:val="IndexLink"/>
                <w:rtl w:val="true"/>
              </w:rPr>
              <w:t xml:space="preserve">/ </w:t>
            </w:r>
            <w:r>
              <w:rPr>
                <w:rStyle w:val="IndexLink"/>
                <w:rtl w:val="true"/>
              </w:rPr>
              <w:t xml:space="preserve">رضا برنجکار </w:t>
            </w:r>
            <w:r>
              <w:rPr>
                <w:rStyle w:val="IndexLink"/>
                <w:rtl w:val="true"/>
              </w:rPr>
              <w:t xml:space="preserve">- </w:t>
            </w:r>
            <w:r>
              <w:rPr>
                <w:rStyle w:val="IndexLink"/>
                <w:rtl w:val="true"/>
              </w:rPr>
              <w:t>السید مسیح شاه</w:t>
            </w:r>
            <w:r>
              <w:rPr>
                <w:rStyle w:val="IndexLink"/>
                <w:rtl w:val="true"/>
              </w:rPr>
              <w:t>¬</w:t>
            </w:r>
            <w:r>
              <w:rPr>
                <w:rStyle w:val="IndexLink"/>
                <w:rtl w:val="true"/>
              </w:rPr>
              <w:t>چراغ</w:t>
            </w:r>
            <w:r>
              <w:rPr>
                <w:rStyle w:val="IndexLink"/>
                <w:rtl w:val="true"/>
              </w:rPr>
              <w:tab/>
            </w:r>
            <w:r>
              <w:rPr>
                <w:rStyle w:val="IndexLink"/>
              </w:rPr>
              <w:t>153</w:t>
            </w:r>
          </w:hyperlink>
        </w:p>
        <w:p>
          <w:pPr>
            <w:pStyle w:val="Contents4"/>
            <w:tabs>
              <w:tab w:val="clear" w:pos="8176"/>
              <w:tab w:val="right" w:pos="9026" w:leader="dot"/>
            </w:tabs>
            <w:rPr/>
          </w:pPr>
          <w:hyperlink w:anchor="__RefHeading___Toc2051949_274958925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051951_2749589250">
            <w:r>
              <w:rPr>
                <w:webHidden/>
                <w:rStyle w:val="IndexLink"/>
                <w:rtl w:val="true"/>
              </w:rPr>
              <w:t>الألفاظ المحوریة</w:t>
            </w:r>
            <w:r>
              <w:rPr>
                <w:rStyle w:val="IndexLink"/>
                <w:rtl w:val="true"/>
              </w:rPr>
              <w:tab/>
            </w:r>
            <w:r>
              <w:rPr>
                <w:rStyle w:val="IndexLink"/>
              </w:rPr>
              <w:t>153</w:t>
            </w:r>
          </w:hyperlink>
        </w:p>
        <w:p>
          <w:pPr>
            <w:pStyle w:val="Contents3"/>
            <w:tabs>
              <w:tab w:val="clear" w:pos="8459"/>
              <w:tab w:val="right" w:pos="9026" w:leader="dot"/>
            </w:tabs>
            <w:rPr/>
          </w:pPr>
          <w:hyperlink w:anchor="__RefHeading___Toc2051953_2749589250">
            <w:r>
              <w:rPr>
                <w:webHidden/>
                <w:rStyle w:val="IndexLink"/>
                <w:rtl w:val="true"/>
              </w:rPr>
              <w:t xml:space="preserve">نهج المناجاة الشیعیة و حلّ مسألة الشرور </w:t>
            </w:r>
            <w:r>
              <w:rPr>
                <w:rStyle w:val="IndexLink"/>
                <w:rtl w:val="true"/>
              </w:rPr>
              <w:t xml:space="preserve">/ </w:t>
            </w:r>
            <w:r>
              <w:rPr>
                <w:rStyle w:val="IndexLink"/>
                <w:rtl w:val="true"/>
              </w:rPr>
              <w:t xml:space="preserve">احمد الکریمی </w:t>
            </w:r>
            <w:r>
              <w:rPr>
                <w:rStyle w:val="IndexLink"/>
                <w:rtl w:val="true"/>
              </w:rPr>
              <w:t xml:space="preserve">- </w:t>
            </w:r>
            <w:r>
              <w:rPr>
                <w:rStyle w:val="IndexLink"/>
                <w:rtl w:val="true"/>
              </w:rPr>
              <w:t>محمد صالح المازنی</w:t>
            </w:r>
            <w:r>
              <w:rPr>
                <w:rStyle w:val="IndexLink"/>
                <w:rtl w:val="true"/>
              </w:rPr>
              <w:tab/>
            </w:r>
            <w:r>
              <w:rPr>
                <w:rStyle w:val="IndexLink"/>
              </w:rPr>
              <w:t>154</w:t>
            </w:r>
          </w:hyperlink>
        </w:p>
        <w:p>
          <w:pPr>
            <w:pStyle w:val="Contents4"/>
            <w:tabs>
              <w:tab w:val="clear" w:pos="8176"/>
              <w:tab w:val="right" w:pos="9026" w:leader="dot"/>
            </w:tabs>
            <w:rPr/>
          </w:pPr>
          <w:hyperlink w:anchor="__RefHeading___Toc2051955_274958925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051957_2749589250">
            <w:r>
              <w:rPr>
                <w:webHidden/>
                <w:rStyle w:val="IndexLink"/>
                <w:rtl w:val="true"/>
              </w:rPr>
              <w:t>الألفاظ المحوریة</w:t>
            </w:r>
            <w:r>
              <w:rPr>
                <w:rStyle w:val="IndexLink"/>
                <w:rtl w:val="true"/>
              </w:rPr>
              <w:tab/>
            </w:r>
            <w:r>
              <w:rPr>
                <w:rStyle w:val="IndexLink"/>
              </w:rPr>
              <w:t>154</w:t>
            </w:r>
          </w:hyperlink>
        </w:p>
        <w:p>
          <w:pPr>
            <w:pStyle w:val="Contents3"/>
            <w:tabs>
              <w:tab w:val="clear" w:pos="8459"/>
              <w:tab w:val="right" w:pos="9026" w:leader="dot"/>
            </w:tabs>
            <w:rPr/>
          </w:pPr>
          <w:hyperlink w:anchor="__RefHeading___Toc2051959_2749589250">
            <w:r>
              <w:rPr>
                <w:webHidden/>
                <w:rStyle w:val="IndexLink"/>
                <w:rtl w:val="true"/>
              </w:rPr>
              <w:t xml:space="preserve">تحلیل ظاهرة </w:t>
            </w:r>
            <w:r>
              <w:rPr>
                <w:rStyle w:val="IndexLink"/>
                <w:rtl w:val="true"/>
              </w:rPr>
              <w:t>«</w:t>
            </w:r>
            <w:r>
              <w:rPr>
                <w:rStyle w:val="IndexLink"/>
                <w:rtl w:val="true"/>
              </w:rPr>
              <w:t>تأسیس الطوائف ضمن إطار المذهب</w:t>
            </w:r>
            <w:r>
              <w:rPr>
                <w:rStyle w:val="IndexLink"/>
                <w:rtl w:val="true"/>
              </w:rPr>
              <w:t xml:space="preserve">» </w:t>
            </w:r>
            <w:r>
              <w:rPr>
                <w:rStyle w:val="IndexLink"/>
                <w:rtl w:val="true"/>
              </w:rPr>
              <w:t xml:space="preserve">فی التیار السلفی المعاصر </w:t>
            </w:r>
            <w:r>
              <w:rPr>
                <w:rStyle w:val="IndexLink"/>
                <w:rtl w:val="true"/>
              </w:rPr>
              <w:t xml:space="preserve">/ </w:t>
            </w:r>
            <w:r>
              <w:rPr>
                <w:rStyle w:val="IndexLink"/>
                <w:rtl w:val="true"/>
              </w:rPr>
              <w:t>حمید ایمان</w:t>
            </w:r>
            <w:r>
              <w:rPr>
                <w:rStyle w:val="IndexLink"/>
                <w:rtl w:val="true"/>
              </w:rPr>
              <w:t>¬</w:t>
            </w:r>
            <w:r>
              <w:rPr>
                <w:rStyle w:val="IndexLink"/>
                <w:rtl w:val="true"/>
              </w:rPr>
              <w:t xml:space="preserve">دار </w:t>
            </w:r>
            <w:r>
              <w:rPr>
                <w:rStyle w:val="IndexLink"/>
                <w:rtl w:val="true"/>
              </w:rPr>
              <w:t xml:space="preserve">- </w:t>
            </w:r>
            <w:r>
              <w:rPr>
                <w:rStyle w:val="IndexLink"/>
                <w:rtl w:val="true"/>
              </w:rPr>
              <w:t>رضا ملازاده یامجی</w:t>
            </w:r>
            <w:r>
              <w:rPr>
                <w:rStyle w:val="IndexLink"/>
                <w:rtl w:val="true"/>
              </w:rPr>
              <w:tab/>
            </w:r>
            <w:r>
              <w:rPr>
                <w:rStyle w:val="IndexLink"/>
              </w:rPr>
              <w:t>155</w:t>
            </w:r>
          </w:hyperlink>
        </w:p>
        <w:p>
          <w:pPr>
            <w:pStyle w:val="Contents4"/>
            <w:tabs>
              <w:tab w:val="clear" w:pos="8176"/>
              <w:tab w:val="right" w:pos="9026" w:leader="dot"/>
            </w:tabs>
            <w:rPr/>
          </w:pPr>
          <w:hyperlink w:anchor="__RefHeading___Toc2051961_274958925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051963_2749589250">
            <w:r>
              <w:rPr>
                <w:webHidden/>
                <w:rStyle w:val="IndexLink"/>
                <w:rtl w:val="true"/>
              </w:rPr>
              <w:t>الألفاظ المحوریة</w:t>
            </w:r>
            <w:r>
              <w:rPr>
                <w:rStyle w:val="IndexLink"/>
                <w:rtl w:val="true"/>
              </w:rPr>
              <w:tab/>
            </w:r>
            <w:r>
              <w:rPr>
                <w:rStyle w:val="IndexLink"/>
              </w:rPr>
              <w:t>155</w:t>
            </w:r>
          </w:hyperlink>
        </w:p>
        <w:p>
          <w:pPr>
            <w:pStyle w:val="Contents3"/>
            <w:tabs>
              <w:tab w:val="clear" w:pos="8459"/>
              <w:tab w:val="right" w:pos="9026" w:leader="dot"/>
            </w:tabs>
            <w:rPr/>
          </w:pPr>
          <w:hyperlink w:anchor="__RefHeading___Toc2051965_2749589250">
            <w:r>
              <w:rPr>
                <w:webHidden/>
                <w:rStyle w:val="IndexLink"/>
                <w:rtl w:val="true"/>
              </w:rPr>
              <w:t>صحیح البخاری و تحریف الحقائق</w:t>
            </w:r>
            <w:r>
              <w:rPr>
                <w:rStyle w:val="IndexLink"/>
                <w:rtl w:val="true"/>
              </w:rPr>
              <w:t xml:space="preserve">/ </w:t>
            </w:r>
            <w:r>
              <w:rPr>
                <w:rStyle w:val="IndexLink"/>
                <w:rtl w:val="true"/>
              </w:rPr>
              <w:t>عبدالرحمن باقرزادة</w:t>
            </w:r>
            <w:r>
              <w:rPr>
                <w:rStyle w:val="IndexLink"/>
                <w:rtl w:val="true"/>
              </w:rPr>
              <w:tab/>
            </w:r>
            <w:r>
              <w:rPr>
                <w:rStyle w:val="IndexLink"/>
              </w:rPr>
              <w:t>156</w:t>
            </w:r>
          </w:hyperlink>
        </w:p>
        <w:p>
          <w:pPr>
            <w:pStyle w:val="Contents4"/>
            <w:tabs>
              <w:tab w:val="clear" w:pos="8176"/>
              <w:tab w:val="right" w:pos="9026" w:leader="dot"/>
            </w:tabs>
            <w:rPr/>
          </w:pPr>
          <w:hyperlink w:anchor="__RefHeading___Toc2051967_274958925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051969_2749589250">
            <w:r>
              <w:rPr>
                <w:webHidden/>
                <w:rStyle w:val="IndexLink"/>
                <w:rtl w:val="true"/>
              </w:rPr>
              <w:t>الألفاظ المحوریة</w:t>
            </w:r>
            <w:r>
              <w:rPr>
                <w:rStyle w:val="IndexLink"/>
                <w:rtl w:val="true"/>
              </w:rPr>
              <w:tab/>
            </w:r>
            <w:r>
              <w:rPr>
                <w:rStyle w:val="IndexLink"/>
              </w:rPr>
              <w:t>156</w:t>
            </w:r>
          </w:hyperlink>
        </w:p>
        <w:p>
          <w:pPr>
            <w:pStyle w:val="Contents2"/>
            <w:tabs>
              <w:tab w:val="clear" w:pos="8743"/>
              <w:tab w:val="right" w:pos="9026" w:leader="dot"/>
            </w:tabs>
            <w:rPr/>
          </w:pPr>
          <w:hyperlink w:anchor="__RefHeading___Toc2051971_2749589250">
            <w:r>
              <w:rPr>
                <w:webHidden/>
                <w:rStyle w:val="IndexLink"/>
              </w:rPr>
              <w:t>Abstracts</w:t>
            </w:r>
            <w:r>
              <w:rPr>
                <w:rStyle w:val="IndexLink"/>
                <w:rtl w:val="true"/>
              </w:rPr>
              <w:tab/>
            </w:r>
            <w:r>
              <w:rPr>
                <w:rStyle w:val="IndexLink"/>
              </w:rPr>
              <w:t>157</w:t>
            </w:r>
          </w:hyperlink>
        </w:p>
        <w:p>
          <w:pPr>
            <w:pStyle w:val="Contents3"/>
            <w:tabs>
              <w:tab w:val="clear" w:pos="8459"/>
              <w:tab w:val="right" w:pos="9026" w:leader="dot"/>
            </w:tabs>
            <w:rPr/>
          </w:pPr>
          <w:hyperlink w:anchor="__RefHeading___Toc2051973_2749589250">
            <w:r>
              <w:rPr>
                <w:webHidden/>
                <w:rStyle w:val="IndexLink"/>
              </w:rPr>
              <w:t>The Kalami Bases for the Development of Deduction from the Behavior of the Infallibles /Mehdi Mardani -Ali Rad</w:t>
            </w:r>
            <w:r>
              <w:rPr>
                <w:rStyle w:val="IndexLink"/>
                <w:rtl w:val="true"/>
              </w:rPr>
              <w:tab/>
            </w:r>
            <w:r>
              <w:rPr>
                <w:rStyle w:val="IndexLink"/>
              </w:rPr>
              <w:t>157</w:t>
            </w:r>
          </w:hyperlink>
        </w:p>
        <w:p>
          <w:pPr>
            <w:pStyle w:val="Contents4"/>
            <w:tabs>
              <w:tab w:val="clear" w:pos="8176"/>
              <w:tab w:val="right" w:pos="9026" w:leader="dot"/>
            </w:tabs>
            <w:rPr/>
          </w:pPr>
          <w:hyperlink w:anchor="__RefHeading___Toc2051975_2749589250">
            <w:r>
              <w:rPr>
                <w:webHidden/>
                <w:rStyle w:val="IndexLink"/>
              </w:rPr>
              <w:t>Point</w:t>
            </w:r>
            <w:r>
              <w:rPr>
                <w:rStyle w:val="IndexLink"/>
                <w:rtl w:val="true"/>
              </w:rPr>
              <w:tab/>
            </w:r>
            <w:r>
              <w:rPr>
                <w:rStyle w:val="IndexLink"/>
              </w:rPr>
              <w:t>157</w:t>
            </w:r>
          </w:hyperlink>
        </w:p>
        <w:p>
          <w:pPr>
            <w:pStyle w:val="Contents4"/>
            <w:tabs>
              <w:tab w:val="clear" w:pos="8176"/>
              <w:tab w:val="right" w:pos="9026" w:leader="dot"/>
            </w:tabs>
            <w:rPr/>
          </w:pPr>
          <w:hyperlink w:anchor="__RefHeading___Toc2051977_2749589250">
            <w:r>
              <w:rPr>
                <w:webHidden/>
                <w:rStyle w:val="IndexLink"/>
              </w:rPr>
              <w:t>Keywords</w:t>
            </w:r>
            <w:r>
              <w:rPr>
                <w:rStyle w:val="IndexLink"/>
                <w:rtl w:val="true"/>
              </w:rPr>
              <w:tab/>
            </w:r>
            <w:r>
              <w:rPr>
                <w:rStyle w:val="IndexLink"/>
              </w:rPr>
              <w:t>157</w:t>
            </w:r>
          </w:hyperlink>
        </w:p>
        <w:p>
          <w:pPr>
            <w:pStyle w:val="Contents3"/>
            <w:tabs>
              <w:tab w:val="clear" w:pos="8459"/>
              <w:tab w:val="right" w:pos="9026" w:leader="dot"/>
            </w:tabs>
            <w:rPr/>
          </w:pPr>
          <w:hyperlink w:anchor="__RefHeading___Toc2051979_2749589250">
            <w:r>
              <w:rPr>
                <w:webHidden/>
                <w:rStyle w:val="IndexLink"/>
              </w:rPr>
              <w:t>Examining the View of Imamiyyah Theologians on the Domain of the Imam's Knowledge on the Basis of Narrations / MohammadHosein Faryab</w:t>
            </w:r>
            <w:r>
              <w:rPr>
                <w:rStyle w:val="IndexLink"/>
                <w:rtl w:val="true"/>
              </w:rPr>
              <w:tab/>
            </w:r>
            <w:r>
              <w:rPr>
                <w:rStyle w:val="IndexLink"/>
              </w:rPr>
              <w:t>158</w:t>
            </w:r>
          </w:hyperlink>
        </w:p>
        <w:p>
          <w:pPr>
            <w:pStyle w:val="Contents4"/>
            <w:tabs>
              <w:tab w:val="clear" w:pos="8176"/>
              <w:tab w:val="right" w:pos="9026" w:leader="dot"/>
            </w:tabs>
            <w:rPr/>
          </w:pPr>
          <w:hyperlink w:anchor="__RefHeading___Toc2051981_2749589250">
            <w:r>
              <w:rPr>
                <w:webHidden/>
                <w:rStyle w:val="IndexLink"/>
              </w:rPr>
              <w:t>Point</w:t>
            </w:r>
            <w:r>
              <w:rPr>
                <w:rStyle w:val="IndexLink"/>
                <w:rtl w:val="true"/>
              </w:rPr>
              <w:tab/>
            </w:r>
            <w:r>
              <w:rPr>
                <w:rStyle w:val="IndexLink"/>
              </w:rPr>
              <w:t>158</w:t>
            </w:r>
          </w:hyperlink>
        </w:p>
        <w:p>
          <w:pPr>
            <w:pStyle w:val="Contents4"/>
            <w:tabs>
              <w:tab w:val="clear" w:pos="8176"/>
              <w:tab w:val="right" w:pos="9026" w:leader="dot"/>
            </w:tabs>
            <w:rPr/>
          </w:pPr>
          <w:hyperlink w:anchor="__RefHeading___Toc2051983_2749589250">
            <w:r>
              <w:rPr>
                <w:webHidden/>
                <w:rStyle w:val="IndexLink"/>
              </w:rPr>
              <w:t>Keywords</w:t>
            </w:r>
            <w:r>
              <w:rPr>
                <w:rStyle w:val="IndexLink"/>
                <w:rtl w:val="true"/>
              </w:rPr>
              <w:tab/>
            </w:r>
            <w:r>
              <w:rPr>
                <w:rStyle w:val="IndexLink"/>
              </w:rPr>
              <w:t>158</w:t>
            </w:r>
          </w:hyperlink>
        </w:p>
        <w:p>
          <w:pPr>
            <w:pStyle w:val="Contents3"/>
            <w:tabs>
              <w:tab w:val="clear" w:pos="8459"/>
              <w:tab w:val="right" w:pos="9026" w:leader="dot"/>
            </w:tabs>
            <w:rPr/>
          </w:pPr>
          <w:hyperlink w:anchor="__RefHeading___Toc2051985_2749589250">
            <w:r>
              <w:rPr>
                <w:webHidden/>
                <w:rStyle w:val="IndexLink"/>
              </w:rPr>
              <w:t>The Relationship between Monotheistic Lordship and Divine Providence in the Qur'anic Thought System / Yadollah Rabiei - Hamid Negaresh</w:t>
            </w:r>
            <w:r>
              <w:rPr>
                <w:rStyle w:val="IndexLink"/>
                <w:rtl w:val="true"/>
              </w:rPr>
              <w:tab/>
            </w:r>
            <w:r>
              <w:rPr>
                <w:rStyle w:val="IndexLink"/>
              </w:rPr>
              <w:t>159</w:t>
            </w:r>
          </w:hyperlink>
        </w:p>
        <w:p>
          <w:pPr>
            <w:pStyle w:val="Contents4"/>
            <w:tabs>
              <w:tab w:val="clear" w:pos="8176"/>
              <w:tab w:val="right" w:pos="9026" w:leader="dot"/>
            </w:tabs>
            <w:rPr/>
          </w:pPr>
          <w:hyperlink w:anchor="__RefHeading___Toc2051987_2749589250">
            <w:r>
              <w:rPr>
                <w:webHidden/>
                <w:rStyle w:val="IndexLink"/>
              </w:rPr>
              <w:t>Point</w:t>
            </w:r>
            <w:r>
              <w:rPr>
                <w:rStyle w:val="IndexLink"/>
                <w:rtl w:val="true"/>
              </w:rPr>
              <w:tab/>
            </w:r>
            <w:r>
              <w:rPr>
                <w:rStyle w:val="IndexLink"/>
              </w:rPr>
              <w:t>159</w:t>
            </w:r>
          </w:hyperlink>
        </w:p>
        <w:p>
          <w:pPr>
            <w:pStyle w:val="Contents4"/>
            <w:tabs>
              <w:tab w:val="clear" w:pos="8176"/>
              <w:tab w:val="right" w:pos="9026" w:leader="dot"/>
            </w:tabs>
            <w:rPr/>
          </w:pPr>
          <w:hyperlink w:anchor="__RefHeading___Toc2051989_2749589250">
            <w:r>
              <w:rPr>
                <w:webHidden/>
                <w:rStyle w:val="IndexLink"/>
              </w:rPr>
              <w:t>Keywords</w:t>
            </w:r>
            <w:r>
              <w:rPr>
                <w:rStyle w:val="IndexLink"/>
                <w:rtl w:val="true"/>
              </w:rPr>
              <w:tab/>
            </w:r>
            <w:r>
              <w:rPr>
                <w:rStyle w:val="IndexLink"/>
              </w:rPr>
              <w:t>159</w:t>
            </w:r>
          </w:hyperlink>
        </w:p>
        <w:p>
          <w:pPr>
            <w:pStyle w:val="Contents3"/>
            <w:tabs>
              <w:tab w:val="clear" w:pos="8459"/>
              <w:tab w:val="right" w:pos="9026" w:leader="dot"/>
            </w:tabs>
            <w:rPr/>
          </w:pPr>
          <w:hyperlink w:anchor="__RefHeading___Toc2051991_2749589250">
            <w:r>
              <w:rPr>
                <w:webHidden/>
                <w:rStyle w:val="IndexLink"/>
              </w:rPr>
              <w:t>Negative Theology in the Kalam School of Hellah / Reza Brenjkar - Seyed Masih Shahcheragh</w:t>
            </w:r>
            <w:r>
              <w:rPr>
                <w:rStyle w:val="IndexLink"/>
                <w:rtl w:val="true"/>
              </w:rPr>
              <w:tab/>
            </w:r>
            <w:r>
              <w:rPr>
                <w:rStyle w:val="IndexLink"/>
              </w:rPr>
              <w:t>160</w:t>
            </w:r>
          </w:hyperlink>
        </w:p>
        <w:p>
          <w:pPr>
            <w:pStyle w:val="Contents4"/>
            <w:tabs>
              <w:tab w:val="clear" w:pos="8176"/>
              <w:tab w:val="right" w:pos="9026" w:leader="dot"/>
            </w:tabs>
            <w:rPr/>
          </w:pPr>
          <w:hyperlink w:anchor="__RefHeading___Toc2051993_2749589250">
            <w:r>
              <w:rPr>
                <w:webHidden/>
                <w:rStyle w:val="IndexLink"/>
              </w:rPr>
              <w:t>Point</w:t>
            </w:r>
            <w:r>
              <w:rPr>
                <w:rStyle w:val="IndexLink"/>
                <w:rtl w:val="true"/>
              </w:rPr>
              <w:tab/>
            </w:r>
            <w:r>
              <w:rPr>
                <w:rStyle w:val="IndexLink"/>
              </w:rPr>
              <w:t>160</w:t>
            </w:r>
          </w:hyperlink>
        </w:p>
        <w:p>
          <w:pPr>
            <w:pStyle w:val="Contents4"/>
            <w:tabs>
              <w:tab w:val="clear" w:pos="8176"/>
              <w:tab w:val="right" w:pos="9026" w:leader="dot"/>
            </w:tabs>
            <w:rPr/>
          </w:pPr>
          <w:hyperlink w:anchor="__RefHeading___Toc2051995_2749589250">
            <w:r>
              <w:rPr>
                <w:webHidden/>
                <w:rStyle w:val="IndexLink"/>
              </w:rPr>
              <w:t>Keywords</w:t>
            </w:r>
            <w:r>
              <w:rPr>
                <w:rStyle w:val="IndexLink"/>
                <w:rtl w:val="true"/>
              </w:rPr>
              <w:tab/>
            </w:r>
            <w:r>
              <w:rPr>
                <w:rStyle w:val="IndexLink"/>
              </w:rPr>
              <w:t>160</w:t>
            </w:r>
          </w:hyperlink>
        </w:p>
        <w:p>
          <w:pPr>
            <w:pStyle w:val="Contents3"/>
            <w:tabs>
              <w:tab w:val="clear" w:pos="8459"/>
              <w:tab w:val="right" w:pos="9026" w:leader="dot"/>
            </w:tabs>
            <w:rPr/>
          </w:pPr>
          <w:hyperlink w:anchor="__RefHeading___Toc2051997_2749589250">
            <w:r>
              <w:rPr>
                <w:webHidden/>
                <w:rStyle w:val="IndexLink"/>
              </w:rPr>
              <w:t>The Attitude of the Shi'i Prayers to Solve the Problem of Evil / Ahmad Karimi - MohammadSaleh Mazani</w:t>
            </w:r>
            <w:r>
              <w:rPr>
                <w:rStyle w:val="IndexLink"/>
                <w:rtl w:val="true"/>
              </w:rPr>
              <w:tab/>
            </w:r>
            <w:r>
              <w:rPr>
                <w:rStyle w:val="IndexLink"/>
              </w:rPr>
              <w:t>161</w:t>
            </w:r>
          </w:hyperlink>
        </w:p>
        <w:p>
          <w:pPr>
            <w:pStyle w:val="Contents4"/>
            <w:tabs>
              <w:tab w:val="clear" w:pos="8176"/>
              <w:tab w:val="right" w:pos="9026" w:leader="dot"/>
            </w:tabs>
            <w:rPr/>
          </w:pPr>
          <w:hyperlink w:anchor="__RefHeading___Toc2051999_2749589250">
            <w:r>
              <w:rPr>
                <w:webHidden/>
                <w:rStyle w:val="IndexLink"/>
              </w:rPr>
              <w:t>Point</w:t>
            </w:r>
            <w:r>
              <w:rPr>
                <w:rStyle w:val="IndexLink"/>
                <w:rtl w:val="true"/>
              </w:rPr>
              <w:tab/>
            </w:r>
            <w:r>
              <w:rPr>
                <w:rStyle w:val="IndexLink"/>
              </w:rPr>
              <w:t>161</w:t>
            </w:r>
          </w:hyperlink>
        </w:p>
        <w:p>
          <w:pPr>
            <w:pStyle w:val="Contents4"/>
            <w:tabs>
              <w:tab w:val="clear" w:pos="8176"/>
              <w:tab w:val="right" w:pos="9026" w:leader="dot"/>
            </w:tabs>
            <w:rPr/>
          </w:pPr>
          <w:hyperlink w:anchor="__RefHeading___Toc2052001_2749589250">
            <w:r>
              <w:rPr>
                <w:webHidden/>
                <w:rStyle w:val="IndexLink"/>
              </w:rPr>
              <w:t>Keywords</w:t>
            </w:r>
            <w:r>
              <w:rPr>
                <w:rStyle w:val="IndexLink"/>
                <w:rtl w:val="true"/>
              </w:rPr>
              <w:tab/>
            </w:r>
            <w:r>
              <w:rPr>
                <w:rStyle w:val="IndexLink"/>
              </w:rPr>
              <w:t>161</w:t>
            </w:r>
          </w:hyperlink>
        </w:p>
        <w:p>
          <w:pPr>
            <w:pStyle w:val="Contents3"/>
            <w:tabs>
              <w:tab w:val="clear" w:pos="8459"/>
              <w:tab w:val="right" w:pos="9026" w:leader="dot"/>
            </w:tabs>
            <w:rPr/>
          </w:pPr>
          <w:hyperlink w:anchor="__RefHeading___Toc2052003_2749589250">
            <w:r>
              <w:rPr>
                <w:webHidden/>
                <w:rStyle w:val="IndexLink"/>
              </w:rPr>
              <w:t>Exploring the Phenomenon of "Inter-Denomination Sects" in the Contemporary Salafiyyah Trend / Hamid Imandar- Reza Mullazadeh Yamchi</w:t>
            </w:r>
            <w:r>
              <w:rPr>
                <w:rStyle w:val="IndexLink"/>
                <w:rtl w:val="true"/>
              </w:rPr>
              <w:tab/>
            </w:r>
            <w:r>
              <w:rPr>
                <w:rStyle w:val="IndexLink"/>
              </w:rPr>
              <w:t>161</w:t>
            </w:r>
          </w:hyperlink>
        </w:p>
        <w:p>
          <w:pPr>
            <w:pStyle w:val="Contents4"/>
            <w:tabs>
              <w:tab w:val="clear" w:pos="8176"/>
              <w:tab w:val="right" w:pos="9026" w:leader="dot"/>
            </w:tabs>
            <w:rPr/>
          </w:pPr>
          <w:hyperlink w:anchor="__RefHeading___Toc2052005_2749589250">
            <w:r>
              <w:rPr>
                <w:webHidden/>
                <w:rStyle w:val="IndexLink"/>
              </w:rPr>
              <w:t>Point</w:t>
            </w:r>
            <w:r>
              <w:rPr>
                <w:rStyle w:val="IndexLink"/>
                <w:rtl w:val="true"/>
              </w:rPr>
              <w:tab/>
            </w:r>
            <w:r>
              <w:rPr>
                <w:rStyle w:val="IndexLink"/>
              </w:rPr>
              <w:t>161</w:t>
            </w:r>
          </w:hyperlink>
        </w:p>
        <w:p>
          <w:pPr>
            <w:pStyle w:val="Contents4"/>
            <w:tabs>
              <w:tab w:val="clear" w:pos="8176"/>
              <w:tab w:val="right" w:pos="9026" w:leader="dot"/>
            </w:tabs>
            <w:rPr/>
          </w:pPr>
          <w:hyperlink w:anchor="__RefHeading___Toc2052007_2749589250">
            <w:r>
              <w:rPr>
                <w:webHidden/>
                <w:rStyle w:val="IndexLink"/>
              </w:rPr>
              <w:t>Keywords</w:t>
            </w:r>
            <w:r>
              <w:rPr>
                <w:rStyle w:val="IndexLink"/>
                <w:rtl w:val="true"/>
              </w:rPr>
              <w:tab/>
            </w:r>
            <w:r>
              <w:rPr>
                <w:rStyle w:val="IndexLink"/>
              </w:rPr>
              <w:t>161</w:t>
            </w:r>
          </w:hyperlink>
        </w:p>
        <w:p>
          <w:pPr>
            <w:pStyle w:val="Contents3"/>
            <w:tabs>
              <w:tab w:val="clear" w:pos="8459"/>
              <w:tab w:val="right" w:pos="9026" w:leader="dot"/>
            </w:tabs>
            <w:rPr/>
          </w:pPr>
          <w:hyperlink w:anchor="__RefHeading___Toc2052009_2749589250">
            <w:r>
              <w:rPr>
                <w:webHidden/>
                <w:rStyle w:val="IndexLink"/>
              </w:rPr>
              <w:t>Al-Sahih al-Bokhari and the Distortion of Reality / Abdul-Rahman Bagherzadeh</w:t>
            </w:r>
            <w:r>
              <w:rPr>
                <w:rStyle w:val="IndexLink"/>
                <w:rtl w:val="true"/>
              </w:rPr>
              <w:tab/>
            </w:r>
            <w:r>
              <w:rPr>
                <w:rStyle w:val="IndexLink"/>
              </w:rPr>
              <w:t>163</w:t>
            </w:r>
          </w:hyperlink>
        </w:p>
        <w:p>
          <w:pPr>
            <w:pStyle w:val="Contents4"/>
            <w:tabs>
              <w:tab w:val="clear" w:pos="8176"/>
              <w:tab w:val="right" w:pos="9026" w:leader="dot"/>
            </w:tabs>
            <w:rPr/>
          </w:pPr>
          <w:hyperlink w:anchor="__RefHeading___Toc2052011_2749589250">
            <w:r>
              <w:rPr>
                <w:webHidden/>
                <w:rStyle w:val="IndexLink"/>
              </w:rPr>
              <w:t>Point</w:t>
            </w:r>
            <w:r>
              <w:rPr>
                <w:rStyle w:val="IndexLink"/>
                <w:rtl w:val="true"/>
              </w:rPr>
              <w:tab/>
            </w:r>
            <w:r>
              <w:rPr>
                <w:rStyle w:val="IndexLink"/>
              </w:rPr>
              <w:t>163</w:t>
            </w:r>
          </w:hyperlink>
        </w:p>
        <w:p>
          <w:pPr>
            <w:pStyle w:val="Contents4"/>
            <w:tabs>
              <w:tab w:val="clear" w:pos="8176"/>
              <w:tab w:val="right" w:pos="9026" w:leader="dot"/>
            </w:tabs>
            <w:rPr/>
          </w:pPr>
          <w:hyperlink w:anchor="__RefHeading___Toc2052013_2749589250">
            <w:r>
              <w:rPr>
                <w:webHidden/>
                <w:rStyle w:val="IndexLink"/>
              </w:rPr>
              <w:t>Keywords</w:t>
            </w:r>
            <w:r>
              <w:rPr>
                <w:rStyle w:val="IndexLink"/>
                <w:rtl w:val="true"/>
              </w:rPr>
              <w:tab/>
            </w:r>
            <w:r>
              <w:rPr>
                <w:rStyle w:val="IndexLink"/>
              </w:rPr>
              <w:t>163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1_16426"/>
      <w:bookmarkStart w:id="1" w:name="pg3261_16426"/>
      <w:bookmarkEnd w:id="1"/>
    </w:p>
    <w:p>
      <w:pPr>
        <w:pStyle w:val="Heading2"/>
        <w:numPr>
          <w:ilvl w:val="1"/>
          <w:numId w:val="1"/>
        </w:numPr>
        <w:rPr/>
      </w:pPr>
      <w:bookmarkStart w:id="2" w:name="pg3261_16426"/>
      <w:bookmarkStart w:id="3" w:name="__RefHeading___Toc2051503_2749589250"/>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سال چهارم، شماره سیزدهم، زمستان</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1505_2749589250"/>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 توجه به ارزیـابی کـمیسیون نـشریات علمی حوزه، شورای اعطای مجوزها و امتیازهای علمی در جـلسه مورخ </w:t>
      </w:r>
      <w:r>
        <w:rPr>
          <w:rFonts w:eastAsia="IRNazanin" w:cs="IRNazanin"/>
          <w:color w:val="111111"/>
          <w:sz w:val="28"/>
          <w:szCs w:val="28"/>
          <w:lang w:bidi="fa-IR"/>
        </w:rPr>
        <w:t>28/03/1392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رتـبه عـلمی ـ پـژوهشی بهنـشریه تـحقیقات کـلامی اعـطاء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حـوزه، دارای اعـتبار رسمی بـوده و مـوجد امـتیازات قـانونی در دانـشگاه ها و حوزه های علمیه می باشد</w:t>
      </w:r>
      <w:bookmarkStart w:id="7" w:name="pg3261_16429"/>
    </w:p>
    <w:p>
      <w:pPr>
        <w:pStyle w:val="Heading2"/>
        <w:numPr>
          <w:ilvl w:val="1"/>
          <w:numId w:val="1"/>
        </w:numPr>
        <w:rPr/>
      </w:pPr>
      <w:bookmarkStart w:id="8" w:name="__RefHeading___Toc2051507_2749589250"/>
      <w:bookmarkStart w:id="9" w:name="_Toc3"/>
      <w:bookmarkEnd w:id="7"/>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پرسش ها و شبهات مطرح 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استنادات معتبر و کافی؛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اطناب و ایجاز بی مورد؛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سال نیست </w:t>
      </w:r>
      <w:r>
        <w:rPr>
          <w:rFonts w:eastAsia="IRNazanin" w:cs="IRNazanin"/>
          <w:color w:val="111111"/>
          <w:sz w:val="28"/>
          <w:szCs w:val="28"/>
          <w:rtl w:val="true"/>
          <w:lang w:bidi="fa-IR"/>
        </w:rPr>
        <w:t>.</w:t>
      </w:r>
      <w:bookmarkStart w:id="10" w:name="pg3261_16430"/>
    </w:p>
    <w:p>
      <w:pPr>
        <w:pStyle w:val="Heading2"/>
        <w:numPr>
          <w:ilvl w:val="1"/>
          <w:numId w:val="1"/>
        </w:numPr>
        <w:rPr/>
      </w:pPr>
      <w:bookmarkStart w:id="11" w:name="__RefHeading___Toc2051509_274958925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تطور انگارۀ معرفت اضطراری در اندیشۀ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امیرخانی، محمدتقی سبحانی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مبانی کلامی توسعۀ استنباط از رفتار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تحلیلی وجودشناسانه از سیر تطور ارادۀ خداوند در نظام فکری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اقوام کرباسی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کاربست توحید ربوبی در تربیت انسان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حسین محمدی، سیداسحاق حسینی کوهساری، سیدمحمد موسوی مقدم</w:t>
      </w:r>
    </w:p>
    <w:p>
      <w:pPr>
        <w:pStyle w:val="BookText"/>
        <w:rPr/>
      </w:pPr>
      <w:r>
        <w:rPr>
          <w:rFonts w:ascii="IRNazanin" w:hAnsi="IRNazanin" w:eastAsia="IRNazanin"/>
          <w:color w:val="111111"/>
          <w:sz w:val="28"/>
          <w:sz w:val="28"/>
          <w:szCs w:val="28"/>
          <w:rtl w:val="true"/>
          <w:lang w:bidi="fa-IR"/>
        </w:rPr>
        <w:t>احباط و تکفیر عمل، از دیدگاه آیت‌الله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یزدی، زینب عباسی آغوی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تحلیل و نقد فرضیۀ تأثیر سامریّت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راد، سعید کریم پور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ترجمه چکیده مقالات به زبان عربی</w:t>
      </w:r>
      <w:r>
        <w:rPr>
          <w:rFonts w:eastAsia="IRNazanin" w:cs="IRNazanin"/>
          <w:color w:val="111111"/>
          <w:sz w:val="28"/>
          <w:szCs w:val="28"/>
          <w:lang w:bidi="fa-IR"/>
        </w:rPr>
        <w:t>119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چکیده مقالات به زبان انگلیسی</w:t>
      </w:r>
      <w:r>
        <w:rPr>
          <w:rFonts w:eastAsia="IRNazanin" w:cs="IRNazanin"/>
          <w:color w:val="111111"/>
          <w:sz w:val="28"/>
          <w:szCs w:val="28"/>
          <w:lang w:bidi="fa-IR"/>
        </w:rPr>
        <w:t>125</w:t>
      </w:r>
      <w:bookmarkStart w:id="13" w:name="pg3261_16432"/>
    </w:p>
    <w:p>
      <w:pPr>
        <w:pStyle w:val="Heading2"/>
        <w:numPr>
          <w:ilvl w:val="1"/>
          <w:numId w:val="1"/>
        </w:numPr>
        <w:rPr/>
      </w:pPr>
      <w:bookmarkStart w:id="14" w:name="__RefHeading___Toc2051511_2749589250"/>
      <w:bookmarkStart w:id="15" w:name="_Toc5"/>
      <w:bookmarkEnd w:id="13"/>
      <w:bookmarkEnd w:id="14"/>
      <w:r>
        <w:rPr>
          <w:rtl w:val="true"/>
        </w:rPr>
        <w:t xml:space="preserve">حقیقتِ ترکیبی انسان از روح و جسم؛ نظریه‌پردازی هشام بن حکم دربارۀ حقیقت انسان </w:t>
      </w:r>
      <w:r>
        <w:rPr>
          <w:rtl w:val="true"/>
        </w:rPr>
        <w:t>/</w:t>
      </w:r>
      <w:r>
        <w:rPr>
          <w:rtl w:val="true"/>
        </w:rPr>
        <w:t xml:space="preserve">محمد تقی سبحانی </w:t>
      </w:r>
      <w:r>
        <w:rPr>
          <w:rtl w:val="true"/>
        </w:rPr>
        <w:t xml:space="preserve">- </w:t>
      </w:r>
      <w:r>
        <w:rPr>
          <w:rtl w:val="true"/>
        </w:rPr>
        <w:t>حسین نعیم آبادی</w:t>
      </w:r>
      <w:bookmarkEnd w:id="15"/>
    </w:p>
    <w:p>
      <w:pPr>
        <w:pStyle w:val="Heading3"/>
        <w:numPr>
          <w:ilvl w:val="2"/>
          <w:numId w:val="1"/>
        </w:numPr>
        <w:rPr/>
      </w:pPr>
      <w:bookmarkStart w:id="16" w:name="__RefHeading___Toc2051513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محمدتقی سبحانی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sobhani.mt@gmail.com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نعیم‌آبادی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05/05/1395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03/08/1395</w:t>
      </w:r>
    </w:p>
    <w:p>
      <w:pPr>
        <w:pStyle w:val="Heading3"/>
        <w:numPr>
          <w:ilvl w:val="2"/>
          <w:numId w:val="1"/>
        </w:numPr>
        <w:rPr/>
      </w:pPr>
      <w:bookmarkStart w:id="18" w:name="__RefHeading___Toc2051515_2749589250"/>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 xml:space="preserve">امامیۀ نخستین در موضوع حقیقتِ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مهم‌ترین آراء دربارۀ حقیقت انسان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فیزیکالیستی حقیقت انسان، نظریۀ روح منطبعه نظّام و نظریۀ فلسفی روح‌انگار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 امامیۀ نخستین، حقیقتِ انسان عبارت است از ترکیبی حقیقی از روح و جسم که در عین این‌که اصالت با روح است، اما بدن نیز مدنظر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هشام بن حکم به نحو دقیق‌تری حقیقت انسان را در سه ساحت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این‌دنیایی که شامل روح و بدن به نحو ترکیب حقیقی می‌شود؛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عقل و قدرت اراده در انسان است؛ و ساحت روح که به عنوان جزء اصلی و ثابت از حقیقت انسان ـ البته دارای تجرد نسبی نه تجرد محض فلسفی ـ مدنظر قرار می‌گیرد و بدون نیاز به هیچ چیز دیگری می‌تواند به فعالیت مدرِکانه بپردازد</w:t>
      </w:r>
      <w:r>
        <w:rPr>
          <w:rFonts w:eastAsia="IRNazanin" w:cs="IRNazanin"/>
          <w:color w:val="111111"/>
          <w:sz w:val="28"/>
          <w:szCs w:val="28"/>
          <w:rtl w:val="true"/>
          <w:lang w:bidi="fa-IR"/>
        </w:rPr>
        <w:t>.</w:t>
      </w:r>
    </w:p>
    <w:p>
      <w:pPr>
        <w:pStyle w:val="Heading3"/>
        <w:numPr>
          <w:ilvl w:val="2"/>
          <w:numId w:val="1"/>
        </w:numPr>
        <w:rPr/>
      </w:pPr>
      <w:bookmarkStart w:id="20" w:name="__RefHeading___Toc2051517_2749589250"/>
      <w:bookmarkStart w:id="21" w:name="_Toc8"/>
      <w:bookmarkEnd w:id="20"/>
      <w:r>
        <w:rPr>
          <w:rtl w:val="true"/>
        </w:rPr>
        <w:t>واژگان کلیدی</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 روح، جسم، نفس، هشام بن حکم، دوآلیسم</w:t>
      </w:r>
      <w:r>
        <w:rPr>
          <w:rFonts w:eastAsia="IRNazanin" w:cs="IRNazanin"/>
          <w:color w:val="111111"/>
          <w:sz w:val="28"/>
          <w:szCs w:val="28"/>
          <w:rtl w:val="true"/>
          <w:lang w:bidi="fa-IR"/>
        </w:rPr>
        <w:t>.</w:t>
      </w:r>
      <w:bookmarkStart w:id="22" w:name="pg3261_16433"/>
    </w:p>
    <w:p>
      <w:pPr>
        <w:pStyle w:val="Heading3"/>
        <w:numPr>
          <w:ilvl w:val="2"/>
          <w:numId w:val="1"/>
        </w:numPr>
        <w:rPr/>
      </w:pPr>
      <w:bookmarkStart w:id="23" w:name="__RefHeading___Toc2051519_2749589250"/>
      <w:bookmarkStart w:id="24" w:name="_Toc9"/>
      <w:bookmarkEnd w:id="22"/>
      <w:bookmarkEnd w:id="23"/>
      <w:r>
        <w:rPr>
          <w:rtl w:val="true"/>
        </w:rPr>
        <w:t>مقدمه</w:t>
      </w:r>
      <w:bookmarkEnd w:id="24"/>
    </w:p>
    <w:p>
      <w:pPr>
        <w:pStyle w:val="Heading4"/>
        <w:numPr>
          <w:ilvl w:val="3"/>
          <w:numId w:val="1"/>
        </w:numPr>
        <w:rPr/>
      </w:pPr>
      <w:bookmarkStart w:id="25" w:name="__RefHeading___Toc2051521_2749589250"/>
      <w:bookmarkStart w:id="26" w:name="_Toc10"/>
      <w:bookmarkEnd w:id="25"/>
      <w:r>
        <w:rPr>
          <w:rtl w:val="true"/>
        </w:rPr>
        <w:t>اشاره</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اهمیت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صرفاً از آن جهت که شخص انسان به عنوان یک مکلف مورد خطاب است </w:t>
      </w:r>
      <w:r>
        <w:rPr>
          <w:rStyle w:val="FootnoteAnchor"/>
          <w:rtl w:val="true"/>
        </w:rPr>
        <w:footnoteReference w:id="4"/>
      </w:r>
      <w:r>
        <w:rPr>
          <w:rFonts w:ascii="IRNazanin" w:hAnsi="IRNazanin" w:eastAsia="IRNazanin"/>
          <w:color w:val="111111"/>
          <w:sz w:val="28"/>
          <w:sz w:val="28"/>
          <w:szCs w:val="28"/>
          <w:rtl w:val="true"/>
          <w:lang w:bidi="fa-IR"/>
        </w:rPr>
        <w:t xml:space="preserve">یا در پاسخ به این پرسش که کدام فعل، فعل واقعی انسان است و هم‌چنین نه فقط از آن جهت که کدام بخش از بدن در دنیای بعدی مورد کیفر یا پاداش قرار می‌گیرد </w:t>
      </w:r>
      <w:r>
        <w:rPr>
          <w:rStyle w:val="FootnoteAnchor"/>
          <w:rtl w:val="true"/>
        </w:rPr>
        <w:footnoteReference w:id="5"/>
      </w:r>
      <w:r>
        <w:rPr>
          <w:rFonts w:ascii="IRNazanin" w:hAnsi="IRNazanin" w:eastAsia="IRNazanin"/>
          <w:color w:val="111111"/>
          <w:sz w:val="28"/>
          <w:sz w:val="28"/>
          <w:szCs w:val="28"/>
          <w:rtl w:val="true"/>
          <w:lang w:bidi="fa-IR"/>
        </w:rPr>
        <w:t>و به همین ترتیب نه الزاماً فقط از جهت ارتباطی که این بحث با مسئله مرگ و فنای انسان پیدا می‌کند</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مباحثی بودند که عمدۀ دغدغۀ متکلمان نخستین اسلامی برای توجه به مسئله نفس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عمدتاً به دلیل ارتباط وثیق و زیربنایی که بین نظریات نفس‌شناسانه و متدولوژی‌های علم برای کاربرد عینی در بستر واقعی اجتماع انسانی وجود دارد، این مباحث مورد توجه دانشمندان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اعتقاد بنیادین به این مطلب که حقیقتِ انسان چیزی به جز جسم ظاهری نیست، گاهی حتی سر از متدولوژی‌هایی در دانش درمی‌آورد که در فرآیند نظریه‌پردازی به طور خودآگاه از حقیقت جوهری انسان چشم‌پوشی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ممکن است اساساً ارتباطی بین فیزیکالیست بودن و ماتریالیست بودن وجود نداشته باشد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به همین ترتیب، این اعتقاد اساسی که حقیقت انسان چیزی به جز جوهر مجرد نفس نیست و جسم آدمی صرفاً ابزار و مرکبی برای آن حقیقت است ـ ایده‌ای که خصوصاً با فلسفۀ رایج اسلامی از قرون میانه تا کنون دائماً تقویت شده ـ خواسته یا ناخواسته منجر به متدولوژی‌هایی در دانش شده که اساساً توجه چندانی به جنبه‌های</w:t>
      </w:r>
    </w:p>
    <w:p>
      <w:pPr>
        <w:pStyle w:val="BookText"/>
        <w:rPr/>
      </w:pPr>
      <w:r>
        <w:rPr>
          <w:rFonts w:ascii="IRNazanin" w:hAnsi="IRNazanin" w:eastAsia="IRNazanin"/>
          <w:color w:val="111111"/>
          <w:sz w:val="28"/>
          <w:sz w:val="28"/>
          <w:szCs w:val="28"/>
          <w:rtl w:val="true"/>
          <w:lang w:bidi="fa-IR"/>
        </w:rPr>
        <w:t>کاربردی و واقعیات عینی حیات بشری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به نظر می‌رسد، دیدگاه برجسته‌ای از امامیۀ نخستین ـ مبتنی بر آموزه‌های اهل‌بیت  علیهم السلام  ـ مبنی بر این‌که آدمی دارای حقیقتی ترکیبی، آن هم ترکیب حقیقی ـ و نه امتزاجی ـ است که شامل هم جسم و هم روح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حیات اصلی از آنِ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عنوان نظریه‌ای جامع‌تر مورد تحلیل و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تلاش می‌کند به تحلیل دقیقی از تبیین هشام بن حکم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نظریه‌پرداز امامی‌مذهب، از مسئله حقیقت انسان که به نظر می‌رسد همان ایدۀ اساسی متکلمان امامیه در عصر حضور است، بپردازد؛ دیدگاهی که پس از حدود یک قرن در تعامل عمیق امامیه با معتزله کم‌کم به حاشیه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مشکلاتی که دیدگاه روح‌انگارانه و یا جسم‌انگارانۀ محض در باب حقیقت</w:t>
      </w:r>
    </w:p>
    <w:p>
      <w:pPr>
        <w:pStyle w:val="BookText"/>
        <w:rPr/>
      </w:pPr>
      <w:r>
        <w:rPr>
          <w:rFonts w:ascii="IRNazanin" w:hAnsi="IRNazanin" w:eastAsia="IRNazanin"/>
          <w:color w:val="111111"/>
          <w:sz w:val="28"/>
          <w:sz w:val="28"/>
          <w:szCs w:val="28"/>
          <w:rtl w:val="true"/>
          <w:lang w:bidi="fa-IR"/>
        </w:rPr>
        <w:t>انسان به وجود می‌آورد، همواره پژوهش‌گران به دنبال راه‌حل‌های جای‌گزین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خصوصاً در دورۀ معاصر در بسیاری از موارد به جسم‌انگاری مدرن روح انجامیده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برای نمونه به فیلسوفان برجسته‌ای همچون هانری برگسون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می‌شود که هرچند به تمایز خارجی نفس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دکارت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Skirry, Justin, René Descartes: The Mind</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Body Distinction, in: IEP (Internet Encyclopedia of Philosophy). Link: http://www.iep.utm.edu/descmind/SH2a</w:t>
      </w:r>
    </w:p>
    <w:p>
      <w:pPr>
        <w:pStyle w:val="BookText"/>
        <w:rPr/>
      </w:pPr>
      <w:r>
        <w:rPr>
          <w:rFonts w:ascii="IRNazanin" w:hAnsi="IRNazanin" w:eastAsia="IRNazanin"/>
          <w:color w:val="111111"/>
          <w:sz w:val="28"/>
          <w:sz w:val="28"/>
          <w:szCs w:val="28"/>
          <w:rtl w:val="true"/>
          <w:lang w:bidi="fa-IR"/>
        </w:rPr>
        <w:t>هم‌چنین برای اطلاعات دقیق‌تر در میان آثار اصلی انگلیسی، به ترجمه آثار فلسفی دکارت به انگلیسی با این اطلاعات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Descartes, 1984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II, p16</w:t>
      </w:r>
    </w:p>
    <w:p>
      <w:pPr>
        <w:pStyle w:val="BookText"/>
        <w:rPr/>
      </w:pPr>
      <w:r>
        <w:rPr>
          <w:rFonts w:ascii="IRNazanin" w:hAnsi="IRNazanin" w:eastAsia="IRNazanin"/>
          <w:color w:val="111111"/>
          <w:sz w:val="28"/>
          <w:sz w:val="28"/>
          <w:szCs w:val="28"/>
          <w:rtl w:val="true"/>
          <w:lang w:bidi="fa-IR"/>
        </w:rPr>
        <w:t>قائل نبود، اما از</w:t>
      </w:r>
    </w:p>
    <w:p>
      <w:pPr>
        <w:pStyle w:val="BookText"/>
        <w:rPr/>
      </w:pPr>
      <w:r>
        <w:rPr>
          <w:rFonts w:ascii="IRNazanin" w:hAnsi="IRNazanin" w:eastAsia="IRNazanin"/>
          <w:color w:val="111111"/>
          <w:sz w:val="28"/>
          <w:sz w:val="28"/>
          <w:szCs w:val="28"/>
          <w:rtl w:val="true"/>
          <w:lang w:bidi="fa-IR"/>
        </w:rPr>
        <w:t>جهت اعتقادش به تمایز مفهومی روح و بدن و از جهت واحدانگاری حقیقت نفس و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یا نفس دارای سیر صعودی و ماده و حافظه دارای سیر نزولی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ملاصدرا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جسمانیۀ الحدوث و روحانیۀ البقاست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پیری ـ ایسماعیلوف،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فیلیپ کلایتون، استاد مدرسۀ عقاید کلارمونت </w:t>
      </w:r>
      <w:r>
        <w:rPr>
          <w:rStyle w:val="FootnoteAnchor"/>
          <w:rtl w:val="true"/>
        </w:rPr>
        <w:footnoteReference w:id="9"/>
      </w:r>
      <w:r>
        <w:rPr>
          <w:rFonts w:ascii="IRNazanin" w:hAnsi="IRNazanin" w:eastAsia="IRNazanin"/>
          <w:color w:val="111111"/>
          <w:sz w:val="28"/>
          <w:sz w:val="28"/>
          <w:szCs w:val="28"/>
          <w:rtl w:val="true"/>
          <w:lang w:bidi="fa-IR"/>
        </w:rPr>
        <w:t>ایالت کالیفرنیا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می‌شود که در کتاب خود با عنوان ذهن و نوپدیدارگروی با رویکرد نوپدیدارگروی حداکثری، دیدگاهی مشابه علامه و ملاصدرا البته با رویکردی جسمی </w:t>
      </w:r>
      <w:r>
        <w:rPr>
          <w:rStyle w:val="FootnoteAnchor"/>
          <w:rtl w:val="true"/>
        </w:rPr>
        <w:footnoteReference w:id="10"/>
      </w:r>
      <w:r>
        <w:rPr>
          <w:rFonts w:ascii="IRNazanin" w:hAnsi="IRNazanin" w:eastAsia="IRNazanin"/>
          <w:color w:val="111111"/>
          <w:sz w:val="28"/>
          <w:sz w:val="28"/>
          <w:szCs w:val="28"/>
          <w:rtl w:val="true"/>
          <w:lang w:bidi="fa-IR"/>
        </w:rPr>
        <w:t>و ذهن‌گرایانه ارائه داده</w:t>
      </w:r>
      <w:bookmarkStart w:id="27" w:name="pg3261_16435"/>
    </w:p>
    <w:p>
      <w:pPr>
        <w:pStyle w:val="BookText"/>
        <w:rPr/>
      </w:pPr>
      <w:bookmarkEnd w:id="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Clayton, 2004, especially 12, 19, 32, 39, 60, 61, 62, 93, 98, 147,149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پایان‌نامه، به‌خصوص صفحات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تا کنون دیدگاه‌های متکلمان، به‌خصوص متکلمان امامیه کمتر مورد توجه پژوهش‌گران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کسانی که به طور مستقیم به این موضوع پرداختند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که در اثر وزین خود با دقت بسیاری به تبیین تاریخی اندیشۀ هشام بن حکم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هیچ‌یک از متکلمان مسلمان مانند هشام، دوگانگی نفس و بدن را تا این اندازه مورد تأکید قرار نداده است؛ رأیی که برای شیعیان کوفه نیز متعارف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 Ess, 1991, 1: 368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به نظر می‌رسد دربارۀ دیدگاه ممتاز هشام بن حکم مبتنی بر احادیث و روایات که در عین تمایل به حقیقت نورانی روح، از توجه به جسم فیزیکی آدمی غافل نشده و توانسته است به تبیین رابطه‌ای با قابلیت توجیه عقلانی بین این دو بپردازد، هیچ کار متمرکزی تا کنون انجام نشده است</w:t>
      </w:r>
    </w:p>
    <w:p>
      <w:pPr>
        <w:pStyle w:val="Heading3"/>
        <w:numPr>
          <w:ilvl w:val="2"/>
          <w:numId w:val="1"/>
        </w:numPr>
        <w:rPr/>
      </w:pPr>
      <w:bookmarkStart w:id="28" w:name="__RefHeading___Toc2051523_2749589250"/>
      <w:bookmarkStart w:id="29" w:name="_Toc11"/>
      <w:bookmarkEnd w:id="28"/>
      <w:r>
        <w:rPr>
          <w:rtl w:val="true"/>
        </w:rPr>
        <w:t>دیدگاه‌های موجود در عصر هشام بن حکم</w:t>
      </w:r>
      <w:bookmarkEnd w:id="29"/>
    </w:p>
    <w:p>
      <w:pPr>
        <w:pStyle w:val="BookText"/>
        <w:rPr/>
      </w:pPr>
      <w:r>
        <w:rPr>
          <w:rFonts w:ascii="IRNazanin" w:hAnsi="IRNazanin" w:eastAsia="IRNazanin"/>
          <w:color w:val="111111"/>
          <w:sz w:val="28"/>
          <w:sz w:val="28"/>
          <w:szCs w:val="28"/>
          <w:rtl w:val="true"/>
          <w:lang w:bidi="fa-IR"/>
        </w:rPr>
        <w:t>برای تبیین حقیقتی که هشام بن حکم به دنبال آن بود، تبیین نظریات رایج در دورۀ او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چهار تئوری کلی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فیزیکالیست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حقیقت انسان همین هیکل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 دست و دو پا دارد؛ روحی در میان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w:t>
      </w:r>
    </w:p>
    <w:p>
      <w:pPr>
        <w:pStyle w:val="BookText"/>
        <w:rPr/>
      </w:pPr>
      <w:r>
        <w:rPr>
          <w:rFonts w:ascii="IRNazanin" w:hAnsi="IRNazanin" w:eastAsia="IRNazanin"/>
          <w:color w:val="111111"/>
          <w:sz w:val="28"/>
          <w:sz w:val="28"/>
          <w:szCs w:val="28"/>
          <w:rtl w:val="true"/>
          <w:lang w:bidi="fa-IR"/>
        </w:rPr>
        <w:t>نظریۀ روح‌انگار حقیقت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تئوری به دو گروه اصلی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تفسیری از روح ارائه دادند که با تفسیر فلاسفۀ نخستین هم‌خوانی داشت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see: W.E.M, 1999: 866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مجرد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دستۀ دیگری از متکلمان در عین اعتقاد به روح و مخالفت با جسم‌انگاری، با هر گونه برداشت تجریدی از روح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روح غیرجسمانی الزاماً به معنای روح با مفهوم تجرد فلسفی نبود، بلکه روح عبارت بود از حقیقتی که خودش فاعل و کنش‌گر بوده و آثاری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دیدگاه عمدتاً شامل نظریۀ نفس مستقل و نظریۀ روح منطبعه نظّام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اطلاعات بیشتر در این 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نعیم‌آبادی،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سوم، نظریه</w:t>
      </w:r>
      <w:bookmarkStart w:id="30" w:name="pg3261_16436"/>
    </w:p>
    <w:p>
      <w:pPr>
        <w:pStyle w:val="BookText"/>
        <w:rPr/>
      </w:pPr>
      <w:bookmarkEnd w:id="30"/>
      <w:r>
        <w:rPr>
          <w:rFonts w:ascii="IRNazanin" w:hAnsi="IRNazanin" w:eastAsia="IRNazanin"/>
          <w:color w:val="111111"/>
          <w:sz w:val="28"/>
          <w:sz w:val="28"/>
          <w:szCs w:val="28"/>
          <w:rtl w:val="true"/>
          <w:lang w:bidi="fa-IR"/>
        </w:rPr>
        <w:t>معروف جزء لایتجزی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متکلمان در دورۀ هشام بن حکم معتقد به جزء لایتجزی یا ذرات غیرقابل تقسیم یا همان نظریه اتم‌ها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این دیدگاه که احتمال یونانی بودن آن نیز منتفی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نفیسه،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است که حقیقت انسان عبارت است از ذره‌ای در بدن که غیر قابل تجزیه است و بقیۀ اجزای بدن در خدمت آن جزء هستند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1" w:name="__RefHeading___Toc2051525_2749589250"/>
      <w:bookmarkStart w:id="32" w:name="_Toc12"/>
      <w:bookmarkEnd w:id="31"/>
      <w:r>
        <w:rPr>
          <w:rtl w:val="true"/>
        </w:rPr>
        <w:t>امامیه و نظریۀ دوآلیستی واقعی</w:t>
      </w:r>
      <w:bookmarkEnd w:id="32"/>
    </w:p>
    <w:p>
      <w:pPr>
        <w:pStyle w:val="BookText"/>
        <w:rPr/>
      </w:pPr>
      <w:r>
        <w:rPr>
          <w:rFonts w:ascii="IRNazanin" w:hAnsi="IRNazanin" w:eastAsia="IRNazanin"/>
          <w:color w:val="111111"/>
          <w:sz w:val="28"/>
          <w:sz w:val="28"/>
          <w:szCs w:val="28"/>
          <w:rtl w:val="true"/>
          <w:lang w:bidi="fa-IR"/>
        </w:rPr>
        <w:t>دیدگاه امامیۀ نخستین هرچند به دلایلی بعدها دچار تغییرات جدی شد، در این دوره از یک تمایز آشکار نسبت به همۀ دیدگاه‌ها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تمایز غیر از این‌که مبتنی بر روایات و راهنمایی‌های امامان امامیه است که از علم لدنی و ماورائی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مرهون نظریه‌پردازی شخصیت‌های عقل‌گرای برجسته‌ای همچون هشام بن حکم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برجستۀ این نظریه آن است که باید میان ساحت‌های مختلف بحث در حقیقت انسان، تفکیکی اساسی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زمانی که دربارۀ هویت انسان در این دنیا بحث می‌شود، اشاره به مجموعۀ کاملی از روح و جسم می‌شود که در کنار هم و با ترکیبی حقیقی ـ نه انضمامی ـ حقیقت انسان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زمانی که از عنصر اصلی انسان بحث می‌شود، سخن از روح به میان می‌آید که می‌تواند با جسم یا بدون آن فاعلیت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ـ چنانچه خواهد آمد ـ می‌تواند ما به الامتیاز انسان باشد و می‌تواند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 حدی وجه تمایز دیدگاه امامیه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که ما ترجیحاً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 واقعی</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زیادی تسامحاً از آن تعبیر به دوآلیسم می‌کنند؛ و هم‌چنین در برابر دوآلیست بشر بن معتمر و هشام بن عمرو</w:t>
      </w:r>
    </w:p>
    <w:p>
      <w:pPr>
        <w:pStyle w:val="BookText"/>
        <w:rPr/>
      </w:pPr>
      <w:r>
        <w:rPr>
          <w:rFonts w:ascii="IRNazanin" w:hAnsi="IRNazanin" w:eastAsia="IRNazanin"/>
          <w:color w:val="111111"/>
          <w:sz w:val="28"/>
          <w:sz w:val="28"/>
          <w:szCs w:val="28"/>
          <w:rtl w:val="true"/>
          <w:lang w:bidi="fa-IR"/>
        </w:rPr>
        <w:t xml:space="preserve">که چنانچه خواهد آمد در عین ترکیب حقیقی روح و بدن، برای هیچ‌یک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یا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قائل</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می‌کنیم، در میان عمدۀ</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w:t>
      </w:r>
      <w:r>
        <w:rPr>
          <w:rStyle w:val="FootnoteAnchor"/>
          <w:rtl w:val="true"/>
        </w:rPr>
        <w:footnoteReference w:id="16"/>
      </w:r>
      <w:r>
        <w:rPr>
          <w:rFonts w:ascii="IRNazanin" w:hAnsi="IRNazanin" w:eastAsia="IRNazanin"/>
          <w:color w:val="111111"/>
          <w:sz w:val="28"/>
          <w:sz w:val="28"/>
          <w:szCs w:val="28"/>
          <w:rtl w:val="true"/>
          <w:lang w:bidi="fa-IR"/>
        </w:rPr>
        <w:t xml:space="preserve">رواج داشت و عملاً تا زمان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جدی دربارۀ آن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امام کاظم  علیه السلام   طأطریون نیز به این دیدگاه معتقد بودند </w:t>
      </w:r>
      <w:r>
        <w:rPr>
          <w:rStyle w:val="FootnoteAnchor"/>
          <w:rtl w:val="true"/>
        </w:rPr>
        <w:footnoteReference w:id="17"/>
      </w:r>
      <w:r>
        <w:rPr>
          <w:rFonts w:ascii="IRNazanin" w:hAnsi="IRNazanin" w:eastAsia="IRNazanin"/>
          <w:color w:val="111111"/>
          <w:sz w:val="28"/>
          <w:sz w:val="28"/>
          <w:szCs w:val="28"/>
          <w:rtl w:val="true"/>
          <w:lang w:bidi="fa-IR"/>
        </w:rPr>
        <w:t xml:space="preserve">و این فرآیند به غیر از گروهی از معتزلیان شیعه شده تا دورۀ نوبختیان ادامه پیدا کرد تا این‌که در زمان سید مرتضی دچار چرخش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تقسیم اشعری در این باره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فرقۀ اولی که اشعری در نظریۀ حقیقت انسان در میان امامیه بدان اشاره می‌کند، مربوط به دوران حضور است که گروه نخست همان نظریۀ ممتاز امامیه است که مورد نظریه‌پردازی هشام بن حکم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نیز آن‌چنان که گفته شد، ارتباطی به امامیه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و چهارم مربوط به دوران خود اشعری، یعنی اواخر قرن سوم و اوایل قرن چهارم در عصر خاندان نوبختی و بعد از ابن‌راوندی است</w:t>
      </w:r>
      <w:r>
        <w:rPr>
          <w:rStyle w:val="FootnoteAnchor"/>
          <w:rtl w:val="true"/>
        </w:rPr>
        <w:footnoteReference w:id="19"/>
      </w:r>
      <w:r>
        <w:rPr>
          <w:rFonts w:ascii="IRNazanin" w:hAnsi="IRNazanin" w:eastAsia="IRNazanin"/>
          <w:color w:val="111111"/>
          <w:sz w:val="28"/>
          <w:sz w:val="28"/>
          <w:szCs w:val="28"/>
          <w:rtl w:val="true"/>
          <w:lang w:bidi="fa-IR"/>
        </w:rPr>
        <w:t>که گروه‌هایی از امامیه، دیگر به قول نظّام و حتی ابوالهذیل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بین معتزلیان، یک گروه نظّامی بودند که تئوری نظّامی داشتند و یک گروه ابوالهذیلی بودند که هر دوی این‌ها در این دورۀ تاریخی شیعه شدند و از طریق آن‌ها دیدگاه نظّامیه و ابوالهذیلی به امامیه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اشعری</w:t>
      </w:r>
    </w:p>
    <w:p>
      <w:pPr>
        <w:pStyle w:val="BookText"/>
        <w:rPr/>
      </w:pPr>
      <w:r>
        <w:rPr>
          <w:rFonts w:ascii="IRNazanin" w:hAnsi="IRNazanin" w:eastAsia="IRNazanin"/>
          <w:color w:val="111111"/>
          <w:sz w:val="28"/>
          <w:sz w:val="28"/>
          <w:szCs w:val="28"/>
          <w:rtl w:val="true"/>
          <w:lang w:bidi="fa-IR"/>
        </w:rPr>
        <w:t xml:space="preserve">در حقیقت به ریشه‌های نظریۀ امثال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دیدگاه ابوالهذیلی داشتند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تمایز آشکار میان امامیۀ نخستین با اندیشه‌های دیگر آن دوره و حتی خود امامیه در دوره‌های میانه تا کنون مشخص می‌شود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دوآلیسمی که امامیه از حقیقت انسان مدنظر داشت، با در کنار هم دیدن مجموعۀ روایات دربارۀ حقیقت انسان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از تفکیک این روایات جداسازی نتایج آن‌ها نیست، بلکه مشاهده مجموعۀ این روایات در کنار هم، ما را با ایدۀ چندمحوری امامیه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روایت‌ها به ما واقعیتی از روح را نشان می‌دهد که جنبه‌ای کاملاً جسمانی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روایاتی که صحبت از مفارقت روح از بدن می‌کنند، خصوصاً به دلیل عدم سنخیت نفس مجرد با جسم، نمی‌توانند معنایی به جز جدا شدن ماده‌ای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هرچند با خصوصیات متفاوت ـ از ماده‌ای جسمانی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خصوصیات جسمانی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که صحبت از متلاشی شدن یا نشدن روح بعد از مفارقت از بدن به میان می‌آورند یا دربارۀ اقامت روح در مکان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محسن در روشنایی و فسحت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گنهکار در تنگی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واضح‌تر، روایاتی که فرمول جسمانی روح را بیان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دسته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ظاهراً نخستین بار در احتجاجات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نوعی اشعار به جسم‌انگاری روح دارد و به برجسته کردن بخش جسمانی و الزاماً غیرمجرد روح پرداخته است، بخش عمده‌ای از این خصوصیات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روح از خون است و رطوبت جسم و صفای رنگ و صدای خوش و خندۀ زیاد همگی از خون نشئت می‌گیرد؛ پس زمانی که خون جامد شد، روح از بدن فارق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همچون باد در مشک، جسم را پر می‌کند، اما چیزی به وزن آن نمی‌افزاید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که جسم را پر می‌کند، ولی چیزی به وزن آن نمی‌افزاید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الآن اطمینان داریم هوا هم وزن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تمثیلی برای مخاطب آن دوره و تفهیمی برای مخاطب مدرن تلقی شود که در آن روح در عین برخورداری از کیفیت جسمانی اما چیزی است که فاقد برخی خصوصیات جسم مثل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مناقب ما را به گونۀ دیگری با جنبۀ جسمانی روح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ابتدا چشم را ابزاری برای دیدن روح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تکه دنبه‌ای سفید و سیاه است و دیدن، کار روح است نه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کور می‌شود، مثل این است که خورشید با تاریکی پوشاند شده باشد؛ همان‌طور که خورشید کره‌اش در آسمان است و شعاعش روی زمین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روح در مغز است و شعاعش در تمام بدن پخش می‌شود و همان‌طور که با غیبت کُره خورشید، شمس منتفی می‌شود، با قطع سر نیز دیگر روحی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دیگری از روایات نیز توجه ما را به خود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روشنی سخن از بقای روح اما باز هم با جنبۀ جسمانی به میان می‌آورند، می‌توانند ما را به مفهومی از روح نزدیک کنند که در عین داشتن مفهوم بقا، با تلقی فلاسفه از تجرد روح همسانی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احتجاج به نقل مناظره‌ای در مقابل زندیقی که به فنای روح بعد از مرگ اعتقاد داشت،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روح را به چراغی تشبیه می‌کند که بعد از خاموش شدن نورش رفته و باز نمی‌گردد؛ به همین ترتیب، بعد از مرگ و مفارقت روح از بدن، دیگر مراجعتی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ردّ این تشبیه، تشبیه دیگری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به منزلۀ چراغ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در اجسام ثابت است و نور 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 و غیرثابت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جسمی رقیق است که لباسی کثیف بر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بعد از مرگ در همان محل فرود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بعث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شرایط مرگ غیرطبیعی، مثل به صلیب کشیده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خورده شدن به توسط گرگ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چون در این صورت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معلوم شد جنبۀ جسمانی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دستان فرشته مرگ </w:t>
      </w:r>
      <w:r>
        <w:rPr>
          <w:rStyle w:val="FootnoteAnchor"/>
          <w:rtl w:val="true"/>
        </w:rPr>
        <w:footnoteReference w:id="21"/>
      </w:r>
      <w:r>
        <w:rPr>
          <w:rFonts w:ascii="IRNazanin" w:hAnsi="IRNazanin" w:eastAsia="IRNazanin"/>
          <w:color w:val="111111"/>
          <w:sz w:val="28"/>
          <w:sz w:val="28"/>
          <w:szCs w:val="28"/>
          <w:rtl w:val="true"/>
          <w:lang w:bidi="fa-IR"/>
        </w:rPr>
        <w:t>تا زمانی که به زمین بازگردانده شود، به امانت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هم‌چنین بعد از این‌که از قالب خود خارج شد، دچار تلاشی و از‌هم‌گسیختگی نمی‌شود و تا نفخ صور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دستۀ دیگری از روایات، روح به معنای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معلوم نیست آیا روحی که منطقاً شبیه چیزی است که ما آن را جان می‌دانیم با روحی که بخش دومِ حقیقت انسان است، تفاوت ماهوی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 xml:space="preserve">به معنای نخست، از پا وارد بدن می‌شود و به پای آدمی جان و قدرت لازم برای حرکت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جسم دمیده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و محرک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روح فیک تحرّکُک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نهایت زمانی که از بدن خارج می‌شود، بیشترین آفات بدنی ظهور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مجموعه‌هایی از روایات، ذهن ما را با ماهیت جسمانی روح گره می‌زند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باشد اکنون دیگر می‌توان با وسعت نظر بهتری، روایاتی را که مبتنی بر آن دیدگاه دوآلیستی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و روح دو حقیقت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مورد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گاهی نزدیکی بیشتری با دوآلیسم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به عنوان بخشی از ارکان اساسی انسان در کنار نار و نور قرار دارد و بدن آدمی دارای چهار طبع، چهار رکن و چهار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یکی از این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 و بلغم، طبایع آدمی و عقل، ستون آدمی است که شامل فهم و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همان ترتیب که خوردن و آشامیدن آدمی به نار و فهم طعم‌ها به آب منتسب شده، تحرک به روح منتسب شده است؛ به طوری که اگر روح نباشد حرکات ظاهری انسان غیرممکن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روح به وسیلۀ نفس انجام می‌شود؛ نفسی که حرکتش از 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حرکاتی که از نفس مؤمن سر می‌زند، نوری است که مورد تأیید عقل است و آن‌هایی که از نفس کافر سر می‌زند، آتشی است که مورد تأیید نکراء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شیطنت‌آمیز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دو شأن دنیایی و آخرتی خلق شده که شأن دنیایی آن جسم و شأن آخرتی آن روح و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با همان دو حیثیت پیش‌گفته در نظریۀ دوآلیستی روح گره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بحث نظریۀ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مفهوم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نور که برخلاف جسم، شأنی آخرتی و آسمانی دارند بعد از مرگ جسد را ترک می‌کنند و به آسمان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به ما گوشزد می‌کند که روح نمی‌تواند فارع از محدودیت‌های مکانی باشد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گزارش کفایۀ الأثر هرچند در بعضی بخش‌ها غریب به نظر می‌آید، اما حتی در صورت جعلی بودن می‌تواند مورد استناد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روایات نیز به هر صورت و به طور عمده مبتنی</w:t>
      </w:r>
      <w:bookmarkStart w:id="33" w:name="pg3261_16441"/>
    </w:p>
    <w:p>
      <w:pPr>
        <w:pStyle w:val="BookText"/>
        <w:rPr/>
      </w:pPr>
      <w:bookmarkEnd w:id="33"/>
      <w:r>
        <w:rPr>
          <w:rFonts w:ascii="IRNazanin" w:hAnsi="IRNazanin" w:eastAsia="IRNazanin"/>
          <w:color w:val="111111"/>
          <w:sz w:val="28"/>
          <w:sz w:val="28"/>
          <w:szCs w:val="28"/>
          <w:rtl w:val="true"/>
          <w:lang w:bidi="fa-IR"/>
        </w:rPr>
        <w:t xml:space="preserve">بر داده‌هایی بوده است که بعضی از آن‌ها داده‌های مفروغ عنه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واحدی است که برخلاف خداوند، دو معنایی است و شامل جسم و عرَض و بدن و روح می‌شود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در این‌جا به روایت دیگری از کفایۀ الأثر نیز می‌توان استناد کرد؛ این روایت از این جهت که عقل را راهبر روح می‌داند، وجود جنبۀ دومی را برای انسان روشن می‌کند که روح نام دارد و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جنبۀ جسمانی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رازی،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روایات به طرز لطیف‌تری به دو جنبه از حقیقت انسان در این دنیا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خلقت روح در کنار مفهوم خلقت جسم در همان روایات یا روایات دیگر به میان می‌آید، تا حد زیادی به ایدۀ دوئالیسم نزدیک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این‌که در این‌جا روح منتسب به خود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دو مفهوم بدن و روح در کنار هم قرار دارند؛ مثل روایات حاوی این حکم که بعد از دمیده شدن روح در جنین، مبلغ دیۀ او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نظر می‌رسد دیدگاه امامیۀ نخستین که با هوشیاری توسط متکلم برجسته‌ای مثل هشام بن حکم به نظریه‌ای کلامی تبدیل شد، ما را به این واقعیت رهنمون می‌کند که حقیقت انسان در این دنیا دارای ترکیبی حقیقی از روح و بدن است و البته در ساحت‌های مختلف دیگر مثل خواب، مرگ، دنیای دیگر یا هر چیزی غیر از آنچه در ظاهر این عالم دیده می‌شود، می‌تواند بدون نیاز به هیچ بدنی به فعالیت مدرِکانه بپردازد</w:t>
      </w:r>
      <w:r>
        <w:rPr>
          <w:rFonts w:eastAsia="IRNazanin" w:cs="IRNazanin"/>
          <w:color w:val="111111"/>
          <w:sz w:val="28"/>
          <w:szCs w:val="28"/>
          <w:rtl w:val="true"/>
          <w:lang w:bidi="fa-IR"/>
        </w:rPr>
        <w:t>.</w:t>
      </w:r>
    </w:p>
    <w:p>
      <w:pPr>
        <w:pStyle w:val="Heading3"/>
        <w:numPr>
          <w:ilvl w:val="2"/>
          <w:numId w:val="1"/>
        </w:numPr>
        <w:rPr/>
      </w:pPr>
      <w:bookmarkStart w:id="34" w:name="__RefHeading___Toc2051527_2749589250"/>
      <w:bookmarkStart w:id="35" w:name="_Toc13"/>
      <w:bookmarkEnd w:id="34"/>
      <w:r>
        <w:rPr>
          <w:rtl w:val="true"/>
        </w:rPr>
        <w:t>نظریۀ هشام بن حکم</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نظریه‌ای که هشام بن حکم در تبیین عقلانی انسان‌شناسی متناظر به روایات به دنبال آن بود، مبتنی بر تفکیکی بود که متکلمان معتزلی در همان دوره و متکلمان دیگر حتی امامیه در دوره‌های بعد و هم‌چنین فلاسفه در همۀ ادوار از آن چشم‌پوشی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عبارت بود از چیزی که الآن باید آن را تجدید نظری در صورت مسئله بحث حقیقت انسان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حقیقت و ماهیت انسان در سه ساحت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نخست تمام هویت انسان، ساحت دوم وجه ما به الامتیاز انسان و ساحت سوم عنصر ثابت و اصلی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با سه مقوله مواجهیم که شاخص تحقق آن سه مقوله با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نخست، یعنی تمام هویت انسان از دیدگاه متمایز هشام بن حکم عبارت است از روح و بدن به معنای تمام خصوصیاتی که الآن و در این دنیا بخشی از هویت انسان را شکل می‌دهند، به طوری که اطلاق نام انسان در نظر اول دایر مدار آن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هشام بن حکم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ساحت تمام هویت روح و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ما را در این باره که هشام با متکلمانی همچون بُشر و هشام بن عمرو که در ظاهر به حقیقتی ترکیبی برای انسان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عبدالجبار به تفاوت دیدگاه هشام بن حکم با هشام بن عمرو و بُشر بدین‌گونه توجه نشان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ان الجسد 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عبدالجبار هوشیارانه به این بخش از نظریۀ هشام که به ما اجازه می‌دهد در عین ترکیب حقیقی روح و بدن، بخشی از حقیقت انسان را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مدرک است و فعال و 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را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بیاوریم،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نیز وقتی سخن از انسان به میان می‌آید، تمام خصوصیات انسان جزء حقیقت انسان شمرده می‌شود؛ لذا در بیان جنبه‌های جسمانی انسان سخن از خلقت انسان از سلاله‌ای از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انسان به صورت نطفه در رحم و تبدیل فرآیندی آن به علقه، مضغه، استخوان و گوشت به میان آمده است که خلق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نهایی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جاهای دیگر، سخن از جزئی از حقیقت انسان به میان می‌آید که اصلی است و با مرگ از بین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نظریۀ هشام بن حکم، ساحت دوم از حقیقت انسان که همان وجه ما به الامتیاز انسان است، برخلاف چیزی که تجردانگاران خود را بدان ملزم می‌کنند، عقل و حریت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تجردانگاران برای متمایز کردن انسان از سایر موجودات، خود را ملزم می‌کنند که به تجرد روح آدمی معتقد شوند، در حالی که وجه ما به الامتیاز انسان از سایر موجودات طبق تعالیم قرآن و روایات، عقل و حریت اراده یا قدرت اراده است و بر این اساس است که انسان برخلاف موجودات دیگر مکلف به تکالیفی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توجه ما را به انواع ادراکاتی که از طریق انسان حاصل می‌شود و در قرآن بدان اشاره شده است،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ادراکات که شامل ظن، حسبان، شعور، ذکر، عرفان، فهم، فقه، درایه، یقین، فکر، رأی، زعم، حفظ، حکمت، خبره، شهاده، عقل، قول، فتوا و بصیرت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وجه ما</w:t>
      </w:r>
    </w:p>
    <w:p>
      <w:pPr>
        <w:pStyle w:val="BookText"/>
        <w:rPr/>
      </w:pPr>
      <w:r>
        <w:rPr>
          <w:rFonts w:ascii="IRNazanin" w:hAnsi="IRNazanin" w:eastAsia="IRNazanin"/>
          <w:color w:val="111111"/>
          <w:sz w:val="28"/>
          <w:sz w:val="28"/>
          <w:szCs w:val="28"/>
          <w:rtl w:val="true"/>
          <w:lang w:bidi="fa-IR"/>
        </w:rPr>
        <w:t>به الامتیاز انسان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به همین ترتیب، در روایات امامیه از عقل به عنوان چیزی که مورد امر و نهی یا ثواب و عقاب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چیزی که خداوند با آن عبادت می‌شود یا بهشت به وسیلۀ آن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توضیحات تفصیلی عمیقی دربارۀ عقل در روایت مفصلی که از هشام بن حکم نقل شده است،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آدمی نیز از این جهت که با ارادۀ الهی مورد مقایسه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عنوان وجه ممتاز انسان از دیگر موجودات مدنظر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سوم نیز عنصر اصلی انسان است که همان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انسانی، هم واجد عنصر ما به الامتیاز انسان، یعنی عقل و قدرت اراده، و هم واجد اشتراکاتی با موجودات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نظریۀ هشام بن حکم این امکان را برای ما فراهم می‌کند که بگوییم انسان می‌تواند با حقیقت اصلی‌اش، همراه با یا بدون چیز دیگری ـ مثل بدن ـ به فعالیت مُدرکانه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هیچ‌گاه پاسخ‌ها درباره سؤال از ماهیت انسان در سنت فلسفی و هم‌چنین سنت متکلمان معتزلی و متکلمان متأخر امامیه تمییز داده نشده‌اند، اما امامیۀ نخستین و در رأس آن‌ها هشام بن حکم به این موضوع عمیقاً توجه داشتند که باید به پاسخی پرداخت که همه شئون حقیقت انسان را در همۀ ساحت‌ها در بر بگیرد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سخن هشام در پاسخ به پرسش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اصلی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چیزی است که در ابتدا ما را در این باره که هشام هم‌رأی با فلاسفه است، دچار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معرفی بدن به عنوان جزء موات، با تأکید بسیاری روح را فاعل درک‌کننده و حساس و پس از آن بلافاصله به عنوان نوری از انوار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فالبدن موات و الروح هی الفاعلۀ الدراکۀ الحساسۀ و هی نور من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مرده محسوب شود، پس به آسانی می‌تواند معادل همان چیزی باشد که تفکر رایج فلسفی معاصر هشام از آن تعبیر به ابزار یا آلت روح می‌کردند که هیچ اختیاری از خود ندارد و همۀ حواس جسمانی، مثل چشم و گوش و لامسه نیز در حقیقت هرگز فاعل افعال نیستند و تمام تدابیرِ حتی حسی با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مجموعۀ نظام متکاملی که هشام از حقیقت انسان ارائه می‌دهد، ما را با این واقعیت مواجه می‌کند که هرچند هشام دربارۀ حقیقت انسان جسم‌انگار نیست، اما هرگز تمایلی هم به تجردانگاری فلسفی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نظریۀ هشام از میان مناظرۀ مهم بین هشام بن حکم و شاگرد معتزلی‌اش نظّام دربارۀ روح، قابل بازیابی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پرسش اولی که نظّام از هشام بن حکم مطرح می‌کند، روشن می‌کند که نظّام این پیش‌فرض را در مورد استادش هشام بن حکم در نظر دارد که هشام روح را در حالتی نزدیک به تجرد می‌داند، زیرا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معلوم است می‌داند در دیدگاه هشام، روح دو حالت دارد که در یکی انشغال به جسد دارد و در دیگری از استخدام جسد برای ادراک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زیرکانه از هشام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می‌کنی که روح در حالت عدم استخدام جسد می‌تواند اشخاص و اَشکال را درک کند؟ هشام در پاسخ به این پرسشِ نظّام، با دقت فراوانی به بیان تفاوت‌هایی از جسم و روح می‌پردازد که روح را چند پله از جسم بالاتر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می‌کند که جسم محل تضاد است؛ تضادی که یکی از دو سوی آن ـ که سکون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خواب که در آن جسم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ادراک را زایل می‌کند، اما روح نمی‌تواند تضاد داشته باشد و سکون در آن راه ندارد، چون قوه‌ای است که ـ همان‌طور که اشعری هم اشاره کرد</w:t>
      </w:r>
      <w:r>
        <w:rPr>
          <w:rStyle w:val="FootnoteAnchor"/>
          <w:rtl w:val="true"/>
        </w:rPr>
        <w:footnoteReference w:id="27"/>
      </w:r>
      <w:r>
        <w:rPr>
          <w:rFonts w:ascii="IRNazanin" w:hAnsi="IRNazanin" w:eastAsia="IRNazanin"/>
          <w:color w:val="111111"/>
          <w:sz w:val="28"/>
          <w:sz w:val="28"/>
          <w:szCs w:val="28"/>
          <w:rtl w:val="true"/>
          <w:lang w:bidi="fa-IR"/>
        </w:rPr>
        <w:t>ـ همیشه زنده و ذاتاً درّاک است و خود می‌تواند این درک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در جسم اگر یکی از حواس به 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بشود و از فعالیت بیفتد، ادراک از بین می‌رود، اما در روح وقتی از بدن جدا می‌شود، دیگر انشغالی به بدن ندارد، بلکه خودش حساس، درّاک و فاعل است و حالت سکون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نظریۀ هشام به دنبال تبیین نوعی تجرد نسبی برای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تئوری هشام در پرسش دوم نظّام قابل بازیابی است، زیرا هشام در پاسخ به آن، توجه ما را به خصوصیت دیگری از روح، یعنی انبساط و ارتفاع جلب می‌کند که با قوّت زیادی با مفهوم مجرد نسبی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نیز همانند عدم تضاد که در بالا گفته شد، بسیاری از محدودیت‌های جسم را از روح سلب می‌کند، زیرا برخلاف جسم ـ که بر اساس روایت کلینی از شخص هشام، قوۀ باصره در مواجهه با حجاب و پرده‌ها، قدرت انفاذ را از دست می‌دهد و در نتیجه نور به محل قبلی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 از طریق هیچ مانعی از</w:t>
      </w:r>
    </w:p>
    <w:p>
      <w:pPr>
        <w:pStyle w:val="BookText"/>
        <w:rPr/>
      </w:pPr>
      <w:r>
        <w:rPr>
          <w:rFonts w:ascii="IRNazanin" w:hAnsi="IRNazanin" w:eastAsia="IRNazanin"/>
          <w:color w:val="111111"/>
          <w:sz w:val="28"/>
          <w:sz w:val="28"/>
          <w:szCs w:val="28"/>
          <w:rtl w:val="true"/>
          <w:lang w:bidi="fa-IR"/>
        </w:rPr>
        <w:t>نظر دید محدود نمی‌شود، زیرا روح انبساط و ارتفاع پیدا می‌کند و از آن مانع یا حجاب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هشام، نظّام را به نکتۀ دیگری نیز توجه می‌دهد و آن این‌که تصور نکن این ادراک روح به صورت توهم و تقدیر و در حالت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این ادراک روح دقیقاً به همان صورتی است که از طریق حواس بدن انجام می‌شد؛ یعنی ملامستاً و حساً آن هم علی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طور 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روح به تنهایی ـ و بدون استفاده از جسد ـ می‌تواند به همان گونه صاحبِ درک شود که اگر با بدن همراه بود،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انسان‌شناسی ویژۀ هشام بن حکم که با دقت زیادی از آموزه‌های قرآن و اهل‌بیت  علیهم السلام  اقتباس شده و هیچ نسبتی با روح مجرد فلاسفه ندارد، مشخص می‌شود؛ زیرا هشام تأکید می‌کند که روح شیء ملموس را نه توهماً و تقدیراً و با صورت‌سازی، بلکه خودش را آن هم در جای خودش درک می‌کند و به همین ترتیب، حس را بدون این‌که حواس ظاهری در کار باشد و جسمی در کار باشد،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ـ برخلاف تصور بعضی که هشام را قائل به نظریه فلسفی تجرد روح می‌پندارند ـ این از امتیازات هشام است که او برای بدن نیز همانند روح به عنوان جزئی از حقیقت انسان اعتبار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نقل قول نه چندان معتبری که عبدالجبار از ابن‌راوندی دربارۀ هشام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شیخ مفید نیز ـ در بدو نظر ـ تردیدی باقی نمی‌گذارد که هشام قائل به روح با قید تجرد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منشأ این اشتباه، برداشت نادرستی است که از دیدگاه هشام و هم‌چنین فلاسفه به دست مفید و پس از آن از سخنان شیخ مفید به دست دیگران صورت گرفته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جمع‌بندی نهایی از نظریۀ هشام بن حکم خاطرنشان می‌شود که باید بین سه ساحت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را با هویت این‌جهانی‌اش و در حالت عادی که می‌شناسیم مدنظر قرار می‌دهیم، حقیقت انسان ترکیبی از روح و بدن است؛ ترکیبی حقیقی نه انضمامی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است به این معنا که حقیقتاً روح بدن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بدون روح، موات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میزانی که روح در آن حضور پیدا می‌کند، واجد خصوصیات روح می‌شود؛ یعنی ادراک، زندگی، اراده و حریت که همۀ این‌ها اولاً برای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 نیست که روح زنده و بدن مرده است، بلکه زمانی که روح در بدن حضور پیدا می‌کند، بدن خودش زنده می‌شود و خودش حقیقتاً مدرِک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شخصی اراده دارد، یعنی همین دست او و همین انگشت‌های او که کاری را انجام می‌دهد صاحب اراده است، هرچند این اراده و قدرت</w:t>
      </w:r>
    </w:p>
    <w:p>
      <w:pPr>
        <w:pStyle w:val="BookText"/>
        <w:rPr/>
      </w:pPr>
      <w:r>
        <w:rPr>
          <w:rFonts w:ascii="IRNazanin" w:hAnsi="IRNazanin" w:eastAsia="IRNazanin"/>
          <w:color w:val="111111"/>
          <w:sz w:val="28"/>
          <w:sz w:val="28"/>
          <w:szCs w:val="28"/>
          <w:rtl w:val="true"/>
          <w:lang w:bidi="fa-IR"/>
        </w:rPr>
        <w:t>به تبع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ـ آن‌طور که فلاسفه می‌گویند ـ جسم را عصا نمی‌کند، بلکه جسم بخشی از هویت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بهتر است نسبت روح و جسم را به آهنی که گداخته شده و به حدی می‌رسد که تمام آهن تبدیل به آتش می‌شود تشبیه کنیم؛ دیگر آهن و آتشی در کار نیست، بلکه آنچه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دوم که وجه ما به الامتیاز انسان، یعنی عقل و اراده است، باز هم این وجه ما به الامتیاز اولاً به روح داده می‌شود، زیرا در ساحت سوم دیگر ماجرا از این قرار است که ما به روح به عنوان بخش اصلی و مستقل حقیقت انسان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اصلی هرچند مجرد است، اما مجرد نسبی است؛ بدین معنا که دارای بُعد و کمیت و کیفیت و حرکت و نقل و انتقال است، اما نه از نوعی که در این دنیا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دارد، اما نه بُعدی که ما در این دنیا داریم؛ لذا خیلی راحت‌تر از این دنیا در آن تداخل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هشام دربارۀ روح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من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موضوع اشاره دارد که روح که حیات و ادراک از آنِ اوست، از کثافت و تاریکی این دنیا بهره‌ای ندارد؛ نوعی تجرید و مفهوم فرامادی که خصوصیات این دنیا با این ویژگی‌ها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هشام بن حکم همچون زنجیر به یکدیگر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زنجیروار در این‌جا نیز قابل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هشام دربارۀ حد داشتن یا نداشتن روح سؤال کنیم، ممکن است توجه ما را به نظریه‌ای که دربارۀ خداوند ارائه داد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 جسم است، اما نه مثل اجسام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از هشام بعید نیست که بگوید روح جسمی است، اما نه مثل جسم بدن؛ به این معنا که اگر دربارۀ خداوند می‌گفت جسم است و حد و تعین دارد، اما نه حد و تعینی همچون تعین‌های این اجسام که می‌شناسیم، این‌جا به طریق اولی از او برمی‌آید که بگوید جسمی است که با چیزی که ما از جسم می‌دانیم متفاوت است؛ روح نوری از 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انبساط و ارتفاعی که هشام برای روح در مناظره نظّام بیان کرد نیز به همین نور بودن او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می‌توانیم به حدسی قوی دست پیدا کنیم که نظّام هم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به دنبال تبیین چیزی بود که از استادش هشام بن حکم دربارۀ روح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احتمالاً جسم لطیف نظّام همان چیزی است که تمام خصوصیات چیزی که ما بر آن اطلاق جسم می‌کنیم را دارد، اما با خصوصیتی که برای ما در این عالَم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نظّام با هشام در این است که نظّام در نهایت صرفاً یگانه‌انگار است، در حالی که هشام بن حکم به این نکته توجه دارد که یگانه‌انگاری در حقیقتِ انسان با دوگانه‌انگاری در هویتِ این‌جهانی انسان به نحو کاملاً صحیحی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نظریۀ هشام با نظّام همین جمع میان دوگانه‌انگاری و یگانه‌انگاری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bookmarkStart w:id="36" w:name="pg3261_16447"/>
    </w:p>
    <w:p>
      <w:pPr>
        <w:pStyle w:val="BookText"/>
        <w:rPr/>
      </w:pPr>
      <w:bookmarkEnd w:id="36"/>
      <w:r>
        <w:rPr>
          <w:rFonts w:ascii="IRNazanin" w:hAnsi="IRNazanin" w:eastAsia="IRNazanin"/>
          <w:color w:val="111111"/>
          <w:sz w:val="28"/>
          <w:sz w:val="28"/>
          <w:szCs w:val="28"/>
          <w:rtl w:val="true"/>
          <w:lang w:bidi="fa-IR"/>
        </w:rPr>
        <w:t xml:space="preserve">ترتیب، هشام در جایگاه متکلم امامیِ عصر حضور، در راستای روایات ـ علاوه بر مقابله با معتقدان به جسمانی بودن حقیقت انسان ـ در مقابل دو گروه دیگر نیز قرار داشت که یکی از آن‌ها ـ که در رأسش نظّام بود ـ در عین این‌که قائل به روح بودند، اما بدن را جزئی از حقیقت انسان نمی‌دانستند </w:t>
      </w:r>
      <w:r>
        <w:rPr>
          <w:rStyle w:val="FootnoteAnchor"/>
          <w:rtl w:val="true"/>
        </w:rPr>
        <w:footnoteReference w:id="29"/>
      </w:r>
      <w:r>
        <w:rPr>
          <w:rFonts w:ascii="IRNazanin" w:hAnsi="IRNazanin" w:eastAsia="IRNazanin"/>
          <w:color w:val="111111"/>
          <w:sz w:val="28"/>
          <w:sz w:val="28"/>
          <w:szCs w:val="28"/>
          <w:rtl w:val="true"/>
          <w:lang w:bidi="fa-IR"/>
        </w:rPr>
        <w:t xml:space="preserve">و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بشر بن معتمر و هشام بن عمرو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این‌که حقیقت انسان را ترکیبی از روح و بدن می‌دانستند، اما امکان استقلالی را که هشام برای روح فراهم می‌کرد، در نظر نداشتند</w:t>
      </w:r>
      <w:r>
        <w:rPr>
          <w:rFonts w:eastAsia="IRNazanin" w:cs="IRNazanin"/>
          <w:color w:val="111111"/>
          <w:sz w:val="28"/>
          <w:szCs w:val="28"/>
          <w:rtl w:val="true"/>
          <w:lang w:bidi="fa-IR"/>
        </w:rPr>
        <w:t>.</w:t>
      </w:r>
    </w:p>
    <w:p>
      <w:pPr>
        <w:pStyle w:val="Heading3"/>
        <w:numPr>
          <w:ilvl w:val="2"/>
          <w:numId w:val="1"/>
        </w:numPr>
        <w:rPr/>
      </w:pPr>
      <w:bookmarkStart w:id="37" w:name="__RefHeading___Toc2051529_2749589250"/>
      <w:bookmarkStart w:id="38" w:name="_Toc14"/>
      <w:bookmarkEnd w:id="37"/>
      <w:r>
        <w:rPr>
          <w:rtl w:val="true"/>
        </w:rPr>
        <w:t>نتایج</w:t>
      </w:r>
      <w:bookmarkEnd w:id="38"/>
    </w:p>
    <w:p>
      <w:pPr>
        <w:pStyle w:val="BookText"/>
        <w:rPr/>
      </w:pPr>
      <w:r>
        <w:rPr>
          <w:rFonts w:ascii="IRNazanin" w:hAnsi="IRNazanin" w:eastAsia="IRNazanin"/>
          <w:color w:val="111111"/>
          <w:sz w:val="28"/>
          <w:sz w:val="28"/>
          <w:szCs w:val="28"/>
          <w:rtl w:val="true"/>
          <w:lang w:bidi="fa-IR"/>
        </w:rPr>
        <w:t>در دوران نخستینِ شکل‌گیری کلام اسلامی باید از چهار نظریۀ اساسی دربارۀ موضوع حقیقت انسان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امامیۀ نخستین که نظریه‌ای ممتاز و جریان‌ساز به شمار می‌رود، موضوع بحث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امامیۀ نخستین که ما ترجیحاً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در میان عمدۀ امامیه رواج داشت و عملاً تا زمان سید مرتضی مخالفت جدی درباره آن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حقیقت انسان عبارت است از ترکیبی حقیقی از روح و جسم؛ به طوری که هم جسم و هم روح به نحو ترکیب حقیقی مدنظر قرار می‌گیرند؛ هرچند در نهایت، اصالت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که به هر حال عاری از تجرد فلسفی است، گونۀ خاصی از جسم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در ساحت‌های مختلف دیگر مثل خواب، مرگ، دنیای دیگر یا هر چیزی غیر از آنچه در این عالم دیده می‌شود، می‌تواند بدون نیاز به هیچ چیز دیگری ـ مثلاً بدن ـ به فعالیت مُدرِکانه بپردازد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هشام بن حکم در این میان به عنوان کسی که به نحو دقیقی این روایات را مورد ارزیابی و تبیین عقلانی قرار داد، هرگز قابل چشم‌پوشی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تأثیرگذار او مبتنی بر</w:t>
      </w:r>
    </w:p>
    <w:p>
      <w:pPr>
        <w:pStyle w:val="BookText"/>
        <w:rPr/>
      </w:pPr>
      <w:r>
        <w:rPr>
          <w:rFonts w:ascii="IRNazanin" w:hAnsi="IRNazanin" w:eastAsia="IRNazanin"/>
          <w:color w:val="111111"/>
          <w:sz w:val="28"/>
          <w:sz w:val="28"/>
          <w:szCs w:val="28"/>
          <w:rtl w:val="true"/>
          <w:lang w:bidi="fa-IR"/>
        </w:rPr>
        <w:t>تفکیکی بود که متکلمان معتزلی در همان دوره و متکلمان دیگر حتی امامیه در دوره‌های بعد بدان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حقیقت و ماهیت انسان در سه ساحت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تمام هویت انسان، دوم وجه ما به الامتیاز انسان و سوم عنصر ثابت و اصلی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نخست عبارت است از روح و بدن به معنای تمام خصوصیاتی که در این دنیا هویت انسان را شکل می‌دهند، به طوری که 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دایر مدار آن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دوم که وجه ما به الامتیاز انسان است، عقل و حریت اراده است که در آیات و روایات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ساحت سوم، عنصر اصلی حقیقت انسان است که بدون این‌که به چیز دیگری ـ مثلاً بدن ـ نیاز داشته باشد، به فعالیت مُدرکانه می‌پردازد و دارای احساس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نظریۀ هشام بن حکم سه امکان را برای ما فراهم می‌کند؛</w:t>
      </w:r>
    </w:p>
    <w:p>
      <w:pPr>
        <w:pStyle w:val="BookText"/>
        <w:rPr/>
      </w:pPr>
      <w:r>
        <w:rPr>
          <w:rFonts w:ascii="IRNazanin" w:hAnsi="IRNazanin" w:eastAsia="IRNazanin"/>
          <w:color w:val="111111"/>
          <w:sz w:val="28"/>
          <w:sz w:val="28"/>
          <w:szCs w:val="28"/>
          <w:rtl w:val="true"/>
          <w:lang w:bidi="fa-IR"/>
        </w:rPr>
        <w:t>امکان نخست این‌که، تمام هویت این‌دنیایی انسان شامل ترکیبی حقیقی از روح و بدن به رسمیت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ما را از اِشکال اساسی نظریه‌های تجرد روح فلسفی که بدن را از اساس به حاشیه می‌برند،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دومی که نظریۀ هشام برای ما فراهم می‌کند، اصلی و فرعی کردن حقیقت انسان است؛ به طوری که اصالت انسان به روح ـ به عنوان بخش زنده و حساس و درّاک ـ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سومِ نظریۀ هشام این است که انسان با حقیقت اصلی‌اش می‌تواند همراه با چیز دیگری ـ مثل بدن ـ یا بدون آن به فعالیت بپردازد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دوم و سوم در نظریات شخصیت‌هایی همچون بُشر بن معتمر و هشام بن عمرو چشم‌پوشی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نظریۀ مختار امامیه نخستین، هر سه ویژگی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روح در بدن انسان است، حقیقت انسان عبارت از تمام این هویت شامل روح و جسم است؛ آن هم نه به صورتی که بدن عصا یا کشتی برای روح و روح عصازننده یا کشتی‌بان جسم باشد، بلکه بدن در این‌جا بخشی از حقیقت انسان است که با روح کاملاً اتحاد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بدن می‌تواند از کار بیفتد و روح، لگام همۀ امور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حالت‌هایی مثل خواب یا انخلاع روح ممکن است اتفاق بیفتد</w:t>
      </w:r>
      <w:r>
        <w:rPr>
          <w:rFonts w:eastAsia="IRNazanin" w:cs="IRNazanin"/>
          <w:color w:val="111111"/>
          <w:sz w:val="28"/>
          <w:szCs w:val="28"/>
          <w:rtl w:val="true"/>
          <w:lang w:bidi="fa-IR"/>
        </w:rPr>
        <w:t>.</w:t>
      </w:r>
      <w:bookmarkStart w:id="39" w:name="pg3261_16449"/>
    </w:p>
    <w:p>
      <w:pPr>
        <w:pStyle w:val="Heading3"/>
        <w:numPr>
          <w:ilvl w:val="2"/>
          <w:numId w:val="1"/>
        </w:numPr>
        <w:rPr/>
      </w:pPr>
      <w:bookmarkStart w:id="40" w:name="__RefHeading___Toc2051531_2749589250"/>
      <w:bookmarkStart w:id="41" w:name="_Toc15"/>
      <w:bookmarkEnd w:id="39"/>
      <w:bookmarkEnd w:id="40"/>
      <w:r>
        <w:rPr>
          <w:rtl w:val="true"/>
        </w:rPr>
        <w:t>منابع</w:t>
      </w:r>
      <w:bookmarkEnd w:id="41"/>
    </w:p>
    <w:p>
      <w:pPr>
        <w:pStyle w:val="Heading4"/>
        <w:numPr>
          <w:ilvl w:val="3"/>
          <w:numId w:val="1"/>
        </w:numPr>
        <w:rPr/>
      </w:pPr>
      <w:bookmarkStart w:id="42" w:name="__RefHeading___Toc2051533_2749589250"/>
      <w:bookmarkStart w:id="43" w:name="_Toc16"/>
      <w:bookmarkEnd w:id="42"/>
      <w:r>
        <w:rPr>
          <w:rtl w:val="true"/>
        </w:rPr>
        <w:t>اشاره</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ابن‌الملاحمی خوارزمی، رکن‌الدین،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الفائق فی اصول الدین،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مکدرموت و ویلفرد مادلونگ، آلمان، تهران، مؤسسه پژوهشی حکمت و فلسفه ایران، مؤسسه مطالعات اسلامی دانشگاه آزاد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تحفۀ المتکلمین فی الرد علی الفلاسفه،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انصاری ـ ویلفرد مادلونگ، آلمان، تهران، مؤسسه پژوهشی حکمت و فلسفه ایران، مؤسسه مطالعات اسلامی دانشگاه آزاد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المعتمد فی اصول الدین،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آلمان، تهران، مرکز پژوهشی میراث مکتوب، مؤسسه مطالعات اسلامی دانشگاه آزاد برلین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حرانی، حسن بن علی،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الابن‌شهرآشوب،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اسعدی، علیرضا،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معاد از دیدگاه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ش</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اسفراینی، ابوالمظفر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التبصیر فی الدین،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زاهد کوثری، قاهره، المکتبۀ الازهریۀ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افضلی،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نظریه فیلسوفان اسلامی در مسئله رابطه نفس و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فلسفه،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بدن و نقش آن‌ها در دنیا، برزخ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حدیث، شماره‌های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eastAsia="IRNazanin" w:cs="IRNazanin"/>
          <w:color w:val="111111"/>
          <w:sz w:val="28"/>
          <w:szCs w:val="28"/>
          <w:lang w:bidi="fa-IR"/>
        </w:rPr>
        <w:t>2537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آثار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لطفی ـ رضا کاویانی، تهران، شرکت سهامی انتشارات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و علی‌نقی خدایاری،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انسان‌شناسی اسلامی، قم، دفتر نشر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خلاصۀ النظر، زیر نظر زابینه اشمیتکه و دیگران،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انصاری، تهران، مؤسسه پژوهشی حکمت و فلسفه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پیری، علی و فرمان ایسماعیلوف،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رابطه نفس و بدن از دیدگاه ملاصدرا و برگسون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انسان‌پژوهی دینی، ش</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سیدجوادی، فاطمه‌سادات،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خلقت روح در قرآن و روایات، پایان‌نامه کارشناسی‌ارشد دانشگاه آزاد اسلامی واحد تهران مرکزی، رشته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همامی،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مجید معارف ـ پایان‌نامه ش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پ، کتابخانه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حسینی‌زاده، سیدعلی،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اندیشه‌های کلامی نوبختیان و شیخ مفید در بستر میراث کلامی امامیه و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کلامی، قم،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احمد،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علم کلام، تهران، صبا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محمدرضا،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ویتگنشتاین در باب علوم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فلسفه، ش</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خدایاری، علی‌نقی،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های نفس شناسی متکلمان امامی سده‌های میانی و کارکرد آن‌ها در تبیین آموزه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ش</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معتزلی، ابوالحسین،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الانتصار و الرد علی ابن الراوندی الملحد،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نیبریج، قاهره، مکتبۀ الدار العربیۀ للکتاب ـ بیروت، اوراق شروقیه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محمدتقی،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علی  علیه السلام  ، تهران، پژوهشگاه فرهنگ و اندیشه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کلامی کوفه در دوره نظریه‌پردازی،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نعیم‌آبادی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قم، مؤسسۀ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 دارالقرآن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ابوالفتح،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بدران،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 علل الشرایع، قم، کتاب‌فروشی 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 مؤسسۀ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خرسان،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سیدعلی،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و بررسی دیدگاه فیلیپ کلایتون در باب نفس از دیدگاه‌های ملاصدرا و علامه طباطبائی، پایان‌نامه ارشد دانشگاه ادیان، رشته دین‌شناسی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لگنهاوزن،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محمدتقی فعالی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عیاشی،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تهران، المطبعۀ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نفیسه، محمود محمد،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الفلسفۀ الیونانیۀ فی علم الکلام الاسلامی حتی القرن السادس الهجری، سوریه ـ لبنان، دار النوادر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رجایی، قم، کتابخانه آیت‌الله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 جوزف، کلام و جامعه در قرن دوم و سوم هجری، ترجمه‌ای فارسی چاپ‌نشده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Van Ess, Josef, Theologie Und Gesellschaft Im 2. Und 3. Jahrhundert Hidschra, Berline, New York; Walter De Gruyter, 1991, v1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قنواتی، قاهره، الدارالمصریه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المنیۀ و الأمل،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نشار ـ عصام‌الدین محمد، اسکندریه، دارالمطبوعات الجامعیه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ابن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جزائری، قم، دارالکتاب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فردریک،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ـ یونان و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مجتبوی، تهران، شرکت انتشارات علمی ـ فرهنگی و سروش</w:t>
      </w:r>
      <w:r>
        <w:rPr>
          <w:rFonts w:eastAsia="IRNazanin" w:cs="IRNazanin"/>
          <w:color w:val="111111"/>
          <w:sz w:val="28"/>
          <w:szCs w:val="28"/>
          <w:rtl w:val="true"/>
          <w:lang w:bidi="fa-IR"/>
        </w:rPr>
        <w:t>.</w:t>
      </w:r>
      <w:bookmarkStart w:id="44" w:name="pg3261_16451"/>
    </w:p>
    <w:p>
      <w:pPr>
        <w:pStyle w:val="BookText"/>
        <w:rPr/>
      </w:pPr>
      <w:bookmarkEnd w:id="44"/>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الکافی،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مبینی، محمدعلی،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ش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محبی، فرزاد،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مقایسه نفس از دیدگاه حکمت متعالیه و مکتب تفکیک، پایان‌نامه ارشد گرایش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محمدمهدی گرجیان، مشاوران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بهشتی و دکتر رضا برنجکار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دانشگاه باقرالعلوم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میرزاحسینعلی،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و معاد در مکتب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تجری گلستانی، قم، دارالعلم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 محمدجواد، فرهنگ فرق اسلامی،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السرویه، قم، المؤتمر العالمی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معتزلی،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و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شفیعی کدکنی، تهران، آگه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البدء و التاریخ، بور سعید، مکتبۀ الثقافۀ الدینیه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الحکمة المتعالیة فی الاسفار العقلیة الاربعة، بیروت، دار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مورفی، ننسی،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مسیحیان به نفس نیاز دارند؟ رویکردهای مبتنی بر الهیات و کتاب مقدس درباره طبیعت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ناصری،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مسئله ذهن و بدن، 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میرزایی، عباس،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متکلمان امامیه در بغداد به معتزلیان شیعه‌شده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سید مرتضی، ابن‌راوندی و ابوعیسی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کلامی، قم،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سیدموسی شبیری زنجانی،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محمدتقی،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نفس و بدن از دیدگاه ملاصدرا و کتاب و سنت، رساله دکتری گرایش حکمت متعالیه،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فیاضی،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معلمی و برنجکار، شماره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پ از کتابخانه علوم حدیث، بخش پایان‌نامه‌ها</w:t>
      </w:r>
      <w:r>
        <w:rPr>
          <w:rFonts w:eastAsia="IRNazanin" w:cs="IRNazanin"/>
          <w:color w:val="111111"/>
          <w:sz w:val="28"/>
          <w:szCs w:val="28"/>
          <w:rtl w:val="true"/>
          <w:lang w:bidi="fa-IR"/>
        </w:rPr>
        <w:t>).</w:t>
      </w:r>
    </w:p>
    <w:p>
      <w:pPr>
        <w:pStyle w:val="Heading4"/>
        <w:numPr>
          <w:ilvl w:val="3"/>
          <w:numId w:val="1"/>
        </w:numPr>
        <w:rPr/>
      </w:pPr>
      <w:bookmarkStart w:id="45" w:name="__RefHeading___Toc2051535_2749589250"/>
      <w:bookmarkStart w:id="46" w:name="_Toc17"/>
      <w:bookmarkEnd w:id="45"/>
      <w:r>
        <w:rPr/>
        <w:t>Point</w:t>
      </w:r>
      <w:bookmarkEnd w:id="46"/>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Clayton, Philip, (2004), Mind and Emergence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From Quantum to sciousness, New York,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Dhanani, Alnoor, (1994), Physical theory of Kalam, Atoms, space, and Void in Basrian cosmology, Brill, Leiden,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Haskker, (2000), P.S.M “on Wittgenstein on cognitive Sciences”, Philosophy, vd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Lakoff, George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Johnson, Mark, (1999), The Philosophy in the Flesh, The Embodied Mind and Its Challenge to Western Thought, New York,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W.E.M, (1999), Soul, The Cambridge dictionary of Philosophy, sed edition, UK,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Skirry, Justin, René Descartes: The Mind</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Body Distinction, in: IEP (Internet Encyclopedia of Philosophy)</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Descartes, Rene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1991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Philosophical Writings of Descartes, 3 vols., trans. John Cottingham, Robert Stoothoff, Dugald Murdoch and Anthony Kenny, Cambridge: Cambridge University Press</w:t>
      </w:r>
      <w:r>
        <w:rPr>
          <w:rFonts w:eastAsia="Times New Roman" w:cs="Times New Roman" w:ascii="Times New Roman" w:hAnsi="Times New Roman"/>
          <w:color w:val="111111"/>
          <w:sz w:val="28"/>
          <w:szCs w:val="28"/>
          <w:rtl w:val="true"/>
          <w:lang w:val="en-US" w:bidi="en-US"/>
        </w:rPr>
        <w:t>.</w:t>
      </w:r>
      <w:bookmarkStart w:id="47" w:name="pg3261_16452"/>
    </w:p>
    <w:p>
      <w:pPr>
        <w:pStyle w:val="Heading2"/>
        <w:numPr>
          <w:ilvl w:val="1"/>
          <w:numId w:val="1"/>
        </w:numPr>
        <w:rPr/>
      </w:pPr>
      <w:bookmarkStart w:id="48" w:name="__RefHeading___Toc2051537_2749589250"/>
      <w:bookmarkStart w:id="49" w:name="_Toc18"/>
      <w:bookmarkEnd w:id="47"/>
      <w:bookmarkEnd w:id="48"/>
      <w:r>
        <w:rPr>
          <w:rtl w:val="true"/>
        </w:rPr>
        <w:t xml:space="preserve">بررسی دیدگاه متکلمان امامیه دربارۀ گسترۀ علم امام با تکیه بر روایات </w:t>
      </w:r>
      <w:r>
        <w:rPr>
          <w:rtl w:val="true"/>
        </w:rPr>
        <w:t xml:space="preserve">/ </w:t>
      </w:r>
      <w:r>
        <w:rPr>
          <w:rtl w:val="true"/>
        </w:rPr>
        <w:t>محمد حسین فاریاب</w:t>
      </w:r>
      <w:bookmarkEnd w:id="49"/>
    </w:p>
    <w:p>
      <w:pPr>
        <w:pStyle w:val="Heading3"/>
        <w:numPr>
          <w:ilvl w:val="2"/>
          <w:numId w:val="1"/>
        </w:numPr>
        <w:rPr/>
      </w:pPr>
      <w:bookmarkStart w:id="50" w:name="__RefHeading___Toc2051539_274958925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محمدحسین فاریاب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29/05/1394</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02/09/1394</w:t>
      </w:r>
    </w:p>
    <w:p>
      <w:pPr>
        <w:pStyle w:val="Heading3"/>
        <w:numPr>
          <w:ilvl w:val="2"/>
          <w:numId w:val="1"/>
        </w:numPr>
        <w:rPr/>
      </w:pPr>
      <w:bookmarkStart w:id="52" w:name="__RefHeading___Toc2051541_2749589250"/>
      <w:bookmarkStart w:id="53" w:name="_Toc20"/>
      <w:bookmarkEnd w:id="52"/>
      <w:r>
        <w:rPr>
          <w:rtl w:val="true"/>
        </w:rPr>
        <w:t>چکیده</w:t>
      </w:r>
      <w:bookmarkEnd w:id="53"/>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دل‌مشغولی های متکلمان امامیه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دارای ریزموضوعاتی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علم امام، منابع علم امام و گسترۀ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حاضر، به بررسی گسترۀ علم امام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ابتدا نظریات نسل طلایی کلام شیعه، یعنی بزرگان سه مکتب کلامی بغداد، ری و حلّه را تبیین کرده و آن‌گاه به بررسی دیدگاه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در سه مکتب یادشده، به طور عمده بر ضرورت علم به دین برای امام تأکید کرده‌اند و دربارۀ فراتر از آن، با احتیاط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عقل به راحتی، ضرورت داشتن علومی را که امام برای انجام وظایفش به آن نیاز دارد اثبات می کند، اما نسبت به فراتر از آن، تنها مرجع حل اختلاف، روایات معصومان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معتبر، امام چنین نیست که بالفعل همه‌چیز را بداند، اما اگر اراده کند و بخواهد، خداوند او را آگاه می‌سازد</w:t>
      </w:r>
      <w:r>
        <w:rPr>
          <w:rFonts w:eastAsia="IRNazanin" w:cs="IRNazanin"/>
          <w:color w:val="111111"/>
          <w:sz w:val="28"/>
          <w:szCs w:val="28"/>
          <w:rtl w:val="true"/>
          <w:lang w:bidi="fa-IR"/>
        </w:rPr>
        <w:t>.</w:t>
      </w:r>
    </w:p>
    <w:p>
      <w:pPr>
        <w:pStyle w:val="Heading3"/>
        <w:numPr>
          <w:ilvl w:val="2"/>
          <w:numId w:val="1"/>
        </w:numPr>
        <w:rPr/>
      </w:pPr>
      <w:bookmarkStart w:id="54" w:name="__RefHeading___Toc2051543_2749589250"/>
      <w:bookmarkStart w:id="55" w:name="_Toc21"/>
      <w:bookmarkEnd w:id="54"/>
      <w:r>
        <w:rPr>
          <w:rtl w:val="true"/>
        </w:rPr>
        <w:t>واژگان کلیدی</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متکلمان، بغداد، ری، حلّه، گسترۀ علم</w:t>
      </w:r>
      <w:r>
        <w:rPr>
          <w:rFonts w:eastAsia="IRNazanin" w:cs="IRNazanin"/>
          <w:color w:val="111111"/>
          <w:sz w:val="28"/>
          <w:szCs w:val="28"/>
          <w:rtl w:val="true"/>
          <w:lang w:bidi="fa-IR"/>
        </w:rPr>
        <w:t>.</w:t>
      </w:r>
      <w:bookmarkStart w:id="56" w:name="pg3261_16453"/>
    </w:p>
    <w:p>
      <w:pPr>
        <w:pStyle w:val="Heading3"/>
        <w:numPr>
          <w:ilvl w:val="2"/>
          <w:numId w:val="1"/>
        </w:numPr>
        <w:rPr/>
      </w:pPr>
      <w:bookmarkStart w:id="57" w:name="__RefHeading___Toc2051545_2749589250"/>
      <w:bookmarkStart w:id="58" w:name="_Toc22"/>
      <w:bookmarkEnd w:id="56"/>
      <w:bookmarkEnd w:id="57"/>
      <w:r>
        <w:rPr>
          <w:rtl w:val="true"/>
        </w:rPr>
        <w:t>مقدمه</w:t>
      </w:r>
      <w:bookmarkEnd w:id="58"/>
    </w:p>
    <w:p>
      <w:pPr>
        <w:pStyle w:val="BookText"/>
        <w:rPr/>
      </w:pPr>
      <w:r>
        <w:rPr>
          <w:rFonts w:ascii="IRNazanin" w:hAnsi="IRNazanin" w:eastAsia="IRNazanin"/>
          <w:color w:val="111111"/>
          <w:sz w:val="28"/>
          <w:sz w:val="28"/>
          <w:szCs w:val="28"/>
          <w:rtl w:val="true"/>
          <w:lang w:bidi="fa-IR"/>
        </w:rPr>
        <w:t>گسترۀ علم امام از جمله موضوعات بسیار چالش برانگیز در تاریخ تفکر امامیه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هم در گذشته و هم در دوران معاصر قابل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گاه موجب شده تا مخالفان و موافقان، همدیگر را به غلو یا تقصیر در حقّ امامان  علیهم السلام  متهم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طباطبایی،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کافی است تا پرده از ضرورت این مسئله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به نظر می رسد یکی از راه های اطمینان زا برای رسیدن به حقیقت در این عرصه، مراجعه به روایات است تا دانسته شود که امامان  علیهم السلام  خود را چگونه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روایات نیز گاه چنانند که در نگاه نخستین به آن‌ها، تعارض نما هستند و این امر، دشواری مسئله را دوچندان کرده تا بتواند به درستی از عهدۀ حلّ این تعارض بدوی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پژوهش، برای آشنایی با برخی دیدگاه های متکلمان امامیه، از میان تاریخ کلام امامیه، طلایی ترین دورۀ زمانی تاریخ کلام امامیه، یعنی قرن چهارم تا هشتم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بررسی این دیدگاه ها یا تکیه بر روایات معتبر پرداخته، تا از یک سو درستی یا نادرستی دیدگاه متکلمان در آن دورۀ زمانی روشن گردد و هم حقیقت ماجرا با مراجعه به سخن معصومان  علیهم السلام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در این تحقیق، ابتدا دیدگاه متکلمان امامیه از قرن چهارم تا قرن نهم، یعنی از شیخ مفید تا فاضل مقداد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متکلمان، متعلق به سه مکتب کلامی بغداد، ری و حلّه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سید مرتضی، ابوالصلاح حلبی، ابوالفتح کراجکی و شیخ طوسی از مکتب بغداد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عبدالجلیل قزوینی و سدیدالدین حمصی از مکتب ری و خواجه نصیرالدین طوسی، ابن میثم بحرانی، علامه حلی و فاضل مقداد نیز از نام‌داران مکتب کلامی حله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پرسش مطرح شود که دلیل این بُرش تاریخی در کلام امامیه از سوی نگارنده چه بوده است؟ می توانستیم نظر متکلمان امامیه را از ابتدا تا دوران معاصر بررسی کنیم، اما طبیعی است که بررسی دیدگاه تمام متکلمان ـ با توجه به فراوانی آن‌ها ـ در یک مقاله که هیچ، در یک رساله نیز شاید ممکن نباشد؛ از این رو، ناگزیر باید دست به انتخاب آن‌ها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متکلمی که می تواند در دایرۀ بحثمان بگنجد، دست کم باید یک یا دو مؤلفه را داشته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کار متکلمانه ـ یعنی استدلال و نظریه پردازی ـ کرده باشد، نه صرفاً نقل روایت</w:t>
      </w:r>
      <w:r>
        <w:rPr>
          <w:rFonts w:eastAsia="IRNazanin" w:cs="IRNazanin"/>
          <w:color w:val="111111"/>
          <w:sz w:val="28"/>
          <w:szCs w:val="28"/>
          <w:rtl w:val="true"/>
          <w:lang w:bidi="fa-IR"/>
        </w:rPr>
        <w:t>.</w:t>
      </w:r>
      <w:bookmarkStart w:id="59" w:name="pg3261_16454"/>
    </w:p>
    <w:p>
      <w:pPr>
        <w:pStyle w:val="BookText"/>
        <w:rPr/>
      </w:pPr>
      <w:bookmarkEnd w:id="59"/>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به عنوان یک استوانه و رکن به شمار آید، به گونه ای که بر آیندگان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به نظر می رسد که متکلمان سه مکتب کلامی بغداد، ری و حلّه از قرن چهارم تا نهم دارای برخی یا تمام این ویژگی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آثار و دیدگاه های ایشان در عرصه های مختلف کلام و نیز مشاهدۀ دیدگاه‌های دیگر متکلمان در قرون بعدی، برایمان روشن می شود که تا چه اندازه آثار و دیدگاه های متکلمان این سه مکتب، مورد توجه متکلمان متأخر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کتاب هایی همچون اوائل المقالات شیخ مفید، الذخیرۀ فی علم الکلام و نیز الشافی فی الامامۀ نوشتۀ سید مرتضی هنوز مورد توجه محققان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المنقذ من التقلید نوشتۀ سدیدالدین حمصی از معدود میراث های کلامی قرن ششم هجری در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کلامی قرن هفتم تا نهم هجری مانند تجرید الاعتقاد نوشتۀ خواجه نصیرالدین طوسی، کشف المراد نوشتۀ علامه حلّی و شرح باب حادی عشر علامه حلّی تا بدین روز در حوزه های علمیه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کافی است تا بدانیم قرن چهارم تا نهم از قرون طلایی کلام امامیه به شمار می آید و با اندک جست‌وجوی تاریخی می توان به این نتیجه رسید که مکاتب کلامی در ادامه، بسیار به دیدگاه ایشان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این عوامل، موجب شده تا از میان متکلمان امامیه، بررسی دیدگاه های متکلمان سه مکتب بغداد، ری و حلّه مورد توجه نگارنده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تدریج محققان به تدوین نوشته هایی در باب مسائل مربوط به علم امام روی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کتاب ماهیت علم امام نوشتۀ سیدعلی هاشمی، کتاب علم امام نوشتۀ محمدحسن نادم و نیز کتاب علم امام نوشتۀ علی شیروانی از این قبیلند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آنچه نویسنده در این تحقیق در دستور کار قرار داده، در این کتاب ها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در این مقاله آن است که آیا دست‌آورد متکلمان در حوزۀ علم امام همان است که از روایات برداشت می شود؟ فرضیۀ نویسنده آن است که رویکرد عقلی متکلمان به مسائل کلامی مانع از نگاه همه جانبه آن‌ها به روایات شده است؛ از این رو، رویکردی حداقلی به مسئلۀ علم امام در نظریات آن‌ها دیده می شود، حال آن‌که نگاهی فراگیر به روایات نشان از جایگاه والای علمی آن‌ها دارد</w:t>
      </w:r>
      <w:r>
        <w:rPr>
          <w:rFonts w:eastAsia="IRNazanin" w:cs="IRNazanin"/>
          <w:color w:val="111111"/>
          <w:sz w:val="28"/>
          <w:szCs w:val="28"/>
          <w:rtl w:val="true"/>
          <w:lang w:bidi="fa-IR"/>
        </w:rPr>
        <w:t>.</w:t>
      </w:r>
    </w:p>
    <w:p>
      <w:pPr>
        <w:pStyle w:val="Heading3"/>
        <w:numPr>
          <w:ilvl w:val="2"/>
          <w:numId w:val="1"/>
        </w:numPr>
        <w:rPr/>
      </w:pPr>
      <w:bookmarkStart w:id="60" w:name="__RefHeading___Toc2051547_2749589250"/>
      <w:bookmarkStart w:id="61" w:name="_Toc23"/>
      <w:bookmarkEnd w:id="60"/>
      <w:r>
        <w:rPr/>
        <w:t>1</w:t>
      </w:r>
      <w:r>
        <w:rPr>
          <w:rtl w:val="true"/>
        </w:rPr>
        <w:t xml:space="preserve">. </w:t>
      </w:r>
      <w:r>
        <w:rPr>
          <w:rtl w:val="true"/>
        </w:rPr>
        <w:t>نظریۀ علم امام از مفید تا فاضل مقداد</w:t>
      </w:r>
      <w:bookmarkEnd w:id="61"/>
    </w:p>
    <w:p>
      <w:pPr>
        <w:pStyle w:val="Heading4"/>
        <w:numPr>
          <w:ilvl w:val="3"/>
          <w:numId w:val="1"/>
        </w:numPr>
        <w:rPr/>
      </w:pPr>
      <w:bookmarkStart w:id="62" w:name="__RefHeading___Toc2051549_2749589250"/>
      <w:bookmarkStart w:id="63" w:name="_Toc24"/>
      <w:bookmarkEnd w:id="62"/>
      <w:r>
        <w:rPr>
          <w:rtl w:val="true"/>
        </w:rPr>
        <w:t>اشاره</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مکتبی که باید به تبیین دیدگاه آن بپردازیم، مکتب کلامی بغداد است که متکلمان نام‌دار آن در قرن چهارم و پنجم می زیستند</w:t>
      </w:r>
      <w:r>
        <w:rPr>
          <w:rFonts w:eastAsia="IRNazanin" w:cs="IRNazanin"/>
          <w:color w:val="111111"/>
          <w:sz w:val="28"/>
          <w:szCs w:val="28"/>
          <w:rtl w:val="true"/>
          <w:lang w:bidi="fa-IR"/>
        </w:rPr>
        <w:t>.</w:t>
      </w:r>
      <w:bookmarkStart w:id="64" w:name="pg3261_16455"/>
    </w:p>
    <w:p>
      <w:pPr>
        <w:pStyle w:val="Heading4"/>
        <w:numPr>
          <w:ilvl w:val="3"/>
          <w:numId w:val="1"/>
        </w:numPr>
        <w:rPr/>
      </w:pPr>
      <w:bookmarkStart w:id="65" w:name="__RefHeading___Toc2051551_2749589250"/>
      <w:bookmarkStart w:id="66" w:name="_Toc25"/>
      <w:bookmarkEnd w:id="64"/>
      <w:bookmarkEnd w:id="65"/>
      <w:r>
        <w:rPr/>
        <w:t>1</w:t>
      </w:r>
      <w:r>
        <w:rPr>
          <w:rtl w:val="true"/>
        </w:rPr>
        <w:t>ـ</w:t>
      </w:r>
      <w:r>
        <w:rPr/>
        <w:t>1</w:t>
      </w:r>
      <w:r>
        <w:rPr>
          <w:rtl w:val="true"/>
        </w:rPr>
        <w:t xml:space="preserve">. </w:t>
      </w:r>
      <w:r>
        <w:rPr>
          <w:rtl w:val="true"/>
        </w:rPr>
        <w:t>علم امام در مکتب بغداد</w:t>
      </w:r>
      <w:bookmarkEnd w:id="66"/>
    </w:p>
    <w:p>
      <w:pPr>
        <w:pStyle w:val="Heading5"/>
        <w:numPr>
          <w:ilvl w:val="4"/>
          <w:numId w:val="1"/>
        </w:numPr>
        <w:rPr/>
      </w:pPr>
      <w:bookmarkStart w:id="67" w:name="__RefHeading___Toc2051553_2749589250"/>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اهمیت مکتب بغداد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گفتیم، بغداد به طور خاص اهمیتی ویژه دارد، چراکه نخستین جوامع کلامی شیعه را می توان در بغداد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نظریۀ علم امام را از نظرگاه بزرگان آن مکتب جویا شویم</w:t>
      </w:r>
      <w:r>
        <w:rPr>
          <w:rFonts w:eastAsia="IRNazanin" w:cs="IRNazanin"/>
          <w:color w:val="111111"/>
          <w:sz w:val="28"/>
          <w:szCs w:val="28"/>
          <w:rtl w:val="true"/>
          <w:lang w:bidi="fa-IR"/>
        </w:rPr>
        <w:t>:</w:t>
      </w:r>
    </w:p>
    <w:p>
      <w:pPr>
        <w:pStyle w:val="Heading5"/>
        <w:numPr>
          <w:ilvl w:val="4"/>
          <w:numId w:val="1"/>
        </w:numPr>
        <w:rPr/>
      </w:pPr>
      <w:bookmarkStart w:id="69" w:name="__RefHeading___Toc2051555_2749589250"/>
      <w:bookmarkStart w:id="70" w:name="_Toc27"/>
      <w:bookmarkEnd w:id="69"/>
      <w:r>
        <w:rPr>
          <w:rtl w:val="true"/>
        </w:rPr>
        <w:t>یکم</w:t>
      </w:r>
      <w:r>
        <w:rPr>
          <w:rtl w:val="true"/>
        </w:rPr>
        <w:t xml:space="preserve">: </w:t>
      </w:r>
      <w:r>
        <w:rPr>
          <w:rtl w:val="true"/>
        </w:rPr>
        <w:t xml:space="preserve">شیخ مفید </w:t>
      </w:r>
      <w:r>
        <w:rPr>
          <w:rtl w:val="true"/>
        </w:rPr>
        <w:t>(</w:t>
      </w:r>
      <w:r>
        <w:rPr/>
        <w:t>413</w:t>
      </w:r>
      <w:r>
        <w:rPr>
          <w:rtl w:val="true"/>
        </w:rPr>
        <w:t>ق</w:t>
      </w:r>
      <w:r>
        <w:rPr>
          <w:rtl w:val="true"/>
        </w:rPr>
        <w:t>)</w:t>
      </w:r>
      <w:bookmarkEnd w:id="70"/>
    </w:p>
    <w:p>
      <w:pPr>
        <w:pStyle w:val="Heading6"/>
        <w:numPr>
          <w:ilvl w:val="5"/>
          <w:numId w:val="1"/>
        </w:numPr>
        <w:rPr/>
      </w:pPr>
      <w:bookmarkStart w:id="71" w:name="__RefHeading___Toc2051557_2749589250"/>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دیدگاه شیخ مفید دربارة علم امام را می‌توان در چند گزاره خلاصه کرد</w:t>
      </w:r>
      <w:r>
        <w:rPr>
          <w:rFonts w:eastAsia="IRNazanin" w:cs="IRNazanin"/>
          <w:color w:val="111111"/>
          <w:sz w:val="28"/>
          <w:szCs w:val="28"/>
          <w:rtl w:val="true"/>
          <w:lang w:bidi="fa-IR"/>
        </w:rPr>
        <w:t>:</w:t>
      </w:r>
    </w:p>
    <w:p>
      <w:pPr>
        <w:pStyle w:val="Heading6"/>
        <w:numPr>
          <w:ilvl w:val="5"/>
          <w:numId w:val="1"/>
        </w:numPr>
        <w:rPr/>
      </w:pPr>
      <w:bookmarkStart w:id="73" w:name="__RefHeading___Toc2051559_2749589250"/>
      <w:bookmarkStart w:id="74" w:name="_Toc29"/>
      <w:bookmarkEnd w:id="73"/>
      <w:r>
        <w:rPr/>
        <w:t>1</w:t>
      </w:r>
      <w:bookmarkEnd w:id="74"/>
    </w:p>
    <w:p>
      <w:pPr>
        <w:pStyle w:val="BookText"/>
        <w:rPr/>
      </w:pPr>
      <w:r>
        <w:rPr>
          <w:rFonts w:ascii="IRNazanin" w:hAnsi="IRNazanin" w:eastAsia="IRNazanin"/>
          <w:color w:val="111111"/>
          <w:sz w:val="28"/>
          <w:sz w:val="28"/>
          <w:szCs w:val="28"/>
          <w:rtl w:val="true"/>
          <w:lang w:bidi="fa-IR"/>
        </w:rPr>
        <w:t xml:space="preserve">امامیه هم‌داستانند که امام باید پس از تصدی منصب امامت، به احکام و معارف دین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6"/>
        <w:numPr>
          <w:ilvl w:val="5"/>
          <w:numId w:val="1"/>
        </w:numPr>
        <w:rPr/>
      </w:pPr>
      <w:bookmarkStart w:id="75" w:name="__RefHeading___Toc2051561_2749589250"/>
      <w:bookmarkStart w:id="76" w:name="_Toc30"/>
      <w:bookmarkEnd w:id="75"/>
      <w:r>
        <w:rPr/>
        <w:t>2</w:t>
      </w:r>
      <w:bookmarkEnd w:id="76"/>
    </w:p>
    <w:p>
      <w:pPr>
        <w:pStyle w:val="BookText"/>
        <w:rPr/>
      </w:pPr>
      <w:r>
        <w:rPr>
          <w:rFonts w:ascii="IRNazanin" w:hAnsi="IRNazanin" w:eastAsia="IRNazanin"/>
          <w:color w:val="111111"/>
          <w:sz w:val="28"/>
          <w:sz w:val="28"/>
          <w:szCs w:val="28"/>
          <w:rtl w:val="true"/>
          <w:lang w:bidi="fa-IR"/>
        </w:rPr>
        <w:t xml:space="preserve">روایات مستفیضه‌ای بر ثبوت علم امامان پاک  علیهم السلام  به امور غیبی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علوم به نحو مستفاد ـ و نه ذاتی ـ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6"/>
        <w:numPr>
          <w:ilvl w:val="5"/>
          <w:numId w:val="1"/>
        </w:numPr>
        <w:rPr/>
      </w:pPr>
      <w:bookmarkStart w:id="77" w:name="__RefHeading___Toc2051563_2749589250"/>
      <w:bookmarkStart w:id="78" w:name="_Toc31"/>
      <w:bookmarkEnd w:id="77"/>
      <w:r>
        <w:rPr/>
        <w:t>3</w:t>
      </w:r>
      <w:bookmarkEnd w:id="78"/>
    </w:p>
    <w:p>
      <w:pPr>
        <w:pStyle w:val="BookText"/>
        <w:rPr/>
      </w:pPr>
      <w:r>
        <w:rPr>
          <w:rFonts w:ascii="IRNazanin" w:hAnsi="IRNazanin" w:eastAsia="IRNazanin"/>
          <w:color w:val="111111"/>
          <w:sz w:val="28"/>
          <w:sz w:val="28"/>
          <w:szCs w:val="28"/>
          <w:rtl w:val="true"/>
          <w:lang w:bidi="fa-IR"/>
        </w:rPr>
        <w:t xml:space="preserve">این‌که گفته شود امام همه‌چیز را می‌داند، ادعایی بدون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6"/>
        <w:numPr>
          <w:ilvl w:val="5"/>
          <w:numId w:val="1"/>
        </w:numPr>
        <w:rPr/>
      </w:pPr>
      <w:bookmarkStart w:id="79" w:name="__RefHeading___Toc2051565_2749589250"/>
      <w:bookmarkStart w:id="80" w:name="_Toc32"/>
      <w:bookmarkEnd w:id="79"/>
      <w:r>
        <w:rPr/>
        <w:t>4</w:t>
      </w:r>
      <w:bookmarkEnd w:id="80"/>
    </w:p>
    <w:p>
      <w:pPr>
        <w:pStyle w:val="BookText"/>
        <w:rPr/>
      </w:pPr>
      <w:r>
        <w:rPr>
          <w:rFonts w:ascii="IRNazanin" w:hAnsi="IRNazanin" w:eastAsia="IRNazanin"/>
          <w:color w:val="111111"/>
          <w:sz w:val="28"/>
          <w:sz w:val="28"/>
          <w:szCs w:val="28"/>
          <w:rtl w:val="true"/>
          <w:lang w:bidi="fa-IR"/>
        </w:rPr>
        <w:t xml:space="preserve">آگاهی امام از امور غیردینی، ضروری نیست، ولی امری ممکن و واقع است و به مصلحت و لطف خداوند بستگی دارد؛ برای نمونه، این‌که بگوییم امام، عالم به باطن انسان‌هاست، خطاست؛ امام همچون مردم ظواهر را می‌داند و اگر هم عالم به باطن کسی باشد، از طریق آن است که خداوند به پیامبرش اعلام و او هم به امامان  علیهم السلام  منتقل کرده، یا آن‌که در خواب به او فهمانده شده است، اما چنین نیست که بتوان گفت او قطعاً عالم به باطن فلان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آشنایی امام با همة صنایع و نیز همة لغات بر این باور است که به لحاظ عقلی چنین چیزی اگرچه ممتنع نیست، عقلاً برای امام واجب نبوده، ضرورتی ندارد، و روایاتی نیز که در این باره رسیده است، مفید قطع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اندیشة او، امامان  علیهم السلام  لزوماً عالمِ به تمام صنایع و لغات نیستند و روایات نیز در این باره قطع‌آور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برخی دیگر از آثار خود، علم به همة امور و نیز علم به باطن امور را شرط نبوت ندانسته است و برای اثبات نظریه‌اش، آگاه نبودن پیامبر اکرم  صلی الله علیه و آله وسلم  به علم نجوم و نیز امّی بودن او را مثال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bookmarkStart w:id="81" w:name="pg3261_16456"/>
    </w:p>
    <w:p>
      <w:pPr>
        <w:pStyle w:val="BookText"/>
        <w:rPr/>
      </w:pPr>
      <w:bookmarkEnd w:id="81"/>
      <w:r>
        <w:rPr>
          <w:rFonts w:ascii="IRNazanin" w:hAnsi="IRNazanin" w:eastAsia="IRNazanin"/>
          <w:color w:val="111111"/>
          <w:sz w:val="28"/>
          <w:sz w:val="28"/>
          <w:szCs w:val="28"/>
          <w:rtl w:val="true"/>
          <w:lang w:bidi="fa-IR"/>
        </w:rPr>
        <w:t xml:space="preserve">افزون بر این موارد، او در برخی آثار خود، این امر را ممکن می‌داند که امام بر اثر نداشتن علم به امور غیبی، در موارد قضاوت و داوری میان مردم، بر اساس ظاهر حکم کند و مرتکب خلاف واقع شود؛ اگرچه این امر را نیز ممکن ـ نه واجب ـ دانسته است که در این امور خداوند بر اساس لطف خود وی را از این اشتباه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5"/>
        <w:numPr>
          <w:ilvl w:val="4"/>
          <w:numId w:val="1"/>
        </w:numPr>
        <w:rPr/>
      </w:pPr>
      <w:bookmarkStart w:id="82" w:name="__RefHeading___Toc2051567_2749589250"/>
      <w:bookmarkStart w:id="83" w:name="_Toc33"/>
      <w:bookmarkEnd w:id="82"/>
      <w:r>
        <w:rPr>
          <w:rtl w:val="true"/>
        </w:rPr>
        <w:t>دوم</w:t>
      </w:r>
      <w:r>
        <w:rPr>
          <w:rtl w:val="true"/>
        </w:rPr>
        <w:t xml:space="preserve">: </w:t>
      </w:r>
      <w:r>
        <w:rPr>
          <w:rtl w:val="true"/>
        </w:rPr>
        <w:t xml:space="preserve">سید مرتضی </w:t>
      </w:r>
      <w:r>
        <w:rPr>
          <w:rtl w:val="true"/>
        </w:rPr>
        <w:t>(</w:t>
      </w:r>
      <w:r>
        <w:rPr/>
        <w:t>436</w:t>
      </w:r>
      <w:r>
        <w:rPr>
          <w:rtl w:val="true"/>
        </w:rPr>
        <w:t>ق</w:t>
      </w:r>
      <w:r>
        <w:rPr>
          <w:rtl w:val="true"/>
        </w:rPr>
        <w:t>)</w:t>
      </w:r>
      <w:bookmarkEnd w:id="83"/>
    </w:p>
    <w:p>
      <w:pPr>
        <w:pStyle w:val="Heading6"/>
        <w:numPr>
          <w:ilvl w:val="5"/>
          <w:numId w:val="1"/>
        </w:numPr>
        <w:rPr/>
      </w:pPr>
      <w:bookmarkStart w:id="84" w:name="__RefHeading___Toc2051569_2749589250"/>
      <w:bookmarkStart w:id="85" w:name="_Toc34"/>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نظریات سید مرتضی دربارة علوم امام، چنین است</w:t>
      </w:r>
      <w:r>
        <w:rPr>
          <w:rFonts w:eastAsia="IRNazanin" w:cs="IRNazanin"/>
          <w:color w:val="111111"/>
          <w:sz w:val="28"/>
          <w:szCs w:val="28"/>
          <w:rtl w:val="true"/>
          <w:lang w:bidi="fa-IR"/>
        </w:rPr>
        <w:t>:</w:t>
      </w:r>
    </w:p>
    <w:p>
      <w:pPr>
        <w:pStyle w:val="Heading6"/>
        <w:numPr>
          <w:ilvl w:val="5"/>
          <w:numId w:val="1"/>
        </w:numPr>
        <w:rPr/>
      </w:pPr>
      <w:bookmarkStart w:id="86" w:name="__RefHeading___Toc2051571_2749589250"/>
      <w:bookmarkStart w:id="87" w:name="_Toc35"/>
      <w:bookmarkEnd w:id="86"/>
      <w:r>
        <w:rPr/>
        <w:t>1</w:t>
      </w:r>
      <w:bookmarkEnd w:id="87"/>
    </w:p>
    <w:p>
      <w:pPr>
        <w:pStyle w:val="BookText"/>
        <w:rPr/>
      </w:pPr>
      <w:r>
        <w:rPr>
          <w:rFonts w:ascii="IRNazanin" w:hAnsi="IRNazanin" w:eastAsia="IRNazanin"/>
          <w:color w:val="111111"/>
          <w:sz w:val="28"/>
          <w:sz w:val="28"/>
          <w:szCs w:val="28"/>
          <w:rtl w:val="true"/>
          <w:lang w:bidi="fa-IR"/>
        </w:rPr>
        <w:t xml:space="preserve">امام باید به علوم مربوط به دین و سیاست آگاه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6"/>
        <w:numPr>
          <w:ilvl w:val="5"/>
          <w:numId w:val="1"/>
        </w:numPr>
        <w:rPr/>
      </w:pPr>
      <w:bookmarkStart w:id="88" w:name="__RefHeading___Toc2051573_2749589250"/>
      <w:bookmarkStart w:id="89" w:name="_Toc36"/>
      <w:bookmarkEnd w:id="88"/>
      <w:r>
        <w:rPr/>
        <w:t>2</w:t>
      </w:r>
      <w:bookmarkEnd w:id="89"/>
    </w:p>
    <w:p>
      <w:pPr>
        <w:pStyle w:val="BookText"/>
        <w:rPr/>
      </w:pPr>
      <w:r>
        <w:rPr>
          <w:rFonts w:ascii="IRNazanin" w:hAnsi="IRNazanin" w:eastAsia="IRNazanin"/>
          <w:color w:val="111111"/>
          <w:sz w:val="28"/>
          <w:sz w:val="28"/>
          <w:szCs w:val="28"/>
          <w:rtl w:val="true"/>
          <w:lang w:bidi="fa-IR"/>
        </w:rPr>
        <w:t xml:space="preserve">امام لازم نیست به علومِ غیردینی مانند داروها، صنایع و مشاغل عالم باشد، زیرا خارج از حوزة ریاست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امام باید در این‌گونه علوم به متخصص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وی در تفسیر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لازمة مقام امامت، تنها علم به شریعت است، خداوند متعال می‌تواند علوم دیگری بیش از علم شریعت را نیز از باب فضل و لطف، به متصدی منصب امامت 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6"/>
        <w:numPr>
          <w:ilvl w:val="5"/>
          <w:numId w:val="1"/>
        </w:numPr>
        <w:rPr/>
      </w:pPr>
      <w:bookmarkStart w:id="90" w:name="__RefHeading___Toc2051575_2749589250"/>
      <w:bookmarkStart w:id="91" w:name="_Toc37"/>
      <w:bookmarkEnd w:id="90"/>
      <w:r>
        <w:rPr/>
        <w:t>3</w:t>
      </w:r>
      <w:bookmarkEnd w:id="91"/>
    </w:p>
    <w:p>
      <w:pPr>
        <w:pStyle w:val="BookText"/>
        <w:rPr/>
      </w:pPr>
      <w:r>
        <w:rPr>
          <w:rFonts w:ascii="IRNazanin" w:hAnsi="IRNazanin" w:eastAsia="IRNazanin"/>
          <w:color w:val="111111"/>
          <w:sz w:val="28"/>
          <w:sz w:val="28"/>
          <w:szCs w:val="28"/>
          <w:rtl w:val="true"/>
          <w:lang w:bidi="fa-IR"/>
        </w:rPr>
        <w:t xml:space="preserve">امام ضرورتاً به باطن امور آگاه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سید مرتضی، لازم نیست امام علم به امور غیبی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دربارة علم امام به امور غیبی بر این باور است که شرط امامت، اِخبار از امور غیبی نیست، اما خداوند متعال بر اساس فضلش، آنان را از امور غیبی نیز آگاه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6"/>
        <w:numPr>
          <w:ilvl w:val="5"/>
          <w:numId w:val="1"/>
        </w:numPr>
        <w:rPr/>
      </w:pPr>
      <w:bookmarkStart w:id="92" w:name="__RefHeading___Toc2051577_2749589250"/>
      <w:bookmarkStart w:id="93" w:name="_Toc38"/>
      <w:bookmarkEnd w:id="92"/>
      <w:r>
        <w:rPr/>
        <w:t>4</w:t>
      </w:r>
      <w:bookmarkEnd w:id="93"/>
    </w:p>
    <w:p>
      <w:pPr>
        <w:pStyle w:val="BookText"/>
        <w:rPr/>
      </w:pPr>
      <w:r>
        <w:rPr>
          <w:rFonts w:ascii="IRNazanin" w:hAnsi="IRNazanin" w:eastAsia="IRNazanin"/>
          <w:color w:val="111111"/>
          <w:sz w:val="28"/>
          <w:sz w:val="28"/>
          <w:szCs w:val="28"/>
          <w:rtl w:val="true"/>
          <w:lang w:bidi="fa-IR"/>
        </w:rPr>
        <w:t xml:space="preserve">بر امام لازم نیست که تمام امور و نیز تمام غایبات را بداند، زیرا در این صورت علم او مانند علم خدا نامتناهی و نیز قدیم می‌شود، در حالی که علم او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نظریة اخیر استفاده می‌شود که مقصود سید مرتضی این نیست که خداوند، امامان را از همة پنهانی‌ها آگاه کرده است، زیرا در این صورت علم آن‌ها با علم خداوند یکسان تلقی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متصدی منصب امامت، فی‌نفسه لازم نیست علم به غیر دین و سیاست داشته باشد؛ ثانیاً، سید مرتضی دربارة علوم غیردینی امامان معصوم  علیهم السلام  به روشنی سخنی نگفته، جز آن‌که معتقد است ایشان به نحو موجبه جزئیه به برخی امور پنهانی آگاه هستند که به نظر می‌رسد مقصود او از امور پنهانی، همان حوادث آینده یا باطن افراد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bookmarkStart w:id="94" w:name="pg3261_16457"/>
    </w:p>
    <w:p>
      <w:pPr>
        <w:pStyle w:val="Heading5"/>
        <w:numPr>
          <w:ilvl w:val="4"/>
          <w:numId w:val="1"/>
        </w:numPr>
        <w:rPr/>
      </w:pPr>
      <w:bookmarkStart w:id="95" w:name="__RefHeading___Toc2051579_2749589250"/>
      <w:bookmarkStart w:id="96" w:name="_Toc39"/>
      <w:bookmarkEnd w:id="94"/>
      <w:bookmarkEnd w:id="95"/>
      <w:r>
        <w:rPr>
          <w:rtl w:val="true"/>
        </w:rPr>
        <w:t>سوم</w:t>
      </w:r>
      <w:r>
        <w:rPr>
          <w:rtl w:val="true"/>
        </w:rPr>
        <w:t xml:space="preserve">: </w:t>
      </w:r>
      <w:r>
        <w:rPr>
          <w:rtl w:val="true"/>
        </w:rPr>
        <w:t xml:space="preserve">ابوالصلاح حلبی </w:t>
      </w:r>
      <w:r>
        <w:rPr>
          <w:rtl w:val="true"/>
        </w:rPr>
        <w:t>(</w:t>
      </w:r>
      <w:r>
        <w:rPr/>
        <w:t>447</w:t>
      </w:r>
      <w:r>
        <w:rPr>
          <w:rtl w:val="true"/>
        </w:rPr>
        <w:t>ق</w:t>
      </w:r>
      <w:r>
        <w:rPr>
          <w:rtl w:val="true"/>
        </w:rPr>
        <w:t>)</w:t>
      </w:r>
      <w:bookmarkEnd w:id="96"/>
    </w:p>
    <w:p>
      <w:pPr>
        <w:pStyle w:val="BookText"/>
        <w:rPr/>
      </w:pPr>
      <w:r>
        <w:rPr>
          <w:rFonts w:ascii="IRNazanin" w:hAnsi="IRNazanin" w:eastAsia="IRNazanin"/>
          <w:color w:val="111111"/>
          <w:sz w:val="28"/>
          <w:sz w:val="28"/>
          <w:szCs w:val="28"/>
          <w:rtl w:val="true"/>
          <w:lang w:bidi="fa-IR"/>
        </w:rPr>
        <w:t>حلبی معتقد است که امامان پاک  علیهم السلام  از کائنات و غایبات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فراوانی در کودکی و بزرگ‌سالی از آنان به ما رسیده است، به گونه‌ای که بر همة مردم برتری داشتند و هیچ‌گاه در پاسخ به مسئله‌ای درمانده نمی‌شدند و فی‌الجمله، امامان پاک  علیهم السلام  هیچ معلمی جز پدران خود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ابوالصلاح، چنین حقیقتی را باید معجزه‌ای از جانب ایشان دانست، چراکه اولاً، به طور طبیعی دیده نشده است که عالمی بدون استفاده از معلم بتواند در همة علوم و حتی در یک علم سرآمد دیگران باشد؛ ثانیاً، هر عالمی جز امامان پاک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بسیاری از موارد از پاسخ‌گویی درمانده می‌شود و در مناظره شکست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علوم امامان پاک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چیزی جز معجزه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با توجه به اطلاق سخن ابوالصلاح حلبی باید گفت که امامان  علیهم السلام  از تمام امور آگاهی داشته‌اند که از جملۀ آن‌ها امور علمی غیردینی است</w:t>
      </w:r>
      <w:r>
        <w:rPr>
          <w:rFonts w:eastAsia="IRNazanin" w:cs="IRNazanin"/>
          <w:color w:val="111111"/>
          <w:sz w:val="28"/>
          <w:szCs w:val="28"/>
          <w:rtl w:val="true"/>
          <w:lang w:bidi="fa-IR"/>
        </w:rPr>
        <w:t>.</w:t>
      </w:r>
    </w:p>
    <w:p>
      <w:pPr>
        <w:pStyle w:val="Heading5"/>
        <w:numPr>
          <w:ilvl w:val="4"/>
          <w:numId w:val="1"/>
        </w:numPr>
        <w:rPr/>
      </w:pPr>
      <w:bookmarkStart w:id="97" w:name="__RefHeading___Toc2051581_2749589250"/>
      <w:bookmarkStart w:id="98" w:name="_Toc40"/>
      <w:bookmarkEnd w:id="97"/>
      <w:r>
        <w:rPr>
          <w:rtl w:val="true"/>
        </w:rPr>
        <w:t>چهارم</w:t>
      </w:r>
      <w:r>
        <w:rPr>
          <w:rtl w:val="true"/>
        </w:rPr>
        <w:t xml:space="preserve">: </w:t>
      </w:r>
      <w:r>
        <w:rPr>
          <w:rtl w:val="true"/>
        </w:rPr>
        <w:t xml:space="preserve">ابوالفتح کراجکی </w:t>
      </w:r>
      <w:r>
        <w:rPr>
          <w:rtl w:val="true"/>
        </w:rPr>
        <w:t>(</w:t>
      </w:r>
      <w:r>
        <w:rPr/>
        <w:t>449</w:t>
      </w:r>
      <w:r>
        <w:rPr>
          <w:rtl w:val="true"/>
        </w:rPr>
        <w:t>ق</w:t>
      </w:r>
      <w:r>
        <w:rPr>
          <w:rtl w:val="true"/>
        </w:rPr>
        <w:t>)</w:t>
      </w:r>
      <w:bookmarkEnd w:id="98"/>
    </w:p>
    <w:p>
      <w:pPr>
        <w:pStyle w:val="BookText"/>
        <w:rPr/>
      </w:pP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خداوند متعالی از روی لطف و حکمتش، امامان  علیهم السلام  را به بسیاری از امور پنهانی و مربوط به آینده آگاه کرده است، ولی آن‌ها همواره به همة امور پنهانی و نیز غیبی آگاه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عبارت، مرحوم کراجکی بر این باور است که امام، از جانب خداوند به همة علوم آگاه نیست؛ به دیگر بیان، علم امام به حقایق، به لطف خداوند بستگی دارد</w:t>
      </w:r>
      <w:r>
        <w:rPr>
          <w:rFonts w:eastAsia="IRNazanin" w:cs="IRNazanin"/>
          <w:color w:val="111111"/>
          <w:sz w:val="28"/>
          <w:szCs w:val="28"/>
          <w:rtl w:val="true"/>
          <w:lang w:bidi="fa-IR"/>
        </w:rPr>
        <w:t>.</w:t>
      </w:r>
    </w:p>
    <w:p>
      <w:pPr>
        <w:pStyle w:val="Heading5"/>
        <w:numPr>
          <w:ilvl w:val="4"/>
          <w:numId w:val="1"/>
        </w:numPr>
        <w:rPr/>
      </w:pPr>
      <w:bookmarkStart w:id="99" w:name="__RefHeading___Toc2051583_2749589250"/>
      <w:bookmarkStart w:id="100" w:name="_Toc41"/>
      <w:bookmarkEnd w:id="99"/>
      <w:r>
        <w:rPr>
          <w:rtl w:val="true"/>
        </w:rPr>
        <w:t>پنجم</w:t>
      </w:r>
      <w:r>
        <w:rPr>
          <w:rtl w:val="true"/>
        </w:rPr>
        <w:t xml:space="preserve">: </w:t>
      </w:r>
      <w:r>
        <w:rPr>
          <w:rtl w:val="true"/>
        </w:rPr>
        <w:t xml:space="preserve">شیخ طوسی </w:t>
      </w:r>
      <w:r>
        <w:rPr>
          <w:rtl w:val="true"/>
        </w:rPr>
        <w:t>(</w:t>
      </w:r>
      <w:r>
        <w:rPr/>
        <w:t>460</w:t>
      </w:r>
      <w:r>
        <w:rPr>
          <w:rtl w:val="true"/>
        </w:rPr>
        <w:t>ق</w:t>
      </w:r>
      <w:r>
        <w:rPr>
          <w:rtl w:val="true"/>
        </w:rPr>
        <w:t>)</w:t>
      </w:r>
      <w:bookmarkEnd w:id="100"/>
    </w:p>
    <w:p>
      <w:pPr>
        <w:pStyle w:val="Heading6"/>
        <w:numPr>
          <w:ilvl w:val="5"/>
          <w:numId w:val="1"/>
        </w:numPr>
        <w:rPr/>
      </w:pPr>
      <w:bookmarkStart w:id="101" w:name="__RefHeading___Toc2051585_2749589250"/>
      <w:bookmarkStart w:id="102" w:name="_Toc42"/>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شیخ طوسی گاه عنوان می‌کند که امام باید به همة نیازهای مردم عالم باشد، و جایز نیست که در میان رعیتْ عالم‌تر از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بدوی این عبارت چنان است که گویی در اندیشة شیخ، امام به تمام علوم عالم است؛ با وجود این، او در موارد متعددی تصریح می‌کند که لازمة منصب امامت، چیزی جز علم به احکام دین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نظریة مرحوم شیخ در این باره را می‌توان این‌گونه مطرح کرد</w:t>
      </w:r>
      <w:r>
        <w:rPr>
          <w:rFonts w:eastAsia="IRNazanin" w:cs="IRNazanin"/>
          <w:color w:val="111111"/>
          <w:sz w:val="28"/>
          <w:szCs w:val="28"/>
          <w:rtl w:val="true"/>
          <w:lang w:bidi="fa-IR"/>
        </w:rPr>
        <w:t>:</w:t>
      </w:r>
      <w:bookmarkStart w:id="103" w:name="pg3261_16458"/>
    </w:p>
    <w:p>
      <w:pPr>
        <w:pStyle w:val="Heading6"/>
        <w:numPr>
          <w:ilvl w:val="5"/>
          <w:numId w:val="1"/>
        </w:numPr>
        <w:rPr/>
      </w:pPr>
      <w:bookmarkStart w:id="104" w:name="__RefHeading___Toc2051587_2749589250"/>
      <w:bookmarkStart w:id="105" w:name="_Toc43"/>
      <w:bookmarkEnd w:id="103"/>
      <w:bookmarkEnd w:id="104"/>
      <w:r>
        <w:rPr>
          <w:rtl w:val="true"/>
        </w:rPr>
        <w:t>الف</w:t>
      </w:r>
      <w:bookmarkEnd w:id="105"/>
    </w:p>
    <w:p>
      <w:pPr>
        <w:pStyle w:val="BookText"/>
        <w:rPr/>
      </w:pPr>
      <w:r>
        <w:rPr>
          <w:rFonts w:ascii="IRNazanin" w:hAnsi="IRNazanin" w:eastAsia="IRNazanin"/>
          <w:color w:val="111111"/>
          <w:sz w:val="28"/>
          <w:sz w:val="28"/>
          <w:szCs w:val="28"/>
          <w:rtl w:val="true"/>
          <w:lang w:bidi="fa-IR"/>
        </w:rPr>
        <w:t xml:space="preserve">لازمة منصب امامت، علم به باطن یا آگاهی از راست‌گویی شاهدان در دادگاه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6"/>
        <w:numPr>
          <w:ilvl w:val="5"/>
          <w:numId w:val="1"/>
        </w:numPr>
        <w:rPr/>
      </w:pPr>
      <w:bookmarkStart w:id="106" w:name="__RefHeading___Toc2051589_2749589250"/>
      <w:bookmarkStart w:id="107" w:name="_Toc44"/>
      <w:bookmarkEnd w:id="106"/>
      <w:r>
        <w:rPr>
          <w:rtl w:val="true"/>
        </w:rPr>
        <w:t>ب</w:t>
      </w:r>
      <w:bookmarkEnd w:id="107"/>
    </w:p>
    <w:p>
      <w:pPr>
        <w:pStyle w:val="BookText"/>
        <w:rPr/>
      </w:pPr>
      <w:r>
        <w:rPr>
          <w:rFonts w:ascii="IRNazanin" w:hAnsi="IRNazanin" w:eastAsia="IRNazanin"/>
          <w:color w:val="111111"/>
          <w:sz w:val="28"/>
          <w:sz w:val="28"/>
          <w:szCs w:val="28"/>
          <w:rtl w:val="true"/>
          <w:lang w:bidi="fa-IR"/>
        </w:rPr>
        <w:t xml:space="preserve">علم به احکام دین و سیاست، برای منصب امامت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بی‌تردید لزوم آگاهی امام از دیگر علوم، مدعایی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6"/>
        <w:numPr>
          <w:ilvl w:val="5"/>
          <w:numId w:val="1"/>
        </w:numPr>
        <w:rPr/>
      </w:pPr>
      <w:bookmarkStart w:id="108" w:name="__RefHeading___Toc2051591_2749589250"/>
      <w:bookmarkStart w:id="109" w:name="_Toc45"/>
      <w:bookmarkEnd w:id="108"/>
      <w:r>
        <w:rPr>
          <w:rtl w:val="true"/>
        </w:rPr>
        <w:t>ج</w:t>
      </w:r>
      <w:bookmarkEnd w:id="109"/>
    </w:p>
    <w:p>
      <w:pPr>
        <w:pStyle w:val="BookText"/>
        <w:rPr/>
      </w:pPr>
      <w:r>
        <w:rPr>
          <w:rFonts w:ascii="IRNazanin" w:hAnsi="IRNazanin" w:eastAsia="IRNazanin"/>
          <w:color w:val="111111"/>
          <w:sz w:val="28"/>
          <w:sz w:val="28"/>
          <w:szCs w:val="28"/>
          <w:rtl w:val="true"/>
          <w:lang w:bidi="fa-IR"/>
        </w:rPr>
        <w:t xml:space="preserve">وجود شخصی در میان امتْ که در غیر احکام دین و سیاست از امام افضل باشد، امری ممکن و متصور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6"/>
        <w:numPr>
          <w:ilvl w:val="5"/>
          <w:numId w:val="1"/>
        </w:numPr>
        <w:rPr/>
      </w:pPr>
      <w:bookmarkStart w:id="110" w:name="__RefHeading___Toc2051593_2749589250"/>
      <w:bookmarkStart w:id="111" w:name="_Toc46"/>
      <w:bookmarkEnd w:id="110"/>
      <w:r>
        <w:rPr>
          <w:rtl w:val="true"/>
        </w:rPr>
        <w:t>د</w:t>
      </w:r>
      <w:bookmarkEnd w:id="111"/>
    </w:p>
    <w:p>
      <w:pPr>
        <w:pStyle w:val="BookText"/>
        <w:rPr/>
      </w:pPr>
      <w:r>
        <w:rPr>
          <w:rFonts w:ascii="IRNazanin" w:hAnsi="IRNazanin" w:eastAsia="IRNazanin"/>
          <w:color w:val="111111"/>
          <w:sz w:val="28"/>
          <w:sz w:val="28"/>
          <w:szCs w:val="28"/>
          <w:rtl w:val="true"/>
          <w:lang w:bidi="fa-IR"/>
        </w:rPr>
        <w:t xml:space="preserve">امام در غیر احکام دین و سیاست، باید به کارشناس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صورت اختلاف کارشناسان، باید به عادل‌ترین آن‌ها و در صورت تساوی در عدالت، مخیر است به هر کدام از آن‌ها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تلخیص الشافی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اروش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اگرچه برخی از امامیه بر آنند که امام به واسطة خداوند، اروش جنایات را می‌داند و برای اثبات این نظریه، روایت‌هایی را نیز نقل کرده‌اند، حق این است که وی باید دربارة این مورد نیز به کارشناس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تمهید الاصول دیدگاه برخی اصحاب امامیه را مبنی بر وجود روایت‌هایی دربارة علم امام به دیگر علوم به واسطة خداوند یادآور شده و بر این باور است که اگرچه برخی اصحاب امامیه بر این نظرند که امام به واسطة خداوند همة مسائل را می‌داند و برای اثبات نظریة خود روایاتی را نیز نقل کرده‌اند، حق این است که این امر اگرچه جایز است، برای منصب امامت ضروری به شمار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در پایان این بحث نتیجه گرفت که از دیدگاه شیخ طوسی، نه متصدی منصب امامت، لازم است به تمام معلومات آگاه باشد و نه آن‌که حضرات ائمه اطهار  علیهم السلام  از تمام علوم آگاه بوده‌اند</w:t>
      </w:r>
      <w:r>
        <w:rPr>
          <w:rFonts w:eastAsia="IRNazanin" w:cs="IRNazanin"/>
          <w:color w:val="111111"/>
          <w:sz w:val="28"/>
          <w:szCs w:val="28"/>
          <w:rtl w:val="true"/>
          <w:lang w:bidi="fa-IR"/>
        </w:rPr>
        <w:t>.</w:t>
      </w:r>
    </w:p>
    <w:p>
      <w:pPr>
        <w:pStyle w:val="Heading4"/>
        <w:numPr>
          <w:ilvl w:val="3"/>
          <w:numId w:val="1"/>
        </w:numPr>
        <w:rPr/>
      </w:pPr>
      <w:bookmarkStart w:id="112" w:name="__RefHeading___Toc2051595_2749589250"/>
      <w:bookmarkStart w:id="113" w:name="_Toc47"/>
      <w:bookmarkEnd w:id="112"/>
      <w:r>
        <w:rPr/>
        <w:t>2</w:t>
      </w:r>
      <w:r>
        <w:rPr>
          <w:rtl w:val="true"/>
        </w:rPr>
        <w:t>ـ</w:t>
      </w:r>
      <w:r>
        <w:rPr/>
        <w:t>1</w:t>
      </w:r>
      <w:r>
        <w:rPr>
          <w:rtl w:val="true"/>
        </w:rPr>
        <w:t xml:space="preserve">. </w:t>
      </w:r>
      <w:r>
        <w:rPr>
          <w:rtl w:val="true"/>
        </w:rPr>
        <w:t>علم امام در مکتب کلامی ری</w:t>
      </w:r>
      <w:bookmarkEnd w:id="113"/>
    </w:p>
    <w:p>
      <w:pPr>
        <w:pStyle w:val="Heading5"/>
        <w:numPr>
          <w:ilvl w:val="4"/>
          <w:numId w:val="1"/>
        </w:numPr>
        <w:rPr/>
      </w:pPr>
      <w:bookmarkStart w:id="114" w:name="__RefHeading___Toc2051597_2749589250"/>
      <w:bookmarkStart w:id="115" w:name="_Toc48"/>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مکتب کلامی ری، کمتر مورد توجه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مکتب، آثار دو متکلم بزرگ آن، یعنی عبدالجلیل قزوینی و سدیدالدین حمصی را بررسی می کنیم</w:t>
      </w:r>
      <w:r>
        <w:rPr>
          <w:rFonts w:eastAsia="IRNazanin" w:cs="IRNazanin"/>
          <w:color w:val="111111"/>
          <w:sz w:val="28"/>
          <w:szCs w:val="28"/>
          <w:rtl w:val="true"/>
          <w:lang w:bidi="fa-IR"/>
        </w:rPr>
        <w:t>.</w:t>
      </w:r>
    </w:p>
    <w:p>
      <w:pPr>
        <w:pStyle w:val="Heading5"/>
        <w:numPr>
          <w:ilvl w:val="4"/>
          <w:numId w:val="1"/>
        </w:numPr>
        <w:rPr/>
      </w:pPr>
      <w:bookmarkStart w:id="116" w:name="__RefHeading___Toc2051599_2749589250"/>
      <w:bookmarkStart w:id="117" w:name="_Toc49"/>
      <w:bookmarkEnd w:id="116"/>
      <w:r>
        <w:rPr>
          <w:rtl w:val="true"/>
        </w:rPr>
        <w:t>یکم</w:t>
      </w:r>
      <w:r>
        <w:rPr>
          <w:rtl w:val="true"/>
        </w:rPr>
        <w:t xml:space="preserve">: </w:t>
      </w:r>
      <w:r>
        <w:rPr>
          <w:rtl w:val="true"/>
        </w:rPr>
        <w:t xml:space="preserve">عبدالجلیل قزوینی </w:t>
      </w:r>
      <w:r>
        <w:rPr>
          <w:rtl w:val="true"/>
        </w:rPr>
        <w:t>(</w:t>
      </w:r>
      <w:r>
        <w:rPr>
          <w:rtl w:val="true"/>
        </w:rPr>
        <w:t>قرن ششم هجری</w:t>
      </w:r>
      <w:r>
        <w:rPr>
          <w:rtl w:val="true"/>
        </w:rPr>
        <w:t>)</w:t>
      </w:r>
      <w:bookmarkEnd w:id="11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دو عبارت دست یافتیم که بیان‌گر دیدگاه او دربارة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همة انبیا دانستند، علی به تنهایی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دروغ است</w:t>
      </w:r>
      <w:r>
        <w:rPr>
          <w:rFonts w:eastAsia="IRNazanin" w:cs="IRNazanin"/>
          <w:color w:val="111111"/>
          <w:sz w:val="28"/>
          <w:szCs w:val="28"/>
          <w:rtl w:val="true"/>
          <w:lang w:bidi="fa-IR"/>
        </w:rPr>
        <w:t>...</w:t>
      </w:r>
      <w:bookmarkStart w:id="118" w:name="pg3261_16459"/>
    </w:p>
    <w:p>
      <w:pPr>
        <w:pStyle w:val="BookText"/>
        <w:rPr/>
      </w:pPr>
      <w:bookmarkEnd w:id="118"/>
      <w:r>
        <w:rPr>
          <w:rFonts w:ascii="IRNazanin" w:hAnsi="IRNazanin" w:eastAsia="IRNazanin"/>
          <w:color w:val="111111"/>
          <w:sz w:val="28"/>
          <w:sz w:val="28"/>
          <w:szCs w:val="28"/>
          <w:rtl w:val="true"/>
          <w:lang w:bidi="fa-IR"/>
        </w:rPr>
        <w:t xml:space="preserve">می‌گوییم بعد از مصطفی  صلی الله علیه و آله وسلم  هرچه امت بدان محتاج باشند، از اصول و فروع و تفاسیر کتب و منزلات که اهل ادیان و ملل رجوع کنند و علم به غایبات که بیگانگان اسلام را دلالت باشد بحق و غیر آن، باید که امام عالم باشد، به کیفیت آن‌که اگر نداند خلل به دین و شریعت محمدی راه یابد که بدین علوم عالم‌تر باشد از اهل زمانۀ خویش تا فرق باشد میان حجت و محجوج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تصریح قزوینی، پیامبر  صلی الله علیه و آله وسلم  با تمام عظمتی که داشت، در زمان حیاتش، اگر در مسجد مدینه بود، نمی‌دانست که در بازارها چه اتفاقی می‌افتد، مگر آن‌که جبرائیل به او خبر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قزوینی بدین معناست که دست کم نمی‌توان امام را به طور بالفعل، عالم به همة امور و نیز آگاه از تمام آنچه در دنیا اتفاق می‌افتد،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عبارات، امام باید در علوم دینی سرآمد دیگران باشد، اما در غیر علوم دینی چنین ضرورتی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غیبی نیز در جایی دانستنِ آن لازم است که موجب هدایت مخالفان به سوی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عبدالجلیل قزوینی، امام از شأن مرجعیت علمی در علوم غیردینی برخوردار نیست</w:t>
      </w:r>
      <w:r>
        <w:rPr>
          <w:rFonts w:eastAsia="IRNazanin" w:cs="IRNazanin"/>
          <w:color w:val="111111"/>
          <w:sz w:val="28"/>
          <w:szCs w:val="28"/>
          <w:rtl w:val="true"/>
          <w:lang w:bidi="fa-IR"/>
        </w:rPr>
        <w:t>.</w:t>
      </w:r>
    </w:p>
    <w:p>
      <w:pPr>
        <w:pStyle w:val="Heading5"/>
        <w:numPr>
          <w:ilvl w:val="4"/>
          <w:numId w:val="1"/>
        </w:numPr>
        <w:rPr/>
      </w:pPr>
      <w:bookmarkStart w:id="119" w:name="__RefHeading___Toc2051601_2749589250"/>
      <w:bookmarkStart w:id="120" w:name="_Toc50"/>
      <w:bookmarkEnd w:id="119"/>
      <w:r>
        <w:rPr>
          <w:rtl w:val="true"/>
        </w:rPr>
        <w:t>دوم</w:t>
      </w:r>
      <w:r>
        <w:rPr>
          <w:rtl w:val="true"/>
        </w:rPr>
        <w:t xml:space="preserve">: </w:t>
      </w:r>
      <w:r>
        <w:rPr>
          <w:rtl w:val="true"/>
        </w:rPr>
        <w:t xml:space="preserve">سدیدالدین حمصی </w:t>
      </w:r>
      <w:r>
        <w:rPr>
          <w:rtl w:val="true"/>
        </w:rPr>
        <w:t>(</w:t>
      </w:r>
      <w:r>
        <w:rPr>
          <w:rtl w:val="true"/>
        </w:rPr>
        <w:t>قرن ششم هجری</w:t>
      </w:r>
      <w:r>
        <w:rPr>
          <w:rtl w:val="true"/>
        </w:rPr>
        <w:t>)</w:t>
      </w:r>
      <w:bookmarkEnd w:id="120"/>
    </w:p>
    <w:p>
      <w:pPr>
        <w:pStyle w:val="BookText"/>
        <w:rPr/>
      </w:pPr>
      <w:r>
        <w:rPr>
          <w:rFonts w:ascii="IRNazanin" w:hAnsi="IRNazanin" w:eastAsia="IRNazanin"/>
          <w:color w:val="111111"/>
          <w:sz w:val="28"/>
          <w:sz w:val="28"/>
          <w:szCs w:val="28"/>
          <w:rtl w:val="true"/>
          <w:lang w:bidi="fa-IR"/>
        </w:rPr>
        <w:t>سدیدالدین حمصی دیدگاهی شبیه دیدگاه سید مرتضی و شیخ طوسی دارد؛ بدین بیان که معتقد است آنچه برای منصب امامت ضرورت دارد، علم به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آن‌گاه که امام در مقام قضاوت و داوری میان مردم است، اگر موضوع دعوای ایشان مستلزم آشنایی با علوم غیردینی است، امام باید به کارشناسان آن علوم مراجعه کند، آن‌گاه بر اساس سخن ایشان، حکمش را صادر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حمصی تصریح می‌کند، برخی عالمان شیعی بر پایة برخی روایات، بر این باور هستند که خداوند در چنین مواردی علم واقعی را در اختیار امام می‌نهد، اما خود او به چنین دیدگاهی ملتزم نیست، اگرچه وقوع آن را محال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4"/>
        <w:numPr>
          <w:ilvl w:val="3"/>
          <w:numId w:val="1"/>
        </w:numPr>
        <w:rPr/>
      </w:pPr>
      <w:bookmarkStart w:id="121" w:name="__RefHeading___Toc2051603_2749589250"/>
      <w:bookmarkStart w:id="122" w:name="_Toc51"/>
      <w:bookmarkEnd w:id="121"/>
      <w:r>
        <w:rPr/>
        <w:t>3</w:t>
      </w:r>
      <w:r>
        <w:rPr>
          <w:rtl w:val="true"/>
        </w:rPr>
        <w:t>ـ</w:t>
      </w:r>
      <w:r>
        <w:rPr/>
        <w:t>1</w:t>
      </w:r>
      <w:r>
        <w:rPr>
          <w:rtl w:val="true"/>
        </w:rPr>
        <w:t xml:space="preserve">. </w:t>
      </w:r>
      <w:r>
        <w:rPr>
          <w:rtl w:val="true"/>
        </w:rPr>
        <w:t>علم امام در مکتب کلامی حله</w:t>
      </w:r>
      <w:bookmarkEnd w:id="122"/>
    </w:p>
    <w:p>
      <w:pPr>
        <w:pStyle w:val="Heading5"/>
        <w:numPr>
          <w:ilvl w:val="4"/>
          <w:numId w:val="1"/>
        </w:numPr>
        <w:rPr/>
      </w:pPr>
      <w:bookmarkStart w:id="123" w:name="__RefHeading___Toc2051605_2749589250"/>
      <w:bookmarkStart w:id="124" w:name="_Toc52"/>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دیدگاه مهم ترین دانشمندان مکتب کلامی حلّه عبارتند از</w:t>
      </w:r>
      <w:r>
        <w:rPr>
          <w:rFonts w:eastAsia="IRNazanin" w:cs="IRNazanin"/>
          <w:color w:val="111111"/>
          <w:sz w:val="28"/>
          <w:szCs w:val="28"/>
          <w:rtl w:val="true"/>
          <w:lang w:bidi="fa-IR"/>
        </w:rPr>
        <w:t>:</w:t>
      </w:r>
    </w:p>
    <w:p>
      <w:pPr>
        <w:pStyle w:val="Heading5"/>
        <w:numPr>
          <w:ilvl w:val="4"/>
          <w:numId w:val="1"/>
        </w:numPr>
        <w:rPr/>
      </w:pPr>
      <w:bookmarkStart w:id="125" w:name="__RefHeading___Toc2051607_2749589250"/>
      <w:bookmarkStart w:id="126" w:name="_Toc53"/>
      <w:bookmarkEnd w:id="125"/>
      <w:r>
        <w:rPr>
          <w:rtl w:val="true"/>
        </w:rPr>
        <w:t>یکم</w:t>
      </w:r>
      <w:r>
        <w:rPr>
          <w:rtl w:val="true"/>
        </w:rPr>
        <w:t xml:space="preserve">: </w:t>
      </w:r>
      <w:r>
        <w:rPr>
          <w:rtl w:val="true"/>
        </w:rPr>
        <w:t xml:space="preserve">خواجه نصیرالدین طوسی </w:t>
      </w:r>
      <w:r>
        <w:rPr>
          <w:rtl w:val="true"/>
        </w:rPr>
        <w:t>(</w:t>
      </w:r>
      <w:r>
        <w:rPr/>
        <w:t>672</w:t>
      </w:r>
      <w:r>
        <w:rPr>
          <w:rtl w:val="true"/>
        </w:rPr>
        <w:t>ق</w:t>
      </w:r>
      <w:r>
        <w:rPr>
          <w:rtl w:val="true"/>
        </w:rPr>
        <w:t>)</w:t>
      </w:r>
      <w:bookmarkEnd w:id="12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میزان بهره‌مندی امامان از علوم غیردینی چندان سخن نگفته است، جز آن‌که در موضعی اظهار می‌کند که امام باید علومی را که قوام امامت بدان متوقف</w:t>
      </w:r>
      <w:bookmarkStart w:id="127" w:name="pg3261_16460"/>
    </w:p>
    <w:p>
      <w:pPr>
        <w:pStyle w:val="BookText"/>
        <w:rPr/>
      </w:pPr>
      <w:bookmarkEnd w:id="127"/>
      <w:r>
        <w:rPr>
          <w:rFonts w:ascii="IRNazanin" w:hAnsi="IRNazanin" w:eastAsia="IRNazanin"/>
          <w:color w:val="111111"/>
          <w:sz w:val="28"/>
          <w:sz w:val="28"/>
          <w:szCs w:val="28"/>
          <w:rtl w:val="true"/>
          <w:lang w:bidi="fa-IR"/>
        </w:rPr>
        <w:t>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آن علوم را علوم دینی و دنیوی مانند شرعیات، سیاسیات، آداب و دفع خصومت‌ها و مانند آن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طوسی،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همین راستا اشاره می‌کند که برخی بر این باورند که امام لغات مختلف و نیز غذاها را به مردم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طوسی این نظریه را منسوب به غالیان دانسته که اساساً خارج از امامیه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طوسی،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5"/>
        <w:numPr>
          <w:ilvl w:val="4"/>
          <w:numId w:val="1"/>
        </w:numPr>
        <w:rPr/>
      </w:pPr>
      <w:bookmarkStart w:id="128" w:name="__RefHeading___Toc2051609_2749589250"/>
      <w:bookmarkStart w:id="129" w:name="_Toc54"/>
      <w:bookmarkEnd w:id="128"/>
      <w:r>
        <w:rPr>
          <w:rtl w:val="true"/>
        </w:rPr>
        <w:t>دوم</w:t>
      </w:r>
      <w:r>
        <w:rPr>
          <w:rtl w:val="true"/>
        </w:rPr>
        <w:t xml:space="preserve">: </w:t>
      </w:r>
      <w:r>
        <w:rPr>
          <w:rtl w:val="true"/>
        </w:rPr>
        <w:t xml:space="preserve">ابن‌میثم بحرانی </w:t>
      </w:r>
      <w:r>
        <w:rPr>
          <w:rtl w:val="true"/>
        </w:rPr>
        <w:t>(</w:t>
      </w:r>
      <w:r>
        <w:rPr/>
        <w:t>699</w:t>
      </w:r>
      <w:r>
        <w:rPr>
          <w:rtl w:val="true"/>
        </w:rPr>
        <w:t>ق</w:t>
      </w:r>
      <w:r>
        <w:rPr>
          <w:rtl w:val="true"/>
        </w:rPr>
        <w:t>)</w:t>
      </w:r>
      <w:bookmarkEnd w:id="129"/>
    </w:p>
    <w:p>
      <w:pPr>
        <w:pStyle w:val="BookText"/>
        <w:rPr/>
      </w:pPr>
      <w:r>
        <w:rPr>
          <w:rFonts w:ascii="IRNazanin" w:hAnsi="IRNazanin" w:eastAsia="IRNazanin"/>
          <w:color w:val="111111"/>
          <w:sz w:val="28"/>
          <w:sz w:val="28"/>
          <w:szCs w:val="28"/>
          <w:rtl w:val="true"/>
          <w:lang w:bidi="fa-IR"/>
        </w:rPr>
        <w:t>ابن‌میثم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را که امام در امامت خود بدان نیاز دارد، همان علم به امور دینی می‌داند و سخنی از علوم غیردینی به میان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مانع از آن نمی‌شود که بحرانی بر این باور باشد که خداوند متعالی از روی فضل خود به امام، علمی را فراتر از آنچه بدان نیاز دارد، عطا کرده باشد؛ برای نمونه، بحرانی وقتی به تفسیر سخن پیامبر اکرم  صلی الله علیه و 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بیان می‌کند که قضاوت نیازمند آگاهی از تمام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خدا  صلی الله علیه و آله وسلم  امام علی  علیه السلام   را در قضاوت بر همگان ترجیح داده است، بدین معناست که امیرالمؤمنین  علیه السلام   در تمام علوم سرآمد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ابن‌میثم بر این باور است که تمام دانشمندان از تمام فرقه‌های اسلامی به نوعی علوم خود را از امام علی  علیه السلام   گرفته‌اند؛ برای نمونه، دانشمندان معتزلی، اشعری، خوارج و شیعه همگی شاگرد امام علی‌  علیه السلام   بوده‌اند؛ نتیجه آن‌که امیرالمؤمنین  علیه السلام   از همة آن‌ها عالم‌تر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تنها دربارة امام علی  علیه السلام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ابن‌میثم بحرانی نیز در این دوران بر این مهم پای می‌فشرد که آنچه امام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نمی‌شود، بلکه علمی است که از خدا به او رسیده و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کاربست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5"/>
        <w:numPr>
          <w:ilvl w:val="4"/>
          <w:numId w:val="1"/>
        </w:numPr>
        <w:rPr/>
      </w:pPr>
      <w:bookmarkStart w:id="130" w:name="__RefHeading___Toc2051611_2749589250"/>
      <w:bookmarkStart w:id="131" w:name="_Toc55"/>
      <w:bookmarkEnd w:id="130"/>
      <w:r>
        <w:rPr>
          <w:rtl w:val="true"/>
        </w:rPr>
        <w:t>سوم</w:t>
      </w:r>
      <w:r>
        <w:rPr>
          <w:rtl w:val="true"/>
        </w:rPr>
        <w:t xml:space="preserve">: </w:t>
      </w:r>
      <w:r>
        <w:rPr>
          <w:rtl w:val="true"/>
        </w:rPr>
        <w:t xml:space="preserve">علامه حلی </w:t>
      </w:r>
      <w:r>
        <w:rPr>
          <w:rtl w:val="true"/>
        </w:rPr>
        <w:t>(</w:t>
      </w:r>
      <w:r>
        <w:rPr/>
        <w:t>726</w:t>
      </w:r>
      <w:r>
        <w:rPr>
          <w:rtl w:val="true"/>
        </w:rPr>
        <w:t>ق</w:t>
      </w:r>
      <w:r>
        <w:rPr>
          <w:rtl w:val="true"/>
        </w:rPr>
        <w:t>)</w:t>
      </w:r>
      <w:bookmarkEnd w:id="1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باب علوم غیردینی امامان  علیهم السلام  موضع‌گیری خاصی نکرده است و تمام براهینی که برای ضرورت عصمت امام نیز اقامه می‌کند، دربارۀ علم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آن‌گاه که به ویژگی‌های امیرالمؤمنین  علیه السلام   اشاره می‌کند، یادآور می شود که ایشان عالم‌ترین مردم عصر خود در علوم عقلی و نقلی بوده، پیامبر اکرم  صلی الله علیه و آله وسلم  او را داناترین مردم به قضاوت دانسته که چنین عنوانی مستلزم آن است که او عالم‌ترینِ مردم دوران خود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w:t>
      </w:r>
      <w:r>
        <w:rPr>
          <w:rFonts w:eastAsia="IRNazanin" w:cs="IRNazanin"/>
          <w:color w:val="111111"/>
          <w:sz w:val="28"/>
          <w:szCs w:val="28"/>
          <w:rtl w:val="true"/>
          <w:lang w:bidi="fa-IR"/>
        </w:rPr>
        <w:t>).</w:t>
      </w:r>
      <w:bookmarkStart w:id="132" w:name="pg3261_16461"/>
    </w:p>
    <w:p>
      <w:pPr>
        <w:pStyle w:val="BookText"/>
        <w:rPr/>
      </w:pPr>
      <w:bookmarkEnd w:id="132"/>
      <w:r>
        <w:rPr>
          <w:rFonts w:ascii="IRNazanin" w:hAnsi="IRNazanin" w:eastAsia="IRNazanin"/>
          <w:color w:val="111111"/>
          <w:sz w:val="28"/>
          <w:sz w:val="28"/>
          <w:szCs w:val="28"/>
          <w:rtl w:val="true"/>
          <w:lang w:bidi="fa-IR"/>
        </w:rPr>
        <w:t xml:space="preserve">علامه حلی در موضعی دیگر بیان می‌کند که برخی اصحاب امامیه معتقد بودند که امام وظیفه دارد مردم را با صنایع پنهان، سموم کشنده و غذاهای مفید آشنا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دیدگاه خود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اندیشه او سخن یادشده قطعی نیست</w:t>
      </w:r>
      <w:r>
        <w:rPr>
          <w:rFonts w:eastAsia="IRNazanin" w:cs="IRNazanin"/>
          <w:color w:val="111111"/>
          <w:sz w:val="28"/>
          <w:szCs w:val="28"/>
          <w:rtl w:val="true"/>
          <w:lang w:bidi="fa-IR"/>
        </w:rPr>
        <w:t>.</w:t>
      </w:r>
    </w:p>
    <w:p>
      <w:pPr>
        <w:pStyle w:val="Heading5"/>
        <w:numPr>
          <w:ilvl w:val="4"/>
          <w:numId w:val="1"/>
        </w:numPr>
        <w:rPr/>
      </w:pPr>
      <w:bookmarkStart w:id="133" w:name="__RefHeading___Toc2051613_2749589250"/>
      <w:bookmarkStart w:id="134" w:name="_Toc56"/>
      <w:bookmarkEnd w:id="133"/>
      <w:r>
        <w:rPr>
          <w:rtl w:val="true"/>
        </w:rPr>
        <w:t>چهارم</w:t>
      </w:r>
      <w:r>
        <w:rPr>
          <w:rtl w:val="true"/>
        </w:rPr>
        <w:t xml:space="preserve">: </w:t>
      </w:r>
      <w:r>
        <w:rPr>
          <w:rtl w:val="true"/>
        </w:rPr>
        <w:t xml:space="preserve">فاضل مقداد </w:t>
      </w:r>
      <w:r>
        <w:rPr>
          <w:rtl w:val="true"/>
        </w:rPr>
        <w:t>(</w:t>
      </w:r>
      <w:r>
        <w:rPr/>
        <w:t>826</w:t>
      </w:r>
      <w:r>
        <w:rPr>
          <w:rtl w:val="true"/>
        </w:rPr>
        <w:t>ق</w:t>
      </w:r>
      <w:r>
        <w:rPr>
          <w:rtl w:val="true"/>
        </w:rPr>
        <w:t>)</w:t>
      </w:r>
      <w:bookmarkEnd w:id="134"/>
    </w:p>
    <w:p>
      <w:pPr>
        <w:pStyle w:val="BookText"/>
        <w:rPr/>
      </w:pPr>
      <w:r>
        <w:rPr>
          <w:rFonts w:ascii="IRNazanin" w:hAnsi="IRNazanin" w:eastAsia="IRNazanin"/>
          <w:color w:val="111111"/>
          <w:sz w:val="28"/>
          <w:sz w:val="28"/>
          <w:szCs w:val="28"/>
          <w:rtl w:val="true"/>
          <w:lang w:bidi="fa-IR"/>
        </w:rPr>
        <w:t>فاضل مقداد به بحث علوم امامان  علیهم السلام  وارد نشده است و تنها به اختصار از علم امام علی  علیه السلام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موضعی به این مسئله اشاره می‌کند که امام از تمام فضلا عالم‌تر است، چراکه ایشان علوم خود را به امام علی  علیه السلام   منسوب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نمونه به علوم اصول دین، فقه، تفسیر، نحو، خطابه و بلاغت مثال زده و در پایان اشاره می‌کند که دیگر علوم نیز از امام علی  علیه السلام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در موضعی دیگر به روایت نبوی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اقضاکم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اظهار می‌دارد که قضاوت مستلزم بهره‌مندی از تمام علوم است؛ پس امام علی  علیه السلام   عالم به تمام علوم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اولاً، بر اساس منظومة فکری فاضل مقداد، قضاوت شأنی است که برای تمام امامان  علیهم السلام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از این‌جا ثابت می‌شود که فاضل مقداد امامت را همان ریاست عام بر امور دین و دنیای مردم می‌داند که قضاوت جزئی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قضاوت شأنی دینی است که زیرمجموعۀ امر دین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فاضل مقداد تصریح می‌کند امامِ جامعه توأمان باید هم عالم به دین باشد و هم از قدرت اجرای دین برخوردار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امام شأن قضاوت را در اختیار دارد و قضاوت مستلزم علم به تمام علوم است، پس امام تمام علوم را نیز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او در کتاب فقهی خود دیدگاهی دیگر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شرایط لازم برای قاضی را علم، عدالت و کمال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گسترة علم لازم برای قاضی، چند قول را نقل و سرانجام معتقد می‌شود که علم به غیر کتاب و سنت برای قاضی لازم نیست و تنها علم به کتاب و سنت و نیز علومی که فهم کتاب و سنت متوقف بر دانستن آن‌هاست، وجود آن‌ها برای قاضی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ـ چنان‌که روشن است ـ با آنچه پیش‌تر از فاضل نقل کردیم، دست کم در نگاه نخست، ناسازگار است و ممکن است، در جمع میان آن دو بتوان گفت که آنچه فاضل پیش‌تر</w:t>
      </w:r>
      <w:bookmarkStart w:id="135" w:name="pg3261_16462"/>
    </w:p>
    <w:p>
      <w:pPr>
        <w:pStyle w:val="BookText"/>
        <w:rPr/>
      </w:pPr>
      <w:bookmarkEnd w:id="135"/>
      <w:r>
        <w:rPr>
          <w:rFonts w:ascii="IRNazanin" w:hAnsi="IRNazanin" w:eastAsia="IRNazanin"/>
          <w:color w:val="111111"/>
          <w:sz w:val="28"/>
          <w:sz w:val="28"/>
          <w:szCs w:val="28"/>
          <w:rtl w:val="true"/>
          <w:lang w:bidi="fa-IR"/>
        </w:rPr>
        <w:t>بیان کرده، فضیلتی اختصاصی برای امام علی  علیه السلام   بوده است، وگرنه اگر بر این باور شدیم که متصدی منصب قضاوت به نحو لزوم باید تمام علوم را داشته باشد، اساساً کسی نمی‌تواند چنین منصبی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دیگری نیز وجود دارد؛ بدین بیان که منظور او از جمیع علوم، همۀ علوم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ادعا مقایسه‌ای است که فاضل میان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سخنانی که دربارۀ برخی از اصحاب دیگر بیان شده،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او از رسول خدا  صلی الله علیه و آله وسلم  نقل می‌کند که دربارة ابیّ بن کعب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اقرأکم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داناترین فرد نسبت به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دربارة زید بن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أفرضکم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داناترین شما در مسائل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علوم جزئی از علم قضا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مقایسه آن است که مثلاً زید در محاسبة ارث اعلم بوده، ابیّ در قرائت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  علیه السلام   همۀ این‌ها را در خود جمع کرده است؛ به دلیل آن‌که قضاوت هم به علوم قرآنی نیاز دارد، هم به محاسبۀ ارث و </w:t>
      </w:r>
      <w:r>
        <w:rPr>
          <w:rFonts w:eastAsia="IRNazanin" w:cs="IRNazanin"/>
          <w:color w:val="111111"/>
          <w:sz w:val="28"/>
          <w:szCs w:val="28"/>
          <w:rtl w:val="true"/>
          <w:lang w:bidi="fa-IR"/>
        </w:rPr>
        <w:t>... .</w:t>
      </w:r>
    </w:p>
    <w:p>
      <w:pPr>
        <w:pStyle w:val="Heading5"/>
        <w:numPr>
          <w:ilvl w:val="4"/>
          <w:numId w:val="1"/>
        </w:numPr>
        <w:rPr/>
      </w:pPr>
      <w:bookmarkStart w:id="136" w:name="__RefHeading___Toc2051615_2749589250"/>
      <w:bookmarkStart w:id="137" w:name="_Toc57"/>
      <w:bookmarkEnd w:id="136"/>
      <w:r>
        <w:rPr>
          <w:rtl w:val="true"/>
        </w:rPr>
        <w:t>جمع بندی</w:t>
      </w:r>
      <w:bookmarkEnd w:id="137"/>
    </w:p>
    <w:p>
      <w:pPr>
        <w:pStyle w:val="BookText"/>
        <w:rPr/>
      </w:pPr>
      <w:r>
        <w:rPr>
          <w:rFonts w:ascii="IRNazanin" w:hAnsi="IRNazanin" w:eastAsia="IRNazanin"/>
          <w:color w:val="111111"/>
          <w:sz w:val="28"/>
          <w:sz w:val="28"/>
          <w:szCs w:val="28"/>
          <w:rtl w:val="true"/>
          <w:lang w:bidi="fa-IR"/>
        </w:rPr>
        <w:t>آنچه از مجموع این نظریات می توان به روشنی دریافت کرد، آن است که در اندیشۀ بزرگان شیعی تا فاضل مقداد، اثری از این اندیشه که امام همه چیز را می داند، کمتر دیده می شود</w:t>
      </w:r>
      <w:r>
        <w:rPr>
          <w:rFonts w:eastAsia="IRNazanin" w:cs="IRNazanin"/>
          <w:color w:val="111111"/>
          <w:sz w:val="28"/>
          <w:szCs w:val="28"/>
          <w:rtl w:val="true"/>
          <w:lang w:bidi="fa-IR"/>
        </w:rPr>
        <w:t>.</w:t>
      </w:r>
    </w:p>
    <w:p>
      <w:pPr>
        <w:pStyle w:val="Heading3"/>
        <w:numPr>
          <w:ilvl w:val="2"/>
          <w:numId w:val="1"/>
        </w:numPr>
        <w:rPr/>
      </w:pPr>
      <w:bookmarkStart w:id="138" w:name="__RefHeading___Toc2051617_2749589250"/>
      <w:bookmarkStart w:id="139" w:name="_Toc58"/>
      <w:bookmarkEnd w:id="138"/>
      <w:r>
        <w:rPr/>
        <w:t>2</w:t>
      </w:r>
      <w:r>
        <w:rPr>
          <w:rtl w:val="true"/>
        </w:rPr>
        <w:t xml:space="preserve">. </w:t>
      </w:r>
      <w:r>
        <w:rPr>
          <w:rtl w:val="true"/>
        </w:rPr>
        <w:t>بررسی دیدگاه متکلمان و ارائۀ دیدگاه برگزیده</w:t>
      </w:r>
      <w:bookmarkEnd w:id="139"/>
    </w:p>
    <w:p>
      <w:pPr>
        <w:pStyle w:val="Heading4"/>
        <w:numPr>
          <w:ilvl w:val="3"/>
          <w:numId w:val="1"/>
        </w:numPr>
        <w:rPr/>
      </w:pPr>
      <w:bookmarkStart w:id="140" w:name="__RefHeading___Toc2051619_2749589250"/>
      <w:bookmarkStart w:id="141" w:name="_Toc59"/>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تا کنون توصیف دیدگاه‌ها انجام شده و اینک باید به بررسی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مجال بررسی تک‌تک دیدگاه‌ها در این مختصر وجود ندارد؛ از این رو، با ارائۀ دیدگاهی که آن را صحیح می دانم، عملاً دیدگاه آن‌ها نیز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ابتدا پیش از هر چیز باید یک تقسیم بندی منطقی از علوم امام ارائه کنیم، آنگاه نسبت به آن اظهار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 تقسیم بندی های متعددی ارائه کرد که یکی از آن‌ها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معارف دین و تزکیۀ انسان ها؛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مدیریت جامعه؛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دیگر مسائل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قسم اول علومی هستند که با توجه به وظایف امام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شیعه معتقد است، امام جانشین پیامبـر است که پهنۀ وظایف او در سـه چیز گـرد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w:t>
      </w:r>
      <w:bookmarkStart w:id="142" w:name="pg3261_16463"/>
    </w:p>
    <w:p>
      <w:pPr>
        <w:pStyle w:val="BookText"/>
        <w:rPr/>
      </w:pPr>
      <w:bookmarkEnd w:id="142"/>
      <w:r>
        <w:rPr>
          <w:rFonts w:ascii="IRNazanin" w:hAnsi="IRNazanin" w:eastAsia="IRNazanin"/>
          <w:color w:val="111111"/>
          <w:sz w:val="28"/>
          <w:sz w:val="28"/>
          <w:szCs w:val="28"/>
          <w:rtl w:val="true"/>
          <w:lang w:bidi="fa-IR"/>
        </w:rPr>
        <w:t>دین، پرورش و تزکیۀ انسان ها و مدیریت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نیز فراتر از این علوم است که تفصلیش را در آینده خواهم گفت</w:t>
      </w:r>
      <w:r>
        <w:rPr>
          <w:rFonts w:eastAsia="IRNazanin" w:cs="IRNazanin"/>
          <w:color w:val="111111"/>
          <w:sz w:val="28"/>
          <w:szCs w:val="28"/>
          <w:rtl w:val="true"/>
          <w:lang w:bidi="fa-IR"/>
        </w:rPr>
        <w:t>.</w:t>
      </w:r>
    </w:p>
    <w:p>
      <w:pPr>
        <w:pStyle w:val="Heading4"/>
        <w:numPr>
          <w:ilvl w:val="3"/>
          <w:numId w:val="1"/>
        </w:numPr>
        <w:rPr/>
      </w:pPr>
      <w:bookmarkStart w:id="143" w:name="__RefHeading___Toc2051621_2749589250"/>
      <w:bookmarkStart w:id="144" w:name="_Toc60"/>
      <w:bookmarkEnd w:id="143"/>
      <w:r>
        <w:rPr/>
        <w:t>1</w:t>
      </w:r>
      <w:r>
        <w:rPr>
          <w:rtl w:val="true"/>
        </w:rPr>
        <w:t>ـ</w:t>
      </w:r>
      <w:r>
        <w:rPr/>
        <w:t>2</w:t>
      </w:r>
      <w:r>
        <w:rPr>
          <w:rtl w:val="true"/>
        </w:rPr>
        <w:t xml:space="preserve">. </w:t>
      </w:r>
      <w:r>
        <w:rPr>
          <w:rtl w:val="true"/>
        </w:rPr>
        <w:t>علم به معارف دین و تزکیۀ انسان</w:t>
      </w:r>
      <w:r>
        <w:rPr>
          <w:rtl w:val="true"/>
        </w:rPr>
        <w:t>¬</w:t>
      </w:r>
      <w:r>
        <w:rPr>
          <w:rtl w:val="true"/>
        </w:rPr>
        <w:t>ها</w:t>
      </w:r>
      <w:bookmarkEnd w:id="144"/>
    </w:p>
    <w:p>
      <w:pPr>
        <w:pStyle w:val="BookText"/>
        <w:rPr/>
      </w:pPr>
      <w:r>
        <w:rPr>
          <w:rFonts w:ascii="IRNazanin" w:hAnsi="IRNazanin" w:eastAsia="IRNazanin"/>
          <w:color w:val="111111"/>
          <w:sz w:val="28"/>
          <w:sz w:val="28"/>
          <w:szCs w:val="28"/>
          <w:rtl w:val="true"/>
          <w:lang w:bidi="fa-IR"/>
        </w:rPr>
        <w:t>امام، جانشین پیامبر است در آموزش و تفسیر دین و تزکیۀ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پیامبر، هم باید تمام جزئیات دین را بداند و هم آن‌که علمش بدون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مدعا دو دلیل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امام آمده است تا دین را بشناساند و مردم را تزکیه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دین را نشناسد یا ناقص بشناسد،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آن‌ها را بیاموزد؛ پس باید دین را به طور کامل شناخته باشد؛</w:t>
      </w:r>
    </w:p>
    <w:p>
      <w:pPr>
        <w:pStyle w:val="BookText"/>
        <w:rPr/>
      </w:pPr>
      <w:r>
        <w:rPr>
          <w:rFonts w:ascii="IRNazanin" w:hAnsi="IRNazanin" w:eastAsia="IRNazanin"/>
          <w:color w:val="111111"/>
          <w:sz w:val="28"/>
          <w:sz w:val="28"/>
          <w:szCs w:val="28"/>
          <w:rtl w:val="true"/>
          <w:lang w:bidi="fa-IR"/>
        </w:rPr>
        <w:t>دوم آن‌که، امام جانشین پیامبر در امر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در آموزش معارف دینی معصوم، و علم او خطاناپذیر است، امام نیز که جانشین اوست، باید علمش خطاناپذیر باشد، زیرا اگر در معارف دینی خطا کند، نمی تواند مردم 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حدیثی هم نداشتیم، عقل ما چنین می گفت که گفتیم، اما خوشبختانه روایات نیز همین حکم عقل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زمین به گونه‌ای است که برای خداوند در آن حجتی است که حلال و حرام را می‌شناساند و مردم را به سوی راه خدا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هرگاه به امامت رسید، باید این علوم را داشته باشد؛ چه کودک باشد،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امام صادق  علیه السلام   به معارف دینی، بیش از علم امام جواد  علیه السلام   ـ که در هشت سالگی به امامت رسید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امامند و وظیفه ای مشترک دارند</w:t>
      </w:r>
      <w:r>
        <w:rPr>
          <w:rFonts w:eastAsia="IRNazanin" w:cs="IRNazanin"/>
          <w:color w:val="111111"/>
          <w:sz w:val="28"/>
          <w:szCs w:val="28"/>
          <w:rtl w:val="true"/>
          <w:lang w:bidi="fa-IR"/>
        </w:rPr>
        <w:t>.</w:t>
      </w:r>
    </w:p>
    <w:p>
      <w:pPr>
        <w:pStyle w:val="Heading4"/>
        <w:numPr>
          <w:ilvl w:val="3"/>
          <w:numId w:val="1"/>
        </w:numPr>
        <w:rPr/>
      </w:pPr>
      <w:bookmarkStart w:id="145" w:name="__RefHeading___Toc2051623_2749589250"/>
      <w:bookmarkStart w:id="146" w:name="_Toc61"/>
      <w:bookmarkEnd w:id="145"/>
      <w:r>
        <w:rPr/>
        <w:t>2</w:t>
      </w:r>
      <w:r>
        <w:rPr>
          <w:rtl w:val="true"/>
        </w:rPr>
        <w:t>ـ</w:t>
      </w:r>
      <w:r>
        <w:rPr/>
        <w:t>2</w:t>
      </w:r>
      <w:r>
        <w:rPr>
          <w:rtl w:val="true"/>
        </w:rPr>
        <w:t xml:space="preserve">. </w:t>
      </w:r>
      <w:r>
        <w:rPr>
          <w:rtl w:val="true"/>
        </w:rPr>
        <w:t>علم به مدیریت جامعه</w:t>
      </w:r>
      <w:bookmarkEnd w:id="146"/>
    </w:p>
    <w:p>
      <w:pPr>
        <w:pStyle w:val="BookText"/>
        <w:rPr/>
      </w:pPr>
      <w:r>
        <w:rPr>
          <w:rFonts w:ascii="IRNazanin" w:hAnsi="IRNazanin" w:eastAsia="IRNazanin"/>
          <w:color w:val="111111"/>
          <w:sz w:val="28"/>
          <w:sz w:val="28"/>
          <w:szCs w:val="28"/>
          <w:rtl w:val="true"/>
          <w:lang w:bidi="fa-IR"/>
        </w:rPr>
        <w:t>یکی از وظایف امام، ادارۀ جامعه بر اساس احکام و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بود که اهل‌سنت نیز به آن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امام بخواهد به ادارۀ جامعه بپردازد، باید دو نوع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به دین، چون می‌خواهد دین را در جامعه اجرا کند؛ دوم علم به مدیریت اجتماعی، چون باید جامعه را مدیریت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که باید به آن اشاره کنیم، آن است که امام ـ که جانشین پیامبر است ـ باید هر دو نوع علم را به طور کامل و بدون اشتباه داشته باشد</w:t>
      </w:r>
      <w:r>
        <w:rPr>
          <w:rFonts w:eastAsia="IRNazanin" w:cs="IRNazanin"/>
          <w:color w:val="111111"/>
          <w:sz w:val="28"/>
          <w:szCs w:val="28"/>
          <w:rtl w:val="true"/>
          <w:lang w:bidi="fa-IR"/>
        </w:rPr>
        <w:t>.</w:t>
      </w:r>
      <w:bookmarkStart w:id="147" w:name="pg3261_16464"/>
    </w:p>
    <w:p>
      <w:pPr>
        <w:pStyle w:val="BookText"/>
        <w:rPr/>
      </w:pPr>
      <w:bookmarkEnd w:id="147"/>
      <w:r>
        <w:rPr>
          <w:rFonts w:ascii="IRNazanin" w:hAnsi="IRNazanin" w:eastAsia="IRNazanin"/>
          <w:color w:val="111111"/>
          <w:sz w:val="28"/>
          <w:sz w:val="28"/>
          <w:szCs w:val="28"/>
          <w:rtl w:val="true"/>
          <w:lang w:bidi="fa-IR"/>
        </w:rPr>
        <w:t>این ادعا با عقل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دین را بشناسد، اما دانش لازم برای ادارۀ جامعه را نداشته باشد، نمی تواند جامعه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نداند چگونه باید نظم و امنیت را در جامعه برقرار سازد، چگونه با شورش ها و فتنه های داخلی مقابله کند، چه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در قبال کشورهای همسایه در پیش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تواند حتی دین را نیز در جامعه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باید امام جامعه باشد که هم علم به دین داشته باشد و هم علم به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عقل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آموختیم که امام باید دو علم را کامل و معصومانه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دین و علم به ادارۀ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جز علم به دین و علم به ادارۀ جامعه، علم دیگری ندارد؟ اگر بیش از این علم دارد، آیا علمش محدود است یا نامحدود؟</w:t>
      </w:r>
    </w:p>
    <w:p>
      <w:pPr>
        <w:pStyle w:val="Heading4"/>
        <w:numPr>
          <w:ilvl w:val="3"/>
          <w:numId w:val="1"/>
        </w:numPr>
        <w:rPr/>
      </w:pPr>
      <w:bookmarkStart w:id="148" w:name="__RefHeading___Toc2051625_2749589250"/>
      <w:bookmarkStart w:id="149" w:name="_Toc62"/>
      <w:bookmarkEnd w:id="148"/>
      <w:r>
        <w:rPr/>
        <w:t>3</w:t>
      </w:r>
      <w:r>
        <w:rPr>
          <w:rtl w:val="true"/>
        </w:rPr>
        <w:t>ـ</w:t>
      </w:r>
      <w:r>
        <w:rPr/>
        <w:t>2</w:t>
      </w:r>
      <w:r>
        <w:rPr>
          <w:rtl w:val="true"/>
        </w:rPr>
        <w:t xml:space="preserve">. </w:t>
      </w:r>
      <w:r>
        <w:rPr>
          <w:rtl w:val="true"/>
        </w:rPr>
        <w:t>علم امام به دیگر مسائل</w:t>
      </w:r>
      <w:bookmarkEnd w:id="149"/>
    </w:p>
    <w:p>
      <w:pPr>
        <w:pStyle w:val="Heading5"/>
        <w:numPr>
          <w:ilvl w:val="4"/>
          <w:numId w:val="1"/>
        </w:numPr>
        <w:rPr/>
      </w:pPr>
      <w:bookmarkStart w:id="150" w:name="__RefHeading___Toc2051627_2749589250"/>
      <w:bookmarkStart w:id="151" w:name="_Toc63"/>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مقصودمان در این‌جا، هر علمی غیر از احکام، عقاید و اخلاق دینی، و نیز علم به تدبیر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علوم زیادی قابل بحث است؛ مانند علم به اتفاقات گذشته و آینده، علم به زبان حیوانات، علم به تمام لغات دنیا، علم به تمام علوم قدیم و جدید، و خلاصه علم به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روایات به کارمان می‌آیند و عقل باید دستش را در دست روایات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روایت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روایاتی که می گویند امام همه چیز را می داند و هیچ چیز نیست که از او مخفی باشد؛</w:t>
      </w:r>
    </w:p>
    <w:p>
      <w:pPr>
        <w:pStyle w:val="BookText"/>
        <w:rPr/>
      </w:pPr>
      <w:r>
        <w:rPr>
          <w:rFonts w:ascii="IRNazanin" w:hAnsi="IRNazanin" w:eastAsia="IRNazanin"/>
          <w:color w:val="111111"/>
          <w:sz w:val="28"/>
          <w:sz w:val="28"/>
          <w:szCs w:val="28"/>
          <w:rtl w:val="true"/>
          <w:lang w:bidi="fa-IR"/>
        </w:rPr>
        <w:t>دوم، روایاتی که می گویند امام به همة امور علم ندارد</w:t>
      </w:r>
      <w:r>
        <w:rPr>
          <w:rFonts w:eastAsia="IRNazanin" w:cs="IRNazanin"/>
          <w:color w:val="111111"/>
          <w:sz w:val="28"/>
          <w:szCs w:val="28"/>
          <w:rtl w:val="true"/>
          <w:lang w:bidi="fa-IR"/>
        </w:rPr>
        <w:t>.</w:t>
      </w:r>
    </w:p>
    <w:p>
      <w:pPr>
        <w:pStyle w:val="Heading5"/>
        <w:numPr>
          <w:ilvl w:val="4"/>
          <w:numId w:val="1"/>
        </w:numPr>
        <w:rPr/>
      </w:pPr>
      <w:bookmarkStart w:id="152" w:name="__RefHeading___Toc2051629_2749589250"/>
      <w:bookmarkStart w:id="153" w:name="_Toc64"/>
      <w:bookmarkEnd w:id="152"/>
      <w:r>
        <w:rPr>
          <w:rtl w:val="true"/>
        </w:rPr>
        <w:t>روایات دستۀ اول</w:t>
      </w:r>
      <w:bookmarkEnd w:id="153"/>
    </w:p>
    <w:p>
      <w:pPr>
        <w:pStyle w:val="Heading6"/>
        <w:numPr>
          <w:ilvl w:val="5"/>
          <w:numId w:val="1"/>
        </w:numPr>
        <w:rPr/>
      </w:pPr>
      <w:bookmarkStart w:id="154" w:name="__RefHeading___Toc2051631_2749589250"/>
      <w:bookmarkStart w:id="155" w:name="_Toc65"/>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به چند نمونه از روایات اشاره می کنیم</w:t>
      </w:r>
      <w:r>
        <w:rPr>
          <w:rFonts w:eastAsia="IRNazanin" w:cs="IRNazanin"/>
          <w:color w:val="111111"/>
          <w:sz w:val="28"/>
          <w:szCs w:val="28"/>
          <w:rtl w:val="true"/>
          <w:lang w:bidi="fa-IR"/>
        </w:rPr>
        <w:t>:</w:t>
      </w:r>
    </w:p>
    <w:p>
      <w:pPr>
        <w:pStyle w:val="Heading6"/>
        <w:numPr>
          <w:ilvl w:val="5"/>
          <w:numId w:val="1"/>
        </w:numPr>
        <w:rPr/>
      </w:pPr>
      <w:bookmarkStart w:id="156" w:name="__RefHeading___Toc2051633_2749589250"/>
      <w:bookmarkStart w:id="157" w:name="_Toc66"/>
      <w:bookmarkEnd w:id="156"/>
      <w:r>
        <w:rPr>
          <w:rtl w:val="true"/>
        </w:rPr>
        <w:t>یک</w:t>
      </w:r>
      <w:bookmarkEnd w:id="157"/>
    </w:p>
    <w:p>
      <w:pPr>
        <w:pStyle w:val="BookText"/>
        <w:rPr/>
      </w:pPr>
      <w:r>
        <w:rPr>
          <w:rFonts w:ascii="IRNazanin" w:hAnsi="IRNazanin" w:eastAsia="IRNazanin"/>
          <w:color w:val="111111"/>
          <w:sz w:val="28"/>
          <w:sz w:val="28"/>
          <w:szCs w:val="28"/>
          <w:rtl w:val="true"/>
          <w:lang w:bidi="fa-IR"/>
        </w:rPr>
        <w:t>امام صادق  علیه السلام   خود را عالم‌تر از خضر و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و خضر، علم گذشته داده شد، اما علم به حال و علم به آینده تا قیامت داده نشد؛ در حالی که ما علم گذشته، حال و آینده را تا قیامت از رسول خدا  صلی الله علیه و آله وسلم  به ارث 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6"/>
        <w:numPr>
          <w:ilvl w:val="5"/>
          <w:numId w:val="1"/>
        </w:numPr>
        <w:rPr/>
      </w:pPr>
      <w:bookmarkStart w:id="158" w:name="__RefHeading___Toc2051635_2749589250"/>
      <w:bookmarkStart w:id="159" w:name="_Toc67"/>
      <w:bookmarkEnd w:id="158"/>
      <w:r>
        <w:rPr>
          <w:rtl w:val="true"/>
        </w:rPr>
        <w:t>دو</w:t>
      </w:r>
      <w:bookmarkEnd w:id="15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آنچه در آسمان ها و زمین و آنچه در بهشت و جهنم است،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رخ داده و رخ خواهد داد، 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bookmarkStart w:id="160" w:name="pg3261_16465"/>
    </w:p>
    <w:p>
      <w:pPr>
        <w:pStyle w:val="Heading6"/>
        <w:numPr>
          <w:ilvl w:val="5"/>
          <w:numId w:val="1"/>
        </w:numPr>
        <w:rPr/>
      </w:pPr>
      <w:bookmarkStart w:id="161" w:name="__RefHeading___Toc2051637_2749589250"/>
      <w:bookmarkStart w:id="162" w:name="_Toc68"/>
      <w:bookmarkEnd w:id="160"/>
      <w:bookmarkEnd w:id="161"/>
      <w:r>
        <w:rPr>
          <w:rtl w:val="true"/>
        </w:rPr>
        <w:t>سه</w:t>
      </w:r>
      <w:bookmarkEnd w:id="162"/>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روی زمین حجتی قرار نمی دهد که مردم از او دربارۀ چیزی بپرسند و او بگوید نمی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6"/>
        <w:numPr>
          <w:ilvl w:val="5"/>
          <w:numId w:val="1"/>
        </w:numPr>
        <w:rPr/>
      </w:pPr>
      <w:bookmarkStart w:id="163" w:name="__RefHeading___Toc2051639_2749589250"/>
      <w:bookmarkStart w:id="164" w:name="_Toc69"/>
      <w:bookmarkEnd w:id="163"/>
      <w:r>
        <w:rPr>
          <w:rtl w:val="true"/>
        </w:rPr>
        <w:t>چهار</w:t>
      </w:r>
      <w:bookmarkEnd w:id="164"/>
    </w:p>
    <w:p>
      <w:pPr>
        <w:pStyle w:val="BookText"/>
        <w:rPr/>
      </w:pPr>
      <w:r>
        <w:rPr>
          <w:rFonts w:ascii="IRNazanin" w:hAnsi="IRNazanin" w:eastAsia="IRNazanin"/>
          <w:color w:val="111111"/>
          <w:sz w:val="28"/>
          <w:sz w:val="28"/>
          <w:szCs w:val="28"/>
          <w:rtl w:val="true"/>
          <w:lang w:bidi="fa-IR"/>
        </w:rPr>
        <w:t>خادم امام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با غلامان خود به زبان های رومی و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مدینه متولد شده است؛ چگونه می تواند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امام سؤال کنم،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حجت خود را از سایر خلقش در تمام موارد امتیاز بخشیده و زبان ها و شناخت نسب ها و زمان وفات ها و حوادث را به او داده است و اگر چنین نباشد، تفاوتی میان حجت و غیرحجت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خواندن این روایات به این نتیجه می رسید که امامان  علیهم السلام  همه‌چیز را می دانند</w:t>
      </w:r>
      <w:r>
        <w:rPr>
          <w:rFonts w:eastAsia="IRNazanin" w:cs="IRNazanin"/>
          <w:color w:val="111111"/>
          <w:sz w:val="28"/>
          <w:szCs w:val="28"/>
          <w:rtl w:val="true"/>
          <w:lang w:bidi="fa-IR"/>
        </w:rPr>
        <w:t>.</w:t>
      </w:r>
    </w:p>
    <w:p>
      <w:pPr>
        <w:pStyle w:val="Heading5"/>
        <w:numPr>
          <w:ilvl w:val="4"/>
          <w:numId w:val="1"/>
        </w:numPr>
        <w:rPr/>
      </w:pPr>
      <w:bookmarkStart w:id="165" w:name="__RefHeading___Toc2051641_2749589250"/>
      <w:bookmarkStart w:id="166" w:name="_Toc70"/>
      <w:bookmarkEnd w:id="165"/>
      <w:r>
        <w:rPr>
          <w:rtl w:val="true"/>
        </w:rPr>
        <w:t>روایات دستۀ دوم</w:t>
      </w:r>
      <w:bookmarkEnd w:id="166"/>
    </w:p>
    <w:p>
      <w:pPr>
        <w:pStyle w:val="Heading6"/>
        <w:numPr>
          <w:ilvl w:val="5"/>
          <w:numId w:val="1"/>
        </w:numPr>
        <w:rPr/>
      </w:pPr>
      <w:bookmarkStart w:id="167" w:name="__RefHeading___Toc2051643_2749589250"/>
      <w:bookmarkStart w:id="168" w:name="_Toc7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برخی روایات می گویند که امامان  علیهم السلام  به همه چیز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روایت اشاره می کنیم</w:t>
      </w:r>
      <w:r>
        <w:rPr>
          <w:rFonts w:eastAsia="IRNazanin" w:cs="IRNazanin"/>
          <w:color w:val="111111"/>
          <w:sz w:val="28"/>
          <w:szCs w:val="28"/>
          <w:rtl w:val="true"/>
          <w:lang w:bidi="fa-IR"/>
        </w:rPr>
        <w:t>:</w:t>
      </w:r>
    </w:p>
    <w:p>
      <w:pPr>
        <w:pStyle w:val="Heading6"/>
        <w:numPr>
          <w:ilvl w:val="5"/>
          <w:numId w:val="1"/>
        </w:numPr>
        <w:rPr/>
      </w:pPr>
      <w:bookmarkStart w:id="169" w:name="__RefHeading___Toc2051645_2749589250"/>
      <w:bookmarkStart w:id="170" w:name="_Toc72"/>
      <w:bookmarkEnd w:id="169"/>
      <w:r>
        <w:rPr>
          <w:rtl w:val="true"/>
        </w:rPr>
        <w:t>یک</w:t>
      </w:r>
      <w:bookmarkEnd w:id="17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جمعه‌ای نباشد، جز این‌که برای اولیاءالله در آن شب، سُروری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آن سرور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شود، پیامبر  صلی الله علیه و آله وسلم  و ائمه  علیهم السلام  به عرش برآیند و من هم با ایشان برآیم؛ و جز این نباشد که با علمی استفاده‌شده برگردم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ما می آموزد که امام تا قبل از شب جمعه، علومی را نداشته است؛ سپس آن را به دست می‌آورد</w:t>
      </w:r>
      <w:r>
        <w:rPr>
          <w:rFonts w:eastAsia="IRNazanin" w:cs="IRNazanin"/>
          <w:color w:val="111111"/>
          <w:sz w:val="28"/>
          <w:szCs w:val="28"/>
          <w:rtl w:val="true"/>
          <w:lang w:bidi="fa-IR"/>
        </w:rPr>
        <w:t>.</w:t>
      </w:r>
    </w:p>
    <w:p>
      <w:pPr>
        <w:pStyle w:val="Heading6"/>
        <w:numPr>
          <w:ilvl w:val="5"/>
          <w:numId w:val="1"/>
        </w:numPr>
        <w:rPr/>
      </w:pPr>
      <w:bookmarkStart w:id="171" w:name="__RefHeading___Toc2051647_2749589250"/>
      <w:bookmarkStart w:id="172" w:name="_Toc73"/>
      <w:bookmarkEnd w:id="171"/>
      <w:r>
        <w:rPr>
          <w:rtl w:val="true"/>
        </w:rPr>
        <w:t>دو</w:t>
      </w:r>
      <w:bookmarkEnd w:id="172"/>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دو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کسی جز خودش آن را نمی داند؛ و علمی که آن را به فرشتگان و پیامبرانش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آنچه را خدا به فرشتگان و پیامبرانش آموخت،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می گوید که امام، تمام علوم را ندارد، بلکه علمی نیز هست که خداوند آن را به امام نداده است</w:t>
      </w:r>
      <w:r>
        <w:rPr>
          <w:rFonts w:eastAsia="IRNazanin" w:cs="IRNazanin"/>
          <w:color w:val="111111"/>
          <w:sz w:val="28"/>
          <w:szCs w:val="28"/>
          <w:rtl w:val="true"/>
          <w:lang w:bidi="fa-IR"/>
        </w:rPr>
        <w:t>.</w:t>
      </w:r>
    </w:p>
    <w:p>
      <w:pPr>
        <w:pStyle w:val="Heading6"/>
        <w:numPr>
          <w:ilvl w:val="5"/>
          <w:numId w:val="1"/>
        </w:numPr>
        <w:rPr/>
      </w:pPr>
      <w:bookmarkStart w:id="173" w:name="__RefHeading___Toc2051649_2749589250"/>
      <w:bookmarkStart w:id="174" w:name="_Toc74"/>
      <w:bookmarkEnd w:id="173"/>
      <w:r>
        <w:rPr>
          <w:rtl w:val="true"/>
        </w:rPr>
        <w:t>سه</w:t>
      </w:r>
      <w:bookmarkEnd w:id="174"/>
    </w:p>
    <w:p>
      <w:pPr>
        <w:pStyle w:val="BookText"/>
        <w:rPr/>
      </w:pP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غیب می دانید؟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اما وقتی امام</w:t>
      </w:r>
    </w:p>
    <w:p>
      <w:pPr>
        <w:pStyle w:val="BookText"/>
        <w:rPr/>
      </w:pPr>
      <w:r>
        <w:rPr>
          <w:rFonts w:ascii="IRNazanin" w:hAnsi="IRNazanin" w:eastAsia="IRNazanin"/>
          <w:color w:val="111111"/>
          <w:sz w:val="28"/>
          <w:sz w:val="28"/>
          <w:szCs w:val="28"/>
          <w:rtl w:val="true"/>
          <w:lang w:bidi="fa-IR"/>
        </w:rPr>
        <w:t>اراده می کند که چیزی را بداند، خداوند او را به آن چیز آگاه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زیبا به ما می آموزد که امام هر علمی را ندارد، اما اگر بخواهد چیزی را بداند، خداوند آن علم را به او می‌دهد</w:t>
      </w:r>
      <w:bookmarkStart w:id="175" w:name="pg3261_16466"/>
    </w:p>
    <w:p>
      <w:pPr>
        <w:pStyle w:val="Heading6"/>
        <w:numPr>
          <w:ilvl w:val="5"/>
          <w:numId w:val="1"/>
        </w:numPr>
        <w:rPr/>
      </w:pPr>
      <w:bookmarkStart w:id="176" w:name="__RefHeading___Toc2051651_2749589250"/>
      <w:bookmarkStart w:id="177" w:name="_Toc75"/>
      <w:bookmarkEnd w:id="175"/>
      <w:bookmarkEnd w:id="176"/>
      <w:r>
        <w:rPr>
          <w:rtl w:val="true"/>
        </w:rPr>
        <w:t>چهار</w:t>
      </w:r>
      <w:bookmarkEnd w:id="177"/>
    </w:p>
    <w:p>
      <w:pPr>
        <w:pStyle w:val="BookText"/>
        <w:rPr/>
      </w:pPr>
      <w:r>
        <w:rPr>
          <w:rFonts w:ascii="IRNazanin" w:hAnsi="IRNazanin" w:eastAsia="IRNazanin"/>
          <w:color w:val="111111"/>
          <w:sz w:val="28"/>
          <w:sz w:val="28"/>
          <w:szCs w:val="28"/>
          <w:rtl w:val="true"/>
          <w:lang w:bidi="fa-IR"/>
        </w:rPr>
        <w:t>از امام کاظم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 می دانید؟ ایشان پاسخ را از امام باقر  علیه السلام   نقل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برای ما گسترده می شود، پس می 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ما منع می شود 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خواندن این روایات، یک نتیجه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همه‌چیز را نمی داند</w:t>
      </w:r>
      <w:r>
        <w:rPr>
          <w:rFonts w:eastAsia="IRNazanin" w:cs="IRNazanin"/>
          <w:color w:val="111111"/>
          <w:sz w:val="28"/>
          <w:szCs w:val="28"/>
          <w:rtl w:val="true"/>
          <w:lang w:bidi="fa-IR"/>
        </w:rPr>
        <w:t>.</w:t>
      </w:r>
    </w:p>
    <w:p>
      <w:pPr>
        <w:pStyle w:val="Heading3"/>
        <w:numPr>
          <w:ilvl w:val="2"/>
          <w:numId w:val="1"/>
        </w:numPr>
        <w:rPr/>
      </w:pPr>
      <w:bookmarkStart w:id="178" w:name="__RefHeading___Toc2051653_2749589250"/>
      <w:bookmarkStart w:id="179" w:name="_Toc76"/>
      <w:bookmarkEnd w:id="178"/>
      <w:r>
        <w:rPr>
          <w:rtl w:val="true"/>
        </w:rPr>
        <w:t>هماهنگی میان روایات دستة اول و دوم</w:t>
      </w:r>
      <w:bookmarkEnd w:id="179"/>
    </w:p>
    <w:p>
      <w:pPr>
        <w:pStyle w:val="Heading4"/>
        <w:numPr>
          <w:ilvl w:val="3"/>
          <w:numId w:val="1"/>
        </w:numPr>
        <w:rPr/>
      </w:pPr>
      <w:bookmarkStart w:id="180" w:name="__RefHeading___Toc2051655_2749589250"/>
      <w:bookmarkStart w:id="181" w:name="_Toc7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یقیناً امامان  علیهم السلام  دو سخن مخالف با هم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از روایات نیز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روایات، در مجموع این نتیجۀ مهم را می آموزند که اولاً، تنها خداوند است که علمش نامحدود و بی‌پایان است؛ ثانیاً، علم امام واقعاً محدود است، زیرا معنای افزوده شدن علم امام، چیزی جز آن نیست که او تا پیش از این، آن علم را نداشته است؛ ثالثاً، امام جایگاه و مقامی دارد که هرگاه بخواهد چیزی را بداند، می‌تواند بداند؛ همچون کسی که کتاب و خزانه ای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آگاهی از مطالب آن، کافی است آن را بگشاید و ببیند تا بداند؛ برخلاف کسی که اساساً این کتاب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آن دسته از روایات که می گفتند امام همه‌چیز را می داند، این نیست که امام همیشه همه‌چیز را بالفعل می‌داند، بلکه معنایش آن است که امام اگر بخواهد و اراده کند،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همه‌چیز را بداند، اما تا اراده نکند و نخواهد، آن علم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امام هرگاه اراده کند که چیزی بداند، خداوند او را آگاه می‌سازد، اما خوب بیندیشیم؛ معنایش این نیست که امام بخواهد از روی کنجکاوی چیزی را بداند، بلکه او جایی که نیاز باشد، اراده می کند که بداند؛ و ممکن است که در برخی امور هم نخواهد چیزی را از خزانۀ علم الهی بداند، بلکه مانند دیگر انسان ها رفتار کند و از علوم عادی بشری بهره ببرد؛ مثلاً این‌طور نیست که امام برای آن‌که بداند ظهر چه غذایی خواهد خورد، حتماً از علم خاص الهی و از آن خزانه بهره ببرد، بلکه می تواند همچون دیگر انسان ها از همسرش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بخشی از علوم امام نیز مربوط به زندگی عادی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بشری مانند دیگران است که کار می‌کند و خسته می شود؛ به بازار می رود؛ خرید می‌کند؛ غذا می خورد؛ همسر و فرزند دارد؛ با آن‌ها صحبت می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نیز مانند دیگر انسان ها، دارای اعضا و حواس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 بیند و می‌شنود؛ همچون ما می بوید، می‌چشد و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خداوند حکیم، این حواس را به امام داده است تا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قابل انتظار است که او نیز در زندگی عادی خود، از این حواس ظاهری استفاده کند و روابط اجتماعی خود با خانواده و دیگران را بر همین اساس تنظیم کند و پیش ببرد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182" w:name="pg3261_16467"/>
    </w:p>
    <w:p>
      <w:pPr>
        <w:pStyle w:val="BookText"/>
        <w:rPr/>
      </w:pPr>
      <w:bookmarkEnd w:id="182"/>
      <w:r>
        <w:rPr>
          <w:rFonts w:ascii="IRNazanin" w:hAnsi="IRNazanin" w:eastAsia="IRNazanin"/>
          <w:color w:val="111111"/>
          <w:sz w:val="28"/>
          <w:sz w:val="28"/>
          <w:szCs w:val="28"/>
          <w:rtl w:val="true"/>
          <w:lang w:bidi="fa-IR"/>
        </w:rPr>
        <w:t>چنان‌که ما بخشی از علوم خود را از طریق حواس ظاهری به دست می آوریم، امام نیز در زندگی عادی خود با دیگران،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امام در زندگی عادی خود، همواره اراده کند تا از خزانۀ علم الهی بهره ببرد، بلکه هنگام ضرورت، چنین می کند؛ اما در شرایط غیرضروری، او نیز اگر بخواهد دربارۀ کسی مطلبی را بداند، از دیگران می پرسد و از حس شنوایی خود استفاده می کند تا آگاه شود؛ اگر بخواهد مزة غذا را بداند، آن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رفتار ایشان نیز در زندگی عادی خود، همین گونه است</w:t>
      </w:r>
      <w:r>
        <w:rPr>
          <w:rFonts w:eastAsia="IRNazanin" w:cs="IRNazanin"/>
          <w:color w:val="111111"/>
          <w:sz w:val="28"/>
          <w:szCs w:val="28"/>
          <w:rtl w:val="true"/>
          <w:lang w:bidi="fa-IR"/>
        </w:rPr>
        <w:t>.</w:t>
      </w:r>
    </w:p>
    <w:p>
      <w:pPr>
        <w:pStyle w:val="Heading4"/>
        <w:numPr>
          <w:ilvl w:val="3"/>
          <w:numId w:val="1"/>
        </w:numPr>
        <w:rPr/>
      </w:pPr>
      <w:bookmarkStart w:id="183" w:name="__RefHeading___Toc2051657_2749589250"/>
      <w:bookmarkStart w:id="184" w:name="_Toc78"/>
      <w:bookmarkEnd w:id="183"/>
      <w:r>
        <w:rPr>
          <w:rtl w:val="true"/>
        </w:rPr>
        <w:t>نکتۀ مهم تر</w:t>
      </w:r>
      <w:bookmarkEnd w:id="184"/>
    </w:p>
    <w:p>
      <w:pPr>
        <w:pStyle w:val="BookText"/>
        <w:rPr/>
      </w:pPr>
      <w:r>
        <w:rPr>
          <w:rFonts w:ascii="IRNazanin" w:hAnsi="IRNazanin" w:eastAsia="IRNazanin"/>
          <w:color w:val="111111"/>
          <w:sz w:val="28"/>
          <w:sz w:val="28"/>
          <w:szCs w:val="28"/>
          <w:rtl w:val="true"/>
          <w:lang w:bidi="fa-IR"/>
        </w:rPr>
        <w:t>این‌گونه نیست که امام دربارۀ آنچه به او از خزانۀ علم الهی داده می شود، یا آنچه از پیامبر یا امام پیشین فرا می‌گیرد، نیندیشد، بلکه او نیز مانند دیگران قوۀ اندیشیدن دارد و دربارۀ مسائل می‌اندیشد و بخشی از علوم خود را از راه تفکر و اندیشه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امیرالمؤمنین  علیه السلام   در نامه ای که به فرزندش نوشته، بسیار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اگرچه به اندازة گذشتگان عمر نکرده‌ام، ولی چندان در رفتار آنان نگریسته‌ام و در اخبارشان اندیشیده‌ام و در باقی‌ماندة آثارشان تفکر کرده‌ام که همانند یکی از آنان گشته‌ام؛ بلکه چون از همگی اخبارشان آگاهی یافته‌ام، گویی از اول تا به آخر، همراهشان بوده‌ام و روشنی ها را از تیرگی ها، و سودها را از زیان ها بازشناخته‌ام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می آموزیم که امام نیز از قوۀ فکر و اندیشۀ خود بهره می برد و چنین نیست که در تمام موارد، برای آن‌که چیزی بداند، از خزانۀ علم الهی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دانستن علوم غیردینی از خزانۀ علم الهی در مواردی برای امام لازم است؛ مثلاً آن‌جا که بیان علوم غیردینی، برای اثبات حقانیت امام است، بایسته است که امام این علوم را از منبع وحیانی دریافت و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در مناظره با پزشک هندی، نوزده پرسش پزشکی از وی پرسید که او نتوانست به هیچ یک پاسخ دهد و امام خود به همگی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تصریح فرمود که این علوم را از پدران بزرگوارش، و آن‌ها نیز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او نیز از خداوند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185" w:name="__RefHeading___Toc2051659_2749589250"/>
      <w:bookmarkStart w:id="186" w:name="_Toc79"/>
      <w:bookmarkEnd w:id="185"/>
      <w:r>
        <w:rPr>
          <w:rtl w:val="true"/>
        </w:rPr>
        <w:t>نتیجه گیری</w:t>
      </w:r>
      <w:bookmarkEnd w:id="186"/>
    </w:p>
    <w:p>
      <w:pPr>
        <w:pStyle w:val="Heading4"/>
        <w:numPr>
          <w:ilvl w:val="3"/>
          <w:numId w:val="1"/>
        </w:numPr>
        <w:rPr/>
      </w:pPr>
      <w:bookmarkStart w:id="187" w:name="__RefHeading___Toc2051661_2749589250"/>
      <w:bookmarkStart w:id="188" w:name="_Toc8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نتایج این نوشته عبارتند از</w:t>
      </w:r>
      <w:r>
        <w:rPr>
          <w:rFonts w:eastAsia="IRNazanin" w:cs="IRNazanin"/>
          <w:color w:val="111111"/>
          <w:sz w:val="28"/>
          <w:szCs w:val="28"/>
          <w:rtl w:val="true"/>
          <w:lang w:bidi="fa-IR"/>
        </w:rPr>
        <w:t>:</w:t>
      </w:r>
    </w:p>
    <w:p>
      <w:pPr>
        <w:pStyle w:val="Heading4"/>
        <w:numPr>
          <w:ilvl w:val="3"/>
          <w:numId w:val="1"/>
        </w:numPr>
        <w:rPr/>
      </w:pPr>
      <w:bookmarkStart w:id="189" w:name="__RefHeading___Toc2051663_2749589250"/>
      <w:bookmarkStart w:id="190" w:name="_Toc81"/>
      <w:bookmarkEnd w:id="189"/>
      <w:r>
        <w:rPr/>
        <w:t>1</w:t>
      </w:r>
      <w:bookmarkEnd w:id="19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اغلب متکلمان امامیه از شیخ مفید تا فاضل مقداد، آنچه برای امام ضرورت دارد، علم به دین است و نه بیشتر؛ ولی ممکن است خدای سبحان، از روی لطف و احسانش، امامان را از دیگر علوم نیز برخوردار کند</w:t>
      </w:r>
      <w:r>
        <w:rPr>
          <w:rFonts w:eastAsia="IRNazanin" w:cs="IRNazanin"/>
          <w:color w:val="111111"/>
          <w:sz w:val="28"/>
          <w:szCs w:val="28"/>
          <w:rtl w:val="true"/>
          <w:lang w:bidi="fa-IR"/>
        </w:rPr>
        <w:t>.</w:t>
      </w:r>
      <w:bookmarkStart w:id="191" w:name="pg3261_16468"/>
    </w:p>
    <w:p>
      <w:pPr>
        <w:pStyle w:val="Heading4"/>
        <w:numPr>
          <w:ilvl w:val="3"/>
          <w:numId w:val="1"/>
        </w:numPr>
        <w:rPr/>
      </w:pPr>
      <w:bookmarkStart w:id="192" w:name="__RefHeading___Toc2051665_2749589250"/>
      <w:bookmarkStart w:id="193" w:name="_Toc82"/>
      <w:bookmarkEnd w:id="191"/>
      <w:bookmarkEnd w:id="192"/>
      <w:r>
        <w:rPr/>
        <w:t>2</w:t>
      </w:r>
      <w:bookmarkEnd w:id="193"/>
    </w:p>
    <w:p>
      <w:pPr>
        <w:pStyle w:val="BookText"/>
        <w:rPr/>
      </w:pPr>
      <w:r>
        <w:rPr>
          <w:rFonts w:ascii="IRNazanin" w:hAnsi="IRNazanin" w:eastAsia="IRNazanin"/>
          <w:color w:val="111111"/>
          <w:sz w:val="28"/>
          <w:sz w:val="28"/>
          <w:szCs w:val="28"/>
          <w:rtl w:val="true"/>
          <w:lang w:bidi="fa-IR"/>
        </w:rPr>
        <w:t>به نظر می رسد برای رسیدن به دیدگاهی صحیح در باب علم امام، ابتدا باید یک</w:t>
      </w:r>
    </w:p>
    <w:p>
      <w:pPr>
        <w:pStyle w:val="BookText"/>
        <w:rPr/>
      </w:pPr>
      <w:r>
        <w:rPr>
          <w:rFonts w:ascii="IRNazanin" w:hAnsi="IRNazanin" w:eastAsia="IRNazanin"/>
          <w:color w:val="111111"/>
          <w:sz w:val="28"/>
          <w:sz w:val="28"/>
          <w:szCs w:val="28"/>
          <w:rtl w:val="true"/>
          <w:lang w:bidi="fa-IR"/>
        </w:rPr>
        <w:t>تقسیم بندی صحیح از انواع علوم امامان  علیهم السلام  ارائه کرد</w:t>
      </w:r>
      <w:r>
        <w:rPr>
          <w:rFonts w:eastAsia="IRNazanin" w:cs="IRNazanin"/>
          <w:color w:val="111111"/>
          <w:sz w:val="28"/>
          <w:szCs w:val="28"/>
          <w:rtl w:val="true"/>
          <w:lang w:bidi="fa-IR"/>
        </w:rPr>
        <w:t>.</w:t>
      </w:r>
    </w:p>
    <w:p>
      <w:pPr>
        <w:pStyle w:val="Heading4"/>
        <w:numPr>
          <w:ilvl w:val="3"/>
          <w:numId w:val="1"/>
        </w:numPr>
        <w:rPr/>
      </w:pPr>
      <w:bookmarkStart w:id="194" w:name="__RefHeading___Toc2051667_2749589250"/>
      <w:bookmarkStart w:id="195" w:name="_Toc83"/>
      <w:bookmarkEnd w:id="194"/>
      <w:r>
        <w:rPr/>
        <w:t>3</w:t>
      </w:r>
      <w:bookmarkEnd w:id="195"/>
    </w:p>
    <w:p>
      <w:pPr>
        <w:pStyle w:val="BookText"/>
        <w:rPr/>
      </w:pPr>
      <w:r>
        <w:rPr>
          <w:rFonts w:ascii="IRNazanin" w:hAnsi="IRNazanin" w:eastAsia="IRNazanin"/>
          <w:color w:val="111111"/>
          <w:sz w:val="28"/>
          <w:sz w:val="28"/>
          <w:szCs w:val="28"/>
          <w:rtl w:val="true"/>
          <w:lang w:bidi="fa-IR"/>
        </w:rPr>
        <w:t>به حکم عقل، امامان  علیهم السلام  باید علومی را که برای انجام وظایف خود به آن نیازمندند، داشته باشند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دین، علم به پرورش انسان ها و علم به تدبیر جامعه</w:t>
      </w:r>
      <w:r>
        <w:rPr>
          <w:rFonts w:eastAsia="IRNazanin" w:cs="IRNazanin"/>
          <w:color w:val="111111"/>
          <w:sz w:val="28"/>
          <w:szCs w:val="28"/>
          <w:rtl w:val="true"/>
          <w:lang w:bidi="fa-IR"/>
        </w:rPr>
        <w:t>.</w:t>
      </w:r>
    </w:p>
    <w:p>
      <w:pPr>
        <w:pStyle w:val="Heading4"/>
        <w:numPr>
          <w:ilvl w:val="3"/>
          <w:numId w:val="1"/>
        </w:numPr>
        <w:rPr/>
      </w:pPr>
      <w:bookmarkStart w:id="196" w:name="__RefHeading___Toc2051669_2749589250"/>
      <w:bookmarkStart w:id="197" w:name="_Toc84"/>
      <w:bookmarkEnd w:id="196"/>
      <w:r>
        <w:rPr/>
        <w:t>4</w:t>
      </w:r>
      <w:bookmarkEnd w:id="197"/>
    </w:p>
    <w:p>
      <w:pPr>
        <w:pStyle w:val="BookText"/>
        <w:rPr/>
      </w:pPr>
      <w:r>
        <w:rPr>
          <w:rFonts w:ascii="IRNazanin" w:hAnsi="IRNazanin" w:eastAsia="IRNazanin"/>
          <w:color w:val="111111"/>
          <w:sz w:val="28"/>
          <w:sz w:val="28"/>
          <w:szCs w:val="28"/>
          <w:rtl w:val="true"/>
          <w:lang w:bidi="fa-IR"/>
        </w:rPr>
        <w:t>عقل نسبت به فراتر از آنچه گفته شد، حکمی ندارد؛ نه آن را لازم می داند و 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باید به روایات مراجعه کرد</w:t>
      </w:r>
      <w:r>
        <w:rPr>
          <w:rFonts w:eastAsia="IRNazanin" w:cs="IRNazanin"/>
          <w:color w:val="111111"/>
          <w:sz w:val="28"/>
          <w:szCs w:val="28"/>
          <w:rtl w:val="true"/>
          <w:lang w:bidi="fa-IR"/>
        </w:rPr>
        <w:t>.</w:t>
      </w:r>
    </w:p>
    <w:p>
      <w:pPr>
        <w:pStyle w:val="Heading4"/>
        <w:numPr>
          <w:ilvl w:val="3"/>
          <w:numId w:val="1"/>
        </w:numPr>
        <w:rPr/>
      </w:pPr>
      <w:bookmarkStart w:id="198" w:name="__RefHeading___Toc2051671_2749589250"/>
      <w:bookmarkStart w:id="199" w:name="_Toc85"/>
      <w:bookmarkEnd w:id="198"/>
      <w:r>
        <w:rPr/>
        <w:t>5</w:t>
      </w:r>
      <w:bookmarkEnd w:id="199"/>
    </w:p>
    <w:p>
      <w:pPr>
        <w:pStyle w:val="BookText"/>
        <w:rPr/>
      </w:pPr>
      <w:r>
        <w:rPr>
          <w:rFonts w:ascii="IRNazanin" w:hAnsi="IRNazanin" w:eastAsia="IRNazanin"/>
          <w:color w:val="111111"/>
          <w:sz w:val="28"/>
          <w:sz w:val="28"/>
          <w:szCs w:val="28"/>
          <w:rtl w:val="true"/>
          <w:lang w:bidi="fa-IR"/>
        </w:rPr>
        <w:t>بر اساس روایات معتبر، امام چنین نیست که بالفعل همه‌چیز را بداند، اما اگر اراده کند و بخواهد، خداوند او را آگاه می‌سازد</w:t>
      </w:r>
      <w:r>
        <w:rPr>
          <w:rFonts w:eastAsia="IRNazanin" w:cs="IRNazanin"/>
          <w:color w:val="111111"/>
          <w:sz w:val="28"/>
          <w:szCs w:val="28"/>
          <w:rtl w:val="true"/>
          <w:lang w:bidi="fa-IR"/>
        </w:rPr>
        <w:t>.</w:t>
      </w:r>
    </w:p>
    <w:p>
      <w:pPr>
        <w:pStyle w:val="Heading4"/>
        <w:numPr>
          <w:ilvl w:val="3"/>
          <w:numId w:val="1"/>
        </w:numPr>
        <w:rPr/>
      </w:pPr>
      <w:bookmarkStart w:id="200" w:name="__RefHeading___Toc2051673_2749589250"/>
      <w:bookmarkStart w:id="201" w:name="_Toc86"/>
      <w:bookmarkEnd w:id="200"/>
      <w:r>
        <w:rPr/>
        <w:t>6</w:t>
      </w:r>
      <w:bookmarkEnd w:id="201"/>
    </w:p>
    <w:p>
      <w:pPr>
        <w:pStyle w:val="BookText"/>
        <w:rPr/>
      </w:pPr>
      <w:r>
        <w:rPr>
          <w:rFonts w:ascii="IRNazanin" w:hAnsi="IRNazanin" w:eastAsia="IRNazanin"/>
          <w:color w:val="111111"/>
          <w:sz w:val="28"/>
          <w:sz w:val="28"/>
          <w:szCs w:val="28"/>
          <w:rtl w:val="true"/>
          <w:lang w:bidi="fa-IR"/>
        </w:rPr>
        <w:t>چنین نیست که امام بخواهد هر چیزی را از خزانۀ علم الهی بداند، بلکه او نیز گاه از حواس ظاهری خود استفاده کرده و علمش، علمی بشری خواهد بود</w:t>
      </w:r>
      <w:r>
        <w:rPr>
          <w:rFonts w:eastAsia="IRNazanin" w:cs="IRNazanin"/>
          <w:color w:val="111111"/>
          <w:sz w:val="28"/>
          <w:szCs w:val="28"/>
          <w:rtl w:val="true"/>
          <w:lang w:bidi="fa-IR"/>
        </w:rPr>
        <w:t>.</w:t>
      </w:r>
    </w:p>
    <w:p>
      <w:pPr>
        <w:pStyle w:val="Heading3"/>
        <w:numPr>
          <w:ilvl w:val="2"/>
          <w:numId w:val="1"/>
        </w:numPr>
        <w:rPr/>
      </w:pPr>
      <w:bookmarkStart w:id="202" w:name="__RefHeading___Toc2051675_2749589250"/>
      <w:bookmarkStart w:id="203" w:name="_Toc87"/>
      <w:bookmarkEnd w:id="202"/>
      <w:r>
        <w:rPr>
          <w:rtl w:val="true"/>
        </w:rPr>
        <w:t>منابع</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ابوالحسن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قم،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فرائد الاصول، قم، مجمع الفکر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میثم بن علی بن میثم،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النجاة فی القیامة، قم، مجمع الفکر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بیروت، دار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قم، کتابخانه آیت‌الله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ابوالصلاح،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المعارف، قم،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الملکوت فی شرح الیاقوت،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نجمی زنجانی،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الیقین فی فضائل امیرالمؤمنین  علیه السلام  ، تهران، وزارت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سدیدالدین محمود بن علی،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سیوری حلی، فاضل مقداد،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الطالبین الی نهج المسترشدین،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قم، کتابخانه آیت‌الله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الانوار الجلالیة فی شرح الفصول النصیریة،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حاجی‌آبادی و عباس جلالی‌نیا،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التنقیح الرائع لمختصر الشرائع، قم، کتابخانه آیت‌الله مرعشی نجفی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اللوامع الالهیه فی المباحث الکلامیة،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قاضی طباطبایی،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قم، کتابخانه آیت‌الله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الامامۀ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المحصل،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الاعتقاد، تحقیق سیدمحمدجواد حسینی جلالی،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دار الاضواء،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الشافی،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بحرالعلوم، انتشارات المحبین،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 الاصول فی علم الکلام،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مشکوة الدینی،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سید مرتضی علی بن حسین،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قم، مؤسسة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قم، دارالقرآن مدرسة آیت‌الله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الامامة،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سیدعبدالزهراء حسینی، تهران، مؤسسة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عبدالجلیل،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النقض، تهران، آثار انجمن ملی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ابوالفتح محمد بن 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الاستنصار فی النص علی ائمۀ الاطهار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الفوائد، قم،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طباطبایی، سیدحسین،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در فرایند تکامل، تهران، انتشارات کویر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الجارودیة، قم، کنگره شیخ مفید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العکبریة، قم، کنگره شیخ مفید</w:t>
      </w:r>
      <w:r>
        <w:rPr>
          <w:rFonts w:eastAsia="IRNazanin" w:cs="IRNazanin"/>
          <w:color w:val="111111"/>
          <w:sz w:val="28"/>
          <w:szCs w:val="28"/>
          <w:rtl w:val="true"/>
          <w:lang w:bidi="fa-IR"/>
        </w:rPr>
        <w:t>.</w:t>
      </w:r>
      <w:bookmarkStart w:id="204" w:name="pg3261_16470"/>
    </w:p>
    <w:p>
      <w:pPr>
        <w:pStyle w:val="Heading2"/>
        <w:numPr>
          <w:ilvl w:val="1"/>
          <w:numId w:val="1"/>
        </w:numPr>
        <w:rPr/>
      </w:pPr>
      <w:bookmarkStart w:id="205" w:name="__RefHeading___Toc2051677_2749589250"/>
      <w:bookmarkStart w:id="206" w:name="_Toc88"/>
      <w:bookmarkEnd w:id="204"/>
      <w:bookmarkEnd w:id="205"/>
      <w:r>
        <w:rPr>
          <w:rtl w:val="true"/>
        </w:rPr>
        <w:t xml:space="preserve">رابطۀ ربوبیت توحیدی و عنایت الهی در نظام اندیشۀ قرآنی </w:t>
      </w:r>
      <w:r>
        <w:rPr>
          <w:rtl w:val="true"/>
        </w:rPr>
        <w:t xml:space="preserve">/ </w:t>
      </w:r>
      <w:r>
        <w:rPr>
          <w:rtl w:val="true"/>
        </w:rPr>
        <w:t>یدالله ربیعی</w:t>
      </w:r>
      <w:r>
        <w:rPr>
          <w:rtl w:val="true"/>
        </w:rPr>
        <w:t xml:space="preserve">- </w:t>
      </w:r>
      <w:r>
        <w:rPr>
          <w:rtl w:val="true"/>
        </w:rPr>
        <w:t>حمید نگارش</w:t>
      </w:r>
      <w:bookmarkEnd w:id="206"/>
    </w:p>
    <w:p>
      <w:pPr>
        <w:pStyle w:val="Heading3"/>
        <w:numPr>
          <w:ilvl w:val="2"/>
          <w:numId w:val="1"/>
        </w:numPr>
        <w:rPr/>
      </w:pPr>
      <w:bookmarkStart w:id="207" w:name="__RefHeading___Toc2051679_2749589250"/>
      <w:bookmarkStart w:id="208" w:name="_Toc8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یدالله ربیعی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حمید نگارش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09/08/1395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03/11/1395</w:t>
      </w:r>
    </w:p>
    <w:p>
      <w:pPr>
        <w:pStyle w:val="Heading3"/>
        <w:numPr>
          <w:ilvl w:val="2"/>
          <w:numId w:val="1"/>
        </w:numPr>
        <w:rPr/>
      </w:pPr>
      <w:bookmarkStart w:id="209" w:name="__RefHeading___Toc2051681_2749589250"/>
      <w:bookmarkStart w:id="210" w:name="_Toc90"/>
      <w:bookmarkEnd w:id="209"/>
      <w:r>
        <w:rPr>
          <w:rtl w:val="true"/>
        </w:rPr>
        <w:t>چکیده</w:t>
      </w:r>
      <w:bookmarkEnd w:id="210"/>
    </w:p>
    <w:p>
      <w:pPr>
        <w:pStyle w:val="BookText"/>
        <w:rPr/>
      </w:pPr>
      <w:r>
        <w:rPr>
          <w:rFonts w:ascii="IRNazanin" w:hAnsi="IRNazanin" w:eastAsia="IRNazanin"/>
          <w:color w:val="111111"/>
          <w:sz w:val="28"/>
          <w:sz w:val="28"/>
          <w:szCs w:val="28"/>
          <w:rtl w:val="true"/>
          <w:lang w:bidi="fa-IR"/>
        </w:rPr>
        <w:t>مسئله توحید ربوبی و تحلیل نگاه قرآن به آن، محور نگاشتۀ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حوزه‌های پیوندیافته با توحید ربوبی، عناوین هدایت، نصرت، امداد و همانند آن است که در نظام فلسفی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ترابط میان این عناوین و مسئله توحید ربوبی از آن روست که بیشترین عقاید شرک‌آمیز از مراحلی پس از پذیرش وجود خدا و باور به آفریننده بودن الله نسبت به جهان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بیان‌گر آن است که بدکیشان، به توحیدِ در خالقیت باورمند بوده و در مرتبۀ ربوبیت و متلازم با آن، یعنی توحید در عبادت دچار شرک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پژوهۀ پیش‌رو به آن رهنمون شده است، پس از شناخت‌یابی به ماهیت توحید ربوبی، اثبات شکل‌گیری ربوبیت الهی از دو مؤلفه علم و قدرت مطلق خداوندی در کنار ارادۀ آزاد الهی است</w:t>
      </w:r>
      <w:r>
        <w:rPr>
          <w:rFonts w:eastAsia="IRNazanin" w:cs="IRNazanin"/>
          <w:color w:val="111111"/>
          <w:sz w:val="28"/>
          <w:szCs w:val="28"/>
          <w:rtl w:val="true"/>
          <w:lang w:bidi="fa-IR"/>
        </w:rPr>
        <w:t>.</w:t>
      </w:r>
    </w:p>
    <w:p>
      <w:pPr>
        <w:pStyle w:val="Heading3"/>
        <w:numPr>
          <w:ilvl w:val="2"/>
          <w:numId w:val="1"/>
        </w:numPr>
        <w:rPr/>
      </w:pPr>
      <w:bookmarkStart w:id="211" w:name="__RefHeading___Toc2051683_2749589250"/>
      <w:bookmarkStart w:id="212" w:name="_Toc91"/>
      <w:bookmarkEnd w:id="211"/>
      <w:r>
        <w:rPr>
          <w:rtl w:val="true"/>
        </w:rPr>
        <w:t>واژگان کلیدی</w:t>
      </w:r>
      <w:bookmarkEnd w:id="2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ربوبیت، عنایت، هدایت، جنود الهی</w:t>
      </w:r>
      <w:r>
        <w:rPr>
          <w:rFonts w:eastAsia="IRNazanin" w:cs="IRNazanin"/>
          <w:color w:val="111111"/>
          <w:sz w:val="28"/>
          <w:szCs w:val="28"/>
          <w:rtl w:val="true"/>
          <w:lang w:bidi="fa-IR"/>
        </w:rPr>
        <w:t>.</w:t>
      </w:r>
      <w:bookmarkStart w:id="213" w:name="pg3261_16471"/>
    </w:p>
    <w:p>
      <w:pPr>
        <w:pStyle w:val="Heading3"/>
        <w:numPr>
          <w:ilvl w:val="2"/>
          <w:numId w:val="1"/>
        </w:numPr>
        <w:rPr/>
      </w:pPr>
      <w:bookmarkStart w:id="214" w:name="__RefHeading___Toc2051685_2749589250"/>
      <w:bookmarkStart w:id="215" w:name="_Toc92"/>
      <w:bookmarkEnd w:id="213"/>
      <w:bookmarkEnd w:id="214"/>
      <w:r>
        <w:rPr>
          <w:rtl w:val="true"/>
        </w:rPr>
        <w:t>مقدمه</w:t>
      </w:r>
      <w:bookmarkEnd w:id="215"/>
    </w:p>
    <w:p>
      <w:pPr>
        <w:pStyle w:val="BookText"/>
        <w:rPr/>
      </w:pPr>
      <w:r>
        <w:rPr>
          <w:rFonts w:ascii="IRNazanin" w:hAnsi="IRNazanin" w:eastAsia="IRNazanin"/>
          <w:color w:val="111111"/>
          <w:sz w:val="28"/>
          <w:sz w:val="28"/>
          <w:szCs w:val="28"/>
          <w:rtl w:val="true"/>
          <w:lang w:bidi="fa-IR"/>
        </w:rPr>
        <w:t xml:space="preserve">آنچه برای همگان قابل فهم است و می‌تواند نقطۀ آغاز برای پیوست دیگر مباحث به شمار آید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عموم مردم، معنایی که هنگام شنیدن واژۀ خدا یا معادل‌های آن در زبان‌های گوناگون درک می‌کنند،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ملحد انگلیسی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کاپلستون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متکلم مسیحی نیز بر اساس این ضرورت، در آغاز مناظره با یکدیگر، بر این تعریف از خدا توافق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هستی متشخصِ متعالی که ممتاز از جهان و خالق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پیش‌تر از این زمان، به لزوم تعیین مفهومِ مشترک از اصطلاحات و عناوین تأکید شده و بیان گردیده است آنچه مورد گفت‌وگو و موضوع اثبات و نفی قرار می‌گیرد، شیء و وجودی است که آفریدگار بشر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به نیازمندی موجودات به آفرینش‌دهنده، به حکم وجدان و عقل بازگشت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توانمند و عقل‌گرای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گفت‌وگوی میان زندیقی با امام صادق  علیه السلام   این‌گونه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شما دربارۀ او سخن می‌گویید،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درخواست زندیق، تصور موضوع و روشن شدن محور گفت‌وگوست، تا دربارۀ حکم‌هایی که می‌تواند به آن تعلق یابد، از اثبات و نفی یا دیگر احکام و ویژگی‌ها، بر پایۀ سازگاری با موضوع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چیستیِ موضوعِ گفت‌وگو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الرب و هو المعبود و هو الله و لیس قولی الله إثبات هذه الحروف ألف و لام و هاء و لا راء و لا باء و لکن ارجع إلی معنی و شی‌ء خالق الأشیاء و صانعها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پروردگار است، او معبود است، او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الله یا رب است، مقصودم اثبات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هاء، راء و باء نیست، بلکه بازگشتن به معنا و چیزی است که خالق همه‌چیز بوده و آفرینش‌دهنده به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محمول، مفهوم موجود از مفاهیم اولیه و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تصور مفهومیِ موضوع و محمول باید دانست که برقراری نسبت حکمیه میان این دو مفهوم به دو شیوه و با دو نوع شناخت حضوری و حصولی ممکن است که هر یک نقاطی از قوّت و آسیب را به دوش می‌کشد</w:t>
      </w:r>
      <w:r>
        <w:rPr>
          <w:rFonts w:eastAsia="IRNazanin" w:cs="IRNazanin"/>
          <w:color w:val="111111"/>
          <w:sz w:val="28"/>
          <w:szCs w:val="28"/>
          <w:rtl w:val="true"/>
          <w:lang w:bidi="fa-IR"/>
        </w:rPr>
        <w:t>.</w:t>
      </w:r>
    </w:p>
    <w:p>
      <w:pPr>
        <w:pStyle w:val="Heading3"/>
        <w:numPr>
          <w:ilvl w:val="2"/>
          <w:numId w:val="1"/>
        </w:numPr>
        <w:rPr/>
      </w:pPr>
      <w:bookmarkStart w:id="216" w:name="__RefHeading___Toc2051687_2749589250"/>
      <w:bookmarkStart w:id="217" w:name="_Toc93"/>
      <w:bookmarkEnd w:id="216"/>
      <w:r>
        <w:rPr>
          <w:rtl w:val="true"/>
        </w:rPr>
        <w:t>توحید و مراتب آن</w:t>
      </w:r>
      <w:bookmarkEnd w:id="2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محمول‌های قابل استناد به موضوع توحید، پس از محمول وجود،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bookmarkStart w:id="218" w:name="pg3261_16472"/>
    </w:p>
    <w:p>
      <w:pPr>
        <w:pStyle w:val="BookText"/>
        <w:rPr/>
      </w:pPr>
      <w:bookmarkEnd w:id="218"/>
      <w:r>
        <w:rPr>
          <w:rFonts w:ascii="IRNazanin" w:hAnsi="IRNazanin" w:eastAsia="IRNazanin"/>
          <w:color w:val="111111"/>
          <w:sz w:val="28"/>
          <w:sz w:val="28"/>
          <w:szCs w:val="28"/>
          <w:rtl w:val="true"/>
          <w:lang w:bidi="fa-IR"/>
        </w:rPr>
        <w:t>از جایگاه متمایزی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عبارت از یگانه دانستن خداوند و یکتا شمردن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إلهُکُم الهٌ وَاحِد لَا اِلَهَ الّا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پایه‌ای‌ترین اصل اعتقادی که دیگر معارف نظری و ارزشی ریشه در آن دارد، توحید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تبیین جایگاه اصل توحید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حقیقت اساسی که بنیان دین بر آن استوار است، یگانگی و توحید خداوند متعال است که با تحلیل آن دانسته می‌شود که تمامی تفاصیل معانی قرآنی، اعم از معارف و قوانین به آن بازگشت دارد و با ترکیب آن فروع به همان اصل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متعلق توحید، می‌توان مراتب توحید را در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عملی، نفسانی و شهودی پی‌گیری کرد، که هر یک از مراتب شامل گونه‌هایی متعدد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گونه‌های توحید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خود به دو دسته اصلی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ربوبیت تکوینی؛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پرسش‌های اصلی و کاربردی در این حوزه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به این‌که وجود خدا از خود اوست و آفرینندۀ جهان نیز کسی جز الله نیست، باور و مبنایی کافی برای سامان دادن زندگیِ سعادت‌مندانه و مطابق با حقیقت است؟ در پاسخی اجمالی به این مسئله باید دانست، بیشترین عقاید شرک‌آمیز از مراحلی پس از پذیرش باور به وجود خدا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دلالت دارد مشرکان به توحید در خالقیت باورمند بوده و در مرتبۀ ربوبیت و عبادت دچار شرک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دیدگاه مقابل توحید ربوبی و ریشه‌های آن، فهم بهتری از این آموزه و ضرورت آن را فراهم می‌کند</w:t>
      </w:r>
      <w:r>
        <w:rPr>
          <w:rFonts w:eastAsia="IRNazanin" w:cs="IRNazanin"/>
          <w:color w:val="111111"/>
          <w:sz w:val="28"/>
          <w:szCs w:val="28"/>
          <w:rtl w:val="true"/>
          <w:lang w:bidi="fa-IR"/>
        </w:rPr>
        <w:t>.</w:t>
      </w:r>
    </w:p>
    <w:p>
      <w:pPr>
        <w:pStyle w:val="Heading3"/>
        <w:numPr>
          <w:ilvl w:val="2"/>
          <w:numId w:val="1"/>
        </w:numPr>
        <w:rPr/>
      </w:pPr>
      <w:bookmarkStart w:id="219" w:name="__RefHeading___Toc2051689_2749589250"/>
      <w:bookmarkStart w:id="220" w:name="_Toc94"/>
      <w:bookmarkEnd w:id="219"/>
      <w:r>
        <w:rPr>
          <w:rtl w:val="true"/>
        </w:rPr>
        <w:t>تقابل با اندیشۀ ربوبیت توحیدی در ثنویت</w:t>
      </w:r>
      <w:bookmarkEnd w:id="2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شایع در مقابل توحید ربوبی،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ثنویت در قالب‌های گوناگون در سرتاسر جهان به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وجودشناختی، ثنویه باورمندند که هم خیر در عالم وجود دارد و هم شر، و هر دو امری وجودی‌اند و برای خیر و هم‌چنین برای شر مبدأ یا خالق قائل بوده و بر این باورند که خالق و مبدأ خیر، غیر از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وجه مشترک تمامی آن‌ها باورمندی به نقش‌آفرینی دو عامل اصلی در خلق و تدبیر نظام آفرینش و یا دست‌کم در دنیاست که هر یک منشأ و مبدأ انگیزش افعال خاص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دو عامل، یکی در مسئله شر و دیگری در مسئله خیر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باور به این‌که شر به</w:t>
      </w:r>
      <w:bookmarkStart w:id="221" w:name="pg3261_16473"/>
    </w:p>
    <w:p>
      <w:pPr>
        <w:pStyle w:val="BookText"/>
        <w:rPr/>
      </w:pPr>
      <w:bookmarkEnd w:id="221"/>
      <w:r>
        <w:rPr>
          <w:rFonts w:ascii="IRNazanin" w:hAnsi="IRNazanin" w:eastAsia="IRNazanin"/>
          <w:color w:val="111111"/>
          <w:sz w:val="28"/>
          <w:sz w:val="28"/>
          <w:szCs w:val="28"/>
          <w:rtl w:val="true"/>
          <w:lang w:bidi="fa-IR"/>
        </w:rPr>
        <w:t>صورت مستقل منشأ قدرت و اثر در عالم است، اعتقاد به دوگانه‌گرایی در الوهیت و ربوبیت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این انگاره تقویت شد که با نیایش خدای خیر و رحمت به تنهایی منافع تأمین نمی‌شود و لازم است که نیروهای شر را هم ستایش کرد؛ از این رو، برای تعظیم و تجلیل شیطان </w:t>
      </w:r>
      <w:r>
        <w:rPr>
          <w:rStyle w:val="FootnoteAnchor"/>
          <w:rtl w:val="true"/>
        </w:rPr>
        <w:footnoteReference w:id="34"/>
      </w:r>
      <w:r>
        <w:rPr>
          <w:rFonts w:ascii="IRNazanin" w:hAnsi="IRNazanin" w:eastAsia="IRNazanin"/>
          <w:color w:val="111111"/>
          <w:sz w:val="28"/>
          <w:sz w:val="28"/>
          <w:szCs w:val="28"/>
          <w:rtl w:val="true"/>
          <w:lang w:bidi="fa-IR"/>
        </w:rPr>
        <w:t>، به عنوان نماد و حتی منشأ شر، برنامه‌هایی تدارک دیده شد، تا از ارادۀ شوم شیطانی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گروهی برای دفع ضرر و مصونیت از آزار شیطان به تقدیس او می‌پرداختند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جلوگیری از صدمه‌های احتمالی یا جلب کمک خیالی او، دست به اعمالی گوناگون می‌زدند؛ گاه نیز خون انسان‌ها و کودکان را تقدیم شیاطین می‌کردند، و این اعمال بر اساس قوانین سحر و جادو توجیهاتی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اصلی دیدگاه‌های ثنوی، باور به ازلی بودن و تقارن مطلق دو اصل متقابل نیست، بلکه این نکته است که اصل دوم، آفرینندۀ این جهان، وضع‌کنندۀ قوانین طبیعی حاکم بر آن و اداره‌کنندۀ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اصل دوم نقش خود را در آفرینش عالم یا آفرینش بخشی از آن ایفا می‌کند، دو نگاه عمده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این اختلاف به اندیشۀ آنان در برابر هستی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ثنویت کیهانی، آفرینش از بنیاد سراسر خیر و نیکی است و شر همچون عاملی بیرونی به آن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بجنوردی،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ثنویت ضد کیهانی، شرّ عامل ذاتی و درونی جهان است که در قالب اصل یا جوهری اساساً منفی یا فریبنده همچون ماده، جسم یا روحِ فروتر در هستی حضور دارد که بنا بر نگاه دوم، عالم از بنیاد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مروری بر دیدگاه رقیب، باید دانست در توحید ربوبی برخلاف ثنویت، باور به دو مبدأ و منشأ منفک و جدا برای دو مقولۀ خیر و شر وجود نداشته و در واقع یک نقش‌آفرین در خلق و تدبیر نظام آفرینش حاکم است و خیر و شر هر دو از یک کانون می‌جوشد و وجود می‌گیرد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با توجه به شیوع دیدگاه ثنوی، نفی این اندیشه با صراحت و روشنی در قرآن 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222" w:name="__RefHeading___Toc2051691_2749589250"/>
      <w:bookmarkStart w:id="223" w:name="_Toc95"/>
      <w:bookmarkEnd w:id="222"/>
      <w:r>
        <w:rPr>
          <w:rtl w:val="true"/>
        </w:rPr>
        <w:t>باورمندی به توحید و لوازم آن از نگاه قرآن</w:t>
      </w:r>
      <w:bookmarkEnd w:id="2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توحید از اساسی‌ترین اصول اندیشۀ دینی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اثبات و اعتقاد</w:t>
      </w:r>
    </w:p>
    <w:p>
      <w:pPr>
        <w:pStyle w:val="BookText"/>
        <w:rPr/>
      </w:pPr>
      <w:r>
        <w:rPr>
          <w:rFonts w:ascii="IRNazanin" w:hAnsi="IRNazanin" w:eastAsia="IRNazanin"/>
          <w:color w:val="111111"/>
          <w:sz w:val="28"/>
          <w:sz w:val="28"/>
          <w:szCs w:val="28"/>
          <w:rtl w:val="true"/>
          <w:lang w:bidi="fa-IR"/>
        </w:rPr>
        <w:t>به توحید، نفی ثنویت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ثنویت، لایه‌های نمایان و پنهان بسیاری دارد که ابعاد فردی و گروهی بشر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ثنویت، عبودیت انحصاری خدا تثبیت می‌شود که هرچه دامنۀ نفی ثنویت عمیق‌تر باشد، گسترۀ انحصار در عبودیت نیز تجلی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تحقق این هدف، انسان را از قرین گرفتن محبوب‌هایی در کنار خدا بر حذر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پیامد توحید ربوبی را منفرد قرار گرفتن پروردگار در عبادت و اصالت دادن به محبت الهی و فرع قرار دادن دیگر محبت‌ها در طول محبت خدای سبحان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نتایج اجتماعی و فردی فراوانی را برای بشر و جامعه بشری به ثمر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فردی می‌توان به امیدواری دائمی در تمام طول حیات فردی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اجتماعی نیز اتکای به غیرخدا، مساوق فراموشی توانایی‌های درونی و در نتیجه هدررفت آن و افزون بر آن، لزوم تبعیت و همراهی همواره از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دیگرانی که به صورت طبیعی یا تنها به منافع خود و یا با اولویت به سود خود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وحی، مسیر اعتلای حق و عدالت را ـ که بلندترین هدف گروهی بشر است ـ اعتماد به خدا و توان داخلی و نهراسیدن از توان و نیروی دشمنان حقیقت و عدالت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این مسیر را ستم انسان به خود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امور پیوندیافته با اعتقاد به وحدانیت ربوبی خداوند سبحان، تصحیح نگاه‌ها و دوری گزیدن از نگاه شرطی به مسئله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شأن نزول آیه هفتادوهشتم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نبرد احد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نگاهی کلان به رفتار بشر در برابر آموزه‌های الهی، بیان‌گر مشروط دانستن باورها به پیروزی‌های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این‌گونه نگاه را می‌توان در اقوام پیش‌تر نیز، در بیان آیات وحی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در برابر آموزه‌های ابلاغی از سوی حضرت موسی  علیه السلام  ، واکنشی ثنوی‌گونه به شکلی افراطی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جاءَتْهُمُ الْحَسَنَةُ قالُوا لَنا هذِهِ وَ إِنْ تُصِبْهُمْ سَیِّئَةٌ یَطَّیَّرُوا بِمُوسی وَ مَنْ مَعَهُ أَلا إِنَّما طائِرُهُمْ عِنْدَ اللَّهِ وَ لکِنَّ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خود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موقعی که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شومی موسی و کسان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سرچشمۀ همه این‌ها، نزد خداست، ولی بیشتر آن‌ها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آیاتی چند به وحدانیت خالقیت که مقدمۀ پذیرش وحدانیت ربوبیت است، تأکید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پذیرش وحدت خالقیت، جایی برای ربوبیتِ غیر، باقی نمی‌ماند</w:t>
      </w:r>
      <w:r>
        <w:rPr>
          <w:rFonts w:eastAsia="IRNazanin" w:cs="IRNazanin"/>
          <w:color w:val="111111"/>
          <w:sz w:val="28"/>
          <w:szCs w:val="28"/>
          <w:rtl w:val="true"/>
          <w:lang w:bidi="fa-IR"/>
        </w:rPr>
        <w:t>.</w:t>
      </w:r>
      <w:bookmarkStart w:id="224" w:name="pg3261_16475"/>
    </w:p>
    <w:p>
      <w:pPr>
        <w:pStyle w:val="Heading3"/>
        <w:numPr>
          <w:ilvl w:val="2"/>
          <w:numId w:val="1"/>
        </w:numPr>
        <w:rPr/>
      </w:pPr>
      <w:bookmarkStart w:id="225" w:name="__RefHeading___Toc2051693_2749589250"/>
      <w:bookmarkStart w:id="226" w:name="_Toc96"/>
      <w:bookmarkEnd w:id="224"/>
      <w:bookmarkEnd w:id="225"/>
      <w:r>
        <w:rPr>
          <w:rtl w:val="true"/>
        </w:rPr>
        <w:t>مؤلفه‌های توحید ربوبی</w:t>
      </w:r>
      <w:bookmarkEnd w:id="226"/>
    </w:p>
    <w:p>
      <w:pPr>
        <w:pStyle w:val="Heading4"/>
        <w:numPr>
          <w:ilvl w:val="3"/>
          <w:numId w:val="1"/>
        </w:numPr>
        <w:rPr/>
      </w:pPr>
      <w:bookmarkStart w:id="227" w:name="__RefHeading___Toc2051695_2749589250"/>
      <w:bookmarkStart w:id="228" w:name="_Toc9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پس از جستاری در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رقیب آن، لازم است برای تبیین جایگاه توحید ربوبی در اندیشۀ قرآنی و هم‌چنین درک عمیق‌تر از آن، به بررسی مؤلفه‌های این مقوله پرداخته شود تا برای ورود به بررسی مصادیق عینیِ تحقق توحید ربوبی از نگاه قرآن، مسیری هموارتر پیش روی خِردها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مؤلفه، مبانی شکل‌دهندۀ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عناصر و جوهر تشکیل‌دهندۀ یک چیز مؤلفه آن خوانده می‌شود، بدان گونه که بدون توجه به آن‌ها نمی‌توان آن چیز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مؤلفه و مبانی توحید ربوبی، رابطۀ معرفتی طولی آن و جایگاه آن در میان آموزه‌ها نقش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تقسیم‌بندی کلی، توحید به دو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شامل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توحید صفاتی و 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در حقیقت هستی، وجود ذات الهی، سپس صفات او و آن‌گاه فهم افعال او را شکوفا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 بِرَبِّکَ أَنَّهُ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کافی نیست که پروردگارت خود مشهود قبل از هر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نبودِ هر گونه ترکیب و تقسیم در ذات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باور به وجود صفات در عین عینیت با ذات بدون شکل‌گیری ترکیب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الهی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که مقصود از این‌همانی مصداقی و اتحاد صفات با ذات، صفات ذاتی‌اند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مراجع دیگر صفات به شمار می‌روند که پیوند علم و قدرت، شکل‌دهندۀ صفات حیات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دربرگیرندۀ توحید در خالقیت، توحید در مالکیت و توحید در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حسنای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فعلی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تدبیر و پروراندن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ملازم با خالقیت به شمار می‌آید و بازگشت ربوبیت به خالقیت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الْحَمْدُ رَبِّ السَّماواتِ وَ رَبِّ الْأَرْضِ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حمد و ستایش مخصوص خداست؛ پروردگار آسمان‌ها و پروردگار زمین و پروردگار همۀ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گسترۀ ربوبیت الهی و عمومیت آن اشاره می‌کند و جامعیتِ در توحید ربوبیت را بیان می‌دارد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نگـرش به آنچه گذشت آن است که خاستگاه اندیشۀ توحید ربوبی، تحقق و باور بـه</w:t>
      </w:r>
      <w:bookmarkStart w:id="229" w:name="pg3261_16476"/>
    </w:p>
    <w:p>
      <w:pPr>
        <w:pStyle w:val="BookText"/>
        <w:rPr/>
      </w:pPr>
      <w:bookmarkEnd w:id="229"/>
      <w:r>
        <w:rPr>
          <w:rFonts w:ascii="IRNazanin" w:hAnsi="IRNazanin" w:eastAsia="IRNazanin"/>
          <w:color w:val="111111"/>
          <w:sz w:val="28"/>
          <w:sz w:val="28"/>
          <w:szCs w:val="28"/>
          <w:rtl w:val="true"/>
          <w:lang w:bidi="fa-IR"/>
        </w:rPr>
        <w:t>توحید در مالکیت و توحید در خالقیت است، چراکه مالکیت پیرو وجود، و وجود زیرمجموعۀ آفرینش است و تدبیر پیش، به همراه و به دنبالِ آفریدن و مالک بودن به تناسب هر مقام تحقق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در خالقیت، خود وام‌دار قدرت و علم ذاتی خداوند سبحان است، زیرا آفرینش بدون قدرت و دانش بی‌معناست؛ از این رو، مؤلفه و مبنای توحید ربوبی را در صفت ذاتی علم و قدرت باید جست‌وجو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4"/>
        <w:numPr>
          <w:ilvl w:val="3"/>
          <w:numId w:val="1"/>
        </w:numPr>
        <w:rPr/>
      </w:pPr>
      <w:bookmarkStart w:id="230" w:name="__RefHeading___Toc2051697_2749589250"/>
      <w:bookmarkStart w:id="231" w:name="_Toc98"/>
      <w:bookmarkEnd w:id="230"/>
      <w:r>
        <w:rPr/>
        <w:t>1</w:t>
      </w:r>
      <w:r>
        <w:rPr>
          <w:rtl w:val="true"/>
        </w:rPr>
        <w:t xml:space="preserve">. </w:t>
      </w:r>
      <w:r>
        <w:rPr>
          <w:rtl w:val="true"/>
        </w:rPr>
        <w:t>علم الهی</w:t>
      </w:r>
      <w:bookmarkEnd w:id="231"/>
    </w:p>
    <w:p>
      <w:pPr>
        <w:pStyle w:val="BookText"/>
        <w:rPr/>
      </w:pPr>
      <w:r>
        <w:rPr>
          <w:rFonts w:ascii="IRNazanin" w:hAnsi="IRNazanin" w:eastAsia="IRNazanin"/>
          <w:color w:val="111111"/>
          <w:sz w:val="28"/>
          <w:sz w:val="28"/>
          <w:szCs w:val="28"/>
          <w:rtl w:val="true"/>
          <w:lang w:bidi="fa-IR"/>
        </w:rPr>
        <w:t xml:space="preserve">از ریشه‌های اصلی باور به توحید و گونه‌های مختلف آن،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علم و آگاهی، از صفات کمالیۀ پروردگار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افعال حکیمانه، محکم و متقنِ الهی، نشانۀ هدف‌داری آن‌هاست و این، دلیل بر علم و آگاهی فاعل آن نسبت به مقدمات و سرانجام امور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موجود جاهل و بی‌شعور و یا دست کورِ تصادف نمی‌تواند انسجامی به این پیچیدگی و گستردگی را تنظیم و سامان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موضوع دانش الهی را فراگیر و گسترده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الهی استفاده می‌شود خداوند سبحان علاوه بر علم کلی و جامع، به جزئیات و امور آنی نیز آگاهی و اشراف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الهی شامل امور پنهان و مخفی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مالکیت الهی نیز به آگاهی و علم مطلق خداوند سبحان بازگشت دارد؛ همان‌گونه که خداوند، شرق و غرب عالم را از خویش می‌خواند و آن‌گاه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این آگاهی گسترده و مالکیتِ برآمده از آن، تحقق‌بخشی به ربوبیتی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قرار گرفتن علم و حکمت در آیاتی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 خوردن دانش با حکمت خبر می‌دهد؛ از این رو، فعل الهی علاوه بر قرار گرفتن بر اِشراف علمی و دانش الهی، بر بنای حکمت نیز استوار گردیده است</w:t>
      </w:r>
      <w:r>
        <w:rPr>
          <w:rFonts w:eastAsia="IRNazanin" w:cs="IRNazanin"/>
          <w:color w:val="111111"/>
          <w:sz w:val="28"/>
          <w:szCs w:val="28"/>
          <w:rtl w:val="true"/>
          <w:lang w:bidi="fa-IR"/>
        </w:rPr>
        <w:t>.</w:t>
      </w:r>
    </w:p>
    <w:p>
      <w:pPr>
        <w:pStyle w:val="Heading4"/>
        <w:numPr>
          <w:ilvl w:val="3"/>
          <w:numId w:val="1"/>
        </w:numPr>
        <w:rPr/>
      </w:pPr>
      <w:bookmarkStart w:id="232" w:name="__RefHeading___Toc2051699_2749589250"/>
      <w:bookmarkStart w:id="233" w:name="_Toc99"/>
      <w:bookmarkEnd w:id="232"/>
      <w:r>
        <w:rPr/>
        <w:t>2</w:t>
      </w:r>
      <w:r>
        <w:rPr>
          <w:rtl w:val="true"/>
        </w:rPr>
        <w:t xml:space="preserve">. </w:t>
      </w:r>
      <w:r>
        <w:rPr>
          <w:rtl w:val="true"/>
        </w:rPr>
        <w:t>قدرت الهی</w:t>
      </w:r>
      <w:bookmarkEnd w:id="23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مؤلفۀ دیگرِ شکل‌دهنده به ربوبیت توحیدی در مراتب طولی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صفات ذاتی و جمالی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شـده کـه بـه معنای اندازه و نهایت هر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واژه دربارۀ خـداوند، از آن روست که او هرچه را به هر اندازه بخواهد، انجام می‌دهد و به بندگان هر مقدار بخواهد،</w:t>
      </w:r>
    </w:p>
    <w:p>
      <w:pPr>
        <w:pStyle w:val="BookText"/>
        <w:rPr/>
      </w:pP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بودن خداوند به معنای فاعل مختار</w:t>
      </w:r>
      <w:r>
        <w:rPr>
          <w:rStyle w:val="FootnoteAnchor"/>
          <w:rtl w:val="true"/>
        </w:rPr>
        <w:footnoteReference w:id="36"/>
      </w:r>
      <w:r>
        <w:rPr>
          <w:rFonts w:ascii="IRNazanin" w:hAnsi="IRNazanin" w:eastAsia="IRNazanin"/>
          <w:color w:val="111111"/>
          <w:sz w:val="28"/>
          <w:sz w:val="28"/>
          <w:szCs w:val="28"/>
          <w:rtl w:val="true"/>
          <w:lang w:bidi="fa-IR"/>
        </w:rPr>
        <w:t>بودن در مقابل فاعل موجَب بودن، در اصطلاح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فاعل مختار یا قادر با دو تفسیر در دو نظام معرفتی روبه‌رو شده است؛ فلاسفه در تبیین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فعل و ان لم یشاء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متکلمان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منه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علم و آگاهی از لوازم انفکاک‌ناپذیرِ موضوع قدرت است، زیرا مبدأ بودن فاعل نسبت به هـر فـعلی قدرت به شمار نمی‌رود، بلکه قدرت در صورت آگاهی فاعل به فعل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آگاهی تنها نیز کافی نیست، بلکه اطلاق قدرت تنها در مورد فعلی است که فاعل بـه آن عـلم دارد و همان علمِ فاعل، او را به انـجام آن بـرانگیخته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مطلقۀ الهی در نظام آفرینش به مبدأیت الهی نسبت به هستی انجامیده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مُلْکُ السَّماواتِ وَ الْأَرْضِ وَ اللَّهُ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با بیان وجود سنت‌هایی الهی به گونه‌ای مستمر، تصریح دارد که تغییر و تبدیلی در آن راه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تغییر به عدم قدرت بازگشت ندارد، بلکه به عدم تعلق اراده و مشیت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خاص، همانند تحقق نظام احسن و عدم اخلال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کلی به حکمت الهی بازمی‌گردد، چراکه در صورت تعلق مشیت الهی، امکان جای‌گزین شدن محقق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تَنفِرُواْ یُعَذِّبْکُمْ عَذَابًا أَلِیمًا وَ یَسْتَبْدِلْ قَوْمًا غَیرَکُمْ وَ لَا تَضُرُّوهُ شَیئاً وَ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نکنید، شما را مجازات دردناکی می‌کند و گروه دیگری غیر از شما را به جای شما قرار می‌دهد، و هیچ زیانی به او نمی‌رسانید و خداوند بر هر چیزی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مورد اشاره قرار گرفت، حضور مطلق الهی، به معنای آگاهی و امکان جای‌گزینی امور، در ساختار پیچیدۀ ربوبیت نظام هستی اثبات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مروری بر چیستی و ماهیت ربوبیت توحیدی، لازم است به چگونگی تحقق آن در نظام هستی و به بیان دیگر، به رابطۀ خالق با مخلوقات خود تحت عنوان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تا جایگاه توحید ربوبی در هندسۀ هستی بر اساس گفتار وحی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با دیدگاه‌های مطرح در حوزۀ عنایت الهی آشنا می‌شویم و سپس دیدگاه قرآن در این زمینه را پی‌گیری خواهیم کرد</w:t>
      </w:r>
      <w:r>
        <w:rPr>
          <w:rFonts w:eastAsia="IRNazanin" w:cs="IRNazanin"/>
          <w:color w:val="111111"/>
          <w:sz w:val="28"/>
          <w:szCs w:val="28"/>
          <w:rtl w:val="true"/>
          <w:lang w:bidi="fa-IR"/>
        </w:rPr>
        <w:t>.</w:t>
      </w:r>
      <w:bookmarkStart w:id="234" w:name="pg3261_16478"/>
    </w:p>
    <w:p>
      <w:pPr>
        <w:pStyle w:val="Heading3"/>
        <w:numPr>
          <w:ilvl w:val="2"/>
          <w:numId w:val="1"/>
        </w:numPr>
        <w:rPr/>
      </w:pPr>
      <w:bookmarkStart w:id="235" w:name="__RefHeading___Toc2051701_2749589250"/>
      <w:bookmarkStart w:id="236" w:name="_Toc100"/>
      <w:bookmarkEnd w:id="234"/>
      <w:bookmarkEnd w:id="235"/>
      <w:r>
        <w:rPr>
          <w:rtl w:val="true"/>
        </w:rPr>
        <w:t>عنایت در اصطلاح</w:t>
      </w:r>
      <w:bookmarkEnd w:id="236"/>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قصد، توجه، اهتمام و بخشش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معنای توجه مافوق است به 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ابن‌سینا در کتاب تعلیقات، حاکی از پیوند میان علم الهی، اراده الهی و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با توجه به نظام فلسفی مشائی و تعریفی که از علم دارد، در تعریف عنایت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به موجودات و نظام آن‌ها را عنایت می‌گویند؛ این‌که تمامی موجودات از احاطۀ علمی که خدا به آنان دارد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عنایت، ایجاد اشیا به بهترین وجه از جهت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وی در مواضع دیگر عنایت را صدور خیر از ذات لذاته و نه برای غرضی خارج از ذات تعریف می‌کند، چراکه وجود غرض دیگر غیر از مطلوبیت ذات، بازگشت به نقصان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فذاته عنایته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لاهیجی در گوهر مراد مسئله عنایت را مربوط به فعل الهی و در ارتباط با موضوع نظام احسن و خیر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عنایت واجب الوجود، علم اوست به نظام خیر، به وجهی که مبدأ فیضان نظام خیر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لاهیجی،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از آن جهت که نمایانندۀ اشیاست، نام‌بردار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از جهت علم فعلی بودنِ حق و اثرگذار بر ایجاد ماسوی‌الله،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عنایت به حوزۀ فاعلیت خداوند تمرکز دارد و عنایت الهی همان مصدریت و فاعلیت خدا دربارۀ ماسوی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عنایت الهی که همان علم خداوند است علاوه بر بحث‌های نظری، با رفتارهای فردی و هم‌چنین کارکردهای اجتماعی ارتباط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با توجه به طرح مسائلی همانند علم، صدور و خیر در تعریف عنایت و مقایسۀ آن با معنای ربوبیت و وابسته بودن ربوبیت به علم فعلی، می‌توان ادعا کرد وحدانیت ربوبی خدا که از نگاه متکلمان طرح می‌شود، هم‌پوشی قابل توجهی با عنایت که بیشتر در دستگاه عرفان و فلسفه طرح شده، دارد؛ هرچند گسترۀ ربوبیت از نگاه متکلمان فراتر از امور کلان و شامل جزئیات و امور خرد نیز می‌باشد و این امر وابسته به مبانی تغییر و دایرۀ هم‌پوشانی آن تطابق یا اختلاف می‌یابد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معنای عنایت و ارتباط آن با ربوبیت باید دانست، رابطۀ خالق عالم با موجودات همواره از پرسش‌های ذهنی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رابطه‌ای در این میان متصور است و در صورت وجود رابطه آیا رابطه ایجادی است یا نوع دیگری از ارتباط مطرح است، واکنش‌های متفاوتی را شکل داده که از حوصله و دستور این مقاله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در</w:t>
      </w:r>
      <w:bookmarkStart w:id="237" w:name="pg3261_16479"/>
    </w:p>
    <w:p>
      <w:pPr>
        <w:pStyle w:val="BookText"/>
        <w:rPr/>
      </w:pPr>
      <w:bookmarkEnd w:id="237"/>
      <w:r>
        <w:rPr>
          <w:rFonts w:ascii="IRNazanin" w:hAnsi="IRNazanin" w:eastAsia="IRNazanin"/>
          <w:color w:val="111111"/>
          <w:sz w:val="28"/>
          <w:sz w:val="28"/>
          <w:szCs w:val="28"/>
          <w:rtl w:val="true"/>
          <w:lang w:bidi="fa-IR"/>
        </w:rPr>
        <w:t>مسئله ربوبیت و عنایت، دیدگاه‌های مختلفی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اندیشه‌ای حداکثری، عنایت الهی شامل همۀ موجودات می‌شود که این اندیشه را می‌توان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باورمندان به قصد و تدبیر مستقیم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باورمندان به تدبیر 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ابن‌میمون با توجه به تورات، موجود عاقل 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مستحق عنایت الهی می‌داند و از این رو، مورد توجه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عنایت شخصی الهی را مخصوص انسان می‌داند و دربارۀ سایر موجودات معتقد است، ارادۀ خدا به نوع آن‌ها و نه شخص آن‌ها تعلق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ابن‌میمون،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مسلمان نیاز به واسطه در آفرینش را نفی، اما نقش فرشتگان در تدبیر و ادارۀ موجودات را مؤثر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خداوند جهان را به واسطۀ فرشتگان اداره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عنایت خداوند را همان علم ازلی الهی دانسته که برای صدور اشیا و نظم و هدایت آن‌ها این علم ازلی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اندیشه است که عنایت الهی در صدر عالم با وسایط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ابن‌سینا،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حسن‌زاده آملی،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علم ازلی را برای منشأ آفرینش بودن، کافی ندانسته و صورت گرفتن ایجاد را با ارادۀ خداوند تبیین می‌کنند؛ از این رو، عنایت همان مشیت الهی دانسته شده است، و خداوند به جهت علم داشتن به اشیای جزئی، می‌تواند آن‌ها را مستقیماً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مبحث عنایت در نگاه اندیشمندان اسلامی برای توجیه رابطۀ ایجادی و تدبیری خداوند نسبت به جهان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مقایسۀ این نگاه با فلسفه یونانی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یونانی اهتمام به یافتن مبدأ نظم و وحدت جهان، معطوف است نه به ارتباط ایجادی مبدأ هستی با جهان و انسان؛ از این رو، خدای حکمای یونان نمی‌تواند یا ضروت ندارد که توجه و عنایتی به موجودات داشته باشد، اما خدای متفکران اسلامی هستی‌بخش و مدبّر جهان است و نسبت به انسان عنایت، لطف و هدایت ویژه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سیدهاشمی،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238" w:name="__RefHeading___Toc2051703_2749589250"/>
      <w:bookmarkStart w:id="239" w:name="_Toc101"/>
      <w:bookmarkEnd w:id="238"/>
      <w:r>
        <w:rPr>
          <w:rtl w:val="true"/>
        </w:rPr>
        <w:t>نگاه قرآن به عنایت الهی</w:t>
      </w:r>
      <w:bookmarkEnd w:id="2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دینی نمی‌توان فاعلیت ایجادی و تدبیری خدا و عنایت و لطف خدا به موجودات و انسان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حکمت دینی پی‌جویی می‌شود، چگونگی تعلق یافتنِ عنایت الهی به اشیاست، نه اثبات نقش ایجادی و تدبیری خداوند سبحان در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گام با محوریت آیات وحی، به تبیین اندیشۀ عنایت و ربوبیت الهی برای رسیدن به نظام اندیشۀ قرآن در این امر توجه خواهیم کرد</w:t>
      </w:r>
      <w:r>
        <w:rPr>
          <w:rFonts w:eastAsia="IRNazanin" w:cs="IRNazanin"/>
          <w:color w:val="111111"/>
          <w:sz w:val="28"/>
          <w:szCs w:val="28"/>
          <w:rtl w:val="true"/>
          <w:lang w:bidi="fa-IR"/>
        </w:rPr>
        <w:t>.</w:t>
      </w:r>
      <w:bookmarkStart w:id="240" w:name="pg3261_16480"/>
    </w:p>
    <w:p>
      <w:pPr>
        <w:pStyle w:val="BookText"/>
        <w:rPr/>
      </w:pPr>
      <w:bookmarkEnd w:id="240"/>
      <w:r>
        <w:rPr>
          <w:rFonts w:ascii="IRNazanin" w:hAnsi="IRNazanin" w:eastAsia="IRNazanin"/>
          <w:color w:val="111111"/>
          <w:sz w:val="28"/>
          <w:sz w:val="28"/>
          <w:szCs w:val="28"/>
          <w:rtl w:val="true"/>
          <w:lang w:bidi="fa-IR"/>
        </w:rPr>
        <w:t xml:space="preserve">قرآن کریم بر اساس خالقیت و توحید ربوبی و تشریعی که از آن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سرپرستی، سعادتمندی و به کمال رساندن انسان را با توجه به علم و قدرت مطلق خداوند متعال، حقّ منحصر خداوند سبحان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منشأ هدایت به معنای عامّ آن را تنها باید خداوند متعال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هدایت در مراتب گوناگون آن، با ملاک عنایت و ربوبیت توحیدی الهی انجام می‌شود، هرچند در این میان واسطه‌هایی دارای نقش با مدیریت توحیدی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نگاه قرآن وجود واسطه در مسیر تحقق عنایت، به معنای نفی ربوبیت توحیدی نیست</w:t>
      </w:r>
      <w:r>
        <w:rPr>
          <w:rFonts w:eastAsia="IRNazanin" w:cs="IRNazanin"/>
          <w:color w:val="111111"/>
          <w:sz w:val="28"/>
          <w:szCs w:val="28"/>
          <w:rtl w:val="true"/>
          <w:lang w:bidi="fa-IR"/>
        </w:rPr>
        <w:t>.</w:t>
      </w:r>
    </w:p>
    <w:p>
      <w:pPr>
        <w:pStyle w:val="Heading3"/>
        <w:numPr>
          <w:ilvl w:val="2"/>
          <w:numId w:val="1"/>
        </w:numPr>
        <w:rPr/>
      </w:pPr>
      <w:bookmarkStart w:id="241" w:name="__RefHeading___Toc2051705_2749589250"/>
      <w:bookmarkStart w:id="242" w:name="_Toc102"/>
      <w:bookmarkEnd w:id="241"/>
      <w:r>
        <w:rPr>
          <w:rtl w:val="true"/>
        </w:rPr>
        <w:t>هدایت الهی و واسطه‌های آن</w:t>
      </w:r>
      <w:bookmarkEnd w:id="242"/>
    </w:p>
    <w:p>
      <w:pPr>
        <w:pStyle w:val="BookText"/>
        <w:rPr/>
      </w:pPr>
      <w:r>
        <w:rPr>
          <w:rFonts w:ascii="IRNazanin" w:hAnsi="IRNazanin" w:eastAsia="IRNazanin"/>
          <w:color w:val="111111"/>
          <w:sz w:val="28"/>
          <w:sz w:val="28"/>
          <w:szCs w:val="28"/>
          <w:rtl w:val="true"/>
          <w:lang w:bidi="fa-IR"/>
        </w:rPr>
        <w:t xml:space="preserve">حضرت ابراهیم  علیه السلام   در ردّ انگارۀ عموی خود در خداپنداری بت‌ها، به مسئله عنایت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نکته باید توجه کرد که عنایت، گونه‌ها و حیطه‌های گسترده‌ای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از آن‌جا که ارتباط مستقیم و دیدن خدا برای انسان امری محال است، خداوند از اسبابی مرتبط برای انتقال فیض و پیام خود به انسان، به عنوان بزرگ‌ترین عنایت الهی به بشر،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ولایت، اطاعت و هدایت که از امور اختصاصی خداست، به پیامبران و برگزیدگانِ از انسان‌ها برای تحقق یافتن هدایت الهی نسبت داده شده و خداوند ایشان را واجب الاطاعه، ولیّ و هادی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دست آیات بدین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نسبت به مؤمنان از خودشان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اطاعت برگزیدگان خود را در کنار اطاعت خویش قرار داده و به آن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 وَ مَن تَوَّلیَ فَمَا أَرْسَلْنَاکَ عَلَیْهِمْ حَفِیظًا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از پیامبر اطاعت کند، خدا را اطاعت کرده و کسی که سر 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ثمرۀ این اطاعت، تحقق هدایت، یعنی همان هدفی که خداوند به سبب آن با انسان ارتباطِ وحیانی برقرار کرد،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تُطِیعُوهُ تَهْتَدُواْ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هدایت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متکفل دریافت و ابلاغ مسئله هدایت خاص، انبیای الهی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هدایت الهی به معنای عام آن، که می‌تواند اصطلاحی قرآنی و بیان‌گر مسئله عنایت تلقی شود، از جهت مراتب و بهره‌مندان از آن، به گونه‌هایی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گونه‌ها، به</w:t>
      </w:r>
      <w:bookmarkStart w:id="243" w:name="pg3261_16481"/>
    </w:p>
    <w:p>
      <w:pPr>
        <w:pStyle w:val="BookText"/>
        <w:rPr/>
      </w:pPr>
      <w:bookmarkEnd w:id="243"/>
      <w:r>
        <w:rPr>
          <w:rFonts w:ascii="IRNazanin" w:hAnsi="IRNazanin" w:eastAsia="IRNazanin"/>
          <w:color w:val="111111"/>
          <w:sz w:val="28"/>
          <w:sz w:val="28"/>
          <w:szCs w:val="28"/>
          <w:rtl w:val="true"/>
          <w:lang w:bidi="fa-IR"/>
        </w:rPr>
        <w:t>شناخت چگونگی تحقق عنایت و هدایت الهی و تمایز‌های هر حیطه و در نهایت، نوع واکنش و تعامل انسان با گونه‌های متفاوت کمک می‌کند</w:t>
      </w:r>
      <w:r>
        <w:rPr>
          <w:rFonts w:eastAsia="IRNazanin" w:cs="IRNazanin"/>
          <w:color w:val="111111"/>
          <w:sz w:val="28"/>
          <w:szCs w:val="28"/>
          <w:rtl w:val="true"/>
          <w:lang w:bidi="fa-IR"/>
        </w:rPr>
        <w:t>.</w:t>
      </w:r>
    </w:p>
    <w:p>
      <w:pPr>
        <w:pStyle w:val="Heading3"/>
        <w:numPr>
          <w:ilvl w:val="2"/>
          <w:numId w:val="1"/>
        </w:numPr>
        <w:rPr/>
      </w:pPr>
      <w:bookmarkStart w:id="244" w:name="__RefHeading___Toc2051707_2749589250"/>
      <w:bookmarkStart w:id="245" w:name="_Toc103"/>
      <w:bookmarkEnd w:id="244"/>
      <w:r>
        <w:rPr>
          <w:rtl w:val="true"/>
        </w:rPr>
        <w:t>هدایت عام یا هدایت تکوینی</w:t>
      </w:r>
      <w:bookmarkEnd w:id="245"/>
    </w:p>
    <w:p>
      <w:pPr>
        <w:pStyle w:val="BookText"/>
        <w:rPr/>
      </w:pPr>
      <w:r>
        <w:rPr>
          <w:rFonts w:ascii="IRNazanin" w:hAnsi="IRNazanin" w:eastAsia="IRNazanin"/>
          <w:color w:val="111111"/>
          <w:sz w:val="28"/>
          <w:sz w:val="28"/>
          <w:szCs w:val="28"/>
          <w:rtl w:val="true"/>
          <w:lang w:bidi="fa-IR"/>
        </w:rPr>
        <w:t xml:space="preserve">قرآن بیان‌گر وجود هدایتی عام برای تمام موجودات از طرف خداوند متعال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ما همان کسی است که به هر موجودی، آنچه را لازمۀ آفرینش او بود داده، سپس هدایت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را باید هدایتی شمولی نسبت به تمامی اشیا و موجودات ماسوی‌الله و بدون واسطه دانست که در آن علم، قدرت و ارادۀ الهی نقش‌آفرینی می‌کند</w:t>
      </w:r>
      <w:r>
        <w:rPr>
          <w:rFonts w:eastAsia="IRNazanin" w:cs="IRNazanin"/>
          <w:color w:val="111111"/>
          <w:sz w:val="28"/>
          <w:szCs w:val="28"/>
          <w:rtl w:val="true"/>
          <w:lang w:bidi="fa-IR"/>
        </w:rPr>
        <w:t>.</w:t>
      </w:r>
    </w:p>
    <w:p>
      <w:pPr>
        <w:pStyle w:val="Heading3"/>
        <w:numPr>
          <w:ilvl w:val="2"/>
          <w:numId w:val="1"/>
        </w:numPr>
        <w:rPr/>
      </w:pPr>
      <w:bookmarkStart w:id="246" w:name="__RefHeading___Toc2051709_2749589250"/>
      <w:bookmarkStart w:id="247" w:name="_Toc104"/>
      <w:bookmarkEnd w:id="246"/>
      <w:r>
        <w:rPr>
          <w:rtl w:val="true"/>
        </w:rPr>
        <w:t>هدایت انسان</w:t>
      </w:r>
      <w:bookmarkEnd w:id="247"/>
    </w:p>
    <w:p>
      <w:pPr>
        <w:pStyle w:val="BookText"/>
        <w:rPr/>
      </w:pPr>
      <w:r>
        <w:rPr>
          <w:rFonts w:ascii="IRNazanin" w:hAnsi="IRNazanin" w:eastAsia="IRNazanin"/>
          <w:color w:val="111111"/>
          <w:sz w:val="28"/>
          <w:sz w:val="28"/>
          <w:szCs w:val="28"/>
          <w:rtl w:val="true"/>
          <w:lang w:bidi="fa-IR"/>
        </w:rPr>
        <w:t>انسان علاوه بر عنایت و هدایت فراگیر الهی که به مقتضای ظرفیت و ماهیت هر پدیده آشکار می‌شود، نیازمند هدایتی تشریعی است که این راهنمایی و بیان قانون الهی، از طریق ابلاغ دین برای تمامی انسان‌ها صورت می‌پذیرد و خداوند متعال به این شیوه، راه را به مؤمن و کافر نشان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دلالت دارد خداوند علاوه بر هدایت تکوینیِ تمام موجودات، خصوص انسان را از هدایت تشریعی نیز برخوردار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این هدایت، سفیران الهی و پیام‌آوران از غیب، یعنی انبیا هستند</w:t>
      </w:r>
      <w:r>
        <w:rPr>
          <w:rFonts w:eastAsia="IRNazanin" w:cs="IRNazanin"/>
          <w:color w:val="111111"/>
          <w:sz w:val="28"/>
          <w:szCs w:val="28"/>
          <w:rtl w:val="true"/>
          <w:lang w:bidi="fa-IR"/>
        </w:rPr>
        <w:t>.</w:t>
      </w:r>
    </w:p>
    <w:p>
      <w:pPr>
        <w:pStyle w:val="Heading3"/>
        <w:numPr>
          <w:ilvl w:val="2"/>
          <w:numId w:val="1"/>
        </w:numPr>
        <w:rPr/>
      </w:pPr>
      <w:bookmarkStart w:id="248" w:name="__RefHeading___Toc2051711_2749589250"/>
      <w:bookmarkStart w:id="249" w:name="_Toc105"/>
      <w:bookmarkEnd w:id="248"/>
      <w:r>
        <w:rPr>
          <w:rtl w:val="true"/>
        </w:rPr>
        <w:t>هدایت ویژه</w:t>
      </w:r>
      <w:bookmarkEnd w:id="2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مثبت انسان به هدایت تشریعی می‌تواند هدایتی افزون را برای او فراهم آورد، زیرا کمال انسان وابسته به افعال اختیاری و ارادی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افعال انسان را اعتقادات نظری و عملی او تشکیل می‌دهد که در نتیجة برخورد با حوادث، آنچه را در قوّه و استعداد دارد، به فعلیت می‌رساند تا نهفته‌های خود را به سرانجام و به کمال لایق خود، یعنی سعادت یا ضلالت نایل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تشریع الهی تنها برای نظام بخشیدن به جوامع بشری نیست، بلکه برای تکمیل خلقت اوست، تا او را به هدفی که در خلقتش می‌باشد نزدیک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نوع بشر در بستر عنایت الهی می‌تواند از مراتبی ویژه برخوردار شود که دیگر موجودات از آن بی‌بهره‌اند</w:t>
      </w:r>
      <w:r>
        <w:rPr>
          <w:rFonts w:eastAsia="IRNazanin" w:cs="IRNazanin"/>
          <w:color w:val="111111"/>
          <w:sz w:val="28"/>
          <w:szCs w:val="28"/>
          <w:rtl w:val="true"/>
          <w:lang w:bidi="fa-IR"/>
        </w:rPr>
        <w:t>.</w:t>
      </w:r>
      <w:bookmarkStart w:id="250" w:name="pg3261_16482"/>
    </w:p>
    <w:p>
      <w:pPr>
        <w:pStyle w:val="BookText"/>
        <w:rPr/>
      </w:pPr>
      <w:bookmarkEnd w:id="250"/>
      <w:r>
        <w:rPr>
          <w:rFonts w:ascii="IRNazanin" w:hAnsi="IRNazanin" w:eastAsia="IRNazanin"/>
          <w:color w:val="111111"/>
          <w:sz w:val="28"/>
          <w:sz w:val="28"/>
          <w:szCs w:val="28"/>
          <w:rtl w:val="true"/>
          <w:lang w:bidi="fa-IR"/>
        </w:rPr>
        <w:t>رسیدن به این هدایت ویژه، با حسن اختیار و پذیرش هدایت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 وَ ءَاتَاهُمْ تَقْوَاهُمْ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هدایت یافته‌اند، خداوند بر هدایتشان می‌افزاید و روح تقوا به آنان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زیادی به این ولایت و هدایت ویژۀ بر مؤمنان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این‌گونه از هدایت و عنایت الهی گاه بی‌واسطه و گاه باواسطه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نمونه‌های فراوانی از هر دو گروه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نمونه‌های باواسطه می‌توان به داستان پررمز و راز موسی و خضر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نمونه‌های بی‌واسطه می‌توان به ارتباط مستقیم خداوند و گفت‌وگوی بدون واسطه با انبیا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از ارتباط را می‌توان در اولین نوع از انواع وحی که آیۀ پنجاه‌و‌یکم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ملاحظه کرد؛ همان‌گونه که مرتبۀ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مصادیق عنایت بی‌واسطه الهی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در این مرحله حتی فرشته وحی، جبرئیل نیز حضور نداشته است؛ از این رو، واسطه‌ای در میان نبوده است</w:t>
      </w:r>
      <w:r>
        <w:rPr>
          <w:rFonts w:eastAsia="IRNazanin" w:cs="IRNazanin"/>
          <w:color w:val="111111"/>
          <w:sz w:val="28"/>
          <w:szCs w:val="28"/>
          <w:rtl w:val="true"/>
          <w:lang w:bidi="fa-IR"/>
        </w:rPr>
        <w:t>.</w:t>
      </w:r>
    </w:p>
    <w:p>
      <w:pPr>
        <w:pStyle w:val="Heading3"/>
        <w:numPr>
          <w:ilvl w:val="2"/>
          <w:numId w:val="1"/>
        </w:numPr>
        <w:rPr/>
      </w:pPr>
      <w:bookmarkStart w:id="251" w:name="__RefHeading___Toc2051713_2749589250"/>
      <w:bookmarkStart w:id="252" w:name="_Toc106"/>
      <w:bookmarkEnd w:id="251"/>
      <w:r>
        <w:rPr>
          <w:rtl w:val="true"/>
        </w:rPr>
        <w:t>سنت‌های ناپیدا</w:t>
      </w:r>
      <w:bookmarkEnd w:id="252"/>
    </w:p>
    <w:p>
      <w:pPr>
        <w:pStyle w:val="BookText"/>
        <w:rPr/>
      </w:pPr>
      <w:r>
        <w:rPr>
          <w:rFonts w:ascii="IRNazanin" w:hAnsi="IRNazanin" w:eastAsia="IRNazanin"/>
          <w:color w:val="111111"/>
          <w:sz w:val="28"/>
          <w:sz w:val="28"/>
          <w:szCs w:val="28"/>
          <w:rtl w:val="true"/>
          <w:lang w:bidi="fa-IR"/>
        </w:rPr>
        <w:t>علاوه بر هدایت ویژه به معنای دستگیری از سالک در مسیر هدایت باطنی و معنوی، که نوعی ویژه از عنایت الهی به برخی موجودات است، می‌توان گونه‌های دیگری از عنایت، امداد و نصرت الهی را که جنبۀ فیزیکی و نمادیافته دارد، در آموزه‌های وحیانی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می‌توان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پنهان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زیرشاخه‌ای از عنایات الهی است،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سنتِ اسباب و مسببات،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فِی الَّذینَ خَلَوْا مِنْ قَبْلُ وَ لَنْ تَجِدَ لِسُنَّةِ اللَّهِ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سنت خداوند در اقوام پیشین است، و برای سنت الهی هیچ‌گونه تغییری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میان اسباب و مسببات، آن مسببی که سببش قوی‌تر از دیگر اسباب است، در خارج واقع می‌شود؛ حق باشد یا باطل، خیر باشد یا شر، ظلم باشد یا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نکتۀ مغفول در این میان، وجود سنت‌هایی پنهان از چشم مادی بشر است، که وحی متکفل بیان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أُبَلِّغُکُمْ رِسالاتِ رَبِّی وَ أَنْصَحُ لَکُمْ وَ أَعْلَمُ مِنَ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رسالت‌های پروردگارم را به شما ابلاغ می‌کنم و خیرخواه شما هستم و از خداوند چیزهایی می‌دانم که شما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بیان‌گرِ این ادعا، معارفی از قرآن است که در آن از بهره‌مندی آفریدگار از لشکریانی در آسمان و زمین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اثبات‌کنندۀ</w:t>
      </w:r>
    </w:p>
    <w:p>
      <w:pPr>
        <w:pStyle w:val="BookText"/>
        <w:rPr/>
      </w:pPr>
      <w:r>
        <w:rPr>
          <w:rFonts w:ascii="IRNazanin" w:hAnsi="IRNazanin" w:eastAsia="IRNazanin"/>
          <w:color w:val="111111"/>
          <w:sz w:val="28"/>
          <w:sz w:val="28"/>
          <w:szCs w:val="28"/>
          <w:rtl w:val="true"/>
          <w:lang w:bidi="fa-IR"/>
        </w:rPr>
        <w:t>ربوبیت فراگیر و مطلق الهی و نمایان‌کنندۀ توحید ربوبی در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جنود و لشگریان آسمان و زمین، در اختیار و مطیع فرمان الهی هستند و در راستای تحقق ربوبیت الهی مطاع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 السَّماواتِ وَ الْأَرْضِ وَ کانَ اللَّهُ عَزیزاً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لشکریانِ آسمان‌ها و زمین تنها از آنِ خداست و خداوند شکست‌ناپذیر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کلی،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و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گروه حق و هم به گروه باطل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همان‌گونه که در کنار نام طالوت عنوان جنود و لشکریان او مشاهده می‌شود، در کنار جالوت نیز عنوان جنود به کار گرفته شده است؛ هم‌چنان که فرعون و جنودش به ظلم و طغیان منتسب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دسته‌بندی جریان‌های حق و باطل، در آیات قرآن می‌توان از جنود الهی که جنودی متمایز از جریان‌های انسانی و مادی‌اند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جنود گاه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پنهان بودن و دور از دسترس بودن توصیف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صحنۀ رستاخیز و قیامت را نمایشگاه کامل ناتوانی جنود سوای منتسبان به خداوند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جنود ابلیس سرانجامی جز دوزخ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جنود الهی را می‌توان نمونه‌هایی از سنت‌های پنهان الهی یا همان اعجاز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ممتاز الهی که صحنه‌هایی از قدرت الهی را به نمایش نهاد، حضرت سلیمان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تبیین جایگاه سلیمان  علیه السلام   او را دارای جنودی فراوان از انسان‌ها، جنّیان و پرندگان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امر گواه و دلیلی بر وسعت قدرت الهی و امکان بهره‌مندی از توانایی دیگر موجودات است و اطاعت‌پذیری آنان از فرمان الهی را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جنود الهی را که مخلوقاتِ آفریدگار هستی‌اند، به سه دسته تقسیم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نامرئی، همانند فرشتگان و جنیان؛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جاندار جسمانی، همانند جانوران، انسان‌ها و گیاهان؛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غیرجاندار مادی، همانند باد، آفتاب و</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قرآن در بیان موازنۀ میان جنود الهی و جنود غیرالهی، جنود الهی را غالب بر تمام نیروها و قدرت‌ها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توان دیگر نیروها را در برابر آن ناچیز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جنود، خود از سنت‌های الهی است، اما زمانۀ اثرگذاری آن امری پوشیده است؛ از این رو می‌توان وجود این جنود را شاهدی بر فاعل موجَب نبودن پروردگار و گسترۀ حیطه قدرت الهی که از مؤلفه‌های ربوبیت توحید بیان شد،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وحی در بیان گستردگی و عظمت جنود الهی و ناتوانی و محدودیت سایر لشکریان، آگاهی به آنان را تنها در اختیار خداوند سبحان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جُنُودَ رَبِّکَ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لشکریانِ پروردگارت را جز او کسی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bookmarkStart w:id="253" w:name="pg3261_16484"/>
    </w:p>
    <w:p>
      <w:pPr>
        <w:pStyle w:val="Heading3"/>
        <w:numPr>
          <w:ilvl w:val="2"/>
          <w:numId w:val="1"/>
        </w:numPr>
        <w:rPr/>
      </w:pPr>
      <w:bookmarkStart w:id="254" w:name="__RefHeading___Toc2051715_2749589250"/>
      <w:bookmarkStart w:id="255" w:name="_Toc107"/>
      <w:bookmarkEnd w:id="253"/>
      <w:bookmarkEnd w:id="254"/>
      <w:r>
        <w:rPr>
          <w:rtl w:val="true"/>
        </w:rPr>
        <w:t>نتیجه</w:t>
      </w:r>
      <w:bookmarkEnd w:id="255"/>
    </w:p>
    <w:p>
      <w:pPr>
        <w:pStyle w:val="BookText"/>
        <w:rPr/>
      </w:pPr>
      <w:r>
        <w:rPr>
          <w:rFonts w:ascii="IRNazanin" w:hAnsi="IRNazanin" w:eastAsia="IRNazanin"/>
          <w:color w:val="111111"/>
          <w:sz w:val="28"/>
          <w:sz w:val="28"/>
          <w:szCs w:val="28"/>
          <w:rtl w:val="true"/>
          <w:lang w:bidi="fa-IR"/>
        </w:rPr>
        <w:t xml:space="preserve">پس از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جایگاه توحید ربوبی، و هم‌چنین ارائه تعریف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به مقایسۀ مفهومی این دو عنوانِ برآمده از دستگاه کلام و فلسفه اشاره شود و ضمن بازشماری مبانی شکل‌دهندۀ توحید ربوبی و اجزای فراهم‌کنندۀ عنایت الهی با اقرار به هم‌پوشی این دو البته در دو دستگاه متفاوت اندیشه‌ای، به نگاه قرآن در اصل مسئله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توجه خداوند به هستی، آهنگی مستمر و همیشگی دارد و خداوند در مسیر پیش و پس از آفرینش، نقش یگانه‌ای در ربوبیت، هدایت و عنایت به کل نظام آفرینش و اجزا و خصوصیات آن دارد؛ هرچند باید مطابق صریح آیات وحی پذیرفت که عنایت و ربوبیت الهی به معنای نفی واسطه در مسیر تحقق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 اندیشه، پذیرش نقشۀ دقیق‌تری از هندسه و اصول حاکم بر هستی و عدم نفی واسطه در آن است؛ البته وجود واسطه به معنای استقلال و دارا بودن نقش مستقلّ وسایط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ربوبیت و تدبیر کلان و خرد الهی در تمام اجزای هستی، به نفی اندیشۀ ثنویت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موحد، اثرپذیری و اثرگذاری هر پدیده در سایۀ عنایت و تدبیر الهی تفسیر می شود و پدیده ها در نگاهی جمعی شکل‌دهنده به مراحل رسیدن به هدف نهایی از آفرینش تصویر می‌شود و رفتاری مطابق با آن را از او مطالبه می‌کند</w:t>
      </w:r>
      <w:r>
        <w:rPr>
          <w:rFonts w:eastAsia="IRNazanin" w:cs="IRNazanin"/>
          <w:color w:val="111111"/>
          <w:sz w:val="28"/>
          <w:szCs w:val="28"/>
          <w:rtl w:val="true"/>
          <w:lang w:bidi="fa-IR"/>
        </w:rPr>
        <w:t>.</w:t>
      </w:r>
    </w:p>
    <w:p>
      <w:pPr>
        <w:pStyle w:val="Heading3"/>
        <w:numPr>
          <w:ilvl w:val="2"/>
          <w:numId w:val="1"/>
        </w:numPr>
        <w:rPr/>
      </w:pPr>
      <w:bookmarkStart w:id="256" w:name="__RefHeading___Toc2051717_2749589250"/>
      <w:bookmarkStart w:id="257" w:name="_Toc108"/>
      <w:bookmarkEnd w:id="256"/>
      <w:r>
        <w:rPr>
          <w:rtl w:val="true"/>
        </w:rPr>
        <w:t>منابع</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آیة‌الله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التعلیقات، بیروت، مکتبة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المبدأ و المعاد، تهران، مؤسسه مطالعات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ابن‌میمون،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دلالة الحائرین، بیروت، مکتبة الثقافة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رازی، حسین بن علی،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 الجنان و روح الجنان فی تفسیر القرآن، مشهد، بنیاد پژوهش‌های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میرسیدشریف،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قم،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حداد عادل، غلامعلی،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تهران، شرکت افست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آملی، حسن،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الأثر در ردّ جبر و قدر،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راسل، برتراند،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مسیحی نیستم؟،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طاهری، تهران، دریا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سیدهاشمی، سید محمداسماعیل،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الهی نسبت به جهان هستی از نگاه سه فیلسوف یهودی، مسیحی و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آینه معرفت، ش</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 کتابخانه آیة‌الله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محمدتقی و رضا برنجکار،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خاتمیت از نگاه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کتاب قیم، 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جوامع الجامع، تهران، دانشگاه تهران و مدیریت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عبدعلی بن جمعه،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الثقلین، قم،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بن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طباطبائی،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نهایۀ الحکمه،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مصباح یزدی، تهران، الزهرا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التفسیر، تهران، چاپخانه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رازی، ابوعبدالله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لاهیجی، ملا عبدالرزاق،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مراد، تهران، سایه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ملامحسن،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قیوم‌زاده، محمود و محمدتقی شاکر،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 نقش آن در امداد الهی از منظر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تفسیری، ش</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گلشنی، مهدی،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فیزیکدانان غربی و مسئله خداباوری، تهران، مؤسسه فرهنگی دانش و اندیشه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کشف المراد، تهران،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قرآن، قم، مؤسسه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شگفتی‌های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توحید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کاظم،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دایرۀ المعارف بزرگ اسلامی، تهران، شرکت افست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محمود و محمدتقی شاکر،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مشیت و اراده الهی و تبیین مدرسه قم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پژوهش‌های اعتقادی ـ کلامی، ش</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 محمد،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و شیطان‌پرستان، تهران، دار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سیدحسین،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حکیم مسلمان،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شرکت انتشارات علمی و فرهنگی کتیبه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المتألهین،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الشواهد الربوبیة فی المناهج السلوکیة، مشهد، المرکز الجامعی للنشر</w:t>
      </w:r>
      <w:r>
        <w:rPr>
          <w:rFonts w:eastAsia="IRNazanin" w:cs="IRNazanin"/>
          <w:color w:val="111111"/>
          <w:sz w:val="28"/>
          <w:szCs w:val="28"/>
          <w:rtl w:val="true"/>
          <w:lang w:bidi="fa-IR"/>
        </w:rPr>
        <w:t>.</w:t>
      </w:r>
      <w:bookmarkStart w:id="258" w:name="pg3261_16486"/>
    </w:p>
    <w:p>
      <w:pPr>
        <w:pStyle w:val="Heading2"/>
        <w:numPr>
          <w:ilvl w:val="1"/>
          <w:numId w:val="1"/>
        </w:numPr>
        <w:rPr/>
      </w:pPr>
      <w:bookmarkStart w:id="259" w:name="__RefHeading___Toc2051719_2749589250"/>
      <w:bookmarkStart w:id="260" w:name="_Toc109"/>
      <w:bookmarkEnd w:id="258"/>
      <w:bookmarkEnd w:id="259"/>
      <w:r>
        <w:rPr>
          <w:rtl w:val="true"/>
        </w:rPr>
        <w:t xml:space="preserve">الهیات سلبی در مدرسۀ کلامی حلّه </w:t>
      </w:r>
      <w:r>
        <w:rPr>
          <w:rtl w:val="true"/>
        </w:rPr>
        <w:t xml:space="preserve">/ </w:t>
      </w:r>
      <w:r>
        <w:rPr>
          <w:rtl w:val="true"/>
        </w:rPr>
        <w:t xml:space="preserve">رضا برنجکار </w:t>
      </w:r>
      <w:r>
        <w:rPr>
          <w:rtl w:val="true"/>
        </w:rPr>
        <w:t xml:space="preserve">- </w:t>
      </w:r>
      <w:r>
        <w:rPr>
          <w:rtl w:val="true"/>
        </w:rPr>
        <w:t>سید مسیح شاه چراغ</w:t>
      </w:r>
      <w:bookmarkEnd w:id="260"/>
    </w:p>
    <w:p>
      <w:pPr>
        <w:pStyle w:val="Heading3"/>
        <w:numPr>
          <w:ilvl w:val="2"/>
          <w:numId w:val="1"/>
        </w:numPr>
        <w:rPr/>
      </w:pPr>
      <w:bookmarkStart w:id="261" w:name="__RefHeading___Toc2051721_2749589250"/>
      <w:bookmarkStart w:id="262" w:name="_Toc110"/>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رضا برنجکار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سیدمسیح شاه چراغ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27/01/1396</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22/03/1396</w:t>
      </w:r>
    </w:p>
    <w:p>
      <w:pPr>
        <w:pStyle w:val="Heading3"/>
        <w:numPr>
          <w:ilvl w:val="2"/>
          <w:numId w:val="1"/>
        </w:numPr>
        <w:rPr/>
      </w:pPr>
      <w:bookmarkStart w:id="263" w:name="__RefHeading___Toc2051723_2749589250"/>
      <w:bookmarkStart w:id="264" w:name="_Toc111"/>
      <w:bookmarkEnd w:id="263"/>
      <w:r>
        <w:rPr>
          <w:rtl w:val="true"/>
        </w:rPr>
        <w:t>چکیده</w:t>
      </w:r>
      <w:bookmarkEnd w:id="264"/>
    </w:p>
    <w:p>
      <w:pPr>
        <w:pStyle w:val="BookText"/>
        <w:rPr/>
      </w:pPr>
      <w:r>
        <w:rPr>
          <w:rFonts w:ascii="IRNazanin" w:hAnsi="IRNazanin" w:eastAsia="IRNazanin"/>
          <w:color w:val="111111"/>
          <w:sz w:val="28"/>
          <w:sz w:val="28"/>
          <w:szCs w:val="28"/>
          <w:rtl w:val="true"/>
          <w:lang w:bidi="fa-IR"/>
        </w:rPr>
        <w:t xml:space="preserve">در میان متکلمان مدرسۀ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با بهره گیری از برهان شیخ صدوق در خصوص الهیات سلبی، صفت حیات خداوند را سلبی معنا کرده و این قاعده را قابل تعمیم به دیگر صفات ذاتی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او، کسانی که در مباحث وجودشناختی صفات، قائل به نفی صفات زاید بر ذات هستند، در مباحث معناشناختی صفات، باید قائل به الهیات سلبی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خواجه در مدرسۀ حله نیز همین موضع را اتخاذ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با تمایل به اشتراک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واجب و ممکن، و نیز فاضل مقداد با پذیرش نظریۀ نیابت ذات از صفات، مبانی دیگری جهت تقویت الهیات سلبی ارائه کردند</w:t>
      </w:r>
      <w:r>
        <w:rPr>
          <w:rFonts w:eastAsia="IRNazanin" w:cs="IRNazanin"/>
          <w:color w:val="111111"/>
          <w:sz w:val="28"/>
          <w:szCs w:val="28"/>
          <w:rtl w:val="true"/>
          <w:lang w:bidi="fa-IR"/>
        </w:rPr>
        <w:t>.</w:t>
      </w:r>
    </w:p>
    <w:p>
      <w:pPr>
        <w:pStyle w:val="Heading3"/>
        <w:numPr>
          <w:ilvl w:val="2"/>
          <w:numId w:val="1"/>
        </w:numPr>
        <w:rPr/>
      </w:pPr>
      <w:bookmarkStart w:id="265" w:name="__RefHeading___Toc2051725_2749589250"/>
      <w:bookmarkStart w:id="266" w:name="_Toc112"/>
      <w:bookmarkEnd w:id="265"/>
      <w:r>
        <w:rPr>
          <w:rtl w:val="true"/>
        </w:rPr>
        <w:t>واژگان کلیدی</w:t>
      </w:r>
      <w:bookmarkEnd w:id="2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کلامی حله، صفات ذاتی، معناشناسی صفات، الهیات سلبی، اشتراک لفظی، نیابت ذات از صفات</w:t>
      </w:r>
      <w:r>
        <w:rPr>
          <w:rFonts w:eastAsia="IRNazanin" w:cs="IRNazanin"/>
          <w:color w:val="111111"/>
          <w:sz w:val="28"/>
          <w:szCs w:val="28"/>
          <w:rtl w:val="true"/>
          <w:lang w:bidi="fa-IR"/>
        </w:rPr>
        <w:t>.</w:t>
      </w:r>
      <w:bookmarkStart w:id="267" w:name="pg3261_16487"/>
    </w:p>
    <w:p>
      <w:pPr>
        <w:pStyle w:val="Heading3"/>
        <w:numPr>
          <w:ilvl w:val="2"/>
          <w:numId w:val="1"/>
        </w:numPr>
        <w:rPr/>
      </w:pPr>
      <w:bookmarkStart w:id="268" w:name="__RefHeading___Toc2051727_2749589250"/>
      <w:bookmarkStart w:id="269" w:name="_Toc113"/>
      <w:bookmarkEnd w:id="267"/>
      <w:bookmarkEnd w:id="268"/>
      <w:r>
        <w:rPr>
          <w:rtl w:val="true"/>
        </w:rPr>
        <w:t>طرح مسئله</w:t>
      </w:r>
      <w:bookmarkEnd w:id="269"/>
    </w:p>
    <w:p>
      <w:pPr>
        <w:pStyle w:val="BookText"/>
        <w:rPr/>
      </w:pPr>
      <w:r>
        <w:rPr>
          <w:rFonts w:ascii="IRNazanin" w:hAnsi="IRNazanin" w:eastAsia="IRNazanin"/>
          <w:color w:val="111111"/>
          <w:sz w:val="28"/>
          <w:sz w:val="28"/>
          <w:szCs w:val="28"/>
          <w:rtl w:val="true"/>
          <w:lang w:bidi="fa-IR"/>
        </w:rPr>
        <w:t>در فلسفه و کلام، مباحث مرتبط با اسما و صفات خداوند متعال از دو منظر مورد بحث و بررسی قرار می گیرد؛ منظر وجودشناختی و معناشناختی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وجودشناختی، به این مسئله پرداخته می شود که در نفس الامر و عالم واقع، چه نسبتی میان ذات پروردگار و صفات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معناشناختی، صفات الهی به معنای صفات پرداخته می شود و در حقیقت از این موضوع سخن به میان می آید که انسان چه درکی از صفات الهی دارد و با شنیدن صفات خداوند متعال، چه برداشتی از آن 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عمدتاً دو رویکرد مهم مطرح می گردد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ایجابی مورد حمایت حکما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الهیات، ابتدا همان معانی بشری صفات الهی اخذ می شود و سپس با توجه به ویژگی های منحصر به فرد باری‌تعالی، این صفات از شوائب و نواقص مادی تجرید می گردد و در نهایت آن معانی منزه و مجرد، به خدای متعال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 سلبی این موضوع مطرح می شود که انسان، اساساً نمی تواند درکی ایجابی از صفات ذاتی باری‌تعالی بنا بر طریقی که در رویکرد نخست مطرح شد، داشته باشد و تنها</w:t>
      </w:r>
    </w:p>
    <w:p>
      <w:pPr>
        <w:pStyle w:val="BookText"/>
        <w:rPr/>
      </w:pPr>
      <w:r>
        <w:rPr>
          <w:rFonts w:ascii="IRNazanin" w:hAnsi="IRNazanin" w:eastAsia="IRNazanin"/>
          <w:color w:val="111111"/>
          <w:sz w:val="28"/>
          <w:sz w:val="28"/>
          <w:szCs w:val="28"/>
          <w:rtl w:val="true"/>
          <w:lang w:bidi="fa-IR"/>
        </w:rPr>
        <w:t>می تواند با بیانی سلبی، صفات باری‌تعالی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علم خداوند به نفی جهل او و قدرت وی به نفی عجز، معنا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الهیات در طول تاریخ، طرف‌داران بسیاری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باستان برخی بر این باور بوده اند که اندیشۀ معمولی دربارۀ خداوند خام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است که بر طریق سلب دربارۀ خداوند تأکید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فلسفۀ افلاطون نیز می‌توان نوعی از الهیات سلبی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هنگامی که دربارۀ خدا صحبت می کند، او را غیر قابل شناخت معرفی کرده و تلاش می کند تا او را با بیانی سلبی،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فلوطین، چهرۀ برجسته جریان نوافلاطونی یونان است که الهیات سلبی در فلسفه او، جایگاه ویژه 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خدای فلوطین محسوب می شود، از منظر وی دارای قداست و منزلت منحصر به فردی است تا آن جا که حتی این نام ها را نیز شایستۀ او نمی داند و تأکید می کند که به‌کارگیری این الفاظ از جانب انسان، نتیجۀ نقصان آدمی و ضیق زبانی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فلوطین،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اندیشۀ الهیات سلبی در میان متفکران مسیحی نیز طرف‌داران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بازیلیدس، معلم غنوصی اواسط قرن دوم میلادی، بر این اعتقاد بود که از منظر این‌جهانی، نمی توان خداوند را فهم نمود و نمی توان وی را از طریق تشبیه به چیزی در درون کیهان به وصف کشید</w:t>
      </w:r>
    </w:p>
    <w:p>
      <w:pPr>
        <w:pStyle w:val="BookText"/>
        <w:rPr/>
      </w:pPr>
      <w:r>
        <w:rPr>
          <w:rFonts w:eastAsia="Times New Roman" w:cs="Times New Roman" w:ascii="Times New Roman" w:hAnsi="Times New Roman"/>
          <w:color w:val="111111"/>
          <w:sz w:val="28"/>
          <w:szCs w:val="28"/>
          <w:lang w:val="en-US" w:bidi="en-US"/>
        </w:rPr>
        <w:t>Kenny, 1998: 256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کلمنت، عالم مسیحی بر آن بود که هیچ محمول معناداری مناسب خداوند، وجود 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Kenny, 1998: 257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نیکلاس کوزایی معتقد بود هر چه دربارۀ خداوند می گوییم، مجاز و استعاره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Kenny, 1998: 257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اعتقاد داشت آنچه در باب</w:t>
      </w:r>
    </w:p>
    <w:p>
      <w:pPr>
        <w:pStyle w:val="BookText"/>
        <w:rPr/>
      </w:pPr>
      <w:r>
        <w:rPr>
          <w:rFonts w:ascii="IRNazanin" w:hAnsi="IRNazanin" w:eastAsia="IRNazanin"/>
          <w:color w:val="111111"/>
          <w:sz w:val="28"/>
          <w:sz w:val="28"/>
          <w:szCs w:val="28"/>
          <w:rtl w:val="true"/>
          <w:lang w:bidi="fa-IR"/>
        </w:rPr>
        <w:t>خدا می توان دانست این است که او دانستنی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تضاد تضادها می دانست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Moran, 1998: 437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کلمنس نیز بر این باور بود که هیچ محمول معناداری مناسب خداوند وجود 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Kenny, 1998: 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یهودیت، فیلون اعتقاد داشت شناخت جوهرۀ خدا در وسع انسان نیست، در حالی که وجودش برای همه آشکار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Runia, 1998: 357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میان وجود و ماهیت خداوند فرق</w:t>
      </w:r>
    </w:p>
    <w:p>
      <w:pPr>
        <w:pStyle w:val="BookText"/>
        <w:rPr/>
      </w:pPr>
      <w:r>
        <w:rPr>
          <w:rFonts w:ascii="IRNazanin" w:hAnsi="IRNazanin" w:eastAsia="IRNazanin"/>
          <w:color w:val="111111"/>
          <w:sz w:val="28"/>
          <w:sz w:val="28"/>
          <w:szCs w:val="28"/>
          <w:rtl w:val="true"/>
          <w:lang w:bidi="fa-IR"/>
        </w:rPr>
        <w:t xml:space="preserve">می گذاشت و بر این باور بود که تحصیل شناختی از خدا، از حد توان های مفهومی انسان خارج است و رسمش بر این بود که به تعمد گاهی از خدا با ضمیر شخصی و گاهی با ضمیر غیرشخصی یاد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Runia, 1998: 359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ابراهیم بن داوود اعتقاد داشت باید تمامی صفات ایجابی خداوند، حتی وحدت و ضرورت را به صورت مشترک لفظی فهم نمود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Samuelson, 1998: 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برجسته ترین متفکر یهودیِ طرف‌دار نظریه الهیات سلبی، موسی بن میمون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دلالۀ الحائرین به صراحت، این دیدگاه را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میمون،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او، توصیف صحیح خداوند که هیچ‌گونه لازمۀ باطلی نداشته باشد، توصیف سلبی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توصیف، باعث تشبیه و اسناد عیب و نقص به ساحت او نمی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Ross, 1993: 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اعتقاد بود که معنای این‌که خدا دانا یا توانا است، این است که نادان و ناتوان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قول ضرار را به نظام معتزلی نسبت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معتقد به نفی صفت علم، قدرت، حیات و دیگر صفات ازلی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ولفسون،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ابویعقوب سجستانی بر این باور بود که خداوند نه صفات مادی دارد و نه معنوی و او ورای 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ابن‌مسکویه نیز تنها راه ممکن تعریف صفات خداوند را، طریق سلبی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متکلمان امامیه نیز همواره از چهره های خاصی مانند شیخ صدوق، قاضی سعید قمی و برخی دیگر به عنوان طرف‌داران الهیات سلبی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اصلی این الهیات در کلام امامیه را باید در آیات قرآن و روایات اهل‌بیت  علیهم السلام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 آنیم تا به جایگاه الهیات سلبی در مدرسه کلامی حله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شهری شیعه نشین در بین النهرین است که از حمله های بنیان کن مغول، در نیمۀ قرن هفتم هجری سالم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70" w:name="pg3261_16489"/>
    </w:p>
    <w:p>
      <w:pPr>
        <w:pStyle w:val="BookText"/>
        <w:rPr/>
      </w:pPr>
      <w:bookmarkEnd w:id="270"/>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روابط تازه ای که هلاکوخان مغول با وزیر شیعی‌مذهب برقرار کرده بود،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خواجه‌نصیر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حله رفت و از اساتید آن‌جا بهره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اشمیتکه،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نشان از دورۀ تازه و نقش مؤثر این مدرسه در زمینۀ علم کلام و 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زمینه های این نوگرایی پیش‌تر با ظهور ابن‌ادریس حلی و اقامت، تدریس و تألیف سدیدالدین حمصی رازی و هم‌چنین کمال‌الدین میثم بحرانی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با کوشش و اقدام ابن‌ادریس، مؤلف کتاب السرائر، باب اجتهاد که پیش‌تر در حال بسته شدن بود، باز ماند و اندیشۀ اثنی‌عشری وارد مرحلۀ دیگر از گرایش عقلی شد که البته بعد از سقوط بغداد شکوفا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الهیات سلبی را از منظر خواجه‌نصیر طوسی، علامه حلی و فاضل مقداد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انتخاب این سه نفر از آن جهت است که در بحث پیش رو، میزان تأثیرگذاری آن ها در استقرار جایگاه الهیات سلبی در مباحث اسما و صفات، بیش از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یک از این متکلمان، با نگاهی متفاوت به الهیات سلبی تمایل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بررسی آرای این سه نفر در معنای صفات خداوند، می توان به تحلیلی کلی در مورد جایگاه الهیات سلبی در مدرسۀ حله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محقق حلی و ابن‌میثم نیز در این مدرسه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آرای آن ها در مقایسه با نفرات فوق، از اهمیت کمتری برخوردار است، از بیان آن صرف‌نظر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آرای هر یک از متکلمان تلاش شده است تا مؤلفه های مهم در اعتقاد آن ها به الهیات سلبی، مورد توجه قرار بگیرد</w:t>
      </w:r>
      <w:r>
        <w:rPr>
          <w:rFonts w:eastAsia="IRNazanin" w:cs="IRNazanin"/>
          <w:color w:val="111111"/>
          <w:sz w:val="28"/>
          <w:szCs w:val="28"/>
          <w:rtl w:val="true"/>
          <w:lang w:bidi="fa-IR"/>
        </w:rPr>
        <w:t>.</w:t>
      </w:r>
    </w:p>
    <w:p>
      <w:pPr>
        <w:pStyle w:val="Heading3"/>
        <w:numPr>
          <w:ilvl w:val="2"/>
          <w:numId w:val="1"/>
        </w:numPr>
        <w:rPr/>
      </w:pPr>
      <w:bookmarkStart w:id="271" w:name="__RefHeading___Toc2051729_2749589250"/>
      <w:bookmarkStart w:id="272" w:name="_Toc114"/>
      <w:bookmarkEnd w:id="271"/>
      <w:r>
        <w:rPr/>
        <w:t>1</w:t>
      </w:r>
      <w:r>
        <w:rPr>
          <w:rtl w:val="true"/>
        </w:rPr>
        <w:t xml:space="preserve">. </w:t>
      </w:r>
      <w:r>
        <w:rPr>
          <w:rtl w:val="true"/>
        </w:rPr>
        <w:t>خواجه‌نصیر طوسی</w:t>
      </w:r>
      <w:bookmarkEnd w:id="272"/>
    </w:p>
    <w:p>
      <w:pPr>
        <w:pStyle w:val="Heading4"/>
        <w:numPr>
          <w:ilvl w:val="3"/>
          <w:numId w:val="1"/>
        </w:numPr>
        <w:rPr/>
      </w:pPr>
      <w:bookmarkStart w:id="273" w:name="__RefHeading___Toc2051731_2749589250"/>
      <w:bookmarkStart w:id="274" w:name="_Toc11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خواجه‌نصیر طوسی را می توان مؤسس مدرسۀ کلامی حله دانست که با تألیف آثار فراوان، نقش برجسته ای را در ترویج و نشر و گسترش تفکر شیعه بر اساس قواعد عقلی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تألیف آثار کلامی، در شرح و نقد آرای ابن‌سینا و حکمای مشاء نیز آثار مهمی را به رشتۀ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آرای وی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275" w:name="__RefHeading___Toc2051733_2749589250"/>
      <w:bookmarkStart w:id="276" w:name="_Toc116"/>
      <w:bookmarkEnd w:id="275"/>
      <w:r>
        <w:rPr>
          <w:rtl w:val="true"/>
        </w:rPr>
        <w:t>الف</w:t>
      </w:r>
      <w:r>
        <w:rPr>
          <w:rtl w:val="true"/>
        </w:rPr>
        <w:t xml:space="preserve">. </w:t>
      </w:r>
      <w:r>
        <w:rPr>
          <w:rtl w:val="true"/>
        </w:rPr>
        <w:t>اشتراک معنوی وجود</w:t>
      </w:r>
      <w:bookmarkEnd w:id="2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در آثار خود از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و ادلۀ انتخاب این قول را نیز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او، هنگامی که به ذهن خودمان رجوع می کنیم، متوجه می شویم که ذهن تنها یک معنا از حمل وجود بر مصادیق گوناگون آن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آن‌که</w:t>
      </w:r>
    </w:p>
    <w:p>
      <w:pPr>
        <w:pStyle w:val="BookText"/>
        <w:rPr/>
      </w:pPr>
      <w:r>
        <w:rPr>
          <w:rFonts w:ascii="IRNazanin" w:hAnsi="IRNazanin" w:eastAsia="IRNazanin"/>
          <w:color w:val="111111"/>
          <w:sz w:val="28"/>
          <w:sz w:val="28"/>
          <w:szCs w:val="28"/>
          <w:rtl w:val="true"/>
          <w:lang w:bidi="fa-IR"/>
        </w:rPr>
        <w:t>نقیض مفهوم وجود، مفهوم عدم است که تنها یک معنا دارد؛ پس نقیض آن نیز باید یک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سوم آن‌که، نفسِ تقسیم وجود و مقسم قرار گرفتن این مفهوم، حکایت از اشتراک آن در مصادیق گوناگون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مفاهیم در کیفیت صدق بر مصادیق گوناگون،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مفاهیمی هستند که کیفیت صدق آن بر مصادیق گوناگون یکسان است و افراد آن هیچ اختلافی در مصداقیت برای آن مفهوم ندارند؛ مانند مفهوم جسم که افراد آن در صدق مفهوم جسم بر آنان، نسبت به یکدیگر هیچ امتیازی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از مفاهیم در کیفیت صدق بر افراد آن، متفاوتند و مصادیق آن مفهوم در تقدم، تأخر، اولویت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دارند؛ مانند این‌که تمام</w:t>
      </w:r>
    </w:p>
    <w:p>
      <w:pPr>
        <w:pStyle w:val="BookText"/>
        <w:rPr/>
      </w:pPr>
      <w:r>
        <w:rPr>
          <w:rFonts w:ascii="IRNazanin" w:hAnsi="IRNazanin" w:eastAsia="IRNazanin"/>
          <w:color w:val="111111"/>
          <w:sz w:val="28"/>
          <w:sz w:val="28"/>
          <w:szCs w:val="28"/>
          <w:rtl w:val="true"/>
          <w:lang w:bidi="fa-IR"/>
        </w:rPr>
        <w:t>خط ها در مصداقیت برای مفهوم طول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مصداقیت خط یک متری برای مفهوم طول، بیشتر از مصداقیت خط یک سانتی‌متری برای آن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نیز این گونه است و مصداقیت خداوند برای این مفهوم، به مراتب بیشتر از مصداقیت مخلوقات برای 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نیز وجود را مفهومی مشکک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طبق برهان خواجه، چون وجود مفهومی مشکک است، برخی مصادیق آن مانند خداوند می توانند، واجب الوجود باشند و برخی مصادیق آن ممکن الوجود، در حالی که اگر وجود مفهومی متواطی باشد، اگر مصداقی از آن اقتضای وجوب را داشته باشد، مصادیق دیگر نیز باید این اقتضا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نکته را مدنظر قرار داد که خواجه‌نصیر در فضای فلسفه مشاء قرار داشته و شارح آثار ابن‌سیناست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میان محققان وجود دارد که آیا فلسفه مشاء قائل به تباین یا تشکیک عامی بوده است یا تشکیک خاصی؟ تشکیک عامی آن است که صدق یک مفهوم کلی بر مصادیق خود یکسان نبوده، بلکه به طور مختلف بر افراد خود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مصادیق همه در معنای آن اسم مشترک باشند و در عین حال یکسان نباشند؛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گرماهای متفاوت صدق می‌کند و یا اشیا در حرارت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سفیدی بر اشیای سفید صدق می‌کند، اما برخی سفیدترند و برخی کمتر سفیدند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برف، پنبه و عاج فیل صدق می‌کند، اما یکی اقدم یا اشدّ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تشکیک ما به الاختلاف غیر از ما به الاشتراک است؛ یعنی پنبه، برف و عاج فیل در اصل سفیدی مشترکند، اما در امور دیگر با یکدیگر متفاوتند و همین تفاوت‌ها باعث شده است تا یکی سفیدتر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این‌جا اختلاف به امور زاید بر ذات این اشیاست؛ لذا این نوع تشکیک به تواطؤ</w:t>
      </w:r>
    </w:p>
    <w:p>
      <w:pPr>
        <w:pStyle w:val="BookText"/>
        <w:rPr/>
      </w:pPr>
      <w:r>
        <w:rPr>
          <w:rFonts w:ascii="IRNazanin" w:hAnsi="IRNazanin" w:eastAsia="IRNazanin"/>
          <w:color w:val="111111"/>
          <w:sz w:val="28"/>
          <w:sz w:val="28"/>
          <w:szCs w:val="28"/>
          <w:rtl w:val="true"/>
          <w:lang w:bidi="fa-IR"/>
        </w:rPr>
        <w:t xml:space="preserve">برمی‌گردد، ولی افراد ساده‌اندیش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تشکیک می‌پندارند و آن را تشکیک عامی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تشکیک خاصی، ما به الامتیاز عین ما به الاختلاف است؛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 مصادیق گوناگون آن در صدق مفهوم وجود، به مرتبۀ وجودی‌شان باز می گردد نه به امور زاید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در عین حال که ما به الامتیاز محسوب می شود، سبب اختلاف مصادیق گوناگون نیز می باشد و وجود در برخی مصادیق، شدید تر و در برخی،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از نخستین کسانی است که به مطالعه دربارۀ مسئله تشکیک وجود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فصل سوم از مقاله پنجم الهیات شفا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شدت و ضعف ندارد و کمتر و ناقص نمی‌شود و تنها تفاوت در سه حکم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بی‌نیازی و نیاز، وجوب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تقدم و تأخر در نظر گرفته شود، ابتدا وجود به علت نسبت داده می شود و ثانیاً به معلول و نیز علت، بی‌نیاز از معلول است</w:t>
      </w:r>
    </w:p>
    <w:p>
      <w:pPr>
        <w:pStyle w:val="BookText"/>
        <w:rPr/>
      </w:pPr>
      <w:r>
        <w:rPr>
          <w:rFonts w:ascii="IRNazanin" w:hAnsi="IRNazanin" w:eastAsia="IRNazanin"/>
          <w:color w:val="111111"/>
          <w:sz w:val="28"/>
          <w:sz w:val="28"/>
          <w:szCs w:val="28"/>
          <w:rtl w:val="true"/>
          <w:lang w:bidi="fa-IR"/>
        </w:rPr>
        <w:t>و معلول، محتاج آن است و نیز علت، واجب الوجود است و معلول ذاتاً ممکن الوجود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بیان ابن‌سینا، ما به الاختلاف مصادیق گوناگون، مفهوم وجود نیست، بلکه عواملی مانند اولویت و تقدم و تأخر، سبب آن می شود که وجود ابتدا به علت و سپس به معلول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تفاوت دیدگاه مکتب مشاء و حکمت متعالیه به اصل محوری فلسفه ملاصدرا باز می گردد که صدرا در آن، به تمایز حقیقت وجود از مفهوم وجود قائل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تشکیک خاصی وجود، با حقیقت عینیۀ وجود معنا می یابد؛ اصلی که در فلسفه ابن‌سینا مطرح نشده است، زیرا اصل محوری فلسفه ابن‌سینا، تمایز میان مغهوم وجود و ماهیت است و با این مبنا تنها می توان تشکیک عامی وجود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خواجه‌نصیر در آثار خود، گاهی در بیان احکام مفهوم وجود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تزاید و اشتداد در وجود نیست و خیر محض است و ضد و مثل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نیز از وجود شدت و ضعف در مفهوم وجود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تأمل و تدبر در دیدگاه خواجه‌نصیر نشان می دهد اعتقاد وی با اندیشۀ حکمت متعالیه در تضاد بوده و او تشکیک خاصیِ صدرا و پیروان وی را قبول نداشته است، اما تشکیک مدنظر وی، به معنای ارجاع اندیشه او به اشتراک لفظی وجود نیز نمی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معنوی وجود می تواند تفسیر دیگری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عبارت از آن است که هنگامی که مفهوم وجود را بر خدا و مخلوقات اطلاق می کنیم، خالق و مخلوق علاوه بر لفظ وجود، در این معنا که با اطلاق این لفظ، عدم نیز از هر دو نفی شده است، مشترک هستند،</w:t>
      </w:r>
      <w:bookmarkStart w:id="277" w:name="pg3261_16492"/>
    </w:p>
    <w:p>
      <w:pPr>
        <w:pStyle w:val="BookText"/>
        <w:rPr/>
      </w:pPr>
      <w:bookmarkEnd w:id="277"/>
      <w:r>
        <w:rPr>
          <w:rFonts w:ascii="IRNazanin" w:hAnsi="IRNazanin" w:eastAsia="IRNazanin"/>
          <w:color w:val="111111"/>
          <w:sz w:val="28"/>
          <w:sz w:val="28"/>
          <w:szCs w:val="28"/>
          <w:rtl w:val="true"/>
          <w:lang w:bidi="fa-IR"/>
        </w:rPr>
        <w:t>بدون آن‌که سنخیتی با یکدیگر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لحاظ اشتراک در نفی عدم از اطلاق لفظ وجود بر خالق و مخلوق، وجود به صورت مشترک معنوی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بیان داشت که خواجه‌نصیر در مباحث عام وجود، قائل به اشتراک معنوی وجود و تشکیک عامی این مفهوم است، اما تفسیر وی از این اصطلاحات، با مبانی حکمت متعالیه متمایز است</w:t>
      </w:r>
      <w:r>
        <w:rPr>
          <w:rFonts w:eastAsia="IRNazanin" w:cs="IRNazanin"/>
          <w:color w:val="111111"/>
          <w:sz w:val="28"/>
          <w:szCs w:val="28"/>
          <w:rtl w:val="true"/>
          <w:lang w:bidi="fa-IR"/>
        </w:rPr>
        <w:t>.</w:t>
      </w:r>
    </w:p>
    <w:p>
      <w:pPr>
        <w:pStyle w:val="Heading4"/>
        <w:numPr>
          <w:ilvl w:val="3"/>
          <w:numId w:val="1"/>
        </w:numPr>
        <w:rPr/>
      </w:pPr>
      <w:bookmarkStart w:id="278" w:name="__RefHeading___Toc2051735_2749589250"/>
      <w:bookmarkStart w:id="279" w:name="_Toc117"/>
      <w:bookmarkEnd w:id="278"/>
      <w:r>
        <w:rPr>
          <w:rtl w:val="true"/>
        </w:rPr>
        <w:t>ب</w:t>
      </w:r>
      <w:r>
        <w:rPr>
          <w:rtl w:val="true"/>
        </w:rPr>
        <w:t xml:space="preserve">. </w:t>
      </w:r>
      <w:r>
        <w:rPr>
          <w:rtl w:val="true"/>
        </w:rPr>
        <w:t>محدودیت ادراک عقلی</w:t>
      </w:r>
      <w:bookmarkEnd w:id="279"/>
    </w:p>
    <w:p>
      <w:pPr>
        <w:pStyle w:val="BookText"/>
        <w:rPr/>
      </w:pPr>
      <w:r>
        <w:rPr>
          <w:rFonts w:ascii="IRNazanin" w:hAnsi="IRNazanin" w:eastAsia="IRNazanin"/>
          <w:color w:val="111111"/>
          <w:sz w:val="28"/>
          <w:sz w:val="28"/>
          <w:szCs w:val="28"/>
          <w:rtl w:val="true"/>
          <w:lang w:bidi="fa-IR"/>
        </w:rPr>
        <w:t>خواجه‌نصیر در حالی که بر جایگاه عقل و نقش براهین عقلی در معرفت توحیدی تأکید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ورزد، در عین حال بر محدودیت‌های آن نیز واقف است و اعتقاد دارد که ذات و صفات ذاتی خداوند، قابل درک و شناسایی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خواجه‌نصیر، مطابق مشی حکما، قائل به دو وجود برای خداوند متعال است؛ یکی وجود عامی که قابل انطباق بر خالق و مخلوق بوده و مفهومی مشکک است که دربارۀ نوع تشکیک آن صحبت شد، و دیگری وجود خاصی است که منحصر به ذات باری‌تعالی است و قابل انطباق بر ممکنات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خواجه، این وجود خاص که همان ذات باری‌تعالی است، قابل شناسایی برای انسان نیست و عقل بشر از درک آن عاجز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دیگر در بیان خواجه، تأکید بر بهره‌گیری از صفات سلبی، جهت تبیین وجود خاص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وی بر این است که تنها با بیان سلبی می توان از این حقیقت غیر قابل شناسایی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در تحصیل اندیشۀ معناشناختی خواجه بسیار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تأکید می کند که بحث از حقیقت این صفات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4"/>
        <w:numPr>
          <w:ilvl w:val="3"/>
          <w:numId w:val="1"/>
        </w:numPr>
        <w:rPr/>
      </w:pPr>
      <w:bookmarkStart w:id="280" w:name="__RefHeading___Toc2051737_2749589250"/>
      <w:bookmarkStart w:id="281" w:name="_Toc118"/>
      <w:bookmarkEnd w:id="280"/>
      <w:r>
        <w:rPr>
          <w:rtl w:val="true"/>
        </w:rPr>
        <w:t>ج</w:t>
      </w:r>
      <w:r>
        <w:rPr>
          <w:rtl w:val="true"/>
        </w:rPr>
        <w:t xml:space="preserve">. </w:t>
      </w:r>
      <w:r>
        <w:rPr>
          <w:rtl w:val="true"/>
        </w:rPr>
        <w:t>عینیت صفات با ذات</w:t>
      </w:r>
      <w:bookmarkEnd w:id="2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خواجه‌نصیر طوسی بر عینیت صفات ذاتی خداوند با ذات وی تأکید کرده و در مقابل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موضع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تجرید الاعتقاد نظریۀ زیادت و حالّ را با مبنا قرار دادن واجب الوجود بودن خداوند مردود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هر دو نظریه، شرط اتصاف ذات به صفات را متوقف بر عامل خارج از ذات می داند و این امر به معنای افتقار خداوند به خارج از ذات خویش است که او را از حکم واجب الوجود خارج ساخته و ممکن الوجود می گرداند، زیرا واجب الوجود، نیازمند عامل خارج از ذات خویش نیست و این از خواص واجب الوجود لذاته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عبارتی،</w:t>
      </w:r>
      <w:bookmarkStart w:id="282" w:name="pg3261_16493"/>
    </w:p>
    <w:p>
      <w:pPr>
        <w:pStyle w:val="BookText"/>
        <w:rPr/>
      </w:pPr>
      <w:bookmarkEnd w:id="282"/>
      <w:r>
        <w:rPr>
          <w:rFonts w:ascii="IRNazanin" w:hAnsi="IRNazanin" w:eastAsia="IRNazanin"/>
          <w:color w:val="111111"/>
          <w:sz w:val="28"/>
          <w:sz w:val="28"/>
          <w:szCs w:val="28"/>
          <w:rtl w:val="true"/>
          <w:lang w:bidi="fa-IR"/>
        </w:rPr>
        <w:t>اعتقاد خویش مبنی بر عینیت صفات با ذات را ابراز می 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صفات، زاید بر ذات واجب الوجود لذاته نیستند به واسطۀ این حجت، و عین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خداوند تنها وجود خاص اوست، نه وجود مشترک بین او و غیرش و قدرت، علم و ارادۀ او غیر اعتبار آن وجود نسبت به مقدورات، معلومات و مرادات او نیست و قدرتِ او عین صدور کل از اوست و علمِ او حصول کل برای اوست و ارادت او عنایت او به کل است فقط؛ بدون این‌که توهم کثرت در ذات باری‌تعالی صورت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خواجه در این عبارت، اراده را نیز جزء صفات ذاتی خداوند برشمرده است که محل اشکال است، زیرا اراده به تصریح روایات اهل‌بیت  علیهم السلام  از صفات فعل خداوند است و در عین حال، محل بحث این مقاله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عبارت خواجه مهم است، پذیرش نظریۀ عینیت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صفات ذاتی خداوند را در مقام اعتبار و ذهن متعدد می داند و تأکید می کند که</w:t>
      </w:r>
    </w:p>
    <w:p>
      <w:pPr>
        <w:pStyle w:val="BookText"/>
        <w:rPr/>
      </w:pPr>
      <w:r>
        <w:rPr>
          <w:rFonts w:ascii="IRNazanin" w:hAnsi="IRNazanin" w:eastAsia="IRNazanin"/>
          <w:color w:val="111111"/>
          <w:sz w:val="28"/>
          <w:sz w:val="28"/>
          <w:szCs w:val="28"/>
          <w:rtl w:val="true"/>
          <w:lang w:bidi="fa-IR"/>
        </w:rPr>
        <w:t>این تعدد مفهومی به هیچ وجه موجب تعدد مصداقی باری‌تعالی نمی شود و در عالم واقع و</w:t>
      </w:r>
    </w:p>
    <w:p>
      <w:pPr>
        <w:pStyle w:val="BookText"/>
        <w:rPr/>
      </w:pPr>
      <w:r>
        <w:rPr>
          <w:rFonts w:ascii="IRNazanin" w:hAnsi="IRNazanin" w:eastAsia="IRNazanin"/>
          <w:color w:val="111111"/>
          <w:sz w:val="28"/>
          <w:sz w:val="28"/>
          <w:szCs w:val="28"/>
          <w:rtl w:val="true"/>
          <w:lang w:bidi="fa-IR"/>
        </w:rPr>
        <w:t>نفس الامر، تنها ذات باری‌تعالی وجود دارد</w:t>
      </w:r>
      <w:r>
        <w:rPr>
          <w:rFonts w:eastAsia="IRNazanin" w:cs="IRNazanin"/>
          <w:color w:val="111111"/>
          <w:sz w:val="28"/>
          <w:szCs w:val="28"/>
          <w:rtl w:val="true"/>
          <w:lang w:bidi="fa-IR"/>
        </w:rPr>
        <w:t>.</w:t>
      </w:r>
    </w:p>
    <w:p>
      <w:pPr>
        <w:pStyle w:val="Heading4"/>
        <w:numPr>
          <w:ilvl w:val="3"/>
          <w:numId w:val="1"/>
        </w:numPr>
        <w:rPr/>
      </w:pPr>
      <w:bookmarkStart w:id="283" w:name="__RefHeading___Toc2051739_2749589250"/>
      <w:bookmarkStart w:id="284" w:name="_Toc119"/>
      <w:bookmarkEnd w:id="283"/>
      <w:r>
        <w:rPr>
          <w:rtl w:val="true"/>
        </w:rPr>
        <w:t>د</w:t>
      </w:r>
      <w:r>
        <w:rPr>
          <w:rtl w:val="true"/>
        </w:rPr>
        <w:t xml:space="preserve">. </w:t>
      </w:r>
      <w:r>
        <w:rPr>
          <w:rtl w:val="true"/>
        </w:rPr>
        <w:t>الهیات سلبی</w:t>
      </w:r>
      <w:bookmarkEnd w:id="284"/>
    </w:p>
    <w:p>
      <w:pPr>
        <w:pStyle w:val="BookText"/>
        <w:rPr/>
      </w:pPr>
      <w:r>
        <w:rPr>
          <w:rFonts w:ascii="IRNazanin" w:hAnsi="IRNazanin" w:eastAsia="IRNazanin"/>
          <w:color w:val="111111"/>
          <w:sz w:val="28"/>
          <w:sz w:val="28"/>
          <w:szCs w:val="28"/>
          <w:rtl w:val="true"/>
          <w:lang w:bidi="fa-IR"/>
        </w:rPr>
        <w:t>ممکن است در نگاه اول این تصور ایجاد گردد که از آن جا که خواجه‌نصیر به اشتراک معنوی وجود و تشکیک در وجود قائل است، بنابراین می توان بر اساس این مشی فلسفی، وی را در مباحث معناشناختی صفات، قائل به الهیات ایجابی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ابتدایی دربارۀ بررسی اندیشه خواجه در مباحث عام وجود، جهت برطرف کردن چنین تحلیلی صورت پذیرفت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مشخص شد، خواجه در مبانی خویش و در مباحث وجود، با اندیشۀ حکمت متعالیه و تفکر صدرایی، اختلافاتی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مطرح‌شده در فلسفۀ خواجه که نشئت‌گرفته از حکمت مشائی است، تشکیکی عامی است که مبتنی بر اصل محوری تمایز وجود و ماهیت است و این مخالف تشکیک مطرح‌شده در حکمت متعالیه است که تشکیکی خاصی است و ما به الاشتراک در آن، عین ما به الامتیاز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اشتراک معنوی ای که خواجه به آن قائل است، مبتنی بر تشکیکی عامی است و چنین اندیشه ای، متمایز از رویکردهای حکمت متعالیه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الهیات سلبی در کلام خواجه‌نصیر، در معنای صفت حیات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کتاب قواعد العقائد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متعال حیّ است؛ به این معنا که ممتنع است کسی که به قادر و عالم بودن وصف می شود، غیر حیّ باشد و حیات را</w:t>
      </w:r>
    </w:p>
    <w:p>
      <w:pPr>
        <w:pStyle w:val="BookText"/>
        <w:rPr/>
      </w:pPr>
      <w:r>
        <w:rPr>
          <w:rFonts w:ascii="IRNazanin" w:hAnsi="IRNazanin" w:eastAsia="IRNazanin"/>
          <w:color w:val="111111"/>
          <w:sz w:val="28"/>
          <w:sz w:val="28"/>
          <w:szCs w:val="28"/>
          <w:rtl w:val="true"/>
          <w:lang w:bidi="fa-IR"/>
        </w:rPr>
        <w:t>این گونه تفسیر می کنند که شأن خداوند این است که موصوف به حی، به قدرت و علم وصف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خواجه‌نصیر در کتاب تحصیل المحصل در معنای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عبارتی دارد که به صراحت اندیشۀ سلبی وی را آشکار می سازد و احتمالات مطرح‌شده در کتاب قواعد العقائد را منحصر در رأی ابوالحسین بصری و پیروان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این اعتقاد را دارند که صفات خداوند جایز است که زاید بر ذات وی باشد، عقیده دارند که حیات، صفتی زاید است و کسانی که زیادت صفات بر ذات را جایز نمی دانند، آن را به شکل سلبی معنا</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خواجه‌نصیر،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صراحت نشان می دهد که خواجه چگونه مباحث وجودشناختی و معناشناختی صفات را به هم گره می زند و در معنای صفات ذاتی خداوند، قاعدۀ مشخصی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قاعده، کسانی که با نظریۀ زیادت صفات بر ذات، مخالفت می ورزند، صفات ذاتی خداوند را به شکل سلبی معنا می کنند و تنها قائلان به زیادت، آن را به شکل ثبوتی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طرح این قاعده قابل توجه است آن است که این بیان، قابلیت ارجاع به تمام صفات ذاتی باری‌تعالی را دارد و این گونه نیست که منحصر در معنای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متکلمی نظریۀ عینیت صفات با ذات را می‌پذیرد، به لوازم اعتقاد خویش نیز پای‌بند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صفات خداوند در عین حال که با ذات عینیت دارند، عین یکدیگر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عین قدرت، قدرت وی عین حیات، و حیات او نیز عین علم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هنگامی که صفت حیات به شکل سلبی معنا می شود، بی تردید علم، قدرت، سمیع و بصیر نیز این گونه معنا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بگوییم حیات به شکل سلبی معنا می شود، ولی</w:t>
      </w:r>
    </w:p>
    <w:p>
      <w:pPr>
        <w:pStyle w:val="BookText"/>
        <w:rPr/>
      </w:pPr>
      <w:r>
        <w:rPr>
          <w:rFonts w:ascii="IRNazanin" w:hAnsi="IRNazanin" w:eastAsia="IRNazanin"/>
          <w:color w:val="111111"/>
          <w:sz w:val="28"/>
          <w:sz w:val="28"/>
          <w:szCs w:val="28"/>
          <w:rtl w:val="true"/>
          <w:lang w:bidi="fa-IR"/>
        </w:rPr>
        <w:t>ـ مثلاً ـ صفت علم را به شکل ایجابی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عین یکدیگرند و قابل شناسایی و درک عقول بشری نیستند و لذا سلبی معنا کردن آن ها ضرورتی انکارنا پذیر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خواجه‌نصیر مبدع طرح این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پیش از او، این الهیات را در مباحث کلامی مبرهن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تقسیم بندی صفات خداوند به ذات و فعل، صفات ذات را به شکل سلبی معنا می کند و جهت مبرهن ساختن آن از مباحث وجودشناختی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می کند که اگر صفات ذاتی باری‌تعالی را این گونه معنا نکنیم، در عرض خداوند، اشیایی قدیم را اثبات خواهیم کرد و انحصار خداوند در صفت قدیم را از بین خواهیم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همان اعتقاد اشاعره مبنی بر زیادت صفات از ذات است که از منظر متکلمان امامیه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منتقدان الهیات سلبی</w:t>
      </w:r>
      <w:bookmarkStart w:id="285" w:name="pg3261_16495"/>
    </w:p>
    <w:p>
      <w:pPr>
        <w:pStyle w:val="BookText"/>
        <w:rPr/>
      </w:pPr>
      <w:bookmarkEnd w:id="285"/>
      <w:r>
        <w:rPr>
          <w:rFonts w:ascii="IRNazanin" w:hAnsi="IRNazanin" w:eastAsia="IRNazanin"/>
          <w:color w:val="111111"/>
          <w:sz w:val="28"/>
          <w:sz w:val="28"/>
          <w:szCs w:val="28"/>
          <w:rtl w:val="true"/>
          <w:lang w:bidi="fa-IR"/>
        </w:rPr>
        <w:t xml:space="preserve">هنگام نام بردن از قائلان به این الهیات، از علامه حلی نام می برند و علت این امر را سلبی معنا کردن صفت حیات توسط علامه در کتاب کشف المراد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نامی از خواجه‌نصیر به میان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قرائن این گونه نشان می دهد علامه حلی این قاعده را از استاد خویش، آموخته و در تفسیر صفت حیات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پیش از علامه حلی، نام خواجۀ طوس در جرگه قائلان به این اندیشه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خواجه با وقوف به محدودیت های ادراک عقلی انسان در شناخت ذات و صفات ذاتی خداوند، جهت تبیین دقیق تر نظریۀ عینیت صفات با ذات، در معنای صفات خداوند از الهیات سلبی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را که خواجه در معنای صفت حیات به آن اشاره دارد، قابل تعمیم به دیگر صفات ذاتی باری‌تعالی نیز می باشد</w:t>
      </w:r>
      <w:r>
        <w:rPr>
          <w:rFonts w:eastAsia="IRNazanin" w:cs="IRNazanin"/>
          <w:color w:val="111111"/>
          <w:sz w:val="28"/>
          <w:szCs w:val="28"/>
          <w:rtl w:val="true"/>
          <w:lang w:bidi="fa-IR"/>
        </w:rPr>
        <w:t>.</w:t>
      </w:r>
    </w:p>
    <w:p>
      <w:pPr>
        <w:pStyle w:val="Heading3"/>
        <w:numPr>
          <w:ilvl w:val="2"/>
          <w:numId w:val="1"/>
        </w:numPr>
        <w:rPr/>
      </w:pPr>
      <w:bookmarkStart w:id="286" w:name="__RefHeading___Toc2051741_2749589250"/>
      <w:bookmarkStart w:id="287" w:name="_Toc120"/>
      <w:bookmarkEnd w:id="286"/>
      <w:r>
        <w:rPr/>
        <w:t>2</w:t>
      </w:r>
      <w:r>
        <w:rPr>
          <w:rtl w:val="true"/>
        </w:rPr>
        <w:t xml:space="preserve">. </w:t>
      </w:r>
      <w:r>
        <w:rPr>
          <w:rtl w:val="true"/>
        </w:rPr>
        <w:t>علامه حلی</w:t>
      </w:r>
      <w:bookmarkEnd w:id="287"/>
    </w:p>
    <w:p>
      <w:pPr>
        <w:pStyle w:val="Heading4"/>
        <w:numPr>
          <w:ilvl w:val="3"/>
          <w:numId w:val="1"/>
        </w:numPr>
        <w:rPr/>
      </w:pPr>
      <w:bookmarkStart w:id="288" w:name="__RefHeading___Toc2051743_2749589250"/>
      <w:bookmarkStart w:id="289" w:name="_Toc121"/>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علامه، شارح آثار خواجه‌نصیر و از برجسته ترین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اندیشه وی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290" w:name="__RefHeading___Toc2051745_2749589250"/>
      <w:bookmarkStart w:id="291" w:name="_Toc122"/>
      <w:bookmarkEnd w:id="290"/>
      <w:r>
        <w:rPr>
          <w:rtl w:val="true"/>
        </w:rPr>
        <w:t>الف</w:t>
      </w:r>
      <w:r>
        <w:rPr>
          <w:rtl w:val="true"/>
        </w:rPr>
        <w:t xml:space="preserve">. </w:t>
      </w:r>
      <w:r>
        <w:rPr>
          <w:rtl w:val="true"/>
        </w:rPr>
        <w:t>اشتراک در وجود</w:t>
      </w:r>
      <w:bookmarkEnd w:id="291"/>
    </w:p>
    <w:p>
      <w:pPr>
        <w:pStyle w:val="BookText"/>
        <w:rPr/>
      </w:pPr>
      <w:r>
        <w:rPr>
          <w:rFonts w:ascii="IRNazanin" w:hAnsi="IRNazanin" w:eastAsia="IRNazanin"/>
          <w:color w:val="111111"/>
          <w:sz w:val="28"/>
          <w:sz w:val="28"/>
          <w:szCs w:val="28"/>
          <w:rtl w:val="true"/>
          <w:lang w:bidi="fa-IR"/>
        </w:rPr>
        <w:t>علامه در بسیاری از آرای خویش، از اشتراک معنوی وجود دفاع می کند و آن را مبرهن</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وی، نفس تقسیم 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 بودن عدم به عنوان نقیض مفهوم وجود، از جمله براهینی است که می توان در اثبات اشتراک معنوی وجود اقامه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حکم به مشترک بودن مفهوم وجود را امر بیّن عقلی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برخی عبارات، اشتراک لفظی وجود را مورد انتقاد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کتاب مناهج الیقین فی اصول الدین عبارتی دارد که حاکی از عدول وی از این نظریه و تمایل به نظریۀ اشتراک لفظی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هم رأی با</w:t>
      </w:r>
    </w:p>
    <w:p>
      <w:pPr>
        <w:pStyle w:val="BookText"/>
        <w:rPr/>
      </w:pPr>
      <w:r>
        <w:rPr>
          <w:rFonts w:ascii="IRNazanin" w:hAnsi="IRNazanin" w:eastAsia="IRNazanin"/>
          <w:color w:val="111111"/>
          <w:sz w:val="28"/>
          <w:sz w:val="28"/>
          <w:szCs w:val="28"/>
          <w:rtl w:val="true"/>
          <w:lang w:bidi="fa-IR"/>
        </w:rPr>
        <w:t>دیگر کتب خویش، وجود را بین موجودات، مشترک معنوی می داند و این قول را مختار فلاسفه و ابوهاشم جبائی و پیروان وی بر می شمرد و تأکید می کند که حکما بر مشکک بودن این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اشتراک لفظی را نیز قول ابوالحسین بصری و اشعری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ادامۀ بحث، مسئله رابطه وجود و ماهیت را مطرح ساخته و عدم زیادت وجود بر ماهیت را در باری‌تعالی مبرهن به براهین عقلی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استدلال های قائلان به زیادت وجود بر ماهیت در باری‌تعالی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به این براهین، تأکید می کند که پاسخ های ما، مبتنی بر مشکک دانستن مفهوم وجود و اشتراک معنوی آن است و از این رو می تواند مورد نقض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نقض از منظر علامه، نقد به اشتراک معنوی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مقام بیان راه حل این مشکل و ارائه پاسخی قاطع به قائلانِ به زیادت وجود بر ماهیت در باری‌تعالی، اشتراک لفظی وجود را مطرح می سازد و آن را به عنوان پاسخ نهایی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تالی فاسد اشتراک معنوی وجود بین خالق و مخلوق را آن می داند که در این قول، وجود در حکم جنس موجودات است، زیرا در همۀ آن 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نیاز به جنبۀ افتراق داریم تا این ممکنات از یکدیگر متمایز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فصلی وجود داشته باشد تا موجودات از یکدیگر تشخیص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به نوع، جنس و فصل برای باری‌تعالی علاوه بر تأمین نظر قائلان به زیادت وجود بر ماهیت، سبب ترکیب ذات باری‌تعالی می شود و او را در زمرۀ ممکنات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جمع دو رأی صادرشده از علامه در این کتاب، باید عنوان داشت که احتمال دارد وی در ابتدای کتاب که قائل به اشتراک معنوی وجود شده، آن را در مورد ممکنات بیان کرده است و مسئله واجب و ممکن را جدا ساخته و در این مورد خاص، قائل به اشتراک لفظی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احتمال وجود دارد که وی از رأی ابتدایی خویش عدول کرده و در مقام تحلیل و بررسی مسئله و بیان مختار خویش، قائل به اشتراک لفظی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علامه، انتقاد صریح خویش را به اشتراک معنوی وجود مطرح می کند و آن را با وجود تالی فاسدهای بیان‌شده، مردود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علامه، نکتۀ دیگری نیز قابل استخراج است و آن انتقاد وی به نظریۀ تشکیک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کتب دیگر خود نیز با این نظریه، بنای مخالفت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نهایۀ المرام فی علم الکلام با طرح این موضوع، بیان می‌کند که از منظر وی مشکک دانستن وجود دارای اشکال است، ولی تحقیق در این باره را به مقام دیگری محول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انتقادات علامه به مشکک دانستن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وی نیز به پیروی از استاد خویش، خواجه‌نصیر، تشکیک مفهومی و عامی را می پذیرد و ما به الامتیاز موجودات را غیر از ما به الاشتراک آن ها می داند و مسائلی مانند اولویت و تقدم و تأخر علت و</w:t>
      </w:r>
      <w:bookmarkStart w:id="292" w:name="pg3261_16497"/>
    </w:p>
    <w:p>
      <w:pPr>
        <w:pStyle w:val="BookText"/>
        <w:rPr/>
      </w:pPr>
      <w:bookmarkEnd w:id="292"/>
      <w:r>
        <w:rPr>
          <w:rFonts w:ascii="IRNazanin" w:hAnsi="IRNazanin" w:eastAsia="IRNazanin"/>
          <w:color w:val="111111"/>
          <w:sz w:val="28"/>
          <w:sz w:val="28"/>
          <w:szCs w:val="28"/>
          <w:rtl w:val="true"/>
          <w:lang w:bidi="fa-IR"/>
        </w:rPr>
        <w:t>معلول را، عامل افتراق موجودات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بیان داشت که پذیرش اشتراک لفظی وجود بین خالق و مخلوق توسط علامه، در راستای همین انتقادات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شدت انتقاد علامه به مشکک دانستن مفهوم وجود تا حدی بوده است که وی از تشکیک عامی نیز دست برداشته و میل به اشتراک لفظی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جمع عبارات علامه در باب مفهوم وجود، می توان بیان داشت که وی به همان تشکیک عامی و مفهومی مورد نظر حکمای مشاء و خواجه‌نصیر قائل بوده است و اشتراک معنوی مورد نظر او در این راستا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متکلمی به هر دلیلی قائل به نظریۀ اشتراک لفظی وجود میان خالق و مخلوق شود، می توان موضع معناشناختی او در مباحث صفات را استخراج کرد، هرچند خود به آن تصریح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متکلمی بی تردید قائل به الهیات سلبی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اشتراک لفظی وجود، حکایت از آن دارد که قائل به آن تلاش می کند، تنزیه باری‌تعالی را به غایت خود برساند و در این راستا به تباین ذاتی خالق و مخلوق اعتقاد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صفات خداوند نیز هیچ‌گونه وجه اشتراکی با ممکنات نخواهند داشت، زیرا روشن ترین صفت که همان وصف وجود است، بدون در نظر گرفتن هیچ جنبۀ اشتراکی به هر یک از آن ها استناد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باری‌تعالی تنها در لفظ با علم ممکنات اشتراک دارد و معنای آن کاملاً متباین از معنای علم انسان است و این همان اندیشۀ الهیات سلبی خواهد بود</w:t>
      </w:r>
      <w:r>
        <w:rPr>
          <w:rFonts w:eastAsia="IRNazanin" w:cs="IRNazanin"/>
          <w:color w:val="111111"/>
          <w:sz w:val="28"/>
          <w:szCs w:val="28"/>
          <w:rtl w:val="true"/>
          <w:lang w:bidi="fa-IR"/>
        </w:rPr>
        <w:t>.</w:t>
      </w:r>
    </w:p>
    <w:p>
      <w:pPr>
        <w:pStyle w:val="Heading4"/>
        <w:numPr>
          <w:ilvl w:val="3"/>
          <w:numId w:val="1"/>
        </w:numPr>
        <w:rPr/>
      </w:pPr>
      <w:bookmarkStart w:id="293" w:name="__RefHeading___Toc2051747_2749589250"/>
      <w:bookmarkStart w:id="294" w:name="_Toc123"/>
      <w:bookmarkEnd w:id="293"/>
      <w:r>
        <w:rPr>
          <w:rtl w:val="true"/>
        </w:rPr>
        <w:t>ب</w:t>
      </w:r>
      <w:r>
        <w:rPr>
          <w:rtl w:val="true"/>
        </w:rPr>
        <w:t xml:space="preserve">. </w:t>
      </w:r>
      <w:r>
        <w:rPr>
          <w:rtl w:val="true"/>
        </w:rPr>
        <w:t>محدودیت ادراکات عقلی</w:t>
      </w:r>
      <w:bookmarkEnd w:id="294"/>
    </w:p>
    <w:p>
      <w:pPr>
        <w:pStyle w:val="BookText"/>
        <w:rPr/>
      </w:pPr>
      <w:r>
        <w:rPr>
          <w:rFonts w:ascii="IRNazanin" w:hAnsi="IRNazanin" w:eastAsia="IRNazanin"/>
          <w:color w:val="111111"/>
          <w:sz w:val="28"/>
          <w:sz w:val="28"/>
          <w:szCs w:val="28"/>
          <w:rtl w:val="true"/>
          <w:lang w:bidi="fa-IR"/>
        </w:rPr>
        <w:t>علامه حلی با وقوف به محدودیت های قوای ادراکی انسان، ذات باری‌تعالی و تأمل و تدبر در آن، صفات ذاتی خداوند را از دسترس بشر خارج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حیطۀ آگاهی و کسب معرفت عقل از باری‌تعالی را محدود می داند و معرفت باری‌تعالی را منحصر در اموری می داند که یا شوائب و نواقص مادی و امکانی از او سلب شود و یا صفات برای خداوند به واسطۀ افعال او اثبات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4"/>
        <w:numPr>
          <w:ilvl w:val="3"/>
          <w:numId w:val="1"/>
        </w:numPr>
        <w:rPr/>
      </w:pPr>
      <w:bookmarkStart w:id="295" w:name="__RefHeading___Toc2051749_2749589250"/>
      <w:bookmarkStart w:id="296" w:name="_Toc124"/>
      <w:bookmarkEnd w:id="295"/>
      <w:r>
        <w:rPr>
          <w:rtl w:val="true"/>
        </w:rPr>
        <w:t>ج</w:t>
      </w:r>
      <w:r>
        <w:rPr>
          <w:rtl w:val="true"/>
        </w:rPr>
        <w:t xml:space="preserve">. </w:t>
      </w:r>
      <w:r>
        <w:rPr>
          <w:rtl w:val="true"/>
        </w:rPr>
        <w:t>عینیتِ صفات با ذات</w:t>
      </w:r>
      <w:bookmarkEnd w:id="29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مباحث وجودشناختی صفات، قائل به نظریۀ عینیت صفات با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وی صفات ذاتی خداوند را در ذهن، اموری زاید بر ذات و در عالم خارج، صفات و ذات را یکی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علامه برای وصف حقیقت صفات خداوند، نظر فلسفی وجود ذهنی در برابر وجود در جهان خارج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 xml:space="preserve">خداوند از نظر عقل، زاید بر ذات او هستند، اما جایز نیست برای این مفاهیم ذهنی، جسمیت قائل شویم و واقعیتی زاید بر ذات او در جهان خارج را به آن نسبت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اشمیتکه،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تباین ذات خداوند با ذوات دیگر را، علت اتخاذ این رأی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برابر رأی ابوهاشم جبائی و پیروان او مبنی بر تساوی ذوات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نظریۀ احوال معتزله را مبتنی بر این اصل فاسد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اشمیتکه،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آثارش به وجوه بطلان رأی زیادت صفات بر ذات اشاعره اشاره می کند و مسائلی مانند تعدد قدما و شریک قرار دادن شرکایی در عرض باری‌تعالی و نیز افتقار ذات به صفاتِ خارج از آن را در ردّ این نظریه مطرح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مقابل نظریۀ احوال ابوهاشم جبائی نیز واکنش نشان می دهد و آن را مردود</w:t>
      </w:r>
    </w:p>
    <w:p>
      <w:pPr>
        <w:pStyle w:val="BookText"/>
        <w:rPr/>
      </w:pPr>
      <w:r>
        <w:rPr>
          <w:rFonts w:ascii="IRNazanin" w:hAnsi="IRNazanin" w:eastAsia="IRNazanin"/>
          <w:color w:val="111111"/>
          <w:sz w:val="28"/>
          <w:sz w:val="28"/>
          <w:szCs w:val="28"/>
          <w:rtl w:val="true"/>
          <w:lang w:bidi="fa-IR"/>
        </w:rPr>
        <w:t xml:space="preserve">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هنگام بحث از اصل وجود صفات ذاتی، معتقد بود این صفات بر مبنای ذات خداوند است که از حیث ذات با دیگر ذوات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معتقد بود خداوند دارای صفتی ذاتی است که با این صفت با آنچه غیر اوست متمایز می شود؛ مانند جوهریت برای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معتقد بود، خداوند دارای صفات قدیم، حیّ، عالم و قادر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مقتضای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این رأی ابوهاشم را سخیف و همان گونه که بیان شد زیربنای آن را، اصل فاسد تساوی ذوات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ردّ این نظریه، عملاً با دیدگاه ابوالحسین بصری و پیروانش همراهی می کند و مانند آن ها بر این اعتقاد است که ذوات، به علت وجودی خودشان با یکدیگر متفاوتند و در این میان به شیء دیگری محتاج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اشمیتکه،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قابل توجه است و آن این‌که علامه، مانند دیگر متکلمان مدرسۀ حله، در مباحث وجودشناختی خویش، هیچ گاه متعرض نظریۀ نیابت ذات از صفات نشده و آن را در بوتۀ نقد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عبارات علامه چنین رأیی استشمام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برخی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انتقاد به رأی اشاعره، بیان می کند که اثر قدرت که همان صحت فعل است، اثر علم که همان آگاهی نسبت به اشیاست و اثر حیات که عدم استحالۀ علم و قدرت است، از ذات باری‌تعالی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شکل قاطع نمی توان علامه را منتسب به این رأی دانست، می توان از عینیتی عام سخن گفت که نظریۀ نیابت را نیز در خود جای</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عباراتی که دوپهلوست و نیز عدم تعرض به این نظریه با وجود انتقاد به نظریات رقیب عینیت، این بیان را تقویت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 توان بیان داشت که نظریۀ عینیت را به صراحت می توان به علامه حلی منتسب دانست و نظریۀ نیابت ذات از صفات را به عنوان یک احتمال در نظر داشت</w:t>
      </w:r>
      <w:r>
        <w:rPr>
          <w:rFonts w:eastAsia="IRNazanin" w:cs="IRNazanin"/>
          <w:color w:val="111111"/>
          <w:sz w:val="28"/>
          <w:szCs w:val="28"/>
          <w:rtl w:val="true"/>
          <w:lang w:bidi="fa-IR"/>
        </w:rPr>
        <w:t>.</w:t>
      </w:r>
      <w:bookmarkStart w:id="297" w:name="pg3261_16499"/>
    </w:p>
    <w:p>
      <w:pPr>
        <w:pStyle w:val="Heading4"/>
        <w:numPr>
          <w:ilvl w:val="3"/>
          <w:numId w:val="1"/>
        </w:numPr>
        <w:rPr/>
      </w:pPr>
      <w:bookmarkStart w:id="298" w:name="__RefHeading___Toc2051751_2749589250"/>
      <w:bookmarkStart w:id="299" w:name="_Toc125"/>
      <w:bookmarkEnd w:id="297"/>
      <w:bookmarkEnd w:id="298"/>
      <w:r>
        <w:rPr>
          <w:rtl w:val="true"/>
        </w:rPr>
        <w:t>د</w:t>
      </w:r>
      <w:r>
        <w:rPr>
          <w:rtl w:val="true"/>
        </w:rPr>
        <w:t xml:space="preserve">. </w:t>
      </w:r>
      <w:r>
        <w:rPr>
          <w:rtl w:val="true"/>
        </w:rPr>
        <w:t>الهیات سلبی</w:t>
      </w:r>
      <w:bookmarkEnd w:id="299"/>
    </w:p>
    <w:p>
      <w:pPr>
        <w:pStyle w:val="BookText"/>
        <w:rPr/>
      </w:pPr>
      <w:r>
        <w:rPr>
          <w:rFonts w:ascii="IRNazanin" w:hAnsi="IRNazanin" w:eastAsia="IRNazanin"/>
          <w:color w:val="111111"/>
          <w:sz w:val="28"/>
          <w:sz w:val="28"/>
          <w:szCs w:val="28"/>
          <w:rtl w:val="true"/>
          <w:lang w:bidi="fa-IR"/>
        </w:rPr>
        <w:t xml:space="preserve">علامه در ابتدای بحث معناشناختی با بیان این مطلب که به کار بردن الفاظی که جهت تبیین صفات انسان مورد استفاده قرار می گیرد، بر صفات خداوند متعال، با منعی رو‌به‌رو نیست، این اشتراک را تنها در ناحیۀ الفاظ می‌داند و تأکید می کند که این استعمالات، هیچ گونه تشبیهی را به همراه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اشتراک این الفاظ در مورد خالق و مخلوق را از موارد تشبیه مذمومی که اهل‌بیت  علیهم السلام  از آن نهی کرده اند،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تشبیه مذموم، تشبیهی است که سبب مشارکت خالق و مخلوق در ذاتیات گردد و این گونه مشابهت های لفظی، با توجه به تفاوت های معنایی آن، تالی فاسدی را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آثار خود، همواره بر نفی تشبیه تأکید می کند و خداوند را متباین از دیگر ممکنات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معنای صفات الهی به پیروی از استادش، خواجه‌نصیر طوسی، قائل به الهیات سلبی است و قاعده ای را که خواجه در معنای صفت حیات مطرح ساخت، بیان می کند و خود را ملتزم به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معنای این صفت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بر این مطلب که خداوند حیّ است، اتفاق نظر دارند، اما در تفسیر آن اختلاف کرده اند؛ قومی بر این باورند که حیّ بودن خداوند به این معناست که محال نیست که قادر و عالم باشد و دیگران گفته اند همانا خداوند دارای صفتی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واسطۀ آن واجب می شود که بداند و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آن که، در صفات باری‌تعالی اگر قائل به نظریۀ زیادت این صفات بر ذات شویم، حیات صفتی ثبوتی خواهد بود که زاید بر ذات است و اگر قائل به این نظریه نشویم، بازگشت حیات به صفتی سلبی خواهد بود و حق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با گره زدن مباحث وجودشناختی و معناشناختی صفات خداوند، از وجود ملازمۀ روشنی میان آن ها سخن می گوید و اعتقاد دارد که هر متکلم و اندیشمندی که در برابر نظریۀ زیادت اشاعره موضع گیری می کند، در معنای صفات خداوند، از باب تلازم رأی به الهیات سلبی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این قاعده را در تمام صفات ذاتی خداوند جاری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علامه، الهیات سلبی را جهت ارائه تحلیلی دقیق تر و عمیق تر از نظریۀ عینیت صفات با ذات باری‌تعالی و منسد کردن راه هر گونه برداشت ناروا از این نظریه مطرح می کند و آن را در تمام صفاتی ذاتی خداوند جاری و ساری می داند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شارحان کشف المراد با انتقاد به موضع علامه در معنای صفات ذاتی خداوند، بیان داشته اند که تصور قائلان به الهیات سلبی آن است که اگر صفات کمالیه را به یک سلسله امور</w:t>
      </w:r>
      <w:bookmarkStart w:id="300" w:name="pg3261_16500"/>
    </w:p>
    <w:p>
      <w:pPr>
        <w:pStyle w:val="BookText"/>
        <w:rPr/>
      </w:pPr>
      <w:bookmarkEnd w:id="300"/>
      <w:r>
        <w:rPr>
          <w:rFonts w:ascii="IRNazanin" w:hAnsi="IRNazanin" w:eastAsia="IRNazanin"/>
          <w:color w:val="111111"/>
          <w:sz w:val="28"/>
          <w:sz w:val="28"/>
          <w:szCs w:val="28"/>
          <w:rtl w:val="true"/>
          <w:lang w:bidi="fa-IR"/>
        </w:rPr>
        <w:t>ثبوتی دانستیم و معتقد شویم در خارج و ذات حق موجودند، مستلزم تعدد و تکثر در ذات</w:t>
      </w:r>
    </w:p>
    <w:p>
      <w:pPr>
        <w:pStyle w:val="BookText"/>
        <w:rPr/>
      </w:pPr>
      <w:r>
        <w:rPr>
          <w:rFonts w:ascii="IRNazanin" w:hAnsi="IRNazanin" w:eastAsia="IRNazanin"/>
          <w:color w:val="111111"/>
          <w:sz w:val="28"/>
          <w:sz w:val="28"/>
          <w:szCs w:val="28"/>
          <w:rtl w:val="true"/>
          <w:lang w:bidi="fa-IR"/>
        </w:rPr>
        <w:t>می گردد، در حالی که ذات حق واحد است و هیچ جهت کثرتی در آن نیست و لذا رأی به الهیات سلبی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این منتقدان، این تالی فاسد زمانی پیش خواهد آمد که صفات خداوند زاید بر ذات باشد و با وجود نظریۀ عینیت، این تالی فاسد منتفی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طرح این قاعده در معنای صفات ذاتی خداوند از ناحیۀ کسانی صورت می پذیرد که خود به نظریۀ عینیت رأی داده اند و در مبرهن کردن آن تلاش وافری صرف کرده و شدید ترین واکنش ها را به نظریات رقیب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متکلمانی مانند خواجه نصیر، ابن میثم بحرانی و علامه حلی با وقوف به این مسئله، رأی به الهیات سلبی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آثار دیگر خویش نیز قاعدۀ الهیات سلبی را مطرح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صفات دیگر خداوند مانند عالم و قادر، تنها به اثبات این صفات از طریق افعال باری‌تعالی اکتفا می کند؛ یا متعرض معنای آن ها نمی شود و یا به معنای لغوی‌شان بسنده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توجه به قاعده ای که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 و آن را جاری و ساری در تمام صفات ذاتی خداوند دانست، گرایش وی به الهیات سلبی و نفی ضد در معنای صفات ذاتی باری‌تعالی کاملاً روشن می گردد</w:t>
      </w:r>
      <w:r>
        <w:rPr>
          <w:rFonts w:eastAsia="IRNazanin" w:cs="IRNazanin"/>
          <w:color w:val="111111"/>
          <w:sz w:val="28"/>
          <w:szCs w:val="28"/>
          <w:rtl w:val="true"/>
          <w:lang w:bidi="fa-IR"/>
        </w:rPr>
        <w:t>.</w:t>
      </w:r>
    </w:p>
    <w:p>
      <w:pPr>
        <w:pStyle w:val="Heading3"/>
        <w:numPr>
          <w:ilvl w:val="2"/>
          <w:numId w:val="1"/>
        </w:numPr>
        <w:rPr/>
      </w:pPr>
      <w:bookmarkStart w:id="301" w:name="__RefHeading___Toc2051753_2749589250"/>
      <w:bookmarkStart w:id="302" w:name="_Toc126"/>
      <w:bookmarkEnd w:id="301"/>
      <w:r>
        <w:rPr/>
        <w:t>4</w:t>
      </w:r>
      <w:r>
        <w:rPr>
          <w:rtl w:val="true"/>
        </w:rPr>
        <w:t xml:space="preserve">. </w:t>
      </w:r>
      <w:r>
        <w:rPr>
          <w:rtl w:val="true"/>
        </w:rPr>
        <w:t>فاضل مقداد</w:t>
      </w:r>
      <w:bookmarkEnd w:id="302"/>
    </w:p>
    <w:p>
      <w:pPr>
        <w:pStyle w:val="Heading4"/>
        <w:numPr>
          <w:ilvl w:val="3"/>
          <w:numId w:val="1"/>
        </w:numPr>
        <w:rPr/>
      </w:pPr>
      <w:bookmarkStart w:id="303" w:name="__RefHeading___Toc2051755_2749589250"/>
      <w:bookmarkStart w:id="304" w:name="_Toc12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فاضل مقداد، شارح آثار خواجه‌نصیر و علامه حلی بوده و از متکلمان برجستۀ مدرسه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آرای او را مورد تحلیل و بررسی قرار می دهیم</w:t>
      </w:r>
      <w:r>
        <w:rPr>
          <w:rFonts w:eastAsia="IRNazanin" w:cs="IRNazanin"/>
          <w:color w:val="111111"/>
          <w:sz w:val="28"/>
          <w:szCs w:val="28"/>
          <w:rtl w:val="true"/>
          <w:lang w:bidi="fa-IR"/>
        </w:rPr>
        <w:t>.</w:t>
      </w:r>
    </w:p>
    <w:p>
      <w:pPr>
        <w:pStyle w:val="Heading4"/>
        <w:numPr>
          <w:ilvl w:val="3"/>
          <w:numId w:val="1"/>
        </w:numPr>
        <w:rPr/>
      </w:pPr>
      <w:bookmarkStart w:id="305" w:name="__RefHeading___Toc2051757_2749589250"/>
      <w:bookmarkStart w:id="306" w:name="_Toc128"/>
      <w:bookmarkEnd w:id="305"/>
      <w:r>
        <w:rPr>
          <w:rtl w:val="true"/>
        </w:rPr>
        <w:t>الف</w:t>
      </w:r>
      <w:r>
        <w:rPr>
          <w:rtl w:val="true"/>
        </w:rPr>
        <w:t xml:space="preserve">. </w:t>
      </w:r>
      <w:r>
        <w:rPr>
          <w:rtl w:val="true"/>
        </w:rPr>
        <w:t>اشتراک معنوی وجود</w:t>
      </w:r>
      <w:bookmarkEnd w:id="306"/>
    </w:p>
    <w:p>
      <w:pPr>
        <w:pStyle w:val="BookText"/>
        <w:rPr/>
      </w:pPr>
      <w:r>
        <w:rPr>
          <w:rFonts w:ascii="IRNazanin" w:hAnsi="IRNazanin" w:eastAsia="IRNazanin"/>
          <w:color w:val="111111"/>
          <w:sz w:val="28"/>
          <w:sz w:val="28"/>
          <w:szCs w:val="28"/>
          <w:rtl w:val="true"/>
          <w:lang w:bidi="fa-IR"/>
        </w:rPr>
        <w:t xml:space="preserve">فاضل مقداد قائل به اشتراک معنوی وجود است و وجود را مفهومی مشکک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اصالت را با ماهیت می داند و وجود را عارض بر ماهیت به حساب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تشکیک، همان تشکیک عامی و مفهومی است که در آن ما به الامتیاز غیر از ما به الاشتراک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حقّ اولویت و تقدم برای علت و جوهر نسبت به معلول و عرض، گواهی بر این مدعاست که وی عامل امتیاز ماهیات را، چیزی غیر از وجود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این قول را مختار خواجه‌نصیر، علامه حلی و حکما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bookmarkStart w:id="307" w:name="pg3261_16501"/>
    </w:p>
    <w:p>
      <w:pPr>
        <w:pStyle w:val="Heading4"/>
        <w:numPr>
          <w:ilvl w:val="3"/>
          <w:numId w:val="1"/>
        </w:numPr>
        <w:rPr/>
      </w:pPr>
      <w:bookmarkStart w:id="308" w:name="__RefHeading___Toc2051759_2749589250"/>
      <w:bookmarkStart w:id="309" w:name="_Toc129"/>
      <w:bookmarkEnd w:id="307"/>
      <w:bookmarkEnd w:id="308"/>
      <w:r>
        <w:rPr>
          <w:rtl w:val="true"/>
        </w:rPr>
        <w:t>ب</w:t>
      </w:r>
      <w:r>
        <w:rPr>
          <w:rtl w:val="true"/>
        </w:rPr>
        <w:t xml:space="preserve">. </w:t>
      </w:r>
      <w:r>
        <w:rPr>
          <w:rtl w:val="true"/>
        </w:rPr>
        <w:t>حیطۀ ادراک عقل</w:t>
      </w:r>
      <w:bookmarkEnd w:id="309"/>
    </w:p>
    <w:p>
      <w:pPr>
        <w:pStyle w:val="BookText"/>
        <w:rPr/>
      </w:pPr>
      <w:r>
        <w:rPr>
          <w:rFonts w:ascii="IRNazanin" w:hAnsi="IRNazanin" w:eastAsia="IRNazanin"/>
          <w:color w:val="111111"/>
          <w:sz w:val="28"/>
          <w:sz w:val="28"/>
          <w:szCs w:val="28"/>
          <w:rtl w:val="true"/>
          <w:lang w:bidi="fa-IR"/>
        </w:rPr>
        <w:t>فاضل مقداد در بسیاری از آثارش بر محدودیت ادراکات عقلی انسان در معرفت به ذات باری‌تعالی و صفات ذاتی او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عدم معرفت به ذات باری‌تعالی را مبرهن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او مستفاد از مبانی روایی مدرسۀ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واقعیتی که به ذهن انسان راه یابد، مخلوق و مصنوع است و عقل آن را محدود و برای آن نوع و جنس و فصل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مفهومی نیز که دارای این خصایص باشد، مسلماً یک کل خواهد بود که دارای اجزا بوده و محتاج اجزای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آنچه انسان به عنوان ذات الهی به ذهن خود راه داده و در تحصیل معرفت به آن تلاش می کند، مصنوع و مخلوقی ساخته و پرداختۀ ذهن اوست و از این جهت، در گمراهی آشکار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فاضل در این زمینه، بیانی دارد که با آموزه های روایی اهل‌بیت  علیهم السلام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مقام شرح عبارت علامه حلی در زمینۀ حیطۀ معرفت انسان به صفات باری‌تعالی که علامه آن را منحصر در صفات حقیقی، اضافی و سلبی کرده است، پس از نقل کلام وی، این سؤال را مطرح می کند که چرا جایز نباشد برای برخی نفوس و نیز برخی مجردات، که حقیقت باری‌تعالی را یا از طریق الهام یا تصفیه و پالایش درونی و یا غیر از آن درک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متکلم برجسته ای مانند فاضل مقداد بعید است که عبارت علامه حلی را این گونه</w:t>
      </w:r>
    </w:p>
    <w:p>
      <w:pPr>
        <w:pStyle w:val="BookText"/>
        <w:rPr/>
      </w:pPr>
      <w:r>
        <w:rPr>
          <w:rFonts w:ascii="IRNazanin" w:hAnsi="IRNazanin" w:eastAsia="IRNazanin"/>
          <w:color w:val="111111"/>
          <w:sz w:val="28"/>
          <w:sz w:val="28"/>
          <w:szCs w:val="28"/>
          <w:rtl w:val="true"/>
          <w:lang w:bidi="fa-IR"/>
        </w:rPr>
        <w:t>شرح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اهل‌بیت  علیهم السلام  در مورد عدم معرفت به ذات باری‌تعالی، دارای اطلاق است و هیچ گاه آن بزرگواران حتی در مورد ذوات مقدسۀ خویش، این بیان را مطرح نکرده اند که قادرند تا به ذات باری‌تعالی و کنه صفات ذاتی وی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براهین متقن و محکم عقلی، دست یابی ماسوی‌الله به ذات و حقیقت باری‌تعالی محال است و این مطلب شامل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فرض وجود مجردی غیر از باری‌تعالی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اطلاق روایات معصومین  علیهم السلام  دارای قیودی بود، بی‌تردید در بیان آن بزرگواران منعکس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این بیان فاضل مقداد با مبانی عقلی سازگار نیست و خود نیز تنها به طرح اجمالی آن اکتفا کرده و از تفصیل مطلب پرهیز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عبارات ابتدایی فاضل مقداد که ذکر شد، دارای مبانی صحیح عقلی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توانایی درک ذات باری‌تعالی و کنه صفات ذاتی وی را ندارد و معرفت به این امور از دسترس بشر خارج است</w:t>
      </w:r>
      <w:r>
        <w:rPr>
          <w:rFonts w:eastAsia="IRNazanin" w:cs="IRNazanin"/>
          <w:color w:val="111111"/>
          <w:sz w:val="28"/>
          <w:szCs w:val="28"/>
          <w:rtl w:val="true"/>
          <w:lang w:bidi="fa-IR"/>
        </w:rPr>
        <w:t>.</w:t>
      </w:r>
      <w:bookmarkStart w:id="310" w:name="pg3261_16502"/>
    </w:p>
    <w:p>
      <w:pPr>
        <w:pStyle w:val="Heading4"/>
        <w:numPr>
          <w:ilvl w:val="3"/>
          <w:numId w:val="1"/>
        </w:numPr>
        <w:rPr/>
      </w:pPr>
      <w:bookmarkStart w:id="311" w:name="__RefHeading___Toc2051761_2749589250"/>
      <w:bookmarkStart w:id="312" w:name="_Toc130"/>
      <w:bookmarkEnd w:id="310"/>
      <w:bookmarkEnd w:id="311"/>
      <w:r>
        <w:rPr>
          <w:rtl w:val="true"/>
        </w:rPr>
        <w:t>ج</w:t>
      </w:r>
      <w:r>
        <w:rPr>
          <w:rtl w:val="true"/>
        </w:rPr>
        <w:t xml:space="preserve">. </w:t>
      </w:r>
      <w:r>
        <w:rPr>
          <w:rtl w:val="true"/>
        </w:rPr>
        <w:t>نیابت ذات از صفات</w:t>
      </w:r>
      <w:bookmarkEnd w:id="312"/>
    </w:p>
    <w:p>
      <w:pPr>
        <w:pStyle w:val="BookText"/>
        <w:rPr/>
      </w:pPr>
      <w:r>
        <w:rPr>
          <w:rFonts w:ascii="IRNazanin" w:hAnsi="IRNazanin" w:eastAsia="IRNazanin"/>
          <w:color w:val="111111"/>
          <w:sz w:val="28"/>
          <w:sz w:val="28"/>
          <w:szCs w:val="28"/>
          <w:rtl w:val="true"/>
          <w:lang w:bidi="fa-IR"/>
        </w:rPr>
        <w:t>فاضل مقداد در مباحث وجودشناختی صفات الهی، در مقابل نظریۀ زیادت اشاعره و احوال معتزله موضع گیری می کند و قول به اثبات معانی برای ذات باری‌تعالی را دارای تالی فاسد</w:t>
      </w:r>
    </w:p>
    <w:p>
      <w:pPr>
        <w:pStyle w:val="BookText"/>
        <w:rPr/>
      </w:pP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تبیین مختار خویش، رأی به نیابت صفات از ذات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امر ممکن است برخی عبارات وی، این تصور را ایجاد کند که او نیز قائل به نظریۀ عینیت صفات با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تأمل و تدبر در مجموع عبارات فاضل، به‌ویژه مواردی که در مقام تحقیق و بررسی موضوع برآمده است، حاکی از آن است که وی نظریۀ نیابت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قول وی در انتخاب این موضع، روایت امیرالمؤمنین  علیه السلام   در خطبۀ اول نهج البلاغه است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الاِخلاصِ لَه نَفیُ الصِّفاتِ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تبیین این مطلب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نیست برای باری‌تعالی صفتی زاید بر ذات او، بلکه اصلاً صفتی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ولیّ خدا  علیه السلام   با قول خود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اخلاص برای او نفی صفات از اوست، به شهادت این مطلب که هر صفتی شأنش این است که غیر از موصوف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برای او صفتی زاید بر ذات وی باشد، افتقار ذات به آن صفت لازم می‌آید و نیازمند به غیرممکن است و نیز موجب تعدد قدما می شود؛ پس قول اشاعره که قائلان به معانی هستند و نیز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احوال هستند، باطل است و تحقیق مبسوط و تفصیلی مطلب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از صدر این عبارت مشخص است، فاضل پس از این‌که صفات زاید بر ذات را از باری‌تعالی نفی 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استفاده می کند و در مرتبه ای بالاتر، وجود هر گونه صفت را برای خداوند منتفی می داند و سپس در تأیید قول خویش، از بیان نورانی امیرالمؤمنین  علیه السلام   بهره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بیان داشت که فاضل تنها از بیان این عبارت، نفی نظریۀ زیادت و احوال را قصد کرده است، زیرا در این 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لیس له صفۀ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وی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وجود هر گونه صفت را برای خداوند منتفی می 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در ادامۀ بحث و در مقام تحقیق مطلب که وعدۀ آن را داده بود، مراد خویش را در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بروز می دهد و اندیشۀ خویش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به صراحت بیان می کند که خداوند، دارای هیچ صفتی، حتی به این معنا که با ذات عینیت داشته باشد، نیست و آنچه به عنوان صفت مطرح می شود، در حقیقت آثاری است که منسوب به ذات</w:t>
      </w:r>
      <w:bookmarkStart w:id="313" w:name="pg3261_16503"/>
    </w:p>
    <w:p>
      <w:pPr>
        <w:pStyle w:val="BookText"/>
        <w:rPr/>
      </w:pPr>
      <w:bookmarkEnd w:id="313"/>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مانند تمکن از ایجاد فعل و ظهور و کشف، از ذات باری‌تعالی صادر</w:t>
      </w:r>
    </w:p>
    <w:p>
      <w:pPr>
        <w:pStyle w:val="BookText"/>
        <w:rPr/>
      </w:pPr>
      <w:r>
        <w:rPr>
          <w:rFonts w:ascii="IRNazanin" w:hAnsi="IRNazanin" w:eastAsia="IRNazanin"/>
          <w:color w:val="111111"/>
          <w:sz w:val="28"/>
          <w:sz w:val="28"/>
          <w:szCs w:val="28"/>
          <w:rtl w:val="true"/>
          <w:lang w:bidi="fa-IR"/>
        </w:rPr>
        <w:t>می شود و ذات در بیان این آثار، نائب مناب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خداوند عالم به علمی باشد که آن علم، عین ذات او باشد، بلکه اثر علم از ذات باری‌تعالی صادر می شود و خداوند در انتساب به این معنا، به هیچ واسطه ای حتی با تقریر عینیت نیازمند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برخی محشّین، عبارت صدر کلام فاضل 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تعالی لیس له 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 این شواهد، مجدداً حمل بر نفی صفت زاید بر ذات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فاضل به وضوح، نیت درونی وی را از به کار بردن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در عبارت قبلی آشکار می سازد و روشن می کند که وی اندیشۀ نیابت ذات از صفات را برگزیده است</w:t>
      </w:r>
      <w:r>
        <w:rPr>
          <w:rFonts w:eastAsia="IRNazanin" w:cs="IRNazanin"/>
          <w:color w:val="111111"/>
          <w:sz w:val="28"/>
          <w:szCs w:val="28"/>
          <w:rtl w:val="true"/>
          <w:lang w:bidi="fa-IR"/>
        </w:rPr>
        <w:t>.</w:t>
      </w:r>
    </w:p>
    <w:p>
      <w:pPr>
        <w:pStyle w:val="Heading4"/>
        <w:numPr>
          <w:ilvl w:val="3"/>
          <w:numId w:val="1"/>
        </w:numPr>
        <w:rPr/>
      </w:pPr>
      <w:bookmarkStart w:id="314" w:name="__RefHeading___Toc2051763_2749589250"/>
      <w:bookmarkStart w:id="315" w:name="_Toc131"/>
      <w:bookmarkEnd w:id="314"/>
      <w:r>
        <w:rPr>
          <w:rtl w:val="true"/>
        </w:rPr>
        <w:t>د</w:t>
      </w:r>
      <w:r>
        <w:rPr>
          <w:rtl w:val="true"/>
        </w:rPr>
        <w:t xml:space="preserve">. </w:t>
      </w:r>
      <w:r>
        <w:rPr>
          <w:rtl w:val="true"/>
        </w:rPr>
        <w:t>الهیات سلبی</w:t>
      </w:r>
      <w:bookmarkEnd w:id="315"/>
    </w:p>
    <w:p>
      <w:pPr>
        <w:pStyle w:val="BookText"/>
        <w:rPr/>
      </w:pPr>
      <w:r>
        <w:rPr>
          <w:rFonts w:ascii="IRNazanin" w:hAnsi="IRNazanin" w:eastAsia="IRNazanin"/>
          <w:color w:val="111111"/>
          <w:sz w:val="28"/>
          <w:sz w:val="28"/>
          <w:szCs w:val="28"/>
          <w:rtl w:val="true"/>
          <w:lang w:bidi="fa-IR"/>
        </w:rPr>
        <w:t>اگر تنها رأی وجودشناختی فاضل مقداد را در صفات خداوند مبنا قرار دهیم، می توانیم نظر معناشناختی وی را نیز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نیابت ذات از صفات، در تلازم آشکار با الهیات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نظریه بر مبنای دغدغۀ قائلان آن نسبت به نفی کثرت از ذات باری‌تعالی و تشبیه خالق به مخلوق پایه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مباحث صفات، به دنبال نظریه ای بودند تا اندک احتمال تشبیه ذات خداوند به ممکنات را نیز منتفی کند و از این رو نظریۀ نیابت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دغدغه، در معنای صفات خداوند نیز مورد توجه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بهترین راه منسد کردن تشبیه و پرهیز از مانندسازی خالق به مخلوق، الهیات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الهیات ایجابی از جمع تنزیه و تشبیه سخن می گویند و روشن است که این نظریه نمی تواند دغدغه قائلان به نیابت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عبارات فاضل مقداد در معنای صفات ذاتی خداوند نیز، این موضوع را تأیید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نظریۀ نیابت ذات از صفات که خود بهترین گواه در گرایش فاضل مقداد به الهیات سلبی است، در مباحث معناشناختی نیز خود به این موضوع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به تبعیت از خواجه‌نصیر و علامه حلی، در معنای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باری‌تعالی، میان مباحث وجودشناختی و معناشناختی صفات، پیوند برقرار می کند و بیان می دارد که مخالفان نظریۀ زیادت صفات از ذات، صفات ذاتی خداوند را به شکل سلبی معنا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در آثار دیگر خود نیز به این مطلب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w:t>
      </w:r>
      <w:bookmarkStart w:id="316" w:name="pg3261_16504"/>
    </w:p>
    <w:p>
      <w:pPr>
        <w:pStyle w:val="BookText"/>
        <w:rPr/>
      </w:pPr>
      <w:bookmarkEnd w:id="316"/>
      <w:r>
        <w:rPr>
          <w:rFonts w:ascii="IRNazanin" w:hAnsi="IRNazanin" w:eastAsia="IRNazanin"/>
          <w:color w:val="111111"/>
          <w:sz w:val="28"/>
          <w:sz w:val="28"/>
          <w:szCs w:val="28"/>
          <w:rtl w:val="true"/>
          <w:lang w:bidi="fa-IR"/>
        </w:rPr>
        <w:t>مطلب اشاره می کند که نفی استحاله، مستلزم مفهوم عدمی این صفت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برخی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معنای مورد نظر حکما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درک‌کننده و فعالی است که آفات به او ملحق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علاوه بر سلبی معنا کردن صفت حیات، در شرح باب حادی‌عشر علامه حلی، در عبارتی صریح، اعتقاد خویش به الهیات سلبی را بروز می دهد و از ارجاع تمام صفات ثبوتی به سلبی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علت ارجاع صفات ثبوتی به سلبی را، ناتوانی عقل از تعقل ذات و صفات ذاتی خداوند می داند و تصریح می کند که عقل، تنها می تواند درکی سلبی از صفات باری‌تعالی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فاضل مقداد با عبارت فوق، به روشنی اعتقاد خویش به الهیات سلبی را نشان می دهد</w:t>
      </w:r>
      <w:r>
        <w:rPr>
          <w:rFonts w:eastAsia="IRNazanin" w:cs="IRNazanin"/>
          <w:color w:val="111111"/>
          <w:sz w:val="28"/>
          <w:szCs w:val="28"/>
          <w:rtl w:val="true"/>
          <w:lang w:bidi="fa-IR"/>
        </w:rPr>
        <w:t>.</w:t>
      </w:r>
    </w:p>
    <w:p>
      <w:pPr>
        <w:pStyle w:val="Heading3"/>
        <w:numPr>
          <w:ilvl w:val="2"/>
          <w:numId w:val="1"/>
        </w:numPr>
        <w:rPr/>
      </w:pPr>
      <w:bookmarkStart w:id="317" w:name="__RefHeading___Toc2051765_2749589250"/>
      <w:bookmarkStart w:id="318" w:name="_Toc132"/>
      <w:bookmarkEnd w:id="317"/>
      <w:r>
        <w:rPr>
          <w:rtl w:val="true"/>
        </w:rPr>
        <w:t>نتیجه گیری</w:t>
      </w:r>
      <w:bookmarkEnd w:id="318"/>
    </w:p>
    <w:p>
      <w:pPr>
        <w:pStyle w:val="BookText"/>
        <w:rPr/>
      </w:pPr>
      <w:r>
        <w:rPr>
          <w:rFonts w:ascii="IRNazanin" w:hAnsi="IRNazanin" w:eastAsia="IRNazanin"/>
          <w:color w:val="111111"/>
          <w:sz w:val="28"/>
          <w:sz w:val="28"/>
          <w:szCs w:val="28"/>
          <w:rtl w:val="true"/>
          <w:lang w:bidi="fa-IR"/>
        </w:rPr>
        <w:t>خواجه‌نصیر با وقوف به محدودیت های ادراک عقلی انسان در شناخت ذات و صفات ذاتی خداوند، جهت تبیین دقیق تر نظریۀ عینیت صفات با ذات، در معنای صفات خداوند از الهیات سلبی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را که خواجه در معنای صفت حیات به آن اشاره دارد، قابل تعمیم به دیگر صفات ذاتی باری‌تعالی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در مبرهن کردن این الهیات، میراث دار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وی، تمام مخالفان نظریۀ زیادت اشاعره، در مباحث معناشناختی رأی به الهیات سلبی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به تبع استادش، با پیوند زدن مباحث وجودشناختی و معناشناختی جهت تبیین هر چه دقیق تر نظریۀ عینیت، از الهیات سلبی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ابراز تمایل به نظریۀ اشتراک لفظی وجود، اعتقاد خویش به الهیات سلبی را نمایان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نیز در مبحث وجودشناختی صفات الهی، رأی به نظریۀ نیابت ذات از صفات داد و همین اعتقاد او سبب شد تا در معنای صفات ذاتی، قائل به الهیات سلبی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 xml:space="preserve">بر این، قاعدۀ الهیات سلبی را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و اندیشۀ نافیان نظریۀ</w:t>
      </w:r>
    </w:p>
    <w:p>
      <w:pPr>
        <w:pStyle w:val="BookText"/>
        <w:rPr/>
      </w:pPr>
      <w:r>
        <w:rPr>
          <w:rFonts w:ascii="IRNazanin" w:hAnsi="IRNazanin" w:eastAsia="IRNazanin"/>
          <w:color w:val="111111"/>
          <w:sz w:val="28"/>
          <w:sz w:val="28"/>
          <w:szCs w:val="28"/>
          <w:rtl w:val="true"/>
          <w:lang w:bidi="fa-IR"/>
        </w:rPr>
        <w:t>زیادت اشاعره را، سلبی معنا کردن صفات ذاتی باری‌تعالی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با استناد به</w:t>
      </w:r>
    </w:p>
    <w:p>
      <w:pPr>
        <w:pStyle w:val="BookText"/>
        <w:rPr/>
      </w:pPr>
      <w:r>
        <w:rPr>
          <w:rFonts w:ascii="IRNazanin" w:hAnsi="IRNazanin" w:eastAsia="IRNazanin"/>
          <w:color w:val="111111"/>
          <w:sz w:val="28"/>
          <w:sz w:val="28"/>
          <w:szCs w:val="28"/>
          <w:rtl w:val="true"/>
          <w:lang w:bidi="fa-IR"/>
        </w:rPr>
        <w:t>ناتوانی عقل از تعقل ذات و صفات ذاتی خداوند، بازگشت تمام صفات ثبوتی را به صفات سلبی می داند و بر این باور است که تمام صفات، باید از طریق نفی ضدشان معنا و تفسیر گردند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bookmarkStart w:id="319" w:name="pg3261_16505"/>
    </w:p>
    <w:p>
      <w:pPr>
        <w:pStyle w:val="BookText"/>
        <w:rPr/>
      </w:pPr>
      <w:bookmarkEnd w:id="319"/>
      <w:r>
        <w:rPr>
          <w:rFonts w:ascii="IRNazanin" w:hAnsi="IRNazanin" w:eastAsia="IRNazanin"/>
          <w:color w:val="111111"/>
          <w:sz w:val="28"/>
          <w:sz w:val="28"/>
          <w:szCs w:val="28"/>
          <w:rtl w:val="true"/>
          <w:lang w:bidi="fa-IR"/>
        </w:rPr>
        <w:t>نتیجه آن که، الهیات سلبی در مباحث معناشناختی متکلمان مدرسۀ حله، جایگاه برجسته ای دارد</w:t>
      </w:r>
      <w:r>
        <w:rPr>
          <w:rFonts w:eastAsia="IRNazanin" w:cs="IRNazanin"/>
          <w:color w:val="111111"/>
          <w:sz w:val="28"/>
          <w:szCs w:val="28"/>
          <w:rtl w:val="true"/>
          <w:lang w:bidi="fa-IR"/>
        </w:rPr>
        <w:t>.</w:t>
      </w:r>
    </w:p>
    <w:p>
      <w:pPr>
        <w:pStyle w:val="Heading3"/>
        <w:numPr>
          <w:ilvl w:val="2"/>
          <w:numId w:val="1"/>
        </w:numPr>
        <w:rPr/>
      </w:pPr>
      <w:bookmarkStart w:id="320" w:name="__RefHeading___Toc2051767_2749589250"/>
      <w:bookmarkStart w:id="321" w:name="_Toc133"/>
      <w:bookmarkEnd w:id="320"/>
      <w:r>
        <w:rPr>
          <w:rtl w:val="true"/>
        </w:rPr>
        <w:t>منابع</w:t>
      </w:r>
      <w:bookmarkEnd w:id="321"/>
    </w:p>
    <w:p>
      <w:pPr>
        <w:pStyle w:val="Heading4"/>
        <w:numPr>
          <w:ilvl w:val="3"/>
          <w:numId w:val="1"/>
        </w:numPr>
        <w:rPr/>
      </w:pPr>
      <w:bookmarkStart w:id="322" w:name="__RefHeading___Toc2051769_2749589250"/>
      <w:bookmarkStart w:id="323" w:name="_Toc134"/>
      <w:bookmarkEnd w:id="322"/>
      <w:r>
        <w:rPr>
          <w:rtl w:val="true"/>
        </w:rPr>
        <w:t>اشاره</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حسین بن سینا،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الهیات شفاء،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حسن‌زاده آملی، قم، دفتر تبلیغات اسلامی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میمون، موسی،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دلالۀ الحائرین،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آتای، آنکارا، مکتبۀ الثقافۀ الدینیه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اشمیتکه، زابینه،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های کلامی علامه حلی،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نمائی، مشهد، بنیاد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لطفی، تهران،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عبدالرحمن،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 در اسلام،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تهران، مرکز نشر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جبرئیلی، محمدصفر،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تطور کلام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انتشارات و پژوهشگاه فرهنگ و اندیشه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رحیق مختوم، قم، مرکز نشر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مطهر حلی،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الیقین فی فضائل امیرالمؤمنین  علیه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تهران، چاپخانه وزارت فرهنگ و ارشاد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حسن‌زاده آملی، قم، مؤسسۀ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تسلیک النفس الی حضیرۀ القدس، قم،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الیقین فی اصول الدین، دارالأسوه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نهایۀ المرام فی علم الکلام، قم،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الحق و کشف الصدق، بیروت، دارالکتاب اللبنانی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معارج الفهم فی شرح النظم،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الملکوت فی شرح الیاقوت، قم، الشریف الرضی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خواجه‌نصیر‌الدین طوسی، محمد بن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المحصل، بیروت، دار احیاء التراث العربی</w:t>
      </w:r>
      <w:r>
        <w:rPr>
          <w:rFonts w:eastAsia="IRNazanin" w:cs="IRNazanin"/>
          <w:color w:val="111111"/>
          <w:sz w:val="28"/>
          <w:szCs w:val="28"/>
          <w:rtl w:val="true"/>
          <w:lang w:bidi="fa-IR"/>
        </w:rPr>
        <w:t>.</w:t>
      </w:r>
      <w:bookmarkStart w:id="324" w:name="pg3261_16506"/>
    </w:p>
    <w:p>
      <w:pPr>
        <w:pStyle w:val="BookText"/>
        <w:rPr/>
      </w:pPr>
      <w:bookmarkEnd w:id="324"/>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الاعتقاد،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المحصل،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خواجه‌نصیر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اقل ما یجب الاعتقاد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العقائد،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سبحانی، قم، مؤسسه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فخرالدین محمد بن عمر،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الله الحسنی،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مکتبۀ الکلیات الازهریه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راسل، برتراند،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فلسفه غرب، تهران، پرواز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ابویعقوب،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المحجوب،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تهران، کتابخانه طهوری،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ابوجعفر محمد بن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 جامعه مدرسین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اللوامع الالهیۀ فی المباحث الکلامیه،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الطالبین الی نهج المسترشدین، قم،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الأنوار الجلالیۀ فی شرح فصول النصیریۀ، مشهد، مجمع البحوث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النافع یوم الحشر فی شرح باب حادی عشر، تهران، مؤسسه مطالعات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فلوطین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آثار،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لطفی، تهران، خوارزمی،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کشف المراد، قم،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ولفسن، هری اوسترین،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علم کلام،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الهدی</w:t>
      </w:r>
      <w:r>
        <w:rPr>
          <w:rFonts w:eastAsia="IRNazanin" w:cs="IRNazanin"/>
          <w:color w:val="111111"/>
          <w:sz w:val="28"/>
          <w:szCs w:val="28"/>
          <w:rtl w:val="true"/>
          <w:lang w:bidi="fa-IR"/>
        </w:rPr>
        <w:t>.</w:t>
      </w:r>
    </w:p>
    <w:p>
      <w:pPr>
        <w:pStyle w:val="Heading4"/>
        <w:numPr>
          <w:ilvl w:val="3"/>
          <w:numId w:val="1"/>
        </w:numPr>
        <w:rPr/>
      </w:pPr>
      <w:bookmarkStart w:id="325" w:name="__RefHeading___Toc2051771_2749589250"/>
      <w:bookmarkStart w:id="326" w:name="_Toc135"/>
      <w:bookmarkEnd w:id="325"/>
      <w:r>
        <w:rPr/>
        <w:t>Point</w:t>
      </w:r>
      <w:bookmarkEnd w:id="326"/>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Kenny, John peter, (1998), "Patristic philosophy", in: Routledge Encyclopedia of philosophy, vol 7, London, Routledge</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Moran, Dermot, (1998), "Platonism, Medievel", in: Routledge Encyclopedia of philosophy, vol 9,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Ross, James, (1993), "Religious Language" in: An introduction to the philosophy of Religion, Ed by Brian Davies,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Runia, David T, (1998), "Philo of Alexandria" in: Routledge Encyclopedia of philosophy, vol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Samuelson, Norbert, M (1998), "Ibn Daud" in: Routledge Encyclopedia of philosophy</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vol 4</w:t>
      </w:r>
      <w:r>
        <w:rPr>
          <w:rFonts w:eastAsia="Times New Roman" w:cs="Times New Roman" w:ascii="Times New Roman" w:hAnsi="Times New Roman"/>
          <w:color w:val="111111"/>
          <w:sz w:val="28"/>
          <w:szCs w:val="28"/>
          <w:rtl w:val="true"/>
          <w:lang w:val="en-US" w:bidi="en-US"/>
        </w:rPr>
        <w:t>.</w:t>
      </w:r>
      <w:bookmarkStart w:id="327" w:name="pg3261_16508"/>
    </w:p>
    <w:p>
      <w:pPr>
        <w:pStyle w:val="Heading2"/>
        <w:numPr>
          <w:ilvl w:val="1"/>
          <w:numId w:val="1"/>
        </w:numPr>
        <w:rPr/>
      </w:pPr>
      <w:bookmarkStart w:id="328" w:name="__RefHeading___Toc2051773_2749589250"/>
      <w:bookmarkStart w:id="329" w:name="_Toc136"/>
      <w:bookmarkEnd w:id="327"/>
      <w:bookmarkEnd w:id="328"/>
      <w:r>
        <w:rPr>
          <w:rtl w:val="true"/>
        </w:rPr>
        <w:t xml:space="preserve">رهیافت نیایش‌های شیعی به حل مسئله شرّ </w:t>
      </w:r>
      <w:r>
        <w:rPr>
          <w:rtl w:val="true"/>
        </w:rPr>
        <w:t xml:space="preserve">/ </w:t>
      </w:r>
      <w:r>
        <w:rPr>
          <w:rtl w:val="true"/>
        </w:rPr>
        <w:t xml:space="preserve">احمد کریمی </w:t>
      </w:r>
      <w:r>
        <w:rPr>
          <w:rtl w:val="true"/>
        </w:rPr>
        <w:t xml:space="preserve">- </w:t>
      </w:r>
      <w:r>
        <w:rPr>
          <w:rtl w:val="true"/>
        </w:rPr>
        <w:t>محمد صالح مازنی</w:t>
      </w:r>
      <w:bookmarkEnd w:id="329"/>
    </w:p>
    <w:p>
      <w:pPr>
        <w:pStyle w:val="Heading3"/>
        <w:numPr>
          <w:ilvl w:val="2"/>
          <w:numId w:val="1"/>
        </w:numPr>
        <w:rPr/>
      </w:pPr>
      <w:bookmarkStart w:id="330" w:name="__RefHeading___Toc2051775_2749589250"/>
      <w:bookmarkStart w:id="331" w:name="_Toc137"/>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احمد کریمی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محمدصالح مازنی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ms.mazani@gmail.com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15/08/1395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25/12/1395</w:t>
      </w:r>
    </w:p>
    <w:p>
      <w:pPr>
        <w:pStyle w:val="Heading3"/>
        <w:numPr>
          <w:ilvl w:val="2"/>
          <w:numId w:val="1"/>
        </w:numPr>
        <w:rPr/>
      </w:pPr>
      <w:bookmarkStart w:id="332" w:name="__RefHeading___Toc2051777_2749589250"/>
      <w:bookmarkStart w:id="333" w:name="_Toc138"/>
      <w:bookmarkEnd w:id="332"/>
      <w:r>
        <w:rPr>
          <w:rtl w:val="true"/>
        </w:rPr>
        <w:t>چکیده</w:t>
      </w:r>
      <w:bookmarkEnd w:id="333"/>
    </w:p>
    <w:p>
      <w:pPr>
        <w:pStyle w:val="BookText"/>
        <w:rPr/>
      </w:pPr>
      <w:r>
        <w:rPr>
          <w:rFonts w:ascii="IRNazanin" w:hAnsi="IRNazanin" w:eastAsia="IRNazanin"/>
          <w:color w:val="111111"/>
          <w:sz w:val="28"/>
          <w:sz w:val="28"/>
          <w:szCs w:val="28"/>
          <w:rtl w:val="true"/>
          <w:lang w:bidi="fa-IR"/>
        </w:rPr>
        <w:t xml:space="preserve">وجود شرور در عالم، این پرسش را در ذهن انسان به وجود می آورد که چه نسبتی میان مسئله شرّ و وجود خداوندی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وجود دارد؟ این مسئله همواره یکی از مباحث چالش بر‌انگیز در حوزۀ دین‌پژوهی و فلسفۀ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با بررسی و پاسخ به این پرسش از منظری نو، به دنبال کشف و بازخوانی رهیافت نیایش‌های شیعی به مسئله شرور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در عین توجه به سازندگی برخی رنج‌ها و نقششان در کمال اخلاقی انسان، از شرور دیگری یاد می‌کند که نقش بسیار مخربی برای انسان دارد و اضطراب و نگرانی حاصل از آن، منجر به سستی و ضعف در انجام امور دینی و دنیوی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دوم، به روشنی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نیایش ها به مصادیق متعددی از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نیایش‌های شیعی به رغم دیدگاه‌های برخی فلاسفه در ردّ وجود شرور در عالم، این مسئله را از نظر وجودشناختی ثابت می دانند</w:t>
      </w:r>
      <w:r>
        <w:rPr>
          <w:rFonts w:eastAsia="IRNazanin" w:cs="IRNazanin"/>
          <w:color w:val="111111"/>
          <w:sz w:val="28"/>
          <w:szCs w:val="28"/>
          <w:rtl w:val="true"/>
          <w:lang w:bidi="fa-IR"/>
        </w:rPr>
        <w:t>.</w:t>
      </w:r>
    </w:p>
    <w:p>
      <w:pPr>
        <w:pStyle w:val="Heading3"/>
        <w:numPr>
          <w:ilvl w:val="2"/>
          <w:numId w:val="1"/>
        </w:numPr>
        <w:rPr/>
      </w:pPr>
      <w:bookmarkStart w:id="334" w:name="__RefHeading___Toc2051779_2749589250"/>
      <w:bookmarkStart w:id="335" w:name="_Toc139"/>
      <w:bookmarkEnd w:id="334"/>
      <w:r>
        <w:rPr>
          <w:rtl w:val="true"/>
        </w:rPr>
        <w:t>واژگان کلیدی</w:t>
      </w:r>
      <w:bookmarkEnd w:id="3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شرّ، نیایش، شیعه، ادعیه مأثوره، امامان معصوم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bookmarkStart w:id="336" w:name="pg3261_16509"/>
    </w:p>
    <w:p>
      <w:pPr>
        <w:pStyle w:val="Heading3"/>
        <w:numPr>
          <w:ilvl w:val="2"/>
          <w:numId w:val="1"/>
        </w:numPr>
        <w:rPr/>
      </w:pPr>
      <w:bookmarkStart w:id="337" w:name="__RefHeading___Toc2051781_2749589250"/>
      <w:bookmarkStart w:id="338" w:name="_Toc140"/>
      <w:bookmarkEnd w:id="336"/>
      <w:bookmarkEnd w:id="337"/>
      <w:r>
        <w:rPr>
          <w:rtl w:val="true"/>
        </w:rPr>
        <w:t>مقدمه</w:t>
      </w:r>
      <w:bookmarkEnd w:id="33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حجم متنوعی از شرور در جهان طبیعت، برای آدمیان پرسش‌انگیز و اندیشه‌سوز بوده است؛ خاصه آن‌که در جست‌وجوی نسبتِ میان این مسئله و وجود خداوند برآمده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نقطة عزیمت الحاد برای بسیاری از خداناباوران وجود شرور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در حیطۀ دین‌پژوهی و دانش کلام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همواره ذهن اندیشمندان را به خود معطوف داشته است، پیشینه‌ای به وسعت تاریخ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کتاب تاریخی است که صفحات آن از رنج انسان سخن نگفته باشد؛ گزارش از بیماری‌هایی نظیر طاعون که گاه به مرگ نسلی از یک آبادی و یا شهر می‌انجامید؛ زلزله‌ها که خانه‌های شهروندان و روستاییان را با تلّی از خاکستر بر سرشان ویران می‌کرد؛ نزاع‌های خانوادگی، قومی و قبیله‌ای و جنگ‌های طولانی که از کودکان پدر، از همسران شوهر و از مادران و پدران، فرزند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رنج‌ها، مصائب و آلام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از سوی ناآگاهان و یا ملحدان همواره علیه خدای حکیم، عادل، قادر و خیرخواه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زبان‌هایی است که ریشه در فطرت انسان داشته و همۀ انسان‌ها در طول زندگی شان آن را بارها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اغلب برای طلب و زیادی رزق و روزی، طلب سلامت جسم و جان، موفقیت در امور، دفع 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 در زبان نیایش، خداوند است که غنیّ بالذات بوده و توانا به امور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دعا یکی از روش‌های تبیین معارف دین به شمار می‌رود و از مفاهیم و باورهای کلامی است که با زبان مخصوصی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حاکم بر فضای فکری، سیاسی و اجتماعی که در برخی اعصار توسط حاکمان جور بر شیعیان اعمال می‌شده، معصومان  علیهم السلام  را به راهبرد تقیه وارد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یکی از روش‌های این امر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که با رویکرد تحلیلی ـ توصیفی به نگارش درآمده است، به مسئله شرّ در نیایش‌های اهل بیت  علیهم السلام  اشاره داشته و سبک نگرشی ادعیه را در واکنش به شرور طبیعی و اخلاقی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اصلی در این تحقیق این است که در نیایش‌های اهل بیت  علیهم السلام  چه تصویری از مسئله شرّ ارائه شده است و وجود آن‌ها چگونه تبیین می‌شود؟</w:t>
      </w:r>
    </w:p>
    <w:p>
      <w:pPr>
        <w:pStyle w:val="Heading3"/>
        <w:numPr>
          <w:ilvl w:val="2"/>
          <w:numId w:val="1"/>
        </w:numPr>
        <w:rPr/>
      </w:pPr>
      <w:bookmarkStart w:id="339" w:name="__RefHeading___Toc2051783_2749589250"/>
      <w:bookmarkStart w:id="340" w:name="_Toc141"/>
      <w:bookmarkEnd w:id="339"/>
      <w:r>
        <w:rPr/>
        <w:t>1</w:t>
      </w:r>
      <w:r>
        <w:rPr>
          <w:rtl w:val="true"/>
        </w:rPr>
        <w:t xml:space="preserve">. </w:t>
      </w:r>
      <w:r>
        <w:rPr>
          <w:rtl w:val="true"/>
        </w:rPr>
        <w:t>مفهوم‌شناسی شرّ</w:t>
      </w:r>
      <w:bookmarkEnd w:id="340"/>
    </w:p>
    <w:p>
      <w:pPr>
        <w:pStyle w:val="Heading4"/>
        <w:numPr>
          <w:ilvl w:val="3"/>
          <w:numId w:val="1"/>
        </w:numPr>
        <w:rPr/>
      </w:pPr>
      <w:bookmarkStart w:id="341" w:name="__RefHeading___Toc2051785_2749589250"/>
      <w:bookmarkStart w:id="342" w:name="_Toc142"/>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معنای لغوی و اصطلاحی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لغت‌شناسان،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هر چیزی که هر کسی از آن اعراض و نفرت دارد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الذی یَرغب عنه الکل، کما ان الخَیرُ هو الذی</w:t>
      </w:r>
    </w:p>
    <w:p>
      <w:pPr>
        <w:pStyle w:val="BookText"/>
        <w:rPr/>
      </w:pPr>
      <w:r>
        <w:rPr>
          <w:rFonts w:ascii="IRNazanin" w:hAnsi="IRNazanin" w:eastAsia="IRNazanin"/>
          <w:color w:val="111111"/>
          <w:sz w:val="28"/>
          <w:sz w:val="28"/>
          <w:szCs w:val="28"/>
          <w:rtl w:val="true"/>
          <w:lang w:bidi="fa-IR"/>
        </w:rPr>
        <w:t>ص</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84</w:t>
      </w:r>
      <w:bookmarkStart w:id="343" w:name="pg3261_16510"/>
    </w:p>
    <w:p>
      <w:pPr>
        <w:pStyle w:val="BookText"/>
        <w:rPr/>
      </w:pPr>
      <w:bookmarkEnd w:id="343"/>
      <w:r>
        <w:rPr>
          <w:rFonts w:ascii="IRNazanin" w:hAnsi="IRNazanin" w:eastAsia="IRNazanin"/>
          <w:color w:val="111111"/>
          <w:sz w:val="28"/>
          <w:sz w:val="28"/>
          <w:szCs w:val="28"/>
          <w:rtl w:val="true"/>
          <w:lang w:bidi="fa-IR"/>
        </w:rPr>
        <w:t>یرغب فیه الکل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که متضاد آن است، به معنی آنچه به سوی او رغبت و میل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ارتکازات عرفی به چیزی گفته می‌شود که با طبع انسان سازگار باشد و انسان آن را بپسندد؛ مانند سلامتی جسمانی و روانی،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هر امری که ملائم طبع نباشد گفته می‌شود؛ مانند غم، درد، بیماری، فقر، نادانی، زلزله، سیل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ضرر، سیئه، قبح و عدم اگرچه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دارند، با آن متفاوتند</w:t>
      </w:r>
      <w:r>
        <w:rPr>
          <w:rFonts w:eastAsia="IRNazanin" w:cs="IRNazanin"/>
          <w:color w:val="111111"/>
          <w:sz w:val="28"/>
          <w:szCs w:val="28"/>
          <w:rtl w:val="true"/>
          <w:lang w:bidi="fa-IR"/>
        </w:rPr>
        <w:t>.</w:t>
      </w:r>
    </w:p>
    <w:p>
      <w:pPr>
        <w:pStyle w:val="Heading4"/>
        <w:numPr>
          <w:ilvl w:val="3"/>
          <w:numId w:val="1"/>
        </w:numPr>
        <w:rPr/>
      </w:pPr>
      <w:bookmarkStart w:id="344" w:name="__RefHeading___Toc2051787_2749589250"/>
      <w:bookmarkStart w:id="345" w:name="_Toc143"/>
      <w:bookmarkEnd w:id="344"/>
      <w:r>
        <w:rPr>
          <w:rtl w:val="true"/>
        </w:rPr>
        <w:t>نسبتِ نقص و شرّ</w:t>
      </w:r>
      <w:bookmarkEnd w:id="345"/>
    </w:p>
    <w:p>
      <w:pPr>
        <w:pStyle w:val="BookText"/>
        <w:rPr/>
      </w:pPr>
      <w:r>
        <w:rPr>
          <w:rFonts w:ascii="IRNazanin" w:hAnsi="IRNazanin" w:eastAsia="IRNazanin"/>
          <w:color w:val="111111"/>
          <w:sz w:val="28"/>
          <w:sz w:val="28"/>
          <w:szCs w:val="28"/>
          <w:rtl w:val="true"/>
          <w:lang w:bidi="fa-IR"/>
        </w:rPr>
        <w:t>نقص غیر از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می‌تواند به معنایی اعمّ به کار رود و آن معنا عبارت از مطلق کاستی است، 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 در معنای نقص به کار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موجودی که سلامت و حیات خود را از دست بدهد گرفتار شرّ می شود، بلکه هر موجود جز ذات اقدس اله از آن جهت که فاقد برخی کمالات است قرین شرّ است، و این معنا تنها به عالم ماده و طبیعت محدود نمی شود، بلکه همۀ موجودات ماهوی را در بر می گیرد، زیرا موجود ماهوی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فرشتگان که هر یک دارای مقام معلومی هستند، نسبت به آنچه در فراسوی آن‌هاست، ناقصند، ولکن معنای اصطلاحی شرّ دربارۀ آن‌ها اطلاق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346" w:name="__RefHeading___Toc2051789_2749589250"/>
      <w:bookmarkStart w:id="347" w:name="_Toc144"/>
      <w:bookmarkEnd w:id="346"/>
      <w:r>
        <w:rPr>
          <w:rtl w:val="true"/>
        </w:rPr>
        <w:t>نسبتِ سیئه و شرّ</w:t>
      </w:r>
      <w:bookmarkEnd w:id="347"/>
    </w:p>
    <w:p>
      <w:pPr>
        <w:pStyle w:val="BookText"/>
        <w:rPr/>
      </w:pPr>
      <w:r>
        <w:rPr>
          <w:rFonts w:ascii="IRNazanin" w:hAnsi="IRNazanin" w:eastAsia="IRNazanin"/>
          <w:color w:val="111111"/>
          <w:sz w:val="28"/>
          <w:sz w:val="28"/>
          <w:szCs w:val="28"/>
          <w:rtl w:val="true"/>
          <w:lang w:bidi="fa-IR"/>
        </w:rPr>
        <w:t xml:space="preserve">واژۀ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چیزی که بدی در آن ثابت باشد، گفته می‌شود؛ لذا به معنای حادثه یا عملی است که زشتی و بدی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گاهی لفظ آن بر امور و مصائبی که آدمی را بدحال می‌کند گفته می‌شود؛ مثلاً در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 مِن سَیِّئَة فَمِن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یَستَعجِلُونَکَ بِالسَّیِئَة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بر نتایج معاصی و آثار خارجی، دنیوی و اخروی آن اطلاق می شود؛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فَأَصَابَهُم سَیِّئَاتِ مَا عَمِلُوا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این‌که بدی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دارد، از نظر معنا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بیشتری دارد و از نظر لفظ معنایش بلیغ‌تر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یک از این دو واژه به حسب مورد در جای مناسب خود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348" w:name="__RefHeading___Toc2051791_2749589250"/>
      <w:bookmarkStart w:id="349" w:name="_Toc145"/>
      <w:bookmarkEnd w:id="348"/>
      <w:r>
        <w:rPr>
          <w:rtl w:val="true"/>
        </w:rPr>
        <w:t>نسبتِ ضرر و شرّ</w:t>
      </w:r>
      <w:bookmarkEnd w:id="3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گاه در برابر خیر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هرگاه مسئله‌ای ناظر به هدف 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شود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اگر به اعتبار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شود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خواندن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پرهیز کردن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از شرّ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هدف</w:t>
      </w:r>
      <w:bookmarkStart w:id="350" w:name="pg3261_16511"/>
    </w:p>
    <w:p>
      <w:pPr>
        <w:pStyle w:val="BookText"/>
        <w:rPr/>
      </w:pPr>
      <w:bookmarkEnd w:id="350"/>
      <w:r>
        <w:rPr>
          <w:rFonts w:ascii="IRNazanin" w:hAnsi="IRNazanin" w:eastAsia="IRNazanin"/>
          <w:color w:val="111111"/>
          <w:sz w:val="28"/>
          <w:sz w:val="28"/>
          <w:szCs w:val="28"/>
          <w:rtl w:val="true"/>
          <w:lang w:bidi="fa-IR"/>
        </w:rPr>
        <w:t xml:space="preserve">است و باید آن را انتخاب کرد و هرچه برای این هدف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برای رسیدن به این هدف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4"/>
        <w:numPr>
          <w:ilvl w:val="3"/>
          <w:numId w:val="1"/>
        </w:numPr>
        <w:rPr/>
      </w:pPr>
      <w:bookmarkStart w:id="351" w:name="__RefHeading___Toc2051793_2749589250"/>
      <w:bookmarkStart w:id="352" w:name="_Toc146"/>
      <w:bookmarkEnd w:id="351"/>
      <w:r>
        <w:rPr>
          <w:rtl w:val="true"/>
        </w:rPr>
        <w:t>نسبتِ شرّ با قبح</w:t>
      </w:r>
      <w:bookmarkEnd w:id="352"/>
    </w:p>
    <w:p>
      <w:pPr>
        <w:pStyle w:val="BookText"/>
        <w:rPr/>
      </w:pPr>
      <w:r>
        <w:rPr>
          <w:rFonts w:ascii="IRNazanin" w:hAnsi="IRNazanin" w:eastAsia="IRNazanin"/>
          <w:color w:val="111111"/>
          <w:sz w:val="28"/>
          <w:sz w:val="28"/>
          <w:szCs w:val="28"/>
          <w:rtl w:val="true"/>
          <w:lang w:bidi="fa-IR"/>
        </w:rPr>
        <w:t xml:space="preserve">یکی دیگر از واژگانی که با کلمه شرّ اشتراک معنایی دارد،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حقایق جهان هستی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اعتباریات قانون گذاری است؛ لذا از این رو که خیر و شرّ حقایق وجودی‌اند، ناظر به اصل نظم در جهان نیست؛ یعنی پیدایش شرور اشکال بر اهل نظم وارد نخواهد کرد، زیرا شرور نه با تصادف پیدا می شود و نه با نظام علّی و معلولی مخالف است، بلکه یقیناً هر رویدای که شرّ نامیده می شود، دارای سبب و علت مخصوص به خود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جوادی 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4"/>
        <w:numPr>
          <w:ilvl w:val="3"/>
          <w:numId w:val="1"/>
        </w:numPr>
        <w:rPr/>
      </w:pPr>
      <w:bookmarkStart w:id="353" w:name="__RefHeading___Toc2051795_2749589250"/>
      <w:bookmarkStart w:id="354" w:name="_Toc147"/>
      <w:bookmarkEnd w:id="353"/>
      <w:r>
        <w:rPr>
          <w:rtl w:val="true"/>
        </w:rPr>
        <w:t>نسبت شرّ و عدم</w:t>
      </w:r>
      <w:bookmarkEnd w:id="354"/>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خیر و شرّ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خیر امر وجودی است، اما شرّ مساوق با عدم نیست، بلکه اخص از عدم است؛ یعنی هر امر شرّی عدمی است، اما هر عدمی شرّ نیست؛ به تعبیر دیگر، شرّ عدم خاص است، و آن عدم ملکه از موضوع قابل و مستعد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خیر و شرّ مانند وجود و عدم ـ که نقیض یکدیگرند ـ نقیض 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امامیه، وجود اَلَم و شرور را امری وجدانی و ضروری دانسته و شکّ در آن را نیز بی‌دلیل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ضروری بودن اصل وجود بلایا، معنای خیر و شرّ نیز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متکلمان خیر را ادراک ملائم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حیث که ملائم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را نیز ادراک منافی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این‌که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تعریف یاد‌شده، تعریفی تنبیهی است، وگرنه خیر و شرّ از امور وجدانی است که به تعریف نیازمند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یعنی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مساوقت خیر 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یعنی 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مساوقت شرّ با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خیر به معنای وجود مطلوب و شر، یعنی عدم کمال یا عدم کمال ذاتی شرّ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عمادزاده،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355" w:name="__RefHeading___Toc2051797_2749589250"/>
      <w:bookmarkStart w:id="356" w:name="_Toc148"/>
      <w:bookmarkEnd w:id="355"/>
      <w:r>
        <w:rPr/>
        <w:t>2</w:t>
      </w:r>
      <w:r>
        <w:rPr>
          <w:rtl w:val="true"/>
        </w:rPr>
        <w:t xml:space="preserve">. </w:t>
      </w:r>
      <w:r>
        <w:rPr>
          <w:rtl w:val="true"/>
        </w:rPr>
        <w:t>مفهوم‌شناسی دعا و نیایش</w:t>
      </w:r>
      <w:bookmarkEnd w:id="356"/>
    </w:p>
    <w:p>
      <w:pPr>
        <w:pStyle w:val="Heading4"/>
        <w:numPr>
          <w:ilvl w:val="3"/>
          <w:numId w:val="1"/>
        </w:numPr>
        <w:rPr/>
      </w:pPr>
      <w:bookmarkStart w:id="357" w:name="__RefHeading___Toc2051799_2749589250"/>
      <w:bookmarkStart w:id="358" w:name="_Toc149"/>
      <w:bookmarkEnd w:id="357"/>
      <w:r>
        <w:rPr>
          <w:rtl w:val="true"/>
        </w:rPr>
        <w:t>معنای لغوی دعا</w:t>
      </w:r>
      <w:bookmarkEnd w:id="3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خواندن چیزی است به سوی خود با آواز و یا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تمیلَ الشیءَ إلیک بصوتٍ و کلامٍ یکون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با صوت و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این واژه در دعوت با نوشته، اشاره و امثال آن، مفهوم این واژه را اعم از خواندن با صوت و لفظ گردانیده است</w:t>
      </w:r>
      <w:r>
        <w:rPr>
          <w:rFonts w:eastAsia="IRNazanin" w:cs="IRNazanin"/>
          <w:color w:val="111111"/>
          <w:sz w:val="28"/>
          <w:szCs w:val="28"/>
          <w:rtl w:val="true"/>
          <w:lang w:bidi="fa-IR"/>
        </w:rPr>
        <w:t>.</w:t>
      </w:r>
      <w:bookmarkStart w:id="359" w:name="pg3261_16512"/>
    </w:p>
    <w:p>
      <w:pPr>
        <w:pStyle w:val="BookText"/>
        <w:rPr/>
      </w:pPr>
      <w:bookmarkEnd w:id="359"/>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الفاظ و اصوات اختصاص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 لفظ باشد و می‌تواند با اشاره و امثال آن؛ 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حقیقی‌اش حتماً باید با صدای بلند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صدای بلند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معادل فارسی دعا به معانی‌ای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ستایش، پرستش و دعا از روی تضرع آمده است</w:t>
      </w:r>
      <w:r>
        <w:rPr>
          <w:rFonts w:eastAsia="IRNazanin" w:cs="IRNazanin"/>
          <w:color w:val="111111"/>
          <w:sz w:val="28"/>
          <w:szCs w:val="28"/>
          <w:rtl w:val="true"/>
          <w:lang w:bidi="fa-IR"/>
        </w:rPr>
        <w:t>.</w:t>
      </w:r>
    </w:p>
    <w:p>
      <w:pPr>
        <w:pStyle w:val="Heading4"/>
        <w:numPr>
          <w:ilvl w:val="3"/>
          <w:numId w:val="1"/>
        </w:numPr>
        <w:rPr/>
      </w:pPr>
      <w:bookmarkStart w:id="360" w:name="__RefHeading___Toc2051801_2749589250"/>
      <w:bookmarkStart w:id="361" w:name="_Toc150"/>
      <w:bookmarkEnd w:id="360"/>
      <w:r>
        <w:rPr>
          <w:rtl w:val="true"/>
        </w:rPr>
        <w:t>معنای اصطلاحی دعا</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معنای درخواست انجام کاری از مدعوّ است که به صورت جملۀ امر یا نهی و گاه به صورت جملۀ خبری،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دعا مرتبۀ مخاطب فراتر از داعی و در امر، فروتر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دعا اجابت می‌شود، در حالی که امر، اطاعت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Heading3"/>
        <w:numPr>
          <w:ilvl w:val="2"/>
          <w:numId w:val="1"/>
        </w:numPr>
        <w:rPr/>
      </w:pPr>
      <w:bookmarkStart w:id="362" w:name="__RefHeading___Toc2051803_2749589250"/>
      <w:bookmarkStart w:id="363" w:name="_Toc151"/>
      <w:bookmarkEnd w:id="362"/>
      <w:r>
        <w:rPr/>
        <w:t>3</w:t>
      </w:r>
      <w:r>
        <w:rPr>
          <w:rtl w:val="true"/>
        </w:rPr>
        <w:t xml:space="preserve">. </w:t>
      </w:r>
      <w:r>
        <w:rPr>
          <w:rtl w:val="true"/>
        </w:rPr>
        <w:t>جنبه‌های وجودشناختی و مصادیق مسئله شرّ در نیایش‌های شیعی</w:t>
      </w:r>
      <w:bookmarkEnd w:id="363"/>
    </w:p>
    <w:p>
      <w:pPr>
        <w:pStyle w:val="Heading4"/>
        <w:numPr>
          <w:ilvl w:val="3"/>
          <w:numId w:val="1"/>
        </w:numPr>
        <w:rPr/>
      </w:pPr>
      <w:bookmarkStart w:id="364" w:name="__RefHeading___Toc2051805_2749589250"/>
      <w:bookmarkStart w:id="365" w:name="_Toc152"/>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توجه به بعد وجودی مسئلۀ شرّ در ابعاد معرفتی آن و نیز در حل مسئله، تأثیر شایانی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مطالعات معرفت‌شناسانه، جهت وجودشناختی مسئلۀ شرّ مفروض و گاه مسلّم گرفته شده است، با این حال بحث نیستی‌انگارانه یا وجودی بودن مسئله شرّ از مباحث پردامنه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وجودی می‌دانند؛ با این حال، شرّ را بالذات امر عدمی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در دفاع از نظریۀ عدمی بودن شرّ چنین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فلاسفه معتقدند شرّ،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امر عدمی است، یا عدم ذات خود است یا عدم کمال ذاتی، چون اگر شرّ امر وجودی باشد، یا شرّ برای خودش خواهد بود یا برای دیگری؛ اما صورت اول جایز نیست، چون در این حالت می‌بایست از ابتدا موجود نمی‌شد، برای این‌که یک شی‌ء نمی‌تواند مقتضی عدم ذات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دوم که شرّ عادم ذات یا کمال دیگری شود، در این فرض شرّ همان امر عدمی خواهد بود، نه امر وجودی که نقش فاعل و عادم را ایفا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عرفا نظیر ابن‌عربی نیز شرّ را معدوم یا ترجیحاً فقدان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ابن‌عربی هر چیزی که واقعاً وجود دارد، خیر است، وگرنه نمی‌توانست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واقعیتی خیالی می‌داند، 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 را به امر موافق با هدف و ملائم با طبع و مزاج، و شرّ را به امر غیرموافق با هدف و ناملایم با طبع و مزاج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بالخیر ما یوافق غرضه و یلائم طبعه و مزاجه، و أعنی بالشرّ ما لا یوافق غرضه و لا یلائم طبعه و لا مزاجه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366" w:name="pg3261_16513"/>
    </w:p>
    <w:p>
      <w:pPr>
        <w:pStyle w:val="Heading4"/>
        <w:numPr>
          <w:ilvl w:val="3"/>
          <w:numId w:val="1"/>
        </w:numPr>
        <w:rPr/>
      </w:pPr>
      <w:bookmarkStart w:id="367" w:name="__RefHeading___Toc2051807_2749589250"/>
      <w:bookmarkStart w:id="368" w:name="_Toc153"/>
      <w:bookmarkEnd w:id="366"/>
      <w:bookmarkEnd w:id="367"/>
      <w:r>
        <w:rPr>
          <w:rtl w:val="true"/>
        </w:rPr>
        <w:t>وجودی بودن شرّ در نیایش‌ها</w:t>
      </w:r>
      <w:bookmarkEnd w:id="368"/>
    </w:p>
    <w:p>
      <w:pPr>
        <w:pStyle w:val="BookText"/>
        <w:rPr/>
      </w:pPr>
      <w:r>
        <w:rPr>
          <w:rFonts w:ascii="IRNazanin" w:hAnsi="IRNazanin" w:eastAsia="IRNazanin"/>
          <w:color w:val="111111"/>
          <w:sz w:val="28"/>
          <w:sz w:val="28"/>
          <w:szCs w:val="28"/>
          <w:rtl w:val="true"/>
          <w:lang w:bidi="fa-IR"/>
        </w:rPr>
        <w:t xml:space="preserve">با این همه، در نیایش‌های شیعی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مناجات‌های عارفانۀ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دربارۀ این دعا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مناجات را در برخی کتاب‌های اصحاب دیدم که از امام سجاد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الْمُنَاجَاةُ الْخَمْسَ عَشْرَةَ لِمَوْلَانَا عَلِیِّ بْنِ الْحُسَیْنِ صَلَوَاتُ اللَّهِ عَلَیْهِمَا وَ قَدْ وَجَدْتُهَا مَرْوِیَّةً عَنْهُ  علیه السلام   فِی بَعْضِ کُتُبِ الْأَصْحَابِ رِضْوَانُ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که منبع مهمی برای خودسازی به شمار می‌رود، همواره مورد توجه و توصیۀ علمای اخلاق بوده و اهل سیر و سلوک و تهذیب نفس بر خواندن آن سفارش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پانزده‌گانه، دربارۀ نفس آدمی و بیماری‌های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فقرات این دعا در مقام بیان ضعف انسان و نفس امّاره، با الهام از قرآن کریم به بی‌تابی انسان در مواجهه با شرّ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مَسَّها الشرّ تَجزَعُ و انَّ مَسَّها الخَیر تَمنَع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 ادعیۀ فراوان دیگر نشان می‌دهد که شرّ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امر وجودی، منشأ آثار است و بی‌تابی و عدم تحمل از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المَشحُونَۀٌ بِالنَّکَبَات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دنیا پر از آفت و رنج و نکبت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اشاره به وجودی بودنِ دست‌کم برخی از شرور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ادعیۀ مشهور شیعی بوده و خواندن آن در ساعت آخر روز جمعه توصیه شده و در دعای سمات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اِکفِنِی مَؤُونَۀ اِنسَانِ سُوءٍ و جَارِ سُوءٍ و قَرینِ سُوءٍ و یَومِ سُوءٍ و سَاعَۀِ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انسان بد، همسایۀ بد، هم‌نشین بد، روز بد و ساعت بد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369" w:name="__RefHeading___Toc2051809_2749589250"/>
      <w:bookmarkStart w:id="370" w:name="_Toc154"/>
      <w:bookmarkEnd w:id="369"/>
      <w:r>
        <w:rPr>
          <w:rtl w:val="true"/>
        </w:rPr>
        <w:t>پیامدها و آثار آلام در نیایش‌های شیعی</w:t>
      </w:r>
      <w:bookmarkEnd w:id="3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نیایش‌های شیعی پیامدها و آثار آلام وارد بر انسان را در یک سطح ارزیابی نکرده و آن‌ها را در دو گروه دارای پیامدهای مثبت و منفی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آلامی که دارای پیامدهای مثبت بر روح و زندگی معنوی و حتی دنیوی انسان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از خالق هستی به خاطر این‌گونه پیشامدها شکرگزاری شده، هم‌چنان‌که برای تفضل و الطاف او سپاس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الحَمدَ عَلَی مَا فَضَّلتَنی و لَکَ الحَمدُ عَلی مَا شَرَّفتَنی و لَکَ الحَمدُ عَلی کُل بَلاءٍ حَسَن اِبتَلَیتَنی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ابن‌طاووس،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شرور موجب سلب آرامش روحی انسان و حتی سلب حال عبادت و نیایش می‌شود؛ از این رو، از خداوند خواسته می‌شود که با دفع آن‌ها عوامل بی‌نشاطی و کسالت در انجام وظایف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تَشغَلَنی بِالِاهتِمَامِ عَن تَعاهُد فُرُوضِک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حسین  علیه السلام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bookmarkStart w:id="371" w:name="pg3261_16514"/>
    </w:p>
    <w:p>
      <w:pPr>
        <w:pStyle w:val="Heading4"/>
        <w:numPr>
          <w:ilvl w:val="3"/>
          <w:numId w:val="1"/>
        </w:numPr>
        <w:rPr/>
      </w:pPr>
      <w:bookmarkStart w:id="372" w:name="__RefHeading___Toc2051811_2749589250"/>
      <w:bookmarkStart w:id="373" w:name="_Toc155"/>
      <w:bookmarkEnd w:id="371"/>
      <w:bookmarkEnd w:id="372"/>
      <w:r>
        <w:rPr>
          <w:rtl w:val="true"/>
        </w:rPr>
        <w:t>مصادیق شرّ در نیایش‌های شیعی</w:t>
      </w:r>
      <w:bookmarkEnd w:id="373"/>
    </w:p>
    <w:p>
      <w:pPr>
        <w:pStyle w:val="BookText"/>
        <w:rPr/>
      </w:pPr>
      <w:r>
        <w:rPr>
          <w:rFonts w:ascii="IRNazanin" w:hAnsi="IRNazanin" w:eastAsia="IRNazanin"/>
          <w:color w:val="111111"/>
          <w:sz w:val="28"/>
          <w:sz w:val="28"/>
          <w:szCs w:val="28"/>
          <w:rtl w:val="true"/>
          <w:lang w:bidi="fa-IR"/>
        </w:rPr>
        <w:t>در نیایش‌های معصومین  علیهم السلام  به مصادیق زیادی از شرور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خارجی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شرّ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اغلبِ مصادیق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هر کدام شامل مصادیق جزئی‌تر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درنده و 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برخی از شرور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تاریکی چون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در زمرۀ شرور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گناهان، شرّ تبهکاران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دیگر، برخی از شرور در دستۀ شرور نفسانی و ناظر به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گناهانم، شرّ نفسم، شرّ اعمال بدم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ناظر به امور بیرونی و متأثر از فضای خارج از نفس انسان شمرده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حسود و شرّ هر ظالم و دزد و رهزن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منظری دیگر می‌توان شرور را به شرور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شرور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 با وجود انواع عللی که موجب ایجاد شرور می‌گردد، نهایتاً شرور دارای علل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مسئله شرور را با اختیار انسان گره زد و دانست که ارادۀ آزاد انسانی همان‌گونه که منجر به خیر در جهان هستی می‌گردد، به تولید شرور نیز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مصادیق شرّ در نیایش‌ها به شرح ذیل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الرَّسیسِ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بیماری پایدار و بلندمدت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ما ذَرَءَ وَ 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درنده و گزنده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الشیطان اللعین و ابنائه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شیطان لعین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شرّ ما کانَ فِی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آنچه آفرید و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ما تَحْتَ الثَّری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آنچه زیر آسمان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شرّ ما ظَهَرَ وَ ما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آشکار و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آنچه آفریده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شرّ غاسِقٍ إِذا وَقَبَ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تاریکی چون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شرّ النَّفَّاثاتِ 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زنانی که در گره‌ها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برای جادو ـ می‌دمند، و گاهی به زنانی که مردان را به کار شرّ وسوسه می‌کنند، تفسیر شده</w:t>
      </w:r>
      <w:bookmarkStart w:id="374" w:name="pg3261_16515"/>
    </w:p>
    <w:p>
      <w:pPr>
        <w:pStyle w:val="BookText"/>
        <w:rPr/>
      </w:pPr>
      <w:bookmarkEnd w:id="37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شرّ حاسِدٍ إِذا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حسود آن‌گاه که حسد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شرّ الْوَسْواسِ الْخَنَّاسِ الَّذِی یُوَسْوِسُ فِی صُدُورِ النَّاسِ مِنَ الجِنَّۀِ وَ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وسوسه‌گر نهانی، آن‌کس که در سینه‌های مردم وسوسه می‌کند، چه از جن و چه از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کُلِّ ذِی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کُلِّ ضَعِیفٍ أَوْ شَدِیدٍ مِنْ خَلْقِکَ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ناتوان یا توانمند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کُلِّ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هر 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بوَائِقِ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کُرُبات الآخرۀ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کُلِّ جَبَّارٍ عَنِیدٍ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زورگوی ستیزه‌گر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آتش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نفس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اعمال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وَ السَّدَمِ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اندوه همراه با پشیمانی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إِبْلِیسَ و جُنُودِهِ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ابلیس و سپاهیانش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ذنبی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گناهانم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کُلِّ عَدُوٍّ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دشمن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قَضاءِ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قضای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فَسَقَةِ الْعَرَبِ وَ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تبه‌کاران عرب و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شَیَاطِینِ الْإِنْسِ وَ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شیاطین جنّی و انسی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همۀ 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کُلِّ سُلْطانٍ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سلطان سرسخت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هذَا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این درد ـ در موقعی که دعا برای رفع درد خوانده می‌شود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عباد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بندگان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کل ذی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همه موجودات بدیرسان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شرّ ما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آنچه مقدر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ما اَحْذَرُ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آنچه حذر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شرّ ما اَخافُ عَلی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آنچه بر خود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الظالم و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ظالم و دزد رهزن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گزندۀ زهردارنده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بلا و چشم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الدنیاء و 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آنچه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خواب‌های 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مَا أَسْلَفْتُ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آنچه در گذشته از من سر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الْأَزْمِنَةِ نِسْوَةٌ کَاشِفَاتٌ عَارِیَاتٌ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زمانی که زنان، پوشیدۀ برهنه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مصائد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دام‌های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المرجع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عدول از دین الهی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الشرور وَ آفَاتِ الدُّهُورِ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شرور و آفات و آلام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انسان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جَارِ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 قرین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حاکم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نرم‌افزار جامع الاحادیث، نسخه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75" w:name="__RefHeading___Toc2051813_2749589250"/>
      <w:bookmarkStart w:id="376" w:name="_Toc156"/>
      <w:bookmarkEnd w:id="375"/>
      <w:r>
        <w:rPr>
          <w:rtl w:val="true"/>
        </w:rPr>
        <w:t>مسئله شرّ، مقوله‌ای قابل کنترل</w:t>
      </w:r>
      <w:bookmarkEnd w:id="376"/>
    </w:p>
    <w:p>
      <w:pPr>
        <w:pStyle w:val="BookText"/>
        <w:rPr/>
      </w:pPr>
      <w:r>
        <w:rPr>
          <w:rFonts w:ascii="IRNazanin" w:hAnsi="IRNazanin" w:eastAsia="IRNazanin"/>
          <w:color w:val="111111"/>
          <w:sz w:val="28"/>
          <w:sz w:val="28"/>
          <w:szCs w:val="28"/>
          <w:rtl w:val="true"/>
          <w:lang w:bidi="fa-IR"/>
        </w:rPr>
        <w:t>نیایش‌های شیعی هرچند مسئله شرّ را امری وجودی می‌دانند، اما آن را غیر قابل کنترل و نیز اجتناب‌ناپذیر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در‌خواست از خداوند برای دور شدن بلا و شرّ از انسان، یکی از نیایش‌هایی است که در ادعیۀ معصومین  علیهم السلام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خمسۀ عشر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تُصَیِّرَنِی لِلْفِتَنِ غَرَضا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درخواست می‌کنم که مرا آماج تیر و بلا و فتنه نگردانی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البَلاءِ واقیا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بلاها حفظ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تُبْلِنِی بِالْخَیْبَةِ وَ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زیان و حرمان مبتلا مساز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می‌توان دریافت، مسئله شرّ در مواردی قابل پیش‌گیری و در مواردی قابل کنترل و مهار است که یکی از راه‌های مؤثر این دو، همان عرض دعا و نیایش به پیشگاه خداوند است</w:t>
      </w:r>
      <w:r>
        <w:rPr>
          <w:rFonts w:eastAsia="IRNazanin" w:cs="IRNazanin"/>
          <w:color w:val="111111"/>
          <w:sz w:val="28"/>
          <w:szCs w:val="28"/>
          <w:rtl w:val="true"/>
          <w:lang w:bidi="fa-IR"/>
        </w:rPr>
        <w:t>.</w:t>
      </w:r>
    </w:p>
    <w:p>
      <w:pPr>
        <w:pStyle w:val="Heading3"/>
        <w:numPr>
          <w:ilvl w:val="2"/>
          <w:numId w:val="1"/>
        </w:numPr>
        <w:rPr/>
      </w:pPr>
      <w:bookmarkStart w:id="377" w:name="__RefHeading___Toc2051815_2749589250"/>
      <w:bookmarkStart w:id="378" w:name="_Toc157"/>
      <w:bookmarkEnd w:id="377"/>
      <w:r>
        <w:rPr/>
        <w:t>4</w:t>
      </w:r>
      <w:r>
        <w:rPr>
          <w:rtl w:val="true"/>
        </w:rPr>
        <w:t xml:space="preserve">. </w:t>
      </w:r>
      <w:r>
        <w:rPr>
          <w:rtl w:val="true"/>
        </w:rPr>
        <w:t>رهیافت انواع شرور در نیایش‌های شیعی</w:t>
      </w:r>
      <w:bookmarkEnd w:id="3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جدول ذیل، به رهیافت انواع شرور از نیایش‌های شیعی همراه با نوع شرور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شرّ در نیایش‌های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شرور</w:t>
      </w:r>
    </w:p>
    <w:p>
      <w:pPr>
        <w:pStyle w:val="BookText"/>
        <w:rPr/>
      </w:pPr>
      <w:r>
        <w:rPr>
          <w:rFonts w:ascii="IRNazanin" w:hAnsi="IRNazanin" w:eastAsia="IRNazanin"/>
          <w:color w:val="111111"/>
          <w:sz w:val="28"/>
          <w:sz w:val="28"/>
          <w:szCs w:val="28"/>
          <w:rtl w:val="true"/>
          <w:lang w:bidi="fa-IR"/>
        </w:rPr>
        <w:t>شرّ بیماری پایدار و بلندمدت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طبیعی، بیرونی، دنیوی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 هر درنده و گزنده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طبیعی، بیرونی، دنیوی</w:t>
      </w:r>
      <w:bookmarkStart w:id="379" w:name="pg3261_16517"/>
    </w:p>
    <w:p>
      <w:pPr>
        <w:pStyle w:val="Heading3"/>
        <w:numPr>
          <w:ilvl w:val="2"/>
          <w:numId w:val="1"/>
        </w:numPr>
        <w:rPr/>
      </w:pPr>
      <w:bookmarkStart w:id="380" w:name="__RefHeading___Toc2051817_2749589250"/>
      <w:bookmarkStart w:id="381" w:name="_Toc158"/>
      <w:bookmarkEnd w:id="379"/>
      <w:bookmarkEnd w:id="380"/>
      <w:r>
        <w:rPr/>
        <w:t>5</w:t>
      </w:r>
      <w:r>
        <w:rPr>
          <w:rtl w:val="true"/>
        </w:rPr>
        <w:t xml:space="preserve">. </w:t>
      </w:r>
      <w:r>
        <w:rPr>
          <w:rtl w:val="true"/>
        </w:rPr>
        <w:t>نقش خداوند در کنترل شرور</w:t>
      </w:r>
      <w:bookmarkEnd w:id="381"/>
    </w:p>
    <w:p>
      <w:pPr>
        <w:pStyle w:val="BookText"/>
        <w:rPr/>
      </w:pPr>
      <w:r>
        <w:rPr>
          <w:rFonts w:ascii="IRNazanin" w:hAnsi="IRNazanin" w:eastAsia="IRNazanin"/>
          <w:color w:val="111111"/>
          <w:sz w:val="28"/>
          <w:sz w:val="28"/>
          <w:szCs w:val="28"/>
          <w:rtl w:val="true"/>
          <w:lang w:bidi="fa-IR"/>
        </w:rPr>
        <w:t>آیا خداوند آن‌چنان‌که برخی ملحدان می‌گویند، در مسئله شرّ به کلی از دغدغۀ مخلوق، فارغ بوده است؟ و برای وخیم‌تر نشدن وضعیت در مسئله شرّ یا بهتر شدن آن کاری نکرده و هیچ تدبیری نیندیشیده است؟</w:t>
      </w:r>
    </w:p>
    <w:p>
      <w:pPr>
        <w:pStyle w:val="BookText"/>
        <w:rPr/>
      </w:pPr>
      <w:r>
        <w:rPr>
          <w:rFonts w:ascii="IRNazanin" w:hAnsi="IRNazanin" w:eastAsia="IRNazanin"/>
          <w:color w:val="111111"/>
          <w:sz w:val="28"/>
          <w:sz w:val="28"/>
          <w:szCs w:val="28"/>
          <w:rtl w:val="true"/>
          <w:lang w:bidi="fa-IR"/>
        </w:rPr>
        <w:t>بر اساس آنچه از نیایش‌های شیعی به دست می‌آید، خداوند در مسئله شرور انسانی نه تنها نقشی فارغ‌دلانه ندارد، بلکه فهم جایگاه خداوند به فهم مسئله شرور نیز کمک شایانی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های معصومین  علیهم السلام  حکمت شرور را در ارتباط با سعادت فردی یا نوعی انسان‌ها تبیین می‌کنند و آن را عاملی برای نزدیکی و قرب به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خداوند همواره در تلاش است تا بهترین مقدرات را برای بندۀ خویش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فهم شرور و پذیرش مصیبت‌هایی که بر انسا‌ن وارد می‌گردد، خود بخشی از ایمان دینی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اِیمَانًا تُبَاشِرُ بِهِ قَلبِی وَ یَقِینًا صَادِقًا حَتَّی اَعلَمُ اِنَّهُ لَن یُصِیَبنی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طلب می‌شود تا او را برای نیل به معرفت یقینی برای رضایت‌مندی از</w:t>
      </w:r>
    </w:p>
    <w:p>
      <w:pPr>
        <w:pStyle w:val="BookText"/>
        <w:rPr/>
      </w:pPr>
      <w:r>
        <w:rPr>
          <w:rFonts w:ascii="IRNazanin" w:hAnsi="IRNazanin" w:eastAsia="IRNazanin"/>
          <w:color w:val="111111"/>
          <w:sz w:val="28"/>
          <w:sz w:val="28"/>
          <w:szCs w:val="28"/>
          <w:rtl w:val="true"/>
          <w:lang w:bidi="fa-IR"/>
        </w:rPr>
        <w:t>تقدیرات الهی آماده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رَضِنی مِنَ العَیشِ بمَا قَسمَت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 مسلمان در خلال نیایش فرا می‌گیرد که حتی در دشوارترین وضعیت‌های زندگی نیز نقطۀ امید و اتکایش و پناهگاهی که انسان می‌تواند به او دل ببندد، بارگاه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تُخَیب ظَنّّی وَ اَنتَ مَوضِعُ اَمَلِی وَ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نیایش و درخواست از خداوند، یکی از سنت‌های مهمّ الهی است که نقشی بازدارنده و نیز کنترل‌کننده در مسئله 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نیایش‌های شیعی، نیایش‌گر به حمد و سپاس از خداوندی می‌پردازد که به او اجازه داده تا به درگاه او، مستقیم و بی‌واسطه خواسته‌هایش را بیان کند و پاسخ شایسته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این نیایش‌ها می‌توان دریافت که انسان در مسئله شرّ تنها و بی‌یاور نمانده است و هر لحظه این امکان را دارد تا با اتصال به حقیقت متعالی، از رحمت او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در نیایش‌های شیعی به عنوان منتهای اَمَل و آرزوی انسان، و نهایت امید و رجایش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نیایش‌های شیعی، خداوندی است که در هر لحظة مسئله شرّ، امید هر درخواست‌کننده‌ای است و نیایش‌گر او را با عبارات بلندی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بیچارگان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المُستَغِیثِینَ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رجاء و امید هنگام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رجائی عند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اَمَل و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کهف و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توشه در اندوه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عُدَّتی فی کُربتی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اساس همین ویژگی رحمت و خیر الهی است که گرفتاران مسئله شرّ در پارادایم دینی، هیچ‌گاه مأیوس و ناامید نمی‌گردند و همواره امیدوار به تغییر شرایطند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مهم و قابل توجه در مسئله شرّ، توجه به نقشی است که خدای تعالی در کنترل آن داشته و در ادعیه و زیارات معصومین  علیهم السلام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ادعای برخی ملحدان که تصور می‌کنند خداوند در پیش‌گیری از شرور برای بندگانش کاری انجام نمی‌دهد، نیایش‌های شیعی تأکید می‌کنند که به واسطۀ نقش مهرورزانۀ خداوند است که رخدادهایی با عواقب وخیم‌تر از نظر مادی و معنوی برای انسان اتفاق نمی‌افتد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عطف نظر به این نکته که شرور نوعاً از ناحیۀ خود انسان بوده و پاره‌ای از شرور مؤاخذۀ اعمال انسان است، کلید رفع و کنترل آن‌ها نیز به بازگشت انسان به سوی خالق هستی، دوری از نافرمانی او و توسل به پیشگاه شفیعانی است که با کسب رضایت الهی، به مقامی رفیع نزد خداوند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دعای عالیه المضامین که شیخ عباس قمی در مفاتیح الجنان آن را نقل کرده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زُرْتُ هَذَا الْإِمَامَ مُقِرّاً بِإِمَامَتِهِ مُعْتَقِداً لِفَرْضِ طَاعَتِهِ فَقَصَدْتُ مَشْهَدَهُ بِذُنُوبِی وَ عُیُوبِی وَ مُوبِقَاتِ آثَامِی وَ کَثْرَةِ سَیِّئَاتِی وَ خَطَایَایَ وَ مَا تَعْرِفُهُ مِنِّی</w:t>
      </w:r>
    </w:p>
    <w:p>
      <w:pPr>
        <w:pStyle w:val="BookText"/>
        <w:rPr/>
      </w:pPr>
      <w:r>
        <w:rPr>
          <w:rFonts w:ascii="IRNazanin" w:hAnsi="IRNazanin" w:eastAsia="IRNazanin"/>
          <w:color w:val="111111"/>
          <w:sz w:val="28"/>
          <w:sz w:val="28"/>
          <w:szCs w:val="28"/>
          <w:rtl w:val="true"/>
          <w:lang w:bidi="fa-IR"/>
        </w:rPr>
        <w:t xml:space="preserve">مُسْتَجِیراً بِعَفْوِکَ مُسْتَعِیذاً بِحِلْمِکَ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اعترافات که به درگاه الهی و با واسطه قرار دادن امامش انجام می‌شود، با علم به قدرت و توان خداوند به کشف و رفع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حَاجَتی و تَخبِرُ ضَمیری وَ اَنتَ القَادِرُ عَلی کَشفِ ضُرِّی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معرفتی مسئله شرّ در ادعیۀ شیعی آن است که آنچه پیش آمده، نسبت به آنچه بنده استحقاقش را داشته، به مراتب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توجه به علم مطلق خداوند به همۀ امور و آن‌گاه حلم او در برابر آنچه از انسان می‌داند، آشکارتر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حِلمِهِ بَعدَ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دعایی که امیرمؤمنان علی  علیه السلام   به کمیل بن زیاد نخعی تعلیم دادند،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مَوْلایَ کَمْ مِنْ قَبیحٍ سَتَرْتَهُ وَ کَمْ مِنْ فادِحٍ مِنَ الْبَلاَّءِ اَقَلْتَهُ وَ کَمْ مِنْ عِثارٍ وَقَیْتَهُ وَ کَمْ مِنْ مَکْرُوهٍ دَفَعْتَهُ وَ کَمْ مِنْ ثَناَّءٍ جَمیلٍ لَسْتُ اَهْلاً لَهُ نَشَرْتَهُ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دعای افتتاح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کم مِنْ کُرْبَۀٍ قَدْ فَرَّجْتَها وَ هُمُومٍ قَدْ کَشَفْتَها وَ عَثْرَهٍ قَدْ اَقَلْتَها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گرفتاری که برطرف کردی و چه بسیار اندوه که زدودی و لغزش‌ها که چشم پوشیدی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رَحْمَۀٍ قَدْ نَشَرْتَها وَ حَلْقَهِ بَلاءٍ قَدْ فَکَکْتَها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مهر و رحمت که گستردی و زنجیر بلا که از هم باز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ادعیه، گاه نقش پیشگیرانه و نوعی راهبرد واکنش معکوس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فرازهای مناجات خمسۀ عشر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نوعی واکنش معکوس در مواجهه با بلا تعلیم می‌شود؛ آن‌جا که به نعمت‌های بی‌شمار الهی اشاره دارد و ناتوانی انسان در سپاس نعمت‌ها، درخواست می‌شود که ناگواری‌های انتقام از سوی خدا دفع گردد؛ بلایایی که نتیجۀ ناسپاسی از نعمت پروردگار بوده و در دنیا و آخرت گریبان‌گیر انسان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تَصاغَرَ عند تَعاظُمِ آلائکَ شُکری، و تَضاءَلَ فی جَنبِ اِکرامِکَ اِیایَ ثَنائی و نَشری، جَللتنی نِعَمُک مِن اَنوارِ الایمانِ حُلَلاَ، و ضَرَبَت عَلَیَّ لَطائّف بِرِّک مِن العِزِّ کَلاّ، وَ قَلَّدتَنی مِنَنُکَ قَلائِدَ لا تُحَلُّ، و طَوقتَّنی اَطواقاً لا تُفَلُّ، فَآلاؤُکَ جَمَّةٌ ضَعُفَ لِسانی عَن احصائِها، و نَعمآؤُکَ کَثیرَةٌ قَصُرَ فَهمی عَن اِدراکِها فَضلاً عَن اَستِقصائِها، فَکَیفَ لی بِتَحصیلِ الشُکر، و شُکری ایاکَ یَفتَقِرُ الی شُکرِ، فَکُلَّما قُلتَ لَکَ الحَمدُ وَجَبَ عَلی لِذلِکَ اَن اَقولَ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فَتَمِّم عَلَینا سَوابِغَ النِّعَم و ادفَع عَنا مَکارِهِ النِّقَم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 در مقابل نعمت‌های بزرگ، بسیار ناچیز و حمد و ثنای من در قبال اکرام عنایتت، بسی ناقابل است و نعمت انوار ایمان مرا به زیورهای مجلل بیاراسته و لطایف جود و کَرَمت، تاج عزت بر سرم نهاده و احسان‌هایت رشتۀ علاقه‌ای و طوق‌های شرافتی بر گردنم افکنده که دیگر گشوده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نعمت‌های تو زیاد است که زبانم از شمارش، ناتوان و به حدی بسیار است که فهمم از ادراکش قاصر است تا چه رسد که همه را بتواند اندازه</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توانم شکر آن نعمت ها را به جای آورم، حال آن‌که شکر تو گفتن، شکری بر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هرچه حمد و شکرت گویم، بر آن تو را نیز حمد و شکری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بی‌حدّت را بر ما به اتمام رسان و ناگواری‌های انتقامت را دفع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این نیایش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معتصمین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چشم می‌خورد؛ آن‌جا که از خداوند درخواست می‌شود نگهبانی قرار دهد که از مهالک نجات بخشد، از بلا و آفت دور دارد و از مصائب سخت مانع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این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متوسلین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پیغمبر که دفع‌کنندۀ مصائب دنیوی و اخروی است،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لَیْسَ لِی وَسِیلَةٌ إِلَیْکَ إِلا عَوَاطِفُ رَأْفَتِکَ وَ لا لِی ذَرِیعَةٌ إِلَیْکَ إِلا عَوَارِفُ رَحْمَتِکَ وَ شَفَاعَةُ نَبِیِّکَ نَبِیِّ الرَّحْمَةِ وَ مُنْقِذِ الْأُمَّةِ مِنَ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رأفت و مهربانی و جنبۀ بلاگردانی خدای تعالی در ادعیه، از جمله رویکردهای نیایش در مسئله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نیایش‌های شیعی تصویری از خدای خطاپوش، خدای بلاگردان و خدای زیبانما به نمایش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مَوْلای کَمْ مِنْ قَبیح سَتَرْتَهُ وَ کَمْ مِنْ فادِح مِنَ الْبَلاءِ 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مَکْرُوه دَفَعْتَهُ وَ کَمْ مِنْ ثَناء جَمیل لَسْتُ اَهْلاً لَهُ نَشَرْتَهُ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فرازی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خَیْرَ مَنْ دُعِیَ لِکَشْفِ الضُّرِّ وَ الْمَأْمُولِ 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وَ 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 بهترین کسی که او را در هر سختی، آسانی برای دفع بلیات و نیل به مقاصد خوانند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قمی،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دافعِ غم و اندوه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بِاسْمِکَ الْعَظیمِ الاَعْظَمِ الاَعَزِّ الاَجَلِّ الاَکْرَمِ اَلَّذی اِذا دُعیتَ بِهِ عَلی مَغالِقِ أبْوابِ السَماءِ لِلْفَتْحِ بِالرَّحْمَةِ انْفَتَحَتْ وَ اِذا دُعیتَ بِهِ عَلی مَضَایقِ أبْوابِ الاَرضِ لِلِفَرَجِ انْفَرَجَتْ وَ إِذَا دُعِیتَ بِهِ عَلَی الْعُسْرِ لِلْیُسْرِ تَیَسَّرَتْ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دُعِیتَ بِهِ عَلَی کَشْفِ الْبَأْسَاءِ وَ الضَّرَّاءِ انْکَشَفَتْ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اسم بزرگ تو، آن نام که بسی بزرگ‌تر است، آن نامی که هر گاه به آن خوانده شوی برای گشایش درهای بستۀ آسمان، به رحمت و برکت گشوده گردد و هر گاه خوانده شوی بر مشکلات و تنگناهای حوادث روی زمین، به فراخی و سهولت مبدل گردد و چون خوانده شوی بر هر کار دشوار عالم، سهل و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برای دفع غم و درد و مصیبت ها خوانده شوی، همه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به اسامی متعددی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دفع‌کنندۀ بلا، برطرف‌کنندۀ غم، فریادرس فریادخواهان، امان ترسناکان، صاحب امن و آرامش‌بخش، برطرف‌کنندۀ غم‌ها و کاشف غم، محوکنندۀ بدی‌ها، و کسی که انتقام‌هایش سخت است،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دافِعَ البَلیّات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دفع‌کنندۀ بلایا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کاشِفَ البَلاَیَا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رفع‌کنندۀ بلایا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عُدّتی عِندَ شِدَّتِی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توشه‌ام در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رَجائِی عِندَ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امیدم در ناگواری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مُونِسِی عِندَ وَحشَتی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همدمم در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صَاحِبِی عِندَ غُربَتِی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همرهم در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غِیَاثِی عِندَ کُربَتی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فریادرسم در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دَلیِلی عِندَ حَیرَتِی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رهنمایم در سرگردانی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غَنائِی عِندَ اِفتِقَارِی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توانگری‌ام در تنگ‌دستی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مَلجَئِی عِندَ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پناهم در درماندگی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مُعیِنِی عِندَ مَفزَعِی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کمک‌کارم در بیچارگی و پریشانی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کَاشِفَ الکُرُوبِ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برطرف‌کنندۀ غم‌ها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مُفَرِّجَ الهُمُومّ </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برطرف‌کنندۀ غم‌ها و افسردگی‌های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مُنَفِّسَ الغُمُومِ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برطرف‌کنندۀ غم‌های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دَلِیلَ المُتَحَیِّرِین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راهنمای سرگردانان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غِیَاثَ المُستَغِیثِین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فریادرس فریادخواهان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صَریخَ المُستَصرِخِینَ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دادرس دادخواهان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جَارَّ المُستَجّیرّین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 پناه‌جویان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اَمَانَ الخَاِئفِینَ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امان‌بخش ترسناکان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عَونَ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کمک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رَاحِمَ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رحم‌کنندۀ مسکینان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مَلجَأَ العَاصیِنَ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 عاصیان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غَافِرَ المُذنِبین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آمرزندۀ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مُجِیبَ دَعوَۀِ المُضطَرِّینَ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اجابت‌کنندۀ دعای درماندگان</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ذَا الأمنّ و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فضل و امان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 اَظهَرَ الجَمیلِ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کار نیک را آشکار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 سَتَّرَ القَبِیحِ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که کار زشت را پنهان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مُنتَهَی کُلَّ شَکوی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منتهای هر شکایت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مَاحِیَ السَّیِئَات، یَا شَدیدَ النَّقَمَات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محو‌کنندۀ بدی‌ها، ای سخت‌گیرندۀ انتقام‌ها</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غِیَاثَ مَن لا غَیاثَ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 آن کس که فریادرس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فَخرَ مَن لا فَخرَ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افتخار آن کس که مایۀ افتخاری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عِزَّ مَن لا عِزَّ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عزت آن کس که عزتی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مُعیِنَ مَن لا مُعِینَ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همدم آن کس که همدمی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اَنیسَ مَن لا اَنیسَ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همدم آن کس که همدمی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أَمانَ مَن لا أَمانَ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امان‌بخش آن کس که امانی ندارد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خَیرَ المَرهوبِینَ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کسی که خلق از او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المُستَأنِسینَ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همدمان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 اِلَیهِ یَهرُبُ الخَائِفُونَ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سویش گریزند ترسناکان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 اِلَیهِ یَفزَعُ المُذنِبُون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او پناه برند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 اِلَیهِ یَقصِدُ المُنِیبَونَ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او را مقصود قرار دهند بازآیندگان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 اِلَیهِ یَرغَبُ الزَاهِدُونَ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سوی او روند پارسایان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مَن اِلَیهِ یَلجَأُ المُتَحَیِّزُون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بدو پناه برند سرگردانان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 بِه یَستَأنِسُ المُریدُونَ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او همدم شوند خواستاران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 فِی عَفوِهِ یَطمَع الخَاطِئُون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عفوش حتی خطاکاران طمع دارند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اَنیسَ المُریدِین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همدم خواستاران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رَجاءَ المُذنِبِینَ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امید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مُنَفِّسَ عَنِ المَکرُوبِینَ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برطرف‌کنندۀ اندوه اندوهناکان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مُفَرِّجَ عَنِ المَغمُومِینَ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غم‌زدای غم‌زدگان</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حَسَنَ البَلاءِ یَا جَمِیلَ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 آزمایش، ای زیبا ستایش</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کَاشِفَ الضُّرِّ وَ الأَلَمِ یَا عَالِمَ السّرِّ وَ الهِمَمِ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برطرف‌کنندۀ رنج و اَلَم، ای دانای راز و قصدهای نهان</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مُعِینَ الضُّعَفَاءّ یَا صَاحِبَ الغُرَباءِ یَا نَاصِرَ الاُولِیَاءِ یَا قَاهِرَ الاَعدَاءِ یَا رَافِعَ السَّمَاءِ یَا اَنیسَ الاَصِفیَاءِ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کمک‌کار ناتوانان، ای رفیق دور از وطنان، ای یار دوستان، ای چیره بر دشمنان، ای بالابرندۀ آسمان، ای مونس برگزیدگان</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 لَا یُبرِمُه اِلحَاحُ المُلِحّّینَ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ستوهش نیاورد پافشاری اصرارورزان</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نیایش‌ها تقسیم‌بندی لذت و اَلَم بر مبنای یاد خداوند است و از این رو، نیایش‌گر به خداوند از هر گونه لذتی جز یاد او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اَستَغفِرُکَ مِن کُلِّ لَذَّۀٍ بِغَیرِ ذِکرِکَ وَ مِن کُلِّ رَاحَۀٍ بَغَیرِ اِنسِک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نشان‌دهندۀ آن است که رنج واقعی انسان نه بر مبنای لذات حسی، بلکه بر مبنای دور افتادن از لذات عقلی و معنوی سنجیده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 برجسته در بحث شرور، توجه به کارکردهای معرفتی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نیایش‌های شیعی نیز آثار معرفتی شگرفی را در این باره به یادگار گذاشته است؛ برای مثال توصیه شده است بلایای دنیوی در نسبتِ با شرور اخروی سنجیده شود، چراکه اگرچه دشواری‌های بلایای دنیوی نفس‌گیر و گاه غیر قابل تحمل است، اگر نسبت به رنج‌ها و مصائب اخروی ملاحظه شود، این بلایا بسیار کم‌رنگ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نیایش‌ها به نسبت بلایای دنیوی با اخروی و ویژگی‌های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تَعْلَمُ ضَعْفِی عَنْ قَلِیلٍ مِنْ بَلاَءِ الدُّنْیَا وَ عُقُوبَاتِهَاوَ مَا یَجْرِی فِیهَا مِنَ الْمَکَارِهِ عَلَی أَهْلِهَا عَلَی أَنَّ ذَلِکَ بَلاَءٌ وَ مَکْرُوهٌ قَلِیلٌ مَکْثُهُ، یَسِیرٌ بَقَاؤُهُ، قَصِیرٌ مُدَّتُهُ، فَکَیْفَ احْتِمَالِی لِبَلاَءِ الْآخِرَةِ وَ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الْمَکَارِهِ فِیهَاوَ هُوَ بَلاَءٌ تَطُولُ مُدَّتُهُ وَ یَدُومُ مَقَامُهُ، وَ لاَ یُخَفَّفُ عَنْ أَهْلِهِ‌لِأَنَّهُ لاَ یَکُونُ إِلاَّ عَنْ غَضَبِکَ وَ انْتِقَامِکَ وَ سَخَطِکَ‌وَ هَذَا مَا لاَ تَقُومُ لَهُ السَّمَاوَاتُ وَ الْأَرْضُ‌یَا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دیگر از دعای کمیل، در توصیف بلایای آخرت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لِأَیِّ الْأُمُورِ إِلَیْکَ أَشْکُو، وَ لِمَا مِنْهَا أَضِجُّ وَ أَبْکِی، لِأَلِیمِ الْعَذَابِ وَ شِدَّتِهِ أَمْ لِطُولِ</w:t>
      </w:r>
      <w:bookmarkStart w:id="382" w:name="pg3261_16523"/>
    </w:p>
    <w:p>
      <w:pPr>
        <w:pStyle w:val="BookText"/>
        <w:rPr/>
      </w:pPr>
      <w:bookmarkEnd w:id="382"/>
      <w:r>
        <w:rPr>
          <w:rFonts w:ascii="Amiri" w:hAnsi="Amiri" w:eastAsia="Amiri" w:cs="Amiri"/>
          <w:color w:val="111111"/>
          <w:sz w:val="28"/>
          <w:sz w:val="28"/>
          <w:szCs w:val="28"/>
          <w:rtl w:val="true"/>
          <w:lang w:bidi="ar-SA"/>
        </w:rPr>
        <w:t>الْبَلاَءِ وَ مُدَّتِهِ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شیخ عباس قمی،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دعایی منسوب به حضرت فاطمه زهرا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مُنَفِّسَ عَنِ الْمَکْرُوبِینَ یَا مُفَرِّجَ عَنِ الْمَغْمُومِینَ،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رحمانی همدانی،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051819_2749589250"/>
      <w:bookmarkStart w:id="384" w:name="_Toc159"/>
      <w:bookmarkEnd w:id="383"/>
      <w:r>
        <w:rPr/>
        <w:t>6</w:t>
      </w:r>
      <w:r>
        <w:rPr>
          <w:rtl w:val="true"/>
        </w:rPr>
        <w:t xml:space="preserve">. </w:t>
      </w:r>
      <w:r>
        <w:rPr>
          <w:rtl w:val="true"/>
        </w:rPr>
        <w:t>نقش انسان در مسئله شرّ</w:t>
      </w:r>
      <w:bookmarkEnd w:id="384"/>
    </w:p>
    <w:p>
      <w:pPr>
        <w:pStyle w:val="BookText"/>
        <w:rPr/>
      </w:pPr>
      <w:r>
        <w:rPr>
          <w:rFonts w:ascii="IRNazanin" w:hAnsi="IRNazanin" w:eastAsia="IRNazanin"/>
          <w:color w:val="111111"/>
          <w:sz w:val="28"/>
          <w:sz w:val="28"/>
          <w:szCs w:val="28"/>
          <w:rtl w:val="true"/>
          <w:lang w:bidi="fa-IR"/>
        </w:rPr>
        <w:t>چنان‌که آمد، بر اساس نیایش‌های شیعی حکمت شرور در ارتباط با زیست جاودانه و سعادت‌مندانۀ انسان و توجه یافتن به مبدأ و معاد آدمی قابل تبیین است، اما هم‌زمان علت این امور به نحوی به انسان نسبت داده شده و نافرمانی خداوند و زیست غیراخلاقی و غیردینی انسان، عامل بسیاری از شرور اخلاقی و حتی طبیعی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ادعیه، مسئله شرّ قابل پیش‌گیری دانسته شده و علت آن به نافرمانی‌های انسان از اوامر الهی و نیز زیست غیراخلاقی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طیف وسیعی از شرور از منظر نیایش‌ها، به شیوۀ عمل و رفتار انسان باز می‌گردد؛ بر این اساس، گناهانی هست که نعمت‌ها را تغییر می‌دهد، نقمت‌ها را حلال می‌کند، پردۀ عصمت را می‌درد، بلا را نازل می‌کند، دشمنان را غالب می‌کند، فنا و نیستی را به تعجیل می‌اندازد و باران آسمان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خواسته می‌شود تا گناهانی که موجب این تبعات است، آمرزیده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نشان می‌دهند، زیست و رفتار نادرست انسان‌ها، نسبتِ مستقیمی با تولید و تداوم شرّ دارد و علت پدیدۀ شرّ را باید در رفتار فرد یا جامعه انسانی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تبیینی دو سویۀ طبیعی و غیرطبیعی دارد که در تبیین طبیعی نقش انسان مورد توجه قرار می‌گیرد، اما در تبیین ماورائی دور افتادن انسان از رحمت و محبت الهی منجر به ایجاد تبعات ناگوار بعدی دانسته می‌شود و هر دو تبیین، هم‌زمان قابل جمع و غیرمتعارضند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صادق  علیه السلام   به برخی افعال غیراخلاقی انسان که موجب تولید شرور طبیعی یا اخلاقی می‌گردد،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موجب تغییر نعمت می‌شود، فساد روی زمین یا خروج بر حاکم عادل است؛ و افعالی که ندامت و پشیمانی به بار می‌آورد،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روایت، ظلم موجب نزول نقمت و بلا می‌گردد و شرب خمر موجب می‌شود انسان گناهان مختلفی را به واسطۀ آن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 موجب کاهش رزق، بریدن از خویشاوندان باعث سرعت در نابودی و فنای انسان می‌گردد و نارضایتی پدر و مادر به عدم استجابت دعا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دیگر، بیعدالتی در داوری‌های قضایی موجب نباریدن باران، پیمان‌شکنی با اهل ذمه موجب تسلط دشمن، و نپرداختن حقوق الهی همچون زکات موجب فقر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بی‌مهری به خویشان،</w:t>
      </w:r>
      <w:bookmarkStart w:id="385" w:name="pg3261_16524"/>
    </w:p>
    <w:p>
      <w:pPr>
        <w:pStyle w:val="BookText"/>
        <w:rPr/>
      </w:pPr>
      <w:bookmarkEnd w:id="385"/>
      <w:r>
        <w:rPr>
          <w:rFonts w:ascii="IRNazanin" w:hAnsi="IRNazanin" w:eastAsia="IRNazanin"/>
          <w:color w:val="111111"/>
          <w:sz w:val="28"/>
          <w:sz w:val="28"/>
          <w:szCs w:val="28"/>
          <w:rtl w:val="true"/>
          <w:lang w:bidi="fa-IR"/>
        </w:rPr>
        <w:t xml:space="preserve">نارضایتی والدین و نیکی نکردن، عوامل تسریع در نیستی و فنا و نزدیکی مرگ انسان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3"/>
        <w:numPr>
          <w:ilvl w:val="2"/>
          <w:numId w:val="1"/>
        </w:numPr>
        <w:rPr/>
      </w:pPr>
      <w:bookmarkStart w:id="386" w:name="__RefHeading___Toc2051821_2749589250"/>
      <w:bookmarkStart w:id="387" w:name="_Toc160"/>
      <w:bookmarkEnd w:id="386"/>
      <w:r>
        <w:rPr/>
        <w:t>7</w:t>
      </w:r>
      <w:r>
        <w:rPr>
          <w:rtl w:val="true"/>
        </w:rPr>
        <w:t xml:space="preserve">. </w:t>
      </w:r>
      <w:r>
        <w:rPr>
          <w:rtl w:val="true"/>
        </w:rPr>
        <w:t>نتیجه‌گیری</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در حیطۀ دین‌پژوهی و علم کلام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همواره ذهن اندیشمندان را به خود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و بدیهی‌ترین سؤال در بستر زمان برای انسان نیز نسبت پدیده‌هایی نظیر قتل، بیماری، رنج و مصائب زندگی با آفریدگار هستی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مهم از دیدگاه‌ها و رویکردهای متنوعی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رویکردها، اشارات معصومین  علیهم السلام  در نیایش‌هاست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نیایش‌های شیعی به دو نوع کارکرد مثبت و منفی برای شرور قائلند و در عین توجه به سازندگی برخی رنج‌ها و نقششان در کمال اخلاقی انسان که در الهیات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از شرور دیگری یاد می‌کنند که نقش بسیار مخربی در حیات دنیوی و معنوی انسان دارد و اضطراب و نگرانی حاصل از آن منجر به سستی و ضعف در انجام امور دینی و دنیوی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دوم به روشنی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نیایش‌ها به مصادیق متعددی از 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پایدار و بلندمدت، درنده و گزنده، شیطان رانده‌شده، آنچه زیر آسمان و زمین است، آشکار و نهان، زنانی که در گره‌ها</w:t>
      </w:r>
    </w:p>
    <w:p>
      <w:pPr>
        <w:pStyle w:val="BookText"/>
        <w:rPr/>
      </w:pPr>
      <w:r>
        <w:rPr>
          <w:rFonts w:ascii="IRNazanin" w:hAnsi="IRNazanin" w:eastAsia="IRNazanin"/>
          <w:color w:val="111111"/>
          <w:sz w:val="28"/>
          <w:sz w:val="28"/>
          <w:szCs w:val="28"/>
          <w:rtl w:val="true"/>
          <w:lang w:bidi="fa-IR"/>
        </w:rPr>
        <w:t xml:space="preserve">ـ برای جادو ـ می‌دمند، حسود، وسوسه‌گر نهانی،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گرفتاری‌های آخرت، زورگوی ستیزه‌گر، آتش جهنم، نفس امّاره، اعمال بد، اندوه همراه با پشیمانی، دشمنان، انسان بد، همسایۀ بد، هم‌نشین بد، حاکم 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پژوهش، نیایش‌های شیعی به رغم دیدگاه‌های برخی فلاسفه در ردّ وجود شرور در عالم، این مسئله را از نظر وجودشناختی ثابت دانسته و مصادیق بسیار فراوانی از آن در بیان این نیایش‌ها که واگویه‌های انسان دردمند با خداوند است،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نقش انسان در پدید آمدن چنین رخدادهای ناگواری پراهمیت دانسته شده و زیست غیراخلاقی انسان، عامل شرور طبیعی و اخلاقی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دیدگاه برخی ملحدان، خداوند نقشی فعال و سازنده در دفع و کنترل بسیاری شرور دارد و رحمت الهی حتی در دشوارترین شرایط با انسان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شرور بر اساس این نیایش‌ها باید بر اساس حکمت و رحمت الهی، زیست غیراخلاقی انسان، علم مطلق الهی و توانایی او برای مؤاخذه شدیدتر، و امکان دفع و نیز کنترل برخی شرور با عطف نظر به نحوۀ زیست و رفتار انسان و نیز اصلاح ارتباط با خداوند و تأسی از فرمان الهی مورد ارزیابی قرار گیرد</w:t>
      </w:r>
      <w:r>
        <w:rPr>
          <w:rFonts w:eastAsia="IRNazanin" w:cs="IRNazanin"/>
          <w:color w:val="111111"/>
          <w:sz w:val="28"/>
          <w:szCs w:val="28"/>
          <w:rtl w:val="true"/>
          <w:lang w:bidi="fa-IR"/>
        </w:rPr>
        <w:t>.</w:t>
      </w:r>
      <w:bookmarkStart w:id="388" w:name="pg3261_16525"/>
    </w:p>
    <w:p>
      <w:pPr>
        <w:pStyle w:val="Heading3"/>
        <w:numPr>
          <w:ilvl w:val="2"/>
          <w:numId w:val="1"/>
        </w:numPr>
        <w:rPr/>
      </w:pPr>
      <w:bookmarkStart w:id="389" w:name="__RefHeading___Toc2051823_2749589250"/>
      <w:bookmarkStart w:id="390" w:name="_Toc161"/>
      <w:bookmarkEnd w:id="388"/>
      <w:bookmarkEnd w:id="389"/>
      <w:r>
        <w:rPr>
          <w:rtl w:val="true"/>
        </w:rPr>
        <w:t>منابع</w:t>
      </w:r>
      <w:bookmarkEnd w:id="390"/>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سجادیه، قم،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 السائل و نجاح المسائل،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ابوالحسین احمد بن زکریا،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تحقیق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بن هارون،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ابن‌عربی، محیی الدین محمد بن علی،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فصوص الحکم،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عفیفی، بیروت، دارالکتب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مبدأ و معاد، قم، اسرا، چ سوم،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رحیق مختوم، قم، اسرا،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حقوق بشر، قم، اسرا، چ چهارم،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تسنیم، قم، اسرا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محمدحسین،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القران القران، ترجمه غلامرضا خسروی حسینی، تهران، انتشارات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همدانی، احمد،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بهجه قلب المصطفی، ترجمه سیدحسن افتخارزاده، تهران، 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الحکمۀ المتعالیة فی الاسفار العقلیة الاربعه، بیروت، دار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قم، مکتبة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مؤسسه فقه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عمادزاده، حسین،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مسئلة شرّ در کلام امامیه، پژوهش‌نامه ثقلین، دوره اول،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ابوعبدالله مقداد بن عبدالله،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الطالبین الی نهج المسترشدین،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کتابخانه آیت الله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الجنان، قم، بیان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ابوجعفر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دار إحیاء التراث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لدُرر اخبار الائمۀ الاطهار، قم، آل البیت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بنگاه ترجمه و نشر کتاب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منابعی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اند، برگرفته از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نسخه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کامپیوتری علوم اسلامی است</w:t>
      </w:r>
      <w:r>
        <w:rPr>
          <w:rFonts w:eastAsia="IRNazanin" w:cs="IRNazanin"/>
          <w:color w:val="111111"/>
          <w:sz w:val="28"/>
          <w:szCs w:val="28"/>
          <w:rtl w:val="true"/>
          <w:lang w:bidi="fa-IR"/>
        </w:rPr>
        <w:t>.</w:t>
      </w:r>
      <w:bookmarkStart w:id="391" w:name="pg3261_16526"/>
    </w:p>
    <w:p>
      <w:pPr>
        <w:pStyle w:val="Heading2"/>
        <w:numPr>
          <w:ilvl w:val="1"/>
          <w:numId w:val="1"/>
        </w:numPr>
        <w:rPr/>
      </w:pPr>
      <w:bookmarkStart w:id="392" w:name="__RefHeading___Toc2051825_2749589250"/>
      <w:bookmarkStart w:id="393" w:name="_Toc162"/>
      <w:bookmarkEnd w:id="391"/>
      <w:bookmarkEnd w:id="392"/>
      <w:r>
        <w:rPr>
          <w:rtl w:val="true"/>
        </w:rPr>
        <w:t xml:space="preserve">واکاوی پدیدۀ </w:t>
      </w:r>
      <w:r>
        <w:rPr>
          <w:rtl w:val="true"/>
        </w:rPr>
        <w:t>«</w:t>
      </w:r>
      <w:r>
        <w:rPr>
          <w:rtl w:val="true"/>
        </w:rPr>
        <w:t>فرقه‌سازی درون‌مذهبی</w:t>
      </w:r>
      <w:r>
        <w:rPr>
          <w:rtl w:val="true"/>
        </w:rPr>
        <w:t xml:space="preserve">» </w:t>
      </w:r>
      <w:r>
        <w:rPr>
          <w:rtl w:val="true"/>
        </w:rPr>
        <w:t xml:space="preserve">در جریان سلفیه معاصر </w:t>
      </w:r>
      <w:r>
        <w:rPr>
          <w:rtl w:val="true"/>
        </w:rPr>
        <w:t xml:space="preserve">/ </w:t>
      </w:r>
      <w:r>
        <w:rPr>
          <w:rtl w:val="true"/>
        </w:rPr>
        <w:t xml:space="preserve">حمید ایماندار </w:t>
      </w:r>
      <w:r>
        <w:rPr>
          <w:rtl w:val="true"/>
        </w:rPr>
        <w:t xml:space="preserve">- </w:t>
      </w:r>
      <w:r>
        <w:rPr>
          <w:rtl w:val="true"/>
        </w:rPr>
        <w:t>رضا ملا زاده یامچی</w:t>
      </w:r>
      <w:bookmarkEnd w:id="393"/>
    </w:p>
    <w:p>
      <w:pPr>
        <w:pStyle w:val="Heading3"/>
        <w:numPr>
          <w:ilvl w:val="2"/>
          <w:numId w:val="1"/>
        </w:numPr>
        <w:rPr/>
      </w:pPr>
      <w:bookmarkStart w:id="394" w:name="__RefHeading___Toc2051827_2749589250"/>
      <w:bookmarkStart w:id="395" w:name="_Toc163"/>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حمید ایماندار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رضا ملازاده یامچی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18/07/1395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23/12/1395</w:t>
      </w:r>
    </w:p>
    <w:p>
      <w:pPr>
        <w:pStyle w:val="Heading3"/>
        <w:numPr>
          <w:ilvl w:val="2"/>
          <w:numId w:val="1"/>
        </w:numPr>
        <w:rPr/>
      </w:pPr>
      <w:bookmarkStart w:id="396" w:name="__RefHeading___Toc2051829_2749589250"/>
      <w:bookmarkStart w:id="397" w:name="_Toc164"/>
      <w:bookmarkEnd w:id="396"/>
      <w:r>
        <w:rPr>
          <w:rtl w:val="true"/>
        </w:rPr>
        <w:t>چکیده</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فرقه‌سازی درون‌مذهبی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پدیده‌ای منحصر‌به‌فرد در جریان سلفیۀ معاصر، این مکتب را به مناقشات و چالش‌های عمیق عقیدتی و کلامی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پی‌جویی زمینه‌های شکل‌گیری این خرده‌فرقه‌ها، ضرورتی اجتناب‌ناپذیر در راستای تحلیل حقیقت جریان سلفیه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اساسی پژوهش حاضر، زمینه‌های شکل‌گیری و چگونگی ظهور و بروز این خرده‌فرقه‌ها در بطن جریان سلفیه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واکاوی این پدیده، شناسایی ماهیت و مؤلفه‌های هر یک از این فرقه‌های مورد بحث و تعیین حدود و ثغور و احیاناً هم پوشانی فکری و عقیدتی خرده فرقه های مذکور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جزم‌اندیشی، انحصارطلبی و جمودگرایی ، عدم تحمل آرای مخالفان، تکفیرمحوری و خشونت‌طلبیِ تاریخی ائمه سلفیه در این امر نقش مؤثری ایفا نموده است</w:t>
      </w:r>
      <w:r>
        <w:rPr>
          <w:rFonts w:eastAsia="IRNazanin" w:cs="IRNazanin"/>
          <w:color w:val="111111"/>
          <w:sz w:val="28"/>
          <w:szCs w:val="28"/>
          <w:rtl w:val="true"/>
          <w:lang w:bidi="fa-IR"/>
        </w:rPr>
        <w:t>.</w:t>
      </w:r>
    </w:p>
    <w:p>
      <w:pPr>
        <w:pStyle w:val="Heading3"/>
        <w:numPr>
          <w:ilvl w:val="2"/>
          <w:numId w:val="1"/>
        </w:numPr>
        <w:rPr/>
      </w:pPr>
      <w:bookmarkStart w:id="398" w:name="__RefHeading___Toc2051831_2749589250"/>
      <w:bookmarkStart w:id="399" w:name="_Toc165"/>
      <w:bookmarkEnd w:id="398"/>
      <w:r>
        <w:rPr>
          <w:rtl w:val="true"/>
        </w:rPr>
        <w:t>واژگان کلیدی</w:t>
      </w:r>
      <w:bookmarkEnd w:id="399"/>
    </w:p>
    <w:p>
      <w:pPr>
        <w:pStyle w:val="BookText"/>
        <w:rPr/>
      </w:pPr>
      <w:r>
        <w:rPr>
          <w:rFonts w:ascii="IRNazanin" w:hAnsi="IRNazanin" w:eastAsia="IRNazanin"/>
          <w:color w:val="111111"/>
          <w:sz w:val="28"/>
          <w:sz w:val="28"/>
          <w:szCs w:val="28"/>
          <w:rtl w:val="true"/>
          <w:lang w:bidi="fa-IR"/>
        </w:rPr>
        <w:t>سلفیه، فرقه‌سازی، جامیه، سروریه، حدادیه، ممیعه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bookmarkStart w:id="400" w:name="pg3261_16527"/>
    </w:p>
    <w:p>
      <w:pPr>
        <w:pStyle w:val="Heading3"/>
        <w:numPr>
          <w:ilvl w:val="2"/>
          <w:numId w:val="1"/>
        </w:numPr>
        <w:rPr/>
      </w:pPr>
      <w:bookmarkStart w:id="401" w:name="__RefHeading___Toc2051833_2749589250"/>
      <w:bookmarkStart w:id="402" w:name="_Toc166"/>
      <w:bookmarkEnd w:id="400"/>
      <w:bookmarkEnd w:id="401"/>
      <w:r>
        <w:rPr>
          <w:rtl w:val="true"/>
        </w:rPr>
        <w:t>مقدمه</w:t>
      </w:r>
      <w:bookmarkEnd w:id="402"/>
    </w:p>
    <w:p>
      <w:pPr>
        <w:pStyle w:val="BookText"/>
        <w:rPr/>
      </w:pPr>
      <w:r>
        <w:rPr>
          <w:rFonts w:ascii="IRNazanin" w:hAnsi="IRNazanin" w:eastAsia="IRNazanin"/>
          <w:color w:val="111111"/>
          <w:sz w:val="28"/>
          <w:sz w:val="28"/>
          <w:szCs w:val="28"/>
          <w:rtl w:val="true"/>
          <w:lang w:bidi="fa-IR"/>
        </w:rPr>
        <w:t xml:space="preserve">یکی از مظاهر جالب توجه و شایستۀ تحلیل در جریان سلفیۀ معاصر،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فرقه‌سازی درون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پدیده را می‌توان در حجم کتاب ها و مقالات انتشاریافتۀ اصحاب این جریان مشاهده کرد، به گونه‌ای که مساعی متمرکزِ سلفیه در راستای حمله به جریان‌های مخالف برون‌مذهبی، تحت‌الشعاع توسعۀ روزافزون این امر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اساسی پژوهش حاضر این است که اساساً چه مؤلفه‌های تاریخی و عقیدتی در شکل‌گیری خرده فرقه‌های متعدد در جریان سلفیۀ معاصر مطرح است؟</w:t>
      </w:r>
    </w:p>
    <w:p>
      <w:pPr>
        <w:pStyle w:val="BookText"/>
        <w:rPr/>
      </w:pPr>
      <w:r>
        <w:rPr>
          <w:rFonts w:ascii="IRNazanin" w:hAnsi="IRNazanin" w:eastAsia="IRNazanin"/>
          <w:color w:val="111111"/>
          <w:sz w:val="28"/>
          <w:sz w:val="28"/>
          <w:szCs w:val="28"/>
          <w:rtl w:val="true"/>
          <w:lang w:bidi="fa-IR"/>
        </w:rPr>
        <w:t>با ارائه دستهبندی جامع و مانع از خرده فرقه های سلفیه، قادر خواهیم بود اساس</w:t>
      </w:r>
    </w:p>
    <w:p>
      <w:pPr>
        <w:pStyle w:val="BookText"/>
        <w:rPr/>
      </w:pPr>
      <w:r>
        <w:rPr>
          <w:rFonts w:ascii="IRNazanin" w:hAnsi="IRNazanin" w:eastAsia="IRNazanin"/>
          <w:color w:val="111111"/>
          <w:sz w:val="28"/>
          <w:sz w:val="28"/>
          <w:szCs w:val="28"/>
          <w:rtl w:val="true"/>
          <w:lang w:bidi="fa-IR"/>
        </w:rPr>
        <w:t>شکل گیری، رویکردها و تأثیر و تأثر این جریانات بر یکدیگر را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نوشتار از دو موضوع اساسی سخن به میان خواهد آمد؛ گام نخست به استقصای خرده‌فرقه‌های موجود در جریان سلفیه معاصر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مباحث، به تبیین نقاط تلاقی و افتراق این جریانات، تأثیر و تأثر آن‌ها بر یکدیگر، علل و زمینه‌های شکل‌گیری و الهام‌گیری آن‌ها از رویکردهای کلان فکریِ داخل و خارج از جریان سلفیه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کلی می‌توان جریان سلفی‌گری را به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سلفیۀ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کرد؛ لذا آنچه در سطور آتی مورد بحث قرار می‌گیرد، خرده‌جریاناتی است که در بطن این دو جریان عمدۀ سلفیه ظهور و بروز یافته است</w:t>
      </w:r>
      <w:r>
        <w:rPr>
          <w:rFonts w:eastAsia="IRNazanin" w:cs="IRNazanin"/>
          <w:color w:val="111111"/>
          <w:sz w:val="28"/>
          <w:szCs w:val="28"/>
          <w:rtl w:val="true"/>
          <w:lang w:bidi="fa-IR"/>
        </w:rPr>
        <w:t>.</w:t>
      </w:r>
    </w:p>
    <w:p>
      <w:pPr>
        <w:pStyle w:val="Heading3"/>
        <w:numPr>
          <w:ilvl w:val="2"/>
          <w:numId w:val="1"/>
        </w:numPr>
        <w:rPr/>
      </w:pPr>
      <w:bookmarkStart w:id="403" w:name="__RefHeading___Toc2051835_2749589250"/>
      <w:bookmarkStart w:id="404" w:name="_Toc167"/>
      <w:bookmarkEnd w:id="403"/>
      <w:r>
        <w:rPr/>
        <w:t>1</w:t>
      </w:r>
      <w:r>
        <w:rPr>
          <w:rtl w:val="true"/>
        </w:rPr>
        <w:t xml:space="preserve">. </w:t>
      </w:r>
      <w:r>
        <w:rPr>
          <w:rtl w:val="true"/>
        </w:rPr>
        <w:t xml:space="preserve">جریان سلفیۀ جامیه </w:t>
      </w:r>
      <w:r>
        <w:rPr>
          <w:rtl w:val="true"/>
        </w:rPr>
        <w:t>(</w:t>
      </w:r>
      <w:r>
        <w:rPr>
          <w:rtl w:val="true"/>
        </w:rPr>
        <w:t>مدخلیه</w:t>
      </w:r>
      <w:r>
        <w:rPr>
          <w:rtl w:val="true"/>
        </w:rPr>
        <w:t xml:space="preserve">) </w:t>
      </w:r>
      <w:r>
        <w:rPr>
          <w:rtl w:val="true"/>
        </w:rPr>
        <w:t>و زمینه‌های تاریخی شکل‌گیری آن</w:t>
      </w:r>
      <w:bookmarkEnd w:id="404"/>
    </w:p>
    <w:p>
      <w:pPr>
        <w:pStyle w:val="Heading4"/>
        <w:numPr>
          <w:ilvl w:val="3"/>
          <w:numId w:val="1"/>
        </w:numPr>
        <w:rPr/>
      </w:pPr>
      <w:bookmarkStart w:id="405" w:name="__RefHeading___Toc2051837_2749589250"/>
      <w:bookmarkStart w:id="406" w:name="_Toc168"/>
      <w:bookmarkEnd w:id="405"/>
      <w:r>
        <w:rPr>
          <w:rtl w:val="true"/>
        </w:rPr>
        <w:t>اشاره</w:t>
      </w:r>
      <w:bookmarkEnd w:id="40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سلفیۀ جامیه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جرقۀ نخست شکل‌گیری جناح نوسلفی‌گری دانست که تمامی جریانات مخالف با سلفیۀ سنتی را ذیل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سلفیۀ جامیه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امان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مبلغان سلفی کشور سعودی است که اصلیتی اتیوپیایی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الجهینی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دوم خلیج فارس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فتوای برخی علمای بزرگ وهابی در کشور سعودی مبنی بر جواز استعانت از نیروهای خارجی همچون امریکا در دفاع از تمامیت ارضی این کشور، زمینۀ اصلی شکل گیری جریان جامیه را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مؤلفان،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طوری که مخالفان، طرح موافقان را که شیخ جامی نیز در زمرۀ آن‌ها قرار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سلفیۀ جامیه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ربیع المدخلی، شاگرد شیخ جامی نیز تلاشی دامنه دار و حتی گسترده تر از استادش را در دفاع از علمای منتسب به دربار سعودی</w:t>
      </w:r>
      <w:bookmarkStart w:id="407" w:name="pg3261_16528"/>
    </w:p>
    <w:p>
      <w:pPr>
        <w:pStyle w:val="BookText"/>
        <w:rPr/>
      </w:pPr>
      <w:bookmarkEnd w:id="407"/>
      <w:r>
        <w:rPr>
          <w:rFonts w:ascii="IRNazanin" w:hAnsi="IRNazanin" w:eastAsia="IRNazanin"/>
          <w:color w:val="111111"/>
          <w:sz w:val="28"/>
          <w:sz w:val="28"/>
          <w:szCs w:val="28"/>
          <w:rtl w:val="true"/>
          <w:lang w:bidi="fa-IR"/>
        </w:rPr>
        <w:t>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شیخ ربیع، یعنی زید نیز در راستای تقویت جریان جامیه از هیچ تلاشی فروگذار نکرد، به گونه‌ای که برخی به واسطۀ مساعی وافر این دو، جامیه را با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الجهینی، بی تا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 الحربی، فرید المالکی، تراحیب الدوسری، عبداللطیف باشمیل عبدالعزیز العسکر و رائد آل‌طاهر از جملۀ دیگر شیوخ منتسب به جریان سلفیۀ جامیه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 آنیم تا اهمّ شاخصه‌های عقیدتی و کلامی مورد تأکید سلفیه جامیه و یا مدخلیه که این فرقه را از دیگر جریان‌های سلفی جدا می‌کند، معرفی کنیم تا در نهایت زمینه برای بررسی تطبیقی عقاید این جریان و دیگر گروه‌هایی منشق از جریان سلفیۀ سنتی فراهم گردد</w:t>
      </w:r>
      <w:r>
        <w:rPr>
          <w:rFonts w:eastAsia="IRNazanin" w:cs="IRNazanin"/>
          <w:color w:val="111111"/>
          <w:sz w:val="28"/>
          <w:szCs w:val="28"/>
          <w:rtl w:val="true"/>
          <w:lang w:bidi="fa-IR"/>
        </w:rPr>
        <w:t>.</w:t>
      </w:r>
    </w:p>
    <w:p>
      <w:pPr>
        <w:pStyle w:val="Heading4"/>
        <w:numPr>
          <w:ilvl w:val="3"/>
          <w:numId w:val="1"/>
        </w:numPr>
        <w:rPr/>
      </w:pPr>
      <w:bookmarkStart w:id="408" w:name="__RefHeading___Toc2051839_2749589250"/>
      <w:bookmarkStart w:id="409" w:name="_Toc169"/>
      <w:bookmarkEnd w:id="408"/>
      <w:r>
        <w:rPr>
          <w:rtl w:val="true"/>
        </w:rPr>
        <w:t xml:space="preserve">مؤلفه‌های عقیدتی و کلامی جریان سلفیۀ جامیه </w:t>
      </w:r>
      <w:r>
        <w:rPr>
          <w:rtl w:val="true"/>
        </w:rPr>
        <w:t>(</w:t>
      </w:r>
      <w:r>
        <w:rPr>
          <w:rtl w:val="true"/>
        </w:rPr>
        <w:t>مدخلیه</w:t>
      </w:r>
      <w:r>
        <w:rPr>
          <w:rtl w:val="true"/>
        </w:rPr>
        <w:t>)</w:t>
      </w:r>
      <w:bookmarkEnd w:id="409"/>
    </w:p>
    <w:p>
      <w:pPr>
        <w:pStyle w:val="Heading5"/>
        <w:numPr>
          <w:ilvl w:val="4"/>
          <w:numId w:val="1"/>
        </w:numPr>
        <w:rPr/>
      </w:pPr>
      <w:bookmarkStart w:id="410" w:name="__RefHeading___Toc2051841_2749589250"/>
      <w:bookmarkStart w:id="411" w:name="_Toc170"/>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جهت‌گیری‌های سیاسی ـ اجتماعی جریان جامیه به وضوح متأثر از مؤلفه‌های عقیدتی این جریان است؛ به گونه‌ای که برخلاف برخی جریان‌های نوسلفیه مانند اخوانی‌ها، جماعت تبلیغ، سروریه و مانند آن‌ها نمی‌توان مؤلفه‌های خاصی از رویکرد سیاسی این جریان را جدا از مبانی کلامی ایشان تعریف کرد؛ لذا می‌توان قریب به اتفاق مؤلفه‌های اجتماعی و سیاسی جریان جامیه را در شمار عقاید و دیدگاه‌های کلامی ایشان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متذکر شویم که خواه ناخواه، اساس شکل‌گیری برخی مؤلفه‌های مورد اشاره به ادعاهای مخالفان باز می‌گردد که ممکن است مورد قبول جامی‌ها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خلال مباحث، به تذکر خصوصیات مؤلفه‌ها از این منظر نیز توجه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طرح مؤلفه‌های خاص عقیدتی و کلامی جامیون خواهیم پرداخت</w:t>
      </w:r>
      <w:r>
        <w:rPr>
          <w:rFonts w:eastAsia="IRNazanin" w:cs="IRNazanin"/>
          <w:color w:val="111111"/>
          <w:sz w:val="28"/>
          <w:szCs w:val="28"/>
          <w:rtl w:val="true"/>
          <w:lang w:bidi="fa-IR"/>
        </w:rPr>
        <w:t>.</w:t>
      </w:r>
    </w:p>
    <w:p>
      <w:pPr>
        <w:pStyle w:val="Heading5"/>
        <w:numPr>
          <w:ilvl w:val="4"/>
          <w:numId w:val="1"/>
        </w:numPr>
        <w:rPr/>
      </w:pPr>
      <w:bookmarkStart w:id="412" w:name="__RefHeading___Toc2051843_2749589250"/>
      <w:bookmarkStart w:id="413" w:name="_Toc171"/>
      <w:bookmarkEnd w:id="412"/>
      <w:r>
        <w:rPr>
          <w:rtl w:val="true"/>
        </w:rPr>
        <w:t>الف</w:t>
      </w:r>
      <w:r>
        <w:rPr>
          <w:rtl w:val="true"/>
        </w:rPr>
        <w:t xml:space="preserve">. </w:t>
      </w:r>
      <w:r>
        <w:rPr>
          <w:rtl w:val="true"/>
        </w:rPr>
        <w:t>تأثر از رویکردهای عقیدتی محمد بن عبدالوهاب و ابن‌تیمیه در اصل توحید</w:t>
      </w:r>
      <w:bookmarkEnd w:id="413"/>
    </w:p>
    <w:p>
      <w:pPr>
        <w:pStyle w:val="BookText"/>
        <w:rPr/>
      </w:pPr>
      <w:r>
        <w:rPr>
          <w:rFonts w:ascii="IRNazanin" w:hAnsi="IRNazanin" w:eastAsia="IRNazanin"/>
          <w:color w:val="111111"/>
          <w:sz w:val="28"/>
          <w:sz w:val="28"/>
          <w:szCs w:val="28"/>
          <w:rtl w:val="true"/>
          <w:lang w:bidi="fa-IR"/>
        </w:rPr>
        <w:t>جریان جامیه به حکم سر برآوردن از دل سلفیۀ سنتی، همواره تمسک خود به آرای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عبدالوهاب و ابن تیمیه را اعلام کرده و عمده امکانات مالی و رسانه‌ای پردامنه‌اش را به تبلیغ آرای این دو تن و شرح و ترویج آن‌ها اختصاص داده است؛ از این رو، بخش زیادی از مناقشه ها و چالش‌های این جریان با فرقه‌های درون‌مذهبی سلفیه، بر محور دفاع از آرای این دو تن، خصوصاً در مباحث توحیدی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بزرگان جریان جامیه از مکتب اثبات صفات در تفسیر صفات خبریه، یکی از بارزترین مباحث کلامی مورد تأکید این جریان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افرادی چون ربیع المدخلی، سروریه و یا قطبیه را به واسطۀ دفاعشان از مکتب توحیدی سید قطب به شدت تخطئه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المدخلی،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معتقدند</w:t>
      </w:r>
    </w:p>
    <w:p>
      <w:pPr>
        <w:pStyle w:val="BookText"/>
        <w:rPr/>
      </w:pPr>
      <w:r>
        <w:rPr>
          <w:rFonts w:ascii="IRNazanin" w:hAnsi="IRNazanin" w:eastAsia="IRNazanin"/>
          <w:color w:val="111111"/>
          <w:sz w:val="28"/>
          <w:sz w:val="28"/>
          <w:szCs w:val="28"/>
          <w:rtl w:val="true"/>
          <w:lang w:bidi="fa-IR"/>
        </w:rPr>
        <w:t xml:space="preserve">رویکرد تأویل‌گرایانۀ سید قطب در تفسیر صفات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مثابۀ انحرافی بزرگ از مکتب اثبات به عنوان یکی از مظاهر و مشخصه‌های مکتب کلامی ابن تیمیه به شمار می‌رود؛ جایی که وی مکتب ظاهرگرای اثبات را در مقابله با جریانات تفویضی اشاعره و تأویل گرایی امامیه و معتزله به عنوان نماد سلف گرایی در حوزۀ توحید صفاتی عَلَم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ابن تیمیه،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چالشِ سلفیۀ جامیه با جریانات سروریه و اخوانیون در مسئله توحید ربوبی و الوهی نیز ادامه یافته، به طوری که سلفیۀ سنتی و به تبع آن جامیه، که اصلی ترین بخش این جریان است، به هیچ روی تمایز بین توحید خالقیت و ربوبیت را برنتافته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برآنند تا مشرکان صدر اسلام را معتقد به توحید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مجموع توحید خالقیت و ربوبیت در تفکر سلفیه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شرک ایشان را در توحید عبادی و یا به تعبیر سلف‌گرایانه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ابن‌جبرین،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که سید قطب، یکی از معتمدان جریان نوسلفی، با آن مخالفت ورزیده، به گونه‌ای که وی مشرکان را، مشرک در توحید ربوبی تلقی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آن‌جا اهمیت پیدا می‌کند که بدانیم سلفیۀ جامیه، با این مبنا به تکفیر جوامع اسلامی دست یازیده اند، چراکه از منظر ایشان مناسکی چون توسل و استغاثه به اولیا، صرفاً به دلیل تحقق عنوان واسطه‌گری بین مخلوق و خالق، شرک عبادی است؛ هرچند شخص به ربوبیت مدعو معتقد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ألبانی،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الارنؤوط،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w:t>
      </w:r>
    </w:p>
    <w:p>
      <w:pPr>
        <w:pStyle w:val="BookText"/>
        <w:rPr/>
      </w:pPr>
      <w:r>
        <w:rPr>
          <w:rFonts w:ascii="IRNazanin" w:hAnsi="IRNazanin" w:eastAsia="IRNazanin"/>
          <w:color w:val="111111"/>
          <w:sz w:val="28"/>
          <w:sz w:val="28"/>
          <w:szCs w:val="28"/>
          <w:rtl w:val="true"/>
          <w:lang w:bidi="fa-IR"/>
        </w:rPr>
        <w:t>که تفکر قطبیون، به آسانی بنیان تکفیرگرای سلفیۀ سنتی را در حوزه توحید الوهی متزلزل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نقطۀ عطف مناقشات بین جامیه ـ نمایندۀ سلفیه سنتی ـ و جریانات منتسب به نوسلفیه همانند سروریه، اخوانی‌ها و قطبی‌ها،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نوسلفیان مربوط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مسئله باید گفت، در عصر حاضر می‌توان از دو طیف متمایز، به عنوان نمایندۀ تفکر سلفی سخن به میان آورد؛ اولین طیف از سلفیون معاصر را سلفیۀ سنتی تشکیل می‌دهد که به واقع آینۀ تمام‌نمای اندیشه‌های ابن‌تیمیه و محمد بن عبدالوهاب بوده و صبغه ای کاملاً مذهبی ـ کلامی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که این طیف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می‌دهند، زمینۀ انتساب بسیاری از مسلمانان را به شرک فراهم آورده و آتش جریان‌های تکفیری را شعله‌ور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منتسبان به تفکر سلفیۀ سنتی با بهره‌گیری از امکانات مالی و حمایت‌های سیاسی برخی دولت‌ها، در معرفی مسلک مورد تأکید خود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سلفیه با عنایت به نقش دولت سعودی در حمایت‌های مادی و معنوی از آن، از سوی مخالفان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سلفیۀ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منتسب به شیخ محمد امان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25 (Mernissi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طیف دوم جریان سلفیه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نوسلفی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می‌کوشد مباحث توحید اسلامی را از توحید قبوری و تکفیر دیگران، به توحید عملی و جنبه‌های گوناگون آن در جامعه کشانده و از احیای توحید به احیای حکومت اسلامی ـ در برابر حکومت جاهلیت ـ و نیز توحید در قانون‌گذاری و توحید در حاکمیت راه یابد؛ هم چنین اصل جهاد را نه در برابر برادران مسلمان، بلکه در برابر جبهه کفر و نظام سلطه به تحقق عملی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امیرخانی،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سلفیۀ جامیه نیز توحید در حاکمیت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دارند، اما مصرّند که آن را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کنند؛ امری که به سبب کاستن از شأن این مسئله، هرگز مقبول نوسلفیان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سلفیۀ جامیه نیز با روحیۀ جزم‌گرای خود حاضر نیست از تقسیم ثلاثی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صفاتی، توحید ربوبی و توحید 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بکشد؛ لذا حتی در مسائل شکلی مانند تقسیمات توحید، نقدهای سهمگینی به نوسلفیان وارد می‌کند؛ مثلاً نوسلفیانی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هفت گانه را از حوز‌ه های مختلف توحید ارائه کرده اند که به شدت مورد مخالفت سلفیه سنتی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المسعری،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توحیدِ حاکمیت مطرح‌شده از سوی نوسلفیان، هم به جهت خدشه در تقسیم ثلاثی توحید سلفیه جامیه و هم به لحاظ ارائه رویکرد‌های مفهومی متضاد با این جریان مورد قبول جامیون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مهمّ دیگری که به عنوان یکی از لوازم توحید حاکمیتی، به شدت با رویکردهای حکومت‌پسندِ جامیون در تضاد است، تکفیر حاکم بغیر ما انزل الله از سوی نوسلفیان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سید 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المبرد،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سلفیۀ سنتی با تفسیری غیرتکفیری از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حاکم بغیر ما انزل الله و محکومان راضی به این امر را به استحلال قلبی آن‌ها مقید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تفکرات سلفیان سنتی معاصر مبتنی بر قبول آرای افرادی چون ابن‌تیمیه، ابن‌کثیر و گاهی آلوسی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نوسلفیان، صرف عدم تطبیق عملی شریعت و یا وضع قوانین بشری در مقابل تشریعات الهی را مساوی با تکفیر عامل این امور دانسته‌اند؛ لذا ملاحظه می‌شود که مخالفان سلفیۀ جامیه بر مؤلفه‌هایی در حوزۀ توحید تأکید دارند که با تقدیس آرای ابن‌تیمیه و</w:t>
      </w:r>
      <w:bookmarkStart w:id="414" w:name="pg3261_16531"/>
    </w:p>
    <w:p>
      <w:pPr>
        <w:pStyle w:val="BookText"/>
        <w:rPr/>
      </w:pPr>
      <w:bookmarkEnd w:id="414"/>
      <w:r>
        <w:rPr>
          <w:rFonts w:ascii="IRNazanin" w:hAnsi="IRNazanin" w:eastAsia="IRNazanin"/>
          <w:color w:val="111111"/>
          <w:sz w:val="28"/>
          <w:sz w:val="28"/>
          <w:szCs w:val="28"/>
          <w:rtl w:val="true"/>
          <w:lang w:bidi="fa-IR"/>
        </w:rPr>
        <w:t>ابن‌عبدالوهاب و هم‌چنین دفاع تمام و کمال از مبانی حکومت سعودی از سوی جامیه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جامیون نمی‌توانند بنا به ارادت خاص خود به ابن‌تیمیه، از مکتب اثبات صفات و یا تقسیم ثلاثی توحید توسط وی دست شسته و تأویل‌گرایی نوسلفیان را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طرفی همراهی با نوسلفیان در تکفیر حاکم بغیر ما انزل الله، صرفاً به علت وضع قوانین بشری و یا عدم تطبیق شریعت، در حکم چراغ سبزی برای تخطئه و تکفیر حکام سعودی خواهد بود که این امر نیز با پیوند وثیق جامیه و حکومت سعودی در تضاد خواهد بود</w:t>
      </w:r>
      <w:r>
        <w:rPr>
          <w:rFonts w:eastAsia="IRNazanin" w:cs="IRNazanin"/>
          <w:color w:val="111111"/>
          <w:sz w:val="28"/>
          <w:szCs w:val="28"/>
          <w:rtl w:val="true"/>
          <w:lang w:bidi="fa-IR"/>
        </w:rPr>
        <w:t>.</w:t>
      </w:r>
    </w:p>
    <w:p>
      <w:pPr>
        <w:pStyle w:val="Heading5"/>
        <w:numPr>
          <w:ilvl w:val="4"/>
          <w:numId w:val="1"/>
        </w:numPr>
        <w:rPr/>
      </w:pPr>
      <w:bookmarkStart w:id="415" w:name="__RefHeading___Toc2051845_2749589250"/>
      <w:bookmarkStart w:id="416" w:name="_Toc172"/>
      <w:bookmarkEnd w:id="415"/>
      <w:r>
        <w:rPr>
          <w:rtl w:val="true"/>
        </w:rPr>
        <w:t>ب</w:t>
      </w:r>
      <w:r>
        <w:rPr>
          <w:rtl w:val="true"/>
        </w:rPr>
        <w:t xml:space="preserve">. </w:t>
      </w:r>
      <w:r>
        <w:rPr>
          <w:rtl w:val="true"/>
        </w:rPr>
        <w:t>توسعه دامنۀ تخطئه علمای مخالف با مبانی عقیدتی جامیه</w:t>
      </w:r>
      <w:bookmarkEnd w:id="416"/>
    </w:p>
    <w:p>
      <w:pPr>
        <w:pStyle w:val="BookText"/>
        <w:rPr/>
      </w:pPr>
      <w:r>
        <w:rPr>
          <w:rFonts w:ascii="IRNazanin" w:hAnsi="IRNazanin" w:eastAsia="IRNazanin"/>
          <w:color w:val="111111"/>
          <w:sz w:val="28"/>
          <w:sz w:val="28"/>
          <w:szCs w:val="28"/>
          <w:rtl w:val="true"/>
          <w:lang w:bidi="fa-IR"/>
        </w:rPr>
        <w:t xml:space="preserve">مخالفان جامیه معتقدند، یکی از مؤلفه‌های منفی این جریان، تخطئه تمامی علمایی است که با مبانی سلفیه سنتی و درباری مخالفند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مؤلفان،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الجهینی،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المدخلی، از سران جامیه به شکل بسیار گسترده‌ای به تجریح علمای نوسلفی همت گماشته است، به طوری که اساس تسمیۀ بسیاری از جریانات مخالف به واسطۀ وی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 به شکل وسیع از فرقه‌هایی چون حدادیه، سروریه، حسنیه، ممیعه، قطبیه و اخوانیون نام برده و ردیه‌نویسی به مهم‌ترین اشتغال روزانۀ وی بدل شده؛ به گونه‌ای که رساله‌های متعددی را در ردّ مخالفان سلفیه سنتی همچون ابوالحسن السلیمانی الماربی، سفر الحوالی، سلمان العوده، محمود الحداد، محمد بن سرور زین‌العابدین و بسیاری دیگر از افراد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تجریحی جامیه و خصوصاً ربیع المدخلی حتی از سوی خود وی نیز پذیرفته شده و البته مدخلی، اقدام به چنین امری را در راستای مبارزه با بدعت‌ها و انحرافات سلفیه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بزرگان نوسلفیه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نفوذی که بر مفتی اعظم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توانستند وی را در صدور بیانیه‌ای برای ردّ رویۀ تجریحی مدخلی مجاب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مؤلفان،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الحوالی،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تا حدود زیادی سبب انفتاح در عملکرد نوسلفیه و سرخوردگی اصحاب جامیه گردید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مخالفان جامیه بر آنند تا رویکرد تجریحی این جریان را با طرح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اصل، مخالفان جامیون معتقدند بیان محسنات اهل بدعت در کنار آگاهی دادن از انحرافات آن‌ها، امری مستند به منابع دینی و سیرۀ علمی سلف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مسئله‌ای که علمای جامیه به بهانۀ بی‌تأثیر شدن گزاره‌های تجریحی در پی ایراد محسنات اهل بدعت، پذیرش آن را برنمی‌تابند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مؤلفان،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جامیه، امری فراتر از نقد است که به ضرورت عدم اخذ علوم دینی از افراد بدعت‌گذار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روند افراط‌گرایانۀ جامیه سبب شده علمایی چون شیخ بن جبرین، شیخ بکر أبوزید، شیخ عبدالله الغُنیمان، شیخ عبدالمحسن العبّاد، شیخ عبدالرحمن البرّاک عبدالله السعد، سعد الحمیّد، عبدالرحمن المحمود، محمّد العریفی، بشر البشر، سلیمان العلوان و عدنان العرعور نیز از تجریحات پرشمار جامیون و در رأس آن‌ها ربیع المدخلی در امان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جامیون معتقدند، در طول تاریخ اسلام سابقه نداشته که با اتخاذ چنین رویکردی، بسیاری از علما و مبلغان دینی به انحراف و بدعت متهم شده و از دایرۀ سلفیه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مبالغه در بیان اشتباهات، در کنار توسعۀ عمیق دامنۀ بدعت از سوی جامیون و هم‌چنین رویکرد تنگ‌نظرانه و جزم‌گرایانۀ ایشان سبب شده است وقوع هر گونه انحرافی از سوی مخالفان، به حرمت اخذ علوم دینی از این افراد منتهی گردد و حتی مبتدع ندانستن اهل بدعت نیز نوعی بدعت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جامیه معتقدند ایشان بدون رعایت اصل حکم مقید بر مطلق و یا مجمل بر مبین، هر گونه سخن موهم بدعت را انحراف عقیدتی صاحب آن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المدخلی،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با عملیات استشهادی و تحریم آن از سوی جامیون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ابن عثیمین،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غامدی،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هر شخص مخالف با این عقیده، مبتدع و منحرف شناخته شود، در حالی که مخالفان جامیون بر این باورند که چنین مسائلی در دایرۀ فقه و نه عقاید قرار دارد و یا این‌که تفاوت اجتهاد در مسائل دینی نباید منجر به تسمیۀ مخالفان به بدعت 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مخالفان، طرح لوازم قول مخالفان به عنوان عقیدۀ آنان، عدم روشن بودن معیارهای جامی‌ها برای حرمت اخذ علوم دینی از بدعت گذاران و عدم اخذ علم از وی، خلط بین مفهوم بدعت و مصالح مرسله و تمایز قائل نشدن بین اصول و فروع، از اهمّ اشکالات رویکرد افراط‌گرایانۀ جامیه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جامیه معتقدند بر اساس بیان ابن‌تیمیه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خطای عالم در برخی فتاوا نباید موجب منع وی از صدور افتاء و اخذ علم از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مخالفان بر آنند که در تجریح فرد مبتدع باید ضوابطی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الفاظ جرح صریح الدلاله مطابق با منابع شرعی، منظور داشتن مقتضیات عصری استعمال الفاظ جرح، و مسئله طرح حسنات به موازات ذکر بدعت‌های مبتدع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گیرد</w:t>
      </w:r>
      <w:r>
        <w:rPr>
          <w:rFonts w:eastAsia="IRNazanin" w:cs="IRNazanin"/>
          <w:color w:val="111111"/>
          <w:sz w:val="28"/>
          <w:szCs w:val="28"/>
          <w:rtl w:val="true"/>
          <w:lang w:bidi="fa-IR"/>
        </w:rPr>
        <w:t>.</w:t>
      </w:r>
      <w:bookmarkStart w:id="417" w:name="pg3261_16533"/>
    </w:p>
    <w:p>
      <w:pPr>
        <w:pStyle w:val="Heading5"/>
        <w:numPr>
          <w:ilvl w:val="4"/>
          <w:numId w:val="1"/>
        </w:numPr>
        <w:rPr/>
      </w:pPr>
      <w:bookmarkStart w:id="418" w:name="__RefHeading___Toc2051847_2749589250"/>
      <w:bookmarkStart w:id="419" w:name="_Toc173"/>
      <w:bookmarkEnd w:id="417"/>
      <w:bookmarkEnd w:id="418"/>
      <w:r>
        <w:rPr>
          <w:rtl w:val="true"/>
        </w:rPr>
        <w:t>ج</w:t>
      </w:r>
      <w:r>
        <w:rPr>
          <w:rtl w:val="true"/>
        </w:rPr>
        <w:t xml:space="preserve">. </w:t>
      </w:r>
      <w:r>
        <w:rPr>
          <w:rtl w:val="true"/>
        </w:rPr>
        <w:t>تأکید بر حرمت خروج بر حکام و ولات</w:t>
      </w:r>
      <w:bookmarkEnd w:id="419"/>
    </w:p>
    <w:p>
      <w:pPr>
        <w:pStyle w:val="BookText"/>
        <w:rPr/>
      </w:pPr>
      <w:r>
        <w:rPr>
          <w:rFonts w:ascii="IRNazanin" w:hAnsi="IRNazanin" w:eastAsia="IRNazanin"/>
          <w:color w:val="111111"/>
          <w:sz w:val="28"/>
          <w:sz w:val="28"/>
          <w:szCs w:val="28"/>
          <w:rtl w:val="true"/>
          <w:lang w:bidi="fa-IR"/>
        </w:rPr>
        <w:t xml:space="preserve">جامیون به تبع ارتباط وثیق خود با حاکمیت سعودی، هر گونه خروج بر حکام را تحریم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آنند تا این امر را به کلام بزرگان سلفیه مستند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الآجری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نقطۀ مقابل، مخالفان جامیه محکوم کردن خروج امام حسین  علیه السلام   بر یزید از سوی این جریان را امری غیرمقبول تلقی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جامیون با رویکرد نوسلفیان در مسئله تکفیر حاکم بغیر ما انزل الله و حمایت از انقلاب‌های عربی را نیز باید متأثر از این مسئله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جامیون و سلفیان سنتی معتقدند، حاکم بغیر ما انزل الله صرفاً در صورت استحلال قلبی و یا جاری کردن کفر درونی خود بر زبان می‌تواند از سوی محکومان مورد اعتراض قرار گیرد؛ آن هم اعتراضی که در آن کیفیت و ابزار مستعمل در برکناری حاکم مسالمت‌آمیز بوده و موجب هدر رفتن دماء معصوم و یا انقلاب‌های خونین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جامیون حتی مخالفت لسانی با سلطان در قالب برپایی تظاهرات و مانند آن را نیز برنتافته و معتقدند، صرفاً باید در خفا به نصیحت و خیرخواهی حکام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السدلان،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جامیون از اتصاف مخالفان خود در این قضیه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ابایی ندارند و از قدرت رسانه‌ای خود نیز در راستای ترویج این اعتقاد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نظریۀ بطلان جهاد بدون اذن امام و همکاری با استخبارات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 نزد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رویکردهای جامیون در راستای طرد افکار نوسلفیان و دفاع از حکام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5"/>
        <w:numPr>
          <w:ilvl w:val="4"/>
          <w:numId w:val="1"/>
        </w:numPr>
        <w:rPr/>
      </w:pPr>
      <w:bookmarkStart w:id="420" w:name="__RefHeading___Toc2051849_2749589250"/>
      <w:bookmarkStart w:id="421" w:name="_Toc174"/>
      <w:bookmarkEnd w:id="420"/>
      <w:r>
        <w:rPr>
          <w:rtl w:val="true"/>
        </w:rPr>
        <w:t>د</w:t>
      </w:r>
      <w:r>
        <w:rPr>
          <w:rtl w:val="true"/>
        </w:rPr>
        <w:t xml:space="preserve">. </w:t>
      </w:r>
      <w:r>
        <w:rPr>
          <w:rtl w:val="true"/>
        </w:rPr>
        <w:t>مخالفت با تحزب، دموکراسی و جمعیات و انجمن‌های سیاسی</w:t>
      </w:r>
      <w:bookmarkEnd w:id="4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سلفیۀ جامیه در راستای حمایت همه‌جانبه از حکام،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تحزب، عضویت در جمعیت و انجمن سیاسی حتی از نوع اسلامی آن، توجه به اصول مردم‌سالاری و پذیرش کنوانسیون‌های بین‌المللی را نوعی انحراف و مخالف با اسلام سلفی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تطبیق این اصل خودساخته، جامیون به طور مشخص اخوانیون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مؤلفان،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جماعت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تویجری،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مؤلفان،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از دایرۀ اهل سنت و جماعت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آل‌طاهر، از ائمه معاصر جامیه، در کتابی مستقل اخوانیون و طرف‌داران جماعت تبلیغ در هند را خارج از دایرۀ اهل سنت و جماعت تعریف کرده</w:t>
      </w:r>
      <w:bookmarkStart w:id="422" w:name="pg3261_16534"/>
    </w:p>
    <w:p>
      <w:pPr>
        <w:pStyle w:val="BookText"/>
        <w:rPr/>
      </w:pPr>
      <w:bookmarkEnd w:id="422"/>
      <w:r>
        <w:rPr>
          <w:rFonts w:ascii="IRNazanin" w:hAnsi="IRNazanin" w:eastAsia="IRNazanin"/>
          <w:color w:val="111111"/>
          <w:sz w:val="28"/>
          <w:sz w:val="28"/>
          <w:szCs w:val="28"/>
          <w:rtl w:val="true"/>
          <w:lang w:bidi="fa-IR"/>
        </w:rPr>
        <w:t xml:space="preserve">و بر آن است تا استناد مخالفان به تزکیه ائمه جامیه مانند بن باز، ابن‌عثیمین و البانی نسبت به این دو گروه را مخدوش جلوه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5"/>
        <w:numPr>
          <w:ilvl w:val="4"/>
          <w:numId w:val="1"/>
        </w:numPr>
        <w:rPr/>
      </w:pPr>
      <w:bookmarkStart w:id="423" w:name="__RefHeading___Toc2051851_2749589250"/>
      <w:bookmarkStart w:id="424" w:name="_Toc175"/>
      <w:bookmarkEnd w:id="423"/>
      <w:r>
        <w:rPr>
          <w:rtl w:val="true"/>
        </w:rPr>
        <w:t>هـ</w:t>
      </w:r>
      <w:r>
        <w:rPr>
          <w:rtl w:val="true"/>
        </w:rPr>
        <w:t xml:space="preserve">. </w:t>
      </w:r>
      <w:r>
        <w:rPr>
          <w:rtl w:val="true"/>
        </w:rPr>
        <w:t>جمودگرایی و مخالفت با افکار روشن</w:t>
      </w:r>
      <w:r>
        <w:rPr>
          <w:rtl w:val="true"/>
        </w:rPr>
        <w:t>¬</w:t>
      </w:r>
      <w:r>
        <w:rPr>
          <w:rtl w:val="true"/>
        </w:rPr>
        <w:t>فکری، فلسفی، کلامی و عرفانی</w:t>
      </w:r>
      <w:bookmarkEnd w:id="424"/>
    </w:p>
    <w:p>
      <w:pPr>
        <w:pStyle w:val="BookText"/>
        <w:rPr/>
      </w:pPr>
      <w:r>
        <w:rPr>
          <w:rFonts w:ascii="IRNazanin" w:hAnsi="IRNazanin" w:eastAsia="IRNazanin"/>
          <w:color w:val="111111"/>
          <w:sz w:val="28"/>
          <w:sz w:val="28"/>
          <w:szCs w:val="28"/>
          <w:rtl w:val="true"/>
          <w:lang w:bidi="fa-IR"/>
        </w:rPr>
        <w:t>جامیه در راستای تقدیس هرچه بیشتر میراث ابن‌تیمیه و اعوان وی علوم فلسفی، کلامی و عرفانی را تحریم کرده و حتی هر گونه نوگرایی در ارائه اصول دینی در جهت جذب جوانان به دین را غیرمشروع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جامیون حتی در حوزۀ فروع، طرح مسائلی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واقع‌گرا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نوسلفیانی چون ناصر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الجزائری،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دیدۀ تردید و بدبینی تمام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ابزارهای تبلیغی به عنوان اموری توقیفی و ردّ سخنرانی‌های جذاب نوسلفیون با ذمّ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در جهت تحکیم سلفیۀ سنتی و ردّ شیوه‌های جذب نوسلفیان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جمودگرایی شدید سلفیۀ سنتی سبب شده گرایش به نوگرایی نوسلفیان در ارائه و تبلیغ دین مورد توجه شدید جامعۀ سعودی قرار گرفته و سلفیان منتسب به جریان جامیه با نوعی انزوا مواجه گردند</w:t>
      </w:r>
      <w:r>
        <w:rPr>
          <w:rFonts w:eastAsia="IRNazanin" w:cs="IRNazanin"/>
          <w:color w:val="111111"/>
          <w:sz w:val="28"/>
          <w:szCs w:val="28"/>
          <w:rtl w:val="true"/>
          <w:lang w:bidi="fa-IR"/>
        </w:rPr>
        <w:t>.</w:t>
      </w:r>
    </w:p>
    <w:p>
      <w:pPr>
        <w:pStyle w:val="Heading3"/>
        <w:numPr>
          <w:ilvl w:val="2"/>
          <w:numId w:val="1"/>
        </w:numPr>
        <w:rPr/>
      </w:pPr>
      <w:bookmarkStart w:id="425" w:name="__RefHeading___Toc2051853_2749589250"/>
      <w:bookmarkStart w:id="426" w:name="_Toc176"/>
      <w:bookmarkEnd w:id="425"/>
      <w:r>
        <w:rPr/>
        <w:t>2</w:t>
      </w:r>
      <w:r>
        <w:rPr>
          <w:rtl w:val="true"/>
        </w:rPr>
        <w:t xml:space="preserve">. </w:t>
      </w:r>
      <w:r>
        <w:rPr>
          <w:rtl w:val="true"/>
        </w:rPr>
        <w:t xml:space="preserve">جریان سلفیه سروریه </w:t>
      </w:r>
      <w:r>
        <w:rPr>
          <w:rtl w:val="true"/>
        </w:rPr>
        <w:t>(</w:t>
      </w:r>
      <w:r>
        <w:rPr>
          <w:rtl w:val="true"/>
        </w:rPr>
        <w:t>قطبیه، اخوانیون</w:t>
      </w:r>
      <w:r>
        <w:rPr>
          <w:rtl w:val="true"/>
        </w:rPr>
        <w:t xml:space="preserve">) </w:t>
      </w:r>
      <w:r>
        <w:rPr>
          <w:rtl w:val="true"/>
        </w:rPr>
        <w:t>و زمینه‌های تاریخی و اجتماعی شکل‌گیری آن</w:t>
      </w:r>
      <w:bookmarkEnd w:id="426"/>
    </w:p>
    <w:p>
      <w:pPr>
        <w:pStyle w:val="Heading4"/>
        <w:numPr>
          <w:ilvl w:val="3"/>
          <w:numId w:val="1"/>
        </w:numPr>
        <w:rPr/>
      </w:pPr>
      <w:bookmarkStart w:id="427" w:name="__RefHeading___Toc2051855_2749589250"/>
      <w:bookmarkStart w:id="428" w:name="_Toc177"/>
      <w:bookmarkEnd w:id="427"/>
      <w:r>
        <w:rPr>
          <w:rtl w:val="true"/>
        </w:rPr>
        <w:t>اشاره</w:t>
      </w:r>
      <w:bookmarkEnd w:id="4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بن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 سوری‌الاصل ساکن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نسبت به دیگر بزرگان این جریان نوسلفی همانند سفر الحوالی، سلمان العوده و عائض القرنی پای‌بندی بیشتری به اصول سلفیۀ سنتی در مباحث کلامی همچون توحید دارد، اما به سبب پیشتازی در مخالفت با ارتباط محکم جامیه با دربار سعودی و حمایتِ بی چون و چرای آن‌ها از حکام، نماد جریان نوسلفیه به شمار رفته و از این رو جامیه، نوسلفیان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غالب منتسبان به جریان سروریه، علقۀ بسیاری به افکار سید قطب و برادرش محمد قطب دارند؛ لذا همان گونه که بیان شد، تضادهای عمیق این جریان به سبب توافق فکری با برادران قطب با جریان جامیه، به‌خصوص در مباحث توحیدی قابل انتظار است؛ هم‌چنان‌که در سطور پیشین به تمایزات گستردۀ نوسلفیه با سلفیۀ سنتی در مسئله توحید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مسئله را به مناقشات عمیق توحیدی جامیه و سروریه به عنوان نمایندگان دو طیف سلفیۀ سنتی و نوسلفیه نیز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مبنای جامیون در تکفیر مشروط و مقید حاکم بغیر ما انزل الله، تحریم خروج بر حاکم به عمل و یا لسان، ردّ عملیات استشهادی و جهاد بدون اذن امام، تحریم جماعات اسلامی، تصویب مشروعیت حاکمیت حاکم غالب به قوۀ قهریه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تحزب سیاسی همگی پاسخی به</w:t>
      </w:r>
      <w:bookmarkStart w:id="429" w:name="pg3261_16535"/>
    </w:p>
    <w:p>
      <w:pPr>
        <w:pStyle w:val="BookText"/>
        <w:rPr/>
      </w:pPr>
      <w:bookmarkEnd w:id="429"/>
      <w:r>
        <w:rPr>
          <w:rFonts w:ascii="IRNazanin" w:hAnsi="IRNazanin" w:eastAsia="IRNazanin"/>
          <w:color w:val="111111"/>
          <w:sz w:val="28"/>
          <w:sz w:val="28"/>
          <w:szCs w:val="28"/>
          <w:rtl w:val="true"/>
          <w:lang w:bidi="fa-IR"/>
        </w:rPr>
        <w:t>مؤلفه‌های جریان سروریه به شمار می‌آید و به عبارتی، باید این مؤلفه‌ها را در درجۀ اول به عنوان شاخصه‌های سروریه تلقی کرد؛ لذا جامیه در شکل‌گیری و ادامۀ حیاتش، مرهون جنبش سروریه بوده و مؤلفه‌های آن نیز باید واکنشی در مقابل جریان انقلابی سروریه تعریف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می‌توان از برخی مؤلفه‌های عقیدتی دیگر در خصوص جریان سروریه سخن به میان آورد که در ادامه به آن‌ها اشاره می‌گردد</w:t>
      </w:r>
      <w:r>
        <w:rPr>
          <w:rFonts w:eastAsia="IRNazanin" w:cs="IRNazanin"/>
          <w:color w:val="111111"/>
          <w:sz w:val="28"/>
          <w:szCs w:val="28"/>
          <w:rtl w:val="true"/>
          <w:lang w:bidi="fa-IR"/>
        </w:rPr>
        <w:t>.</w:t>
      </w:r>
    </w:p>
    <w:p>
      <w:pPr>
        <w:pStyle w:val="Heading4"/>
        <w:numPr>
          <w:ilvl w:val="3"/>
          <w:numId w:val="1"/>
        </w:numPr>
        <w:rPr/>
      </w:pPr>
      <w:bookmarkStart w:id="430" w:name="__RefHeading___Toc2051857_2749589250"/>
      <w:bookmarkStart w:id="431" w:name="_Toc178"/>
      <w:bookmarkEnd w:id="430"/>
      <w:r>
        <w:rPr>
          <w:rtl w:val="true"/>
        </w:rPr>
        <w:t>مؤلفه‌های خاصّ جریان سلفیۀ سروریه</w:t>
      </w:r>
      <w:bookmarkEnd w:id="431"/>
    </w:p>
    <w:p>
      <w:pPr>
        <w:pStyle w:val="Heading5"/>
        <w:numPr>
          <w:ilvl w:val="4"/>
          <w:numId w:val="1"/>
        </w:numPr>
        <w:rPr/>
      </w:pPr>
      <w:bookmarkStart w:id="432" w:name="__RefHeading___Toc2051859_2749589250"/>
      <w:bookmarkStart w:id="433" w:name="_Toc179"/>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جریان سلفیۀ سروریه دارای برخی مؤلفه‌های مختص به خود است که در ادامه به آن‌ها اشاره می‌گردد</w:t>
      </w:r>
      <w:r>
        <w:rPr>
          <w:rFonts w:eastAsia="IRNazanin" w:cs="IRNazanin"/>
          <w:color w:val="111111"/>
          <w:sz w:val="28"/>
          <w:szCs w:val="28"/>
          <w:rtl w:val="true"/>
          <w:lang w:bidi="fa-IR"/>
        </w:rPr>
        <w:t>:</w:t>
      </w:r>
    </w:p>
    <w:p>
      <w:pPr>
        <w:pStyle w:val="Heading5"/>
        <w:numPr>
          <w:ilvl w:val="4"/>
          <w:numId w:val="1"/>
        </w:numPr>
        <w:rPr/>
      </w:pPr>
      <w:bookmarkStart w:id="434" w:name="__RefHeading___Toc2051861_2749589250"/>
      <w:bookmarkStart w:id="435" w:name="_Toc180"/>
      <w:bookmarkEnd w:id="434"/>
      <w:r>
        <w:rPr>
          <w:rtl w:val="true"/>
        </w:rPr>
        <w:t>الف</w:t>
      </w:r>
      <w:r>
        <w:rPr>
          <w:rtl w:val="true"/>
        </w:rPr>
        <w:t xml:space="preserve">. </w:t>
      </w:r>
      <w:r>
        <w:rPr>
          <w:rtl w:val="true"/>
        </w:rPr>
        <w:t>تکفیر فرد مصرّ بر کبائر از منظر سروریه</w:t>
      </w:r>
      <w:bookmarkEnd w:id="435"/>
    </w:p>
    <w:p>
      <w:pPr>
        <w:pStyle w:val="BookText"/>
        <w:rPr/>
      </w:pPr>
      <w:r>
        <w:rPr>
          <w:rFonts w:ascii="IRNazanin" w:hAnsi="IRNazanin" w:eastAsia="IRNazanin"/>
          <w:color w:val="111111"/>
          <w:sz w:val="28"/>
          <w:sz w:val="28"/>
          <w:szCs w:val="28"/>
          <w:rtl w:val="true"/>
          <w:lang w:bidi="fa-IR"/>
        </w:rPr>
        <w:t xml:space="preserve">تکفیرِ مصرّ بر کبائر از سوی سروریه را باید متأثر از رویکرد عمل گرایانه، واقع‌گرایانه و جامعه‌محورانۀ آنان تلقی کرد، به گونه‌ای که آن‌ها با نظارۀ اوضاع بی دینی و عدم توجه مردم به مقتضیات ایمان و نطق به شهادتین، ترجیح داده‌اند مصرّ بر معصیت را قائم مقام مستحل آن قرار دهند و او را تکفیر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رویکرد محافظه‌کارانه، افرادی را که در هتل‌های دولت‌های عربی به شرب خمر عادت کرده‌اند، تکفیر کرده و معتقد است همین اصرار بر معصیت، نشان از اعتقاد قلبی شخصی به استحلال شرب خمر داشته و ملاک تکفیر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العوده،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العمر نیز معتقد است، بعضی معاصی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شدن ربا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به طور قطعی صرفاً معصیت حساب کرد، بلکه برخی از این‌ها حقیقتاً کفر اعتقادی به شمار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کنار تکفیر حاکم بغیر ما انزل الله بدون تقیید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شده جامیون، سروریه را خوارج عصر معرفی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5"/>
        <w:numPr>
          <w:ilvl w:val="4"/>
          <w:numId w:val="1"/>
        </w:numPr>
        <w:rPr/>
      </w:pPr>
      <w:bookmarkStart w:id="436" w:name="__RefHeading___Toc2051863_2749589250"/>
      <w:bookmarkStart w:id="437" w:name="_Toc181"/>
      <w:bookmarkEnd w:id="436"/>
      <w:r>
        <w:rPr>
          <w:rtl w:val="true"/>
        </w:rPr>
        <w:t>ب</w:t>
      </w:r>
      <w:r>
        <w:rPr>
          <w:rtl w:val="true"/>
        </w:rPr>
        <w:t xml:space="preserve">. </w:t>
      </w:r>
      <w:r>
        <w:rPr>
          <w:rtl w:val="true"/>
        </w:rPr>
        <w:t>متهم کردن مخالفان به تفکر ارجائی در رویکرد عقیدتی سروریه</w:t>
      </w:r>
      <w:bookmarkEnd w:id="4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الحوالی با تأثر تفکرات انقلابی‌گری و اصلاح‌طلبانۀ استاد خود سید قطب، رسالۀ دکترای خود را به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 و در این راستا بزرگان سلفیۀ جامیه، همچون البانی را به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اعتقاد به مدخلیت عمل در مفهوم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تفکر ارجائی متهم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باید در تفکرات محمد قطب مبنی بر جاهلیت مردم امروز به جهت عمل نکردن به مقتضیات توحید و شهادتین ریشه یابی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قطب،</w:t>
      </w:r>
      <w:bookmarkStart w:id="438" w:name="pg3261_16536"/>
    </w:p>
    <w:p>
      <w:pPr>
        <w:pStyle w:val="BookText"/>
        <w:rPr/>
      </w:pPr>
      <w:bookmarkEnd w:id="438"/>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مدعی شد تفکراتی چون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بر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بغیر ما انزل الله، بدون قید 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سرچشمه گرفته است</w:t>
      </w:r>
      <w:r>
        <w:rPr>
          <w:rFonts w:eastAsia="IRNazanin" w:cs="IRNazanin"/>
          <w:color w:val="111111"/>
          <w:sz w:val="28"/>
          <w:szCs w:val="28"/>
          <w:rtl w:val="true"/>
          <w:lang w:bidi="fa-IR"/>
        </w:rPr>
        <w:t>.</w:t>
      </w:r>
    </w:p>
    <w:p>
      <w:pPr>
        <w:pStyle w:val="Heading3"/>
        <w:numPr>
          <w:ilvl w:val="2"/>
          <w:numId w:val="1"/>
        </w:numPr>
        <w:rPr/>
      </w:pPr>
      <w:bookmarkStart w:id="439" w:name="__RefHeading___Toc2051865_2749589250"/>
      <w:bookmarkStart w:id="440" w:name="_Toc182"/>
      <w:bookmarkEnd w:id="439"/>
      <w:r>
        <w:rPr/>
        <w:t>3</w:t>
      </w:r>
      <w:r>
        <w:rPr>
          <w:rtl w:val="true"/>
        </w:rPr>
        <w:t xml:space="preserve">. </w:t>
      </w:r>
      <w:r>
        <w:rPr>
          <w:rtl w:val="true"/>
        </w:rPr>
        <w:t>جریان سلفیۀ حدادیه و زمینه‌های شکل‌گیری آن</w:t>
      </w:r>
      <w:bookmarkEnd w:id="440"/>
    </w:p>
    <w:p>
      <w:pPr>
        <w:pStyle w:val="Heading4"/>
        <w:numPr>
          <w:ilvl w:val="3"/>
          <w:numId w:val="1"/>
        </w:numPr>
        <w:rPr/>
      </w:pPr>
      <w:bookmarkStart w:id="441" w:name="__RefHeading___Toc2051867_2749589250"/>
      <w:bookmarkStart w:id="442" w:name="_Toc183"/>
      <w:bookmarkEnd w:id="441"/>
      <w:r>
        <w:rPr>
          <w:rtl w:val="true"/>
        </w:rPr>
        <w:t xml:space="preserve">یکی از پیامدهای افراط‌گرایی جامیون در مسئله تجریح مخالفان، با ظهور افرادی چون </w:t>
      </w:r>
      <w:r>
        <w:rPr>
          <w:rtl w:val="true"/>
        </w:rPr>
        <w:t>«</w:t>
      </w:r>
      <w:r>
        <w:rPr>
          <w:rtl w:val="true"/>
        </w:rPr>
        <w:t>شیخ محمود حداد</w:t>
      </w:r>
      <w:r>
        <w:rPr>
          <w:rtl w:val="true"/>
        </w:rPr>
        <w:t xml:space="preserve">» </w:t>
      </w:r>
      <w:r>
        <w:rPr>
          <w:rtl w:val="true"/>
        </w:rPr>
        <w:t>در درون این جریان ظهور پیدا کرد</w:t>
      </w:r>
      <w:r>
        <w:rPr>
          <w:rtl w:val="true"/>
        </w:rPr>
        <w:t xml:space="preserve">. </w:t>
      </w:r>
      <w:r>
        <w:rPr>
          <w:rtl w:val="true"/>
        </w:rPr>
        <w:t>محمود الحداد مصری ضمن پای‌بندی به غالب معتقدات سلفیۀ سنتی، تأکید عجیبی بر مسئله هجر مبتدع، ترک ترحم بر او و تسرع در تبدیع بدعت‌گذاران داشت و حتی متقدمان سلفیه چون</w:t>
      </w:r>
      <w:r>
        <w:rPr>
          <w:rtl w:val="true"/>
        </w:rPr>
        <w:t xml:space="preserve">: </w:t>
      </w:r>
      <w:r>
        <w:rPr>
          <w:rtl w:val="true"/>
        </w:rPr>
        <w:t xml:space="preserve">نووی، ابن‌حجر، طحاوی و شوکانی را بدعت‌گذار می‌خواند </w:t>
      </w:r>
      <w:r>
        <w:rPr>
          <w:rtl w:val="true"/>
        </w:rPr>
        <w:t>(</w:t>
      </w:r>
      <w:r>
        <w:rPr>
          <w:rtl w:val="true"/>
        </w:rPr>
        <w:t>المدخلی، بی</w:t>
      </w:r>
      <w:r>
        <w:rPr>
          <w:rtl w:val="true"/>
        </w:rPr>
        <w:t>¬</w:t>
      </w:r>
      <w:r>
        <w:rPr>
          <w:rtl w:val="true"/>
        </w:rPr>
        <w:t xml:space="preserve">تا </w:t>
      </w:r>
      <w:r>
        <w:rPr>
          <w:rtl w:val="true"/>
        </w:rPr>
        <w:t>(</w:t>
      </w:r>
      <w:r>
        <w:rPr>
          <w:rtl w:val="true"/>
        </w:rPr>
        <w:t>ب</w:t>
      </w:r>
      <w:r>
        <w:rPr>
          <w:rtl w:val="true"/>
        </w:rPr>
        <w:t xml:space="preserve">): </w:t>
      </w:r>
      <w:r>
        <w:rPr/>
        <w:t>18</w:t>
      </w:r>
      <w:r>
        <w:rPr>
          <w:rtl w:val="true"/>
        </w:rPr>
        <w:t>؛ غامدی، بی</w:t>
      </w:r>
      <w:r>
        <w:rPr>
          <w:rtl w:val="true"/>
        </w:rPr>
        <w:t>¬</w:t>
      </w:r>
      <w:r>
        <w:rPr>
          <w:rtl w:val="true"/>
        </w:rPr>
        <w:t>تا</w:t>
      </w:r>
      <w:r>
        <w:rPr>
          <w:rtl w:val="true"/>
        </w:rPr>
        <w:t xml:space="preserve">: </w:t>
      </w:r>
      <w:r>
        <w:rPr/>
        <w:t>266</w:t>
      </w:r>
      <w:r>
        <w:rPr>
          <w:rtl w:val="true"/>
        </w:rPr>
        <w:t xml:space="preserve">). </w:t>
      </w:r>
      <w:r>
        <w:rPr>
          <w:rtl w:val="true"/>
        </w:rPr>
        <w:t xml:space="preserve">فوزی الاثری بحرینی، المعسکر، عبدالحمید الجهنی و عبدالله بن صوان الغامدی نیز دنباله‌رو حداد در این امر شدند </w:t>
      </w:r>
      <w:r>
        <w:rPr>
          <w:rtl w:val="true"/>
        </w:rPr>
        <w:t>(</w:t>
      </w:r>
      <w:r>
        <w:rPr>
          <w:rtl w:val="true"/>
        </w:rPr>
        <w:t>الکردی، بی</w:t>
      </w:r>
      <w:r>
        <w:rPr>
          <w:rtl w:val="true"/>
        </w:rPr>
        <w:t>¬</w:t>
      </w:r>
      <w:r>
        <w:rPr>
          <w:rtl w:val="true"/>
        </w:rPr>
        <w:t>تا</w:t>
      </w:r>
      <w:r>
        <w:rPr>
          <w:rtl w:val="true"/>
        </w:rPr>
        <w:t xml:space="preserve">: </w:t>
      </w:r>
      <w:r>
        <w:rPr/>
        <w:t>16</w:t>
      </w:r>
      <w:r>
        <w:rPr>
          <w:rtl w:val="true"/>
        </w:rPr>
        <w:t xml:space="preserve">). </w:t>
      </w:r>
      <w:r>
        <w:rPr>
          <w:rtl w:val="true"/>
        </w:rPr>
        <w:t>این مسئله را خیلی زود افرادی چون مدخلی، صاحب لواء جرح و تعدیل در جریان جامیه، دریافته و به ردّ تندروی افرادی چون محمود الحداد پرداختند</w:t>
      </w:r>
      <w:r>
        <w:rPr>
          <w:rtl w:val="true"/>
        </w:rPr>
        <w:t xml:space="preserve">. </w:t>
      </w:r>
      <w:r>
        <w:rPr>
          <w:rtl w:val="true"/>
        </w:rPr>
        <w:t>شاید معرفی البانی به یکی از بدعت</w:t>
      </w:r>
      <w:r>
        <w:rPr>
          <w:rtl w:val="true"/>
        </w:rPr>
        <w:t>¬</w:t>
      </w:r>
      <w:r>
        <w:rPr>
          <w:rtl w:val="true"/>
        </w:rPr>
        <w:t>گذاران سلفیه و لزوم کناره</w:t>
      </w:r>
      <w:r>
        <w:rPr>
          <w:rtl w:val="true"/>
        </w:rPr>
        <w:t>¬</w:t>
      </w:r>
      <w:r>
        <w:rPr>
          <w:rtl w:val="true"/>
        </w:rPr>
        <w:t>گیری از وی به عنوان فردی مبتدع از سوی محمود الحداد باعث شد تا مدخلی به پیامدهای سوء رویۀ خود در مسئله تجریح و تبدیع مخالفان آگاه شده و خود در معرفی اتباع حداد به عنوان متبعان مسلک حدادیه پیش‌قدم گردد</w:t>
      </w:r>
      <w:r>
        <w:rPr>
          <w:rtl w:val="true"/>
        </w:rPr>
        <w:t xml:space="preserve">. </w:t>
      </w:r>
      <w:r>
        <w:rPr>
          <w:rtl w:val="true"/>
        </w:rPr>
        <w:t xml:space="preserve">وی حداد و پیروانش را به غلوّ در امر تبدیع متهم کرده و معتقد است ائمه سلفی سعی می‌کردند از تصریح به عنوان </w:t>
      </w:r>
      <w:r>
        <w:rPr>
          <w:rtl w:val="true"/>
        </w:rPr>
        <w:t>«</w:t>
      </w:r>
      <w:r>
        <w:rPr>
          <w:rtl w:val="true"/>
        </w:rPr>
        <w:t>مبتدع</w:t>
      </w:r>
      <w:r>
        <w:rPr>
          <w:rtl w:val="true"/>
        </w:rPr>
        <w:t xml:space="preserve">» </w:t>
      </w:r>
      <w:r>
        <w:rPr>
          <w:rtl w:val="true"/>
        </w:rPr>
        <w:t xml:space="preserve">خودداری کرده و میان مبلغانِ افراط‌کننده در بدعت و غیر آن‌ها تمایز قائل شوند </w:t>
      </w:r>
      <w:r>
        <w:rPr>
          <w:rtl w:val="true"/>
        </w:rPr>
        <w:t>(</w:t>
      </w:r>
      <w:r>
        <w:rPr>
          <w:rtl w:val="true"/>
        </w:rPr>
        <w:t>المدخلی، بی</w:t>
      </w:r>
      <w:r>
        <w:rPr>
          <w:rtl w:val="true"/>
        </w:rPr>
        <w:t>¬</w:t>
      </w:r>
      <w:r>
        <w:rPr>
          <w:rtl w:val="true"/>
        </w:rPr>
        <w:t xml:space="preserve">تا </w:t>
      </w:r>
      <w:r>
        <w:rPr>
          <w:rtl w:val="true"/>
        </w:rPr>
        <w:t>(</w:t>
      </w:r>
      <w:r>
        <w:rPr>
          <w:rtl w:val="true"/>
        </w:rPr>
        <w:t>ب</w:t>
      </w:r>
      <w:r>
        <w:rPr>
          <w:rtl w:val="true"/>
        </w:rPr>
        <w:t xml:space="preserve">): </w:t>
      </w:r>
      <w:r>
        <w:rPr/>
        <w:t>4</w:t>
      </w:r>
      <w:r>
        <w:rPr>
          <w:rtl w:val="true"/>
        </w:rPr>
        <w:t xml:space="preserve">). </w:t>
      </w:r>
      <w:r>
        <w:rPr>
          <w:rtl w:val="true"/>
        </w:rPr>
        <w:t xml:space="preserve">به علاوه، جامیه عدم اشتراط تحقق اقامۀ حجت بر فرد پیش از اتصاف به عنوان مبتدع را از دیگر لغزش‌های حدادیه برمی‌شمرند </w:t>
      </w:r>
      <w:r>
        <w:rPr>
          <w:rtl w:val="true"/>
        </w:rPr>
        <w:t>(</w:t>
      </w:r>
      <w:r>
        <w:rPr>
          <w:rtl w:val="true"/>
        </w:rPr>
        <w:t xml:space="preserve">الاحمری، </w:t>
      </w:r>
      <w:r>
        <w:rPr/>
        <w:t>2008</w:t>
      </w:r>
      <w:r>
        <w:rPr>
          <w:rtl w:val="true"/>
        </w:rPr>
        <w:t xml:space="preserve">: </w:t>
      </w:r>
      <w:r>
        <w:rPr/>
        <w:t>81</w:t>
      </w:r>
      <w:r>
        <w:rPr>
          <w:rtl w:val="true"/>
        </w:rPr>
        <w:t>).</w:t>
      </w:r>
      <w:bookmarkEnd w:id="442"/>
    </w:p>
    <w:p>
      <w:pPr>
        <w:pStyle w:val="Heading4"/>
        <w:numPr>
          <w:ilvl w:val="3"/>
          <w:numId w:val="1"/>
        </w:numPr>
        <w:rPr/>
      </w:pPr>
      <w:bookmarkStart w:id="443" w:name="__RefHeading___Toc2051869_2749589250"/>
      <w:bookmarkStart w:id="444" w:name="_Toc184"/>
      <w:bookmarkEnd w:id="443"/>
      <w:r>
        <w:rPr>
          <w:rtl w:val="true"/>
        </w:rPr>
        <w:t>مؤلفه‌های جریان حدادیه از منظر بنیان‌گذار این مکتب</w:t>
      </w:r>
      <w:bookmarkEnd w:id="4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الحداد خود را با کتابی مفصل در بدعت‌گذار خواندن البانی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النصیحۀ فی الردّ علی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اشکال مخالفان مبنی بر مطلوب نبودن طعن بر علما را با استناد به اقوال خود البانی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شرط اعلم بودن از فرد بدعت‌گذار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مسئله ترحم بر مبتدع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عذر به جهل و یا تقلید در خصوص بدعت‌گذار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موازنه در ذکر حسنات و سیئات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تفریق بین تبدیع مطلق و معین</w:t>
      </w:r>
      <w:bookmarkStart w:id="445" w:name="pg3261_16537"/>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نارسا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دعوت البانی به فروگذاری تقلید در مذهب و یا فهم فقهیات با ابزار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مصادیق بدعت‌گذاری وی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الحداد با تمسک به یکی از قواعد نوسلفیان، یعنی مسئله محکوم کردن تفکر ارجائی، دامنۀ علمای به زعم خود مبتدع را تا حد زیادی گسترش داد؛ به طوری که علمای جامیه همچون البانی و حتی ابن‌تیمیه نیز به سبب تعریف خاص خود از ایمان، در زمرۀ مرجئه و در نتیجه مبتدعین قرار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المدخلی،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خود با استدلال به روایات شفاعت که طبق مدلولات آن‌ها فردِ بی‌عمل و ناطق به شهادتین نیز اهل نجات است، به الفوزی البحرینی و فالح الحربی می‌تازد که چگونه کسی را که عمل را در ایمان داخل دانسته و قائل به زیادت و نقصان آن است، در شمار مرجئه قرار داده اند، هرچند وی به تکفیرِ تارک عمل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 در این راستا، ابن‌عبدالوهاب را نیز موافق با رأی خود معرفی کرده و معتقد است، حدادیون با طرح اتهام تفکر ارجائی نسبت به فرد قائل به عدم تکفیرِ تارکِ جنس عمل، عملاً خیلی از ائمه سلفیه را داخل در تفکر مرجئه معرفی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باید حدادیه را نسخه ای افراط گرایانه از جامیه تعریف کرد، جز این‌که حداد به جهت توسعۀ دامنه بدعت و ارائه نوعی منهج عمل‌گرایانه به سان نوسلفیه، به تعریف سروریه همانند سفر الحوالی از مفهوم تفکر ارجائی نیز متوسل شده و در این مسئله از قواعد جامیه اعراض کرده است</w:t>
      </w:r>
      <w:r>
        <w:rPr>
          <w:rFonts w:eastAsia="IRNazanin" w:cs="IRNazanin"/>
          <w:color w:val="111111"/>
          <w:sz w:val="28"/>
          <w:szCs w:val="28"/>
          <w:rtl w:val="true"/>
          <w:lang w:bidi="fa-IR"/>
        </w:rPr>
        <w:t>.</w:t>
      </w:r>
    </w:p>
    <w:p>
      <w:pPr>
        <w:pStyle w:val="Heading3"/>
        <w:numPr>
          <w:ilvl w:val="2"/>
          <w:numId w:val="1"/>
        </w:numPr>
        <w:rPr/>
      </w:pPr>
      <w:bookmarkStart w:id="446" w:name="__RefHeading___Toc2051871_2749589250"/>
      <w:bookmarkStart w:id="447" w:name="_Toc185"/>
      <w:bookmarkEnd w:id="446"/>
      <w:r>
        <w:rPr/>
        <w:t>4</w:t>
      </w:r>
      <w:r>
        <w:rPr>
          <w:rtl w:val="true"/>
        </w:rPr>
        <w:t xml:space="preserve">. </w:t>
      </w:r>
      <w:r>
        <w:rPr>
          <w:rtl w:val="true"/>
        </w:rPr>
        <w:t>جریان سلفیه ممیعه و زمینه‌های تاریخی شکل‌گیری آن</w:t>
      </w:r>
      <w:bookmarkEnd w:id="447"/>
    </w:p>
    <w:p>
      <w:pPr>
        <w:pStyle w:val="Heading4"/>
        <w:numPr>
          <w:ilvl w:val="3"/>
          <w:numId w:val="1"/>
        </w:numPr>
        <w:rPr/>
      </w:pPr>
      <w:bookmarkStart w:id="448" w:name="__RefHeading___Toc2051873_2749589250"/>
      <w:bookmarkStart w:id="449" w:name="_Toc186"/>
      <w:bookmarkEnd w:id="448"/>
      <w:r>
        <w:rPr>
          <w:rtl w:val="true"/>
        </w:rPr>
        <w:t>اشاره</w:t>
      </w:r>
      <w:bookmarkEnd w:id="4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احساس خطر برخی اصحاب درون مذهبی سلفیه نسبت به افراط‌گرایی جامیه و حدادیه در امر تکفیر و تبدیع مخالفان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الحلبی الاثری و ابوالحسن السلیمانی الماربی را باید دو تن از بنیان‌گذاران این جریان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حدادیه، ساخته و پرداخته تئوریسین جریان جامیه، یعنی ربیع المدخلی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مطالعۀ برخی بیانات حلبی و السلیمانی، رویکرد این دو تن در مسئله تکفیر و تبدیع را نقطۀ مقابل جریان حدادیه یافت و به دلیل رویکرد تساهل و تسامح این جریان در امر تکفیر،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تمییع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 و ردّیاتی علیه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450" w:name="pg3261_16538"/>
    </w:p>
    <w:p>
      <w:pPr>
        <w:pStyle w:val="BookText"/>
        <w:rPr/>
      </w:pPr>
      <w:bookmarkEnd w:id="450"/>
      <w:r>
        <w:rPr>
          <w:rFonts w:ascii="IRNazanin" w:hAnsi="IRNazanin" w:eastAsia="IRNazanin"/>
          <w:color w:val="111111"/>
          <w:sz w:val="28"/>
          <w:sz w:val="28"/>
          <w:szCs w:val="28"/>
          <w:rtl w:val="true"/>
          <w:lang w:bidi="fa-IR"/>
        </w:rPr>
        <w:t>باید تصریح کرد، رویکرد الحلبی و السلیمانی بیشتر در جهت نکوهش رویۀ افراط گرایانه حدادیه، حفظ شأنیت علما و زدودن منهج تکفیرگرایانۀ سلفیه شکل گرفت</w:t>
      </w:r>
      <w:r>
        <w:rPr>
          <w:rFonts w:eastAsia="IRNazanin" w:cs="IRNazanin"/>
          <w:color w:val="111111"/>
          <w:sz w:val="28"/>
          <w:szCs w:val="28"/>
          <w:rtl w:val="true"/>
          <w:lang w:bidi="fa-IR"/>
        </w:rPr>
        <w:t>.</w:t>
      </w:r>
    </w:p>
    <w:p>
      <w:pPr>
        <w:pStyle w:val="Heading4"/>
        <w:numPr>
          <w:ilvl w:val="3"/>
          <w:numId w:val="1"/>
        </w:numPr>
        <w:rPr/>
      </w:pPr>
      <w:bookmarkStart w:id="451" w:name="__RefHeading___Toc2051875_2749589250"/>
      <w:bookmarkStart w:id="452" w:name="_Toc187"/>
      <w:bookmarkEnd w:id="451"/>
      <w:r>
        <w:rPr>
          <w:rtl w:val="true"/>
        </w:rPr>
        <w:t>مؤلفه‌های عقیدتی جریان سلفیه ممیعه</w:t>
      </w:r>
      <w:bookmarkEnd w:id="452"/>
    </w:p>
    <w:p>
      <w:pPr>
        <w:pStyle w:val="BookText"/>
        <w:rPr/>
      </w:pPr>
      <w:r>
        <w:rPr>
          <w:rFonts w:ascii="IRNazanin" w:hAnsi="IRNazanin" w:eastAsia="IRNazanin"/>
          <w:color w:val="111111"/>
          <w:sz w:val="28"/>
          <w:sz w:val="28"/>
          <w:szCs w:val="28"/>
          <w:rtl w:val="true"/>
          <w:lang w:bidi="fa-IR"/>
        </w:rPr>
        <w:t xml:space="preserve">السلیمانی کتاب نصحح و لا نهدم را در جهت ترجیح تصحیح خطاهای مبتدعان به جای تشنیع و تکفیر آن‌ها تألیف کرده و این رأی را مطابق آرای بزرگان سلفیه همچون ابن‌تیمیه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السلیمانی،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جامیه این امر را تساهل در امر تبدیع و تکفیر به حساب آورده و با همان قدرتی که با افراط گرایی حدادیه مقابله می‌کردند، ممیعه را نیز به سان حدادیه به عنوان دشمن منهج سلف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رائد آل‌طاهر از اعیان مکتب جامیه، شیخ الحلبی را به دلیل معرفی عمل به عنوان جزء کمال‌بخش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قوام‌بخش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واجد تفکر ارجائی خوانده و آن را یکی از مظاهر معرفی وی به عنوان اهل تمییع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جامیون به ابوالحسن السلیمانی نیز در مسئله حجیت ندادن به اخبار آحاد در امر عقاید، تاخته و آن را مخالف با مکتب سلف معرفی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المدخلی،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جامیون معتقدند، اصحاب تمییع همچون عدنان العرعور و یا السلیمانی با جعل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 و مجملات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آنند تا به آرای مبتدعانی چون سید قطب حجیت بخشند؛ لذا جامیون مسئله اتکا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امری ساخته و پرداختۀ اهل تمییع در جهت تزکیۀ اهل بدعت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جامیون، توسّع اصحاب تمییع در اموری چون موازنه بین حسنات و سیئات مبتدعان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بر عدم اقناع به تجریحات واردشده بر مبتدعان از سوی جامیه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به اجتهادی بودن امر تعدیل و تجریح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الزام به قبول جرح مفسر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جرح با آرای مجمع علیه و مستفیض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انکار تقسیم بین فروع و اصول در مسئله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آل‌طاهر،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تضییق دایرۀ اختلاف بین سلفیه و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به مسئله وحدت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امری در جهت تسامح‌گرایی این فرقه دانسته و آن را محکوم می‌کنند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السلیمانی در راستای تصویب منهجِ اعتدال‌گرایانه‌اش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زعم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ربیع المدخلی در امر تکفیر را به شدت نقد کرده و معتقد است، وی گاه فرق تکفیر مطلق و معین را</w:t>
      </w:r>
    </w:p>
    <w:p>
      <w:pPr>
        <w:pStyle w:val="BookText"/>
        <w:rPr/>
      </w:pPr>
      <w:r>
        <w:rPr>
          <w:rFonts w:ascii="IRNazanin" w:hAnsi="IRNazanin" w:eastAsia="IRNazanin"/>
          <w:color w:val="111111"/>
          <w:sz w:val="28"/>
          <w:sz w:val="28"/>
          <w:szCs w:val="28"/>
          <w:rtl w:val="true"/>
          <w:lang w:bidi="fa-IR"/>
        </w:rPr>
        <w:t xml:space="preserve">در کلام علما به خوبی تفهم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السلیمانی،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شخص را به لازمۀ قولش تکفیر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السلیمانی،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سلیمانی، جامیون را به تشدد و تسرع در امر تکفیر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السلیمانی مکتب جامیون همانند عبید الجابری، فالح الحربی و ربیع المدخلی در امر تجریح مخالفان را غلوآمیز خوانده و آن را مخالف با آرای علمای بزرگ سلفیۀ معاصر همچون ابن‌عثیمین و بن باز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السلیمانی،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کناره‌گیری از مبتدع توسط اصحاب تمییع نیز مورد انتقاد شدید جامیون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جامیون خود را در مسئله تبدیع اصحاب، قول وسط معرفی کرده و حدادیه را به افراط و ممیعه را به تفریط در مسئله تعامل با اهل بدعت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رائد آل‌طاهر تلاش دارد با ذکر طعون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ابوصفوه راکان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صحابه و نبی اکرم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توقف وی در تبدیعِ ابن‌حزم به واسطۀ نفی صفات از سوی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جرح و تعدیل به مثابۀ امری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متهم به دل‌بستگی به افکار اهل تمییع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آل‌طاهر از پی‌جویی افکار حلبی در جهت معرفی او به عنوان اهل تمییع نیز فروگذار نکرده و رساله‌ای مستقل را به انحراف وی از تفکر اصیل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زعم مخالفان، همان تفکر جامیه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وحدت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 بین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توسّع در اصل موازنۀ بین حسنات و سیئات مبتدع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جرح اقناعی و اجماعی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زعم آل‌طاهر از عمدۀ مثالب حلبی</w:t>
      </w:r>
    </w:p>
    <w:p>
      <w:pPr>
        <w:pStyle w:val="BookText"/>
        <w:rPr/>
      </w:pPr>
      <w:r>
        <w:rPr>
          <w:rFonts w:ascii="IRNazanin" w:hAnsi="IRNazanin" w:eastAsia="IRNazanin"/>
          <w:color w:val="111111"/>
          <w:sz w:val="28"/>
          <w:sz w:val="28"/>
          <w:szCs w:val="28"/>
          <w:rtl w:val="true"/>
          <w:lang w:bidi="fa-IR"/>
        </w:rPr>
        <w:t>در مخالفت با سلفیه به شمار می‌رود که در نهایت، او را در موافقت تام با تفکر ممیعه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آل‌طاهر با استناد به بیانات مراد خود ربیع المدخلی و با اشاره به مسئله توقف در تبدیع مبتدعه و یا دفاع از بدعت‌گذاران از سوی اهل تمییع، آن‌ها را اهل خذلان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السلیمانی متهم شدنش به اعتقاد به اخوّت ادیان و آزادی اعتقاد را بهتانی می‌داند که از سوی جامیه به وی منتسب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السلیمانی،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باید تصریح کرد، جامیه به حکم جزم‌اندیشی و عدم تحمل مخالفان هر گونه زاویه‌ای از معتقدات جمودگرایانۀ خود را مساوی با خروج از منهج سلف معرفی می‌کنند؛ لذا</w:t>
      </w:r>
      <w:bookmarkStart w:id="453" w:name="pg3261_16540"/>
    </w:p>
    <w:p>
      <w:pPr>
        <w:pStyle w:val="BookText"/>
        <w:rPr/>
      </w:pPr>
      <w:bookmarkEnd w:id="453"/>
      <w:r>
        <w:rPr>
          <w:rFonts w:ascii="IRNazanin" w:hAnsi="IRNazanin" w:eastAsia="IRNazanin"/>
          <w:color w:val="111111"/>
          <w:sz w:val="28"/>
          <w:sz w:val="28"/>
          <w:szCs w:val="28"/>
          <w:rtl w:val="true"/>
          <w:lang w:bidi="fa-IR"/>
        </w:rPr>
        <w:t>حدادیه را به افراط و ممیعه را به تفریط در اصول خود متهم کرده و در صدد مخدوش جلوه دادن عقاید این دو فرقۀ مزعوم هستند</w:t>
      </w:r>
      <w:r>
        <w:rPr>
          <w:rFonts w:eastAsia="IRNazanin" w:cs="IRNazanin"/>
          <w:color w:val="111111"/>
          <w:sz w:val="28"/>
          <w:szCs w:val="28"/>
          <w:rtl w:val="true"/>
          <w:lang w:bidi="fa-IR"/>
        </w:rPr>
        <w:t>.</w:t>
      </w:r>
    </w:p>
    <w:p>
      <w:pPr>
        <w:pStyle w:val="Heading3"/>
        <w:numPr>
          <w:ilvl w:val="2"/>
          <w:numId w:val="1"/>
        </w:numPr>
        <w:rPr/>
      </w:pPr>
      <w:bookmarkStart w:id="454" w:name="__RefHeading___Toc2051877_2749589250"/>
      <w:bookmarkStart w:id="455" w:name="_Toc188"/>
      <w:bookmarkEnd w:id="454"/>
      <w:r>
        <w:rPr>
          <w:rtl w:val="true"/>
        </w:rPr>
        <w:t>نتیجه پژوهش</w:t>
      </w:r>
      <w:bookmarkEnd w:id="455"/>
    </w:p>
    <w:p>
      <w:pPr>
        <w:pStyle w:val="BookText"/>
        <w:rPr/>
      </w:pPr>
      <w:r>
        <w:rPr>
          <w:rFonts w:ascii="IRNazanin" w:hAnsi="IRNazanin" w:eastAsia="IRNazanin"/>
          <w:color w:val="111111"/>
          <w:sz w:val="28"/>
          <w:sz w:val="28"/>
          <w:szCs w:val="28"/>
          <w:rtl w:val="true"/>
          <w:lang w:bidi="fa-IR"/>
        </w:rPr>
        <w:t>توسعۀ پردامنۀ فرقه‌سازی درون‌مذهبی در جریان سلفیه را باید معلول جزم‌اندیشی و روحیۀ ستیزه‌جویانۀ تاریخی سلفیه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سلفیان سنتی در جریان جنگ دوم خلیج فارس به شدت با آرای برخی سلفیان نواندیش</w:t>
      </w:r>
    </w:p>
    <w:p>
      <w:pPr>
        <w:pStyle w:val="BookText"/>
        <w:rPr/>
      </w:pPr>
      <w:r>
        <w:rPr>
          <w:rFonts w:ascii="IRNazanin" w:hAnsi="IRNazanin" w:eastAsia="IRNazanin"/>
          <w:color w:val="111111"/>
          <w:sz w:val="28"/>
          <w:sz w:val="28"/>
          <w:szCs w:val="28"/>
          <w:rtl w:val="true"/>
          <w:lang w:bidi="fa-IR"/>
        </w:rPr>
        <w:t>ـ که بعد‌ها به نوسلفیان نام‌بردار گشتند ـ مخالفت ورزیده و با رویکردی عقیدتی و نه سیاسی در پی خشکاندن ریشه‌های تجددگرایی درون سلفی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سلفیۀ سنتی نیز که از تنگ‌نظری و جمودگرایی افراطی ایشان به تنگ آمده بودند، با تسمیه این جریان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نفوذ عمیق این جریان در لایه‌های حکومتی و رسانه‌ای سعودی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جامیون نیز بی‌کار ننشسته و با توسل به مبانی مذهبی و کلامی، جریان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نارسایی عقیدتی به‌خصوص در مبانی توحیدی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سخت‌گیری‌های جامیون در مبانی توحیدی سروریه، پوششی برای انهدام تفکرات انقلابی‌گری و تجددخواهی نوسلفیان سروریه به شمار می‌آمد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گسترش روزافزون محبوبیت اجتماعی نوسلفیان، بخشی از جامیون را بر آن داشت تا با تیغ تیز تبدیع به مقابله با سروریه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افراط‌گرایی این گروه به حدی نمایان شد که علمایی چون البانی هم از اتهام بدعت‌گذاری و تفکر ارجائی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امر، ورود این بخش از جامیه به مسئله تبدیع علمایی چون نووی، ابن‌حجر و شوکانی، سران جامیه همچون ربیع المدخلی را بر آن داشت تا با جعل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محمود حداد و اتباع وی را خارج از دایرۀ سلفیۀ سنتی جامی تعریف کرده و شروع به ردیه‌نویسی بر ضد ایشان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بخش اندکی از دل‌بستگان سلفیۀ سنتی همچون حلبی الاثری و ابوالحسن سلیمانی، جریان اتهام‌زنی و تجریح علمای سلفی را مهم‌ترین خطر پیش روی مکتب سلفیۀ معاصر دانسته و منهج هر دو جریان جامیه و حدادیه در متهم کردن مخالفان به مبتدع بودن را مصداق افراط‌گرایی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جامیون نیز به لطف حمایت بی‌دریغ علمای سنتی و حکومتی سلفی، این جریان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تمییع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خطر آن‌ها را کمتر از سروریه و حدادیه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تصریح کرد که اساس فرقه‌سازی درون مذهبی سلفیه، متأثر از رویکرد جزم‌اندیشانۀ جامیون و عدم تحمل آرای مخالفان حتی در</w:t>
      </w:r>
      <w:bookmarkStart w:id="456" w:name="pg3261_16541"/>
    </w:p>
    <w:p>
      <w:pPr>
        <w:pStyle w:val="BookText"/>
        <w:rPr/>
      </w:pPr>
      <w:bookmarkEnd w:id="456"/>
      <w:r>
        <w:rPr>
          <w:rFonts w:ascii="IRNazanin" w:hAnsi="IRNazanin" w:eastAsia="IRNazanin"/>
          <w:color w:val="111111"/>
          <w:sz w:val="28"/>
          <w:sz w:val="28"/>
          <w:szCs w:val="28"/>
          <w:rtl w:val="true"/>
          <w:lang w:bidi="fa-IR"/>
        </w:rPr>
        <w:t>حوزۀ فروع توسط ایشان است؛ امری که ریشه در جمودگرایی، تکفیرمحوری و خشونت‌طلبیِ تاریخی ائمه سلفیه دارد</w:t>
      </w:r>
      <w:r>
        <w:rPr>
          <w:rFonts w:eastAsia="IRNazanin" w:cs="IRNazanin"/>
          <w:color w:val="111111"/>
          <w:sz w:val="28"/>
          <w:szCs w:val="28"/>
          <w:rtl w:val="true"/>
          <w:lang w:bidi="fa-IR"/>
        </w:rPr>
        <w:t>.</w:t>
      </w:r>
    </w:p>
    <w:p>
      <w:pPr>
        <w:pStyle w:val="Heading3"/>
        <w:numPr>
          <w:ilvl w:val="2"/>
          <w:numId w:val="1"/>
        </w:numPr>
        <w:rPr/>
      </w:pPr>
      <w:bookmarkStart w:id="457" w:name="__RefHeading___Toc2051879_2749589250"/>
      <w:bookmarkStart w:id="458" w:name="_Toc189"/>
      <w:bookmarkEnd w:id="457"/>
      <w:r>
        <w:rPr>
          <w:rtl w:val="true"/>
        </w:rPr>
        <w:t>منابع</w:t>
      </w:r>
      <w:bookmarkEnd w:id="458"/>
    </w:p>
    <w:p>
      <w:pPr>
        <w:pStyle w:val="Heading4"/>
        <w:numPr>
          <w:ilvl w:val="3"/>
          <w:numId w:val="1"/>
        </w:numPr>
        <w:rPr/>
      </w:pPr>
      <w:bookmarkStart w:id="459" w:name="__RefHeading___Toc2051881_2749589250"/>
      <w:bookmarkStart w:id="460" w:name="_Toc190"/>
      <w:bookmarkEnd w:id="459"/>
      <w:r>
        <w:rPr>
          <w:rtl w:val="true"/>
        </w:rPr>
        <w:t>اشاره</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آل‌طاهر، ابومعاذ 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اجابۀ السائل فی تلخیص مخالفات علی الحلبی و الردّ علیه فی الاصول و المسائل،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الاخوان المسلمون و التبلیغ بین العلماء الاکابر و دعاه التمییع المعاصر،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البراهین العتیده فی کشف احوال و تأصیلات علی الحلبی الجدیده،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تحذیر السلفی النبیل من تلبیسات اهل الارجاف و التخذیل،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تحذیر القاصی و الدانی من تأصیلات اهل التمییع فی کلام الشیخ عبدالمالک رمضانی،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ثوره البرکان فی نسف تخلیطات و تلبیسات ابی صفوه راکان،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الرایۀ فی دراسۀ لفظ لم یعملو خیر قط الوارده فی حدیث الشفاعه روایۀ و درایۀ، بی‌جا،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احمد بن عبدالحلیم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الاسماء و الصفات،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التدمریه تحقیق الاثبات للاسماء و الصفات، الریاض، دارالعبیکان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الفتوی الحمویه الکبری، الریاض، دارالصمیعی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الفتاوی،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العاصمی، ریاض مکتبۀ ابن‌تیمیه، الطبعۀ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السنۀ النبویۀ، ریاض دار ابن‌تیمیه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ابن‌جبرین،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القواعد الاربع، موقع ابن‌جبرین، بی‌جا،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ابن‌عبدالوهاب،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الشبهات، الاسکندریه، دارالایمان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عمادالدین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الاحمری، عبدالله بن محمد عامر،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النقولات السلفیه فی الردّ علی الطائفۀ الحدادیه، الشارقه، مکتبۀ الاصالۀ و التراث، الطبعۀ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الارنؤوط، عبدالقادر،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التوحید، دمشق، دارالبناء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ألبانی، محمد ناصر الدین،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التوسل انواعه و احکامه، الریاض، مکتبۀ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امیرخانی،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ابوالأعلی مودودی و جریان نوسلفی‌گری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معرفت کلامی، سال اول،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ابن‌صوان الغامدی،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المرقوم من الاجابات المختصرۀ فی المنهج السلفی، منتدی سورالازبکیه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عثمان، علی خالد بن محمد ابی عبد الاعلی،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الحدود الفاصلۀ بین اصول منهج السلف الصالح و اصول القطبیۀ السروریه، دارالتوحید، المغرب، الطبعۀ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عثیمین، محمد صالح،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الصالحین، ریاض، مدار 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التویجری، حمود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البلیغ فی التحذیر من جماعۀ التبلیغ،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الجزائری، عبدالمالک،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مدارک النظر فی السیاسیه، القاهره، دارالفرقان، الطبعۀ الثامنه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الجهینی،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الطائفه الجامیه المدخلیه و حقیقۀ السلفیه المفتری علیها، بی‌جا،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الحداد، أبی‌عبدالله محمود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النصیحۀ فی الردّ علی الألبانی و غیره، بی‌جا،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الحوالی، سفر بن عبدالرحمن،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ظاهرة الإرجاء فی الفکر الإسلامی، رسالۀ الدکتوراه جامعة أم القری، کلیة الشریعة و الدراسات الإسلامیة، قسم الدراسات العلیا الشرعیة، فرع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الممتاز فی شرح بیان بن باز،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السدلان،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مراجعات فی فقه الواقع السیاسی و الفکری علی ضوء الکتاب و السنة،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السلیمانی، أبی الحسن مصطفی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اعلان النکیر علی منهج الشیخ ربیع فی التکفیر،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بهتان ربیع المدخلی فی زعمه منافحتی عمن یدعو إلی حریة الاعتقاد و أخوة الأدیان، بی جا،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المفحم لمن انکر مقاله نصحح و لا نهدم،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النصوص حجتنا و العلماء قدوتنا،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اولا، پایگاه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العوده، سلمان،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شکرا ایها الاعداء، جده، مؤسسة الإسلام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سید بن ابراهیم شاذلی،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بیروت ـ قاهره، دارالشروق، چاپ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محمد،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واقعنا، القاهره، دارالشروق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الکردی، عبداللطیف،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مخالفۀ الحدادیۀ للسنۀ و السلفیه،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مؤلفان،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السلفیۀ الجامیه، دبی، مرکز المسبار للدراسات و البحوث، الطبعۀ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المبرد،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القانون و الحکم بغیر ما انزل الله،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تامر محمد محمود،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الشیخ رشید رضا فی العقیده، قاهره، دار ماجد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المدخلی، ربیع بن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اضواء إسلامیة علی عقیدة سید قطب، بی جا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مجازفات الحداد و مخالفته لمنهج السلف، بی جا، بی نا</w:t>
      </w:r>
      <w:r>
        <w:rPr>
          <w:rFonts w:eastAsia="IRNazanin" w:cs="IRNazanin"/>
          <w:color w:val="111111"/>
          <w:sz w:val="28"/>
          <w:szCs w:val="28"/>
          <w:rtl w:val="true"/>
          <w:lang w:bidi="fa-IR"/>
        </w:rPr>
        <w:t>.</w:t>
      </w:r>
      <w:bookmarkStart w:id="461" w:name="pg3261_16543"/>
    </w:p>
    <w:p>
      <w:pPr>
        <w:pStyle w:val="BookText"/>
        <w:rPr/>
      </w:pPr>
      <w:bookmarkEnd w:id="461"/>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موقف ابی الحسن من الاخبار الآحاد،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المسعری،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الاسلام و حقیقۀ التوحید، لندن، تنظیم التجدید الاسلامی، الطبعۀ الثامنه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المقدسی، ابومحمد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منبر التوحید و الجهاد، بی جا، بی نا</w:t>
      </w:r>
      <w:r>
        <w:rPr>
          <w:rFonts w:eastAsia="IRNazanin" w:cs="IRNazanin"/>
          <w:color w:val="111111"/>
          <w:sz w:val="28"/>
          <w:szCs w:val="28"/>
          <w:rtl w:val="true"/>
          <w:lang w:bidi="fa-IR"/>
        </w:rPr>
        <w:t>.</w:t>
      </w:r>
    </w:p>
    <w:p>
      <w:pPr>
        <w:pStyle w:val="Heading4"/>
        <w:numPr>
          <w:ilvl w:val="3"/>
          <w:numId w:val="1"/>
        </w:numPr>
        <w:rPr/>
      </w:pPr>
      <w:bookmarkStart w:id="462" w:name="__RefHeading___Toc2051883_2749589250"/>
      <w:bookmarkStart w:id="463" w:name="_Toc191"/>
      <w:bookmarkEnd w:id="462"/>
      <w:r>
        <w:rPr/>
        <w:t>Point</w:t>
      </w:r>
      <w:bookmarkEnd w:id="4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Mernissi, Fatima, (1996), Palace Fundamentalism And Liberal Democracy, development and changev. 27 (ii)</w:t>
      </w:r>
      <w:r>
        <w:rPr>
          <w:rFonts w:eastAsia="Times New Roman" w:cs="Times New Roman" w:ascii="Times New Roman" w:hAnsi="Times New Roman"/>
          <w:color w:val="111111"/>
          <w:sz w:val="28"/>
          <w:szCs w:val="28"/>
          <w:rtl w:val="true"/>
          <w:lang w:val="en-US" w:bidi="en-US"/>
        </w:rPr>
        <w:t>.</w:t>
      </w:r>
      <w:bookmarkStart w:id="464" w:name="pg3261_16544"/>
    </w:p>
    <w:p>
      <w:pPr>
        <w:pStyle w:val="Heading2"/>
        <w:numPr>
          <w:ilvl w:val="1"/>
          <w:numId w:val="1"/>
        </w:numPr>
        <w:rPr/>
      </w:pPr>
      <w:bookmarkStart w:id="465" w:name="__RefHeading___Toc2051885_2749589250"/>
      <w:bookmarkStart w:id="466" w:name="_Toc192"/>
      <w:bookmarkEnd w:id="464"/>
      <w:bookmarkEnd w:id="465"/>
      <w:r>
        <w:rPr>
          <w:rtl w:val="true"/>
        </w:rPr>
        <w:t xml:space="preserve">صحیح بخاری و تحریف حقیقت </w:t>
      </w:r>
      <w:r>
        <w:rPr>
          <w:rtl w:val="true"/>
        </w:rPr>
        <w:t xml:space="preserve">/ </w:t>
      </w:r>
      <w:r>
        <w:rPr>
          <w:rtl w:val="true"/>
        </w:rPr>
        <w:t>عبد الرحمان باقر زاده</w:t>
      </w:r>
      <w:bookmarkEnd w:id="466"/>
    </w:p>
    <w:p>
      <w:pPr>
        <w:pStyle w:val="Heading3"/>
        <w:numPr>
          <w:ilvl w:val="2"/>
          <w:numId w:val="1"/>
        </w:numPr>
        <w:rPr/>
      </w:pPr>
      <w:bookmarkStart w:id="467" w:name="__RefHeading___Toc2051887_2749589250"/>
      <w:bookmarkStart w:id="468" w:name="_Toc193"/>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عبدالرحمان باقرزاده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01/04/1395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14/08/1395</w:t>
      </w:r>
    </w:p>
    <w:p>
      <w:pPr>
        <w:pStyle w:val="Heading3"/>
        <w:numPr>
          <w:ilvl w:val="2"/>
          <w:numId w:val="1"/>
        </w:numPr>
        <w:rPr/>
      </w:pPr>
      <w:bookmarkStart w:id="469" w:name="__RefHeading___Toc2051889_2749589250"/>
      <w:bookmarkStart w:id="470" w:name="_Toc194"/>
      <w:bookmarkEnd w:id="469"/>
      <w:r>
        <w:rPr>
          <w:rtl w:val="true"/>
        </w:rPr>
        <w:t>چکیده</w:t>
      </w:r>
      <w:bookmarkEnd w:id="470"/>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اسناد دست اولِ اهل‌سنت و بلکه مهم ترین سند روایی آنان به حساب می‌آید، به گونه ای که روایات موجود در آن بدون بررسی، مورد قبول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جایگاه و از آن‌جایی که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داشتن پیامدهای منفی در رویکردهای کلامی،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زیادی از منابع دینی رخنه کرده، این سؤال مطرح است که آیا این کتاب از تیغ تحریف در امان ماند تا بتوان به صورت کامل بر آن اعتماد کرد؟ مقالۀ حاضر جهت پاسخ به این پرسش تدوین شده و مهم‌ترین یافتۀ آن، که با روش توصیفی ـ تحلیلی و با تکیه بر منابع مختلف عامه صورت پذیرفته، اثبات نفوذ پدیدۀ تحریف در این کتاب است</w:t>
      </w:r>
      <w:r>
        <w:rPr>
          <w:rFonts w:eastAsia="IRNazanin" w:cs="IRNazanin"/>
          <w:color w:val="111111"/>
          <w:sz w:val="28"/>
          <w:szCs w:val="28"/>
          <w:rtl w:val="true"/>
          <w:lang w:bidi="fa-IR"/>
        </w:rPr>
        <w:t>.</w:t>
      </w:r>
    </w:p>
    <w:p>
      <w:pPr>
        <w:pStyle w:val="Heading3"/>
        <w:numPr>
          <w:ilvl w:val="2"/>
          <w:numId w:val="1"/>
        </w:numPr>
        <w:rPr/>
      </w:pPr>
      <w:bookmarkStart w:id="471" w:name="__RefHeading___Toc2051891_2749589250"/>
      <w:bookmarkStart w:id="472" w:name="_Toc195"/>
      <w:bookmarkEnd w:id="471"/>
      <w:r>
        <w:rPr>
          <w:rtl w:val="true"/>
        </w:rPr>
        <w:t>واژگان کلیدی</w:t>
      </w:r>
      <w:bookmarkEnd w:id="4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بخاری، تحریف حقیقت، عدالت صحابه، آثار اسلامی</w:t>
      </w:r>
      <w:r>
        <w:rPr>
          <w:rFonts w:eastAsia="IRNazanin" w:cs="IRNazanin"/>
          <w:color w:val="111111"/>
          <w:sz w:val="28"/>
          <w:szCs w:val="28"/>
          <w:rtl w:val="true"/>
          <w:lang w:bidi="fa-IR"/>
        </w:rPr>
        <w:t>.</w:t>
      </w:r>
      <w:bookmarkStart w:id="473" w:name="pg3261_16545"/>
    </w:p>
    <w:p>
      <w:pPr>
        <w:pStyle w:val="Heading3"/>
        <w:numPr>
          <w:ilvl w:val="2"/>
          <w:numId w:val="1"/>
        </w:numPr>
        <w:rPr/>
      </w:pPr>
      <w:bookmarkStart w:id="474" w:name="__RefHeading___Toc2051893_2749589250"/>
      <w:bookmarkStart w:id="475" w:name="_Toc196"/>
      <w:bookmarkEnd w:id="473"/>
      <w:bookmarkEnd w:id="474"/>
      <w:r>
        <w:rPr>
          <w:rtl w:val="true"/>
        </w:rPr>
        <w:t>طرح مساله</w:t>
      </w:r>
      <w:bookmarkEnd w:id="475"/>
    </w:p>
    <w:p>
      <w:pPr>
        <w:pStyle w:val="BookText"/>
        <w:rPr/>
      </w:pPr>
      <w:r>
        <w:rPr>
          <w:rFonts w:ascii="IRNazanin" w:hAnsi="IRNazanin" w:eastAsia="IRNazanin"/>
          <w:color w:val="111111"/>
          <w:sz w:val="28"/>
          <w:sz w:val="28"/>
          <w:szCs w:val="28"/>
          <w:rtl w:val="true"/>
          <w:lang w:bidi="fa-IR"/>
        </w:rPr>
        <w:t>برای امت اسلام، آثار و روایات بزرگان دین و در رأس آنان رسول اکرم  صلی الله علیه و آله وسلم  و نیز سایر روایات که بیان‌گر وقایع تلخ و شیرین و نشان‌دهندۀ هویت اشخاص برای قضاوت درباره اندیشه، گفتار و رفتار آن‌هاست،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علی رغم محدودیت‌های فراوان، مسلمانان از صدر اسلام به حفظ آثار اسلامی اهتمام داشته و ضمن مقابله با موانع، به مراقبت از اسناد مهمّ اسلامی همت گماشتند تا امروز امت اسلامی دارای گنجینه ای از افتخارات مکتوب و میراث کهن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اذعان کرد که برخی با اغراضی چون عناد با شخصیت‌های برجستۀ تاریخی، محبت برخی شخصیت‌های نامطلوب و علاقه به حفظ حرمت آن‌ها، دست به تحریف حقایق تاریخی زده و به اسناد و میراث کهن اسلامی و بشری آسیب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تأسف‌بارتر است این‌که برخی از چهره های صاحب‌نام نیز اسناد تاریخی را بر اساس حب و بغض و تحت تأثیر جریانات حاکم و پیش‌داوری‌ها و ده‌ها عامل دیگر مخدوش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چه از نوع لفظی‌اش که همان ایجاد دگرگونی در متن با حذف بخشی از آن و یا تقطیع نامناسب جهت تغییر معنا باشد و چه از نوع معنوی اش که همان برداشت انحرافی و تفسیر و توجیه سخن برخلاف مقصود گوینده باشد، آسیب جبران‌ناپذیری را برای گنجینۀ سرمایه های دینی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اخیر و دوران معاصر، وهابیت که دائماً در تلاش است تا خود را تنها فرقۀ بر حق معرفی و همگان را تحقیر و تضعیف کند، تحریف متون و منابع روایی و تاریخی را در محور برنامه های خود قرار داده؛ به‌خصوص هر آنچه را که تصریح و یا ظهور در حقانیت باورها و اندیشۀ مکتب تشیع داشته باشد، با تیغ تحریف قیچی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معتبرترین کتاب‌های اهل‌سنت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به‌خصوص صحیح بخاری که در صدر آن‌ها قرار دارد، از دستبرد محفوظ نمانده و دچار تحریفات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قرائنی که در متن مقاله، خصوصاً از زبان دانشمندان عامه بدان‌ها اشاره خواهد شد، حاکی از آن است که برخی از این تحریفات به دست صاحب صحیح بخاری و برخی دیگر نتیجۀ دخالت دست‌های ناپاک در طول قرون اخیر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مقاله مورد اشاره قرار می گیرد، شماری اندک از تحریفاتی است که در این کتاب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تحریفات در حوزه های مختلف است؛ برخی در</w:t>
      </w:r>
      <w:bookmarkStart w:id="476" w:name="pg3261_16546"/>
    </w:p>
    <w:p>
      <w:pPr>
        <w:pStyle w:val="BookText"/>
        <w:rPr/>
      </w:pPr>
      <w:bookmarkEnd w:id="476"/>
      <w:r>
        <w:rPr>
          <w:rFonts w:ascii="IRNazanin" w:hAnsi="IRNazanin" w:eastAsia="IRNazanin"/>
          <w:color w:val="111111"/>
          <w:sz w:val="28"/>
          <w:sz w:val="28"/>
          <w:szCs w:val="28"/>
          <w:rtl w:val="true"/>
          <w:lang w:bidi="fa-IR"/>
        </w:rPr>
        <w:t>راستای دفاع از اندیشه های اهل سنت، مانند تقدیس همسران نبی، عدالت صحابه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در راستای مقابله با اندیشه های ناب مکتب تشیع بوده که به دلیل آثار و پیامدهای کلامی این تحریفات، بررسی آن مورد اهتمام این مقاله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این‌که تحریفات بخاری، فقط در حوزه تغییرات ذکرشده نیست، بلکه بخاری بسیاری از روایات صحیح و حتی متواتر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نوعی بر حقانیت مکتب تشیع دلالت داشت، نادیده گرفته و نقل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بررسی تحریفات گوناگون در منابع اسلامی تاکنون آثار مختلفی عرضه گردید که هر کدام بخشی از این پدیدۀ نامیمون را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از کتاب الغدیر علامه امینی، معالم المدرستین علامه عسگری و نفحات الازهار آیت‌الله میلانی می توان نام برد که بخش‌هایی از آن‌ها در این راستا مطالبی را مورد تحقیق قرار داده و ارائه نمودند</w:t>
      </w:r>
      <w:r>
        <w:rPr>
          <w:rFonts w:eastAsia="IRNazanin" w:cs="IRNazanin"/>
          <w:color w:val="111111"/>
          <w:sz w:val="28"/>
          <w:szCs w:val="28"/>
          <w:rtl w:val="true"/>
          <w:lang w:bidi="fa-IR"/>
        </w:rPr>
        <w:t>.</w:t>
      </w:r>
    </w:p>
    <w:p>
      <w:pPr>
        <w:pStyle w:val="Heading3"/>
        <w:numPr>
          <w:ilvl w:val="2"/>
          <w:numId w:val="1"/>
        </w:numPr>
        <w:rPr/>
      </w:pPr>
      <w:bookmarkStart w:id="477" w:name="__RefHeading___Toc2051895_2749589250"/>
      <w:bookmarkStart w:id="478" w:name="_Toc197"/>
      <w:bookmarkEnd w:id="477"/>
      <w:r>
        <w:rPr>
          <w:rtl w:val="true"/>
        </w:rPr>
        <w:t>تحریف در حدیث ولایت</w:t>
      </w:r>
      <w:bookmarkEnd w:id="478"/>
    </w:p>
    <w:p>
      <w:pPr>
        <w:pStyle w:val="BookText"/>
        <w:rPr/>
      </w:pPr>
      <w:r>
        <w:rPr>
          <w:rFonts w:ascii="IRNazanin" w:hAnsi="IRNazanin" w:eastAsia="IRNazanin"/>
          <w:color w:val="111111"/>
          <w:sz w:val="28"/>
          <w:sz w:val="28"/>
          <w:szCs w:val="28"/>
          <w:rtl w:val="true"/>
          <w:lang w:bidi="fa-IR"/>
        </w:rPr>
        <w:t xml:space="preserve">از احادیث معتبر در موضوع ولایت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گوناگون مانند مسند احمد حنبل، روایت کردند که پیامبر اکرم   صلی الله علیه و آله وسلم  به چهار نفر که به انتقاد و سعایت از امیرالمؤمنین   علیه السلام   پرداختند، با عصبانیت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علیاً، دعوا علیاً، انّ علیاً منّی و انا منه، و هو ولیّ کل مؤمن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حنبل،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ترمذی با سند صحیح از عمران بن حصین نقل کرد که پیامبر  صلی الله علیه و آله وسلم  خطاب به</w:t>
      </w:r>
    </w:p>
    <w:p>
      <w:pPr>
        <w:pStyle w:val="BookText"/>
        <w:rPr/>
      </w:pPr>
      <w:r>
        <w:rPr>
          <w:rFonts w:ascii="IRNazanin" w:hAnsi="IRNazanin" w:eastAsia="IRNazanin"/>
          <w:color w:val="111111"/>
          <w:sz w:val="28"/>
          <w:sz w:val="28"/>
          <w:szCs w:val="28"/>
          <w:rtl w:val="true"/>
          <w:lang w:bidi="fa-IR"/>
        </w:rPr>
        <w:t>عده ای که به امام علی  علیه السلام   انتقاد می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تریدون من علیّ، ما تریدون من علیّ، ما تریدون من علیّ؟ انّ علیاً منّی و انا منه و هو ولیّ کل مؤمن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بی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ترمذی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أبوعیسی هذا حدیث حسن غریب لا نعرفه إلا من حدیث جعفر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وسیله اجمالاً صحت حدیث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ابن حجر عسقلانی با اشاره به همین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الترمذی باسناد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از احادیث صحیح در میان سایر اهل‌سنت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ألبانی، حدیث‌شناس معروف و معاصر اهل‌سنت، این حدیث شریف را در کتاب سلسلة الاحادیث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ضمن نقل روایت از ترمذی، نسائی، ابن حبان، حاکم نیشابوری، احمد حنبل، ابن عدی و ابوداود طیالسی، سعی فراوان در تصحیح سند آن کرده و ضمن اثبات صحت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اشکال کند که اجلح که در برخی سندها آمده</w:t>
      </w:r>
    </w:p>
    <w:p>
      <w:pPr>
        <w:pStyle w:val="BookText"/>
        <w:rPr/>
      </w:pPr>
      <w:r>
        <w:rPr>
          <w:rFonts w:ascii="IRNazanin" w:hAnsi="IRNazanin" w:eastAsia="IRNazanin"/>
          <w:color w:val="111111"/>
          <w:sz w:val="28"/>
          <w:sz w:val="28"/>
          <w:szCs w:val="28"/>
          <w:rtl w:val="true"/>
          <w:lang w:bidi="fa-IR"/>
        </w:rPr>
        <w:t>شیعی است و نیز در سند دیگر جعفر بن سلیمان وجود دارد که او نیز شیعی است، آیا این باعث طعن در حدیث نیست؟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اعتبار در روایت حدیث به صدق و حفظ است، و مذهب را خودش و خدای خودش می‌داند، او حساب‌گر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صاحب صحیح بخاری و مسلم و دیگران، حدیث بسیاری از مخالفان، امثال خوارج، شیعه و دیگران را تخریج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این حدیث مورد تصحیح ابن حبّان است، با آن‌که راوی آن در کتاب ابن حبان، جعفر بن سلیمان است؛ کسی که تشیّع داشته و در آن نیز غالی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بنا بر تصریحِ او در کتاب الثقات، او بغض شیخین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حدیث فوق به صورت متفرّق از طرق دیگر نیز نقل شده که در سند آن شیعه وجود ندارد؛ همانند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جای بسیار تعجب است این‌که چگونه شیخ الاسلام ابن تیمیه جرئت بر انکار و تکذیب این حدیث در منهاج السنة داشته؛ همان‌گونه که نسبت به حدیث قبل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 در تکذیب او نسبت به این حدیث نمی‌بینم جز آن‌که بگویم او در ردّ بر شیعه، سرعت به خرج می‌داده و مبالغه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 ما و گناه او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ألبانی، بی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مشهور شعیب الأرنؤوط نیز ذیل این حدیث در صحیح ابن حبان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6929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عجیب این‌که در مسند احمد حنبل که با تعلیقات ایشان به طبع رسید، حدیث مزبور که سندش از جعفر بن سلیمان تا عمران بن حصین مشترک است، نقل شده، ولی ذیل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 شعیب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حنبل،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19942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فرمودید، شعیب الأرنؤوط یک بار سند روایت را قوی و در جای دیگر ضعیف شمرده و در حقیقت از درجۀ اعتبار ساقط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محقق در فاصلۀ زمانی این دو تحقیق، تحت فشار بیرونی نظرش تغییر کرده و به خودسانسوری پرداخت و یا آن‌که تفاوت بسیار ناچیز در الفاظ روایت و تفاوت راویان تا جعفر بن سلیمان، او را وادار به تغییر رأی کرد و یا آن‌که در نظریات و مطالب او هم تحریف صورت گرفت؟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در کتاب السنة ابن أبی‌عاصم شیبانی، از منابع قدیمی و معتبر اهل‌سنت نیز آمده و مورد تصحیح بزرگانشان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یکی از علمای بزرگ اهل‌سنت است، در کتاب مزبور با سند معتبر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w:t>
      </w:r>
    </w:p>
    <w:p>
      <w:pPr>
        <w:pStyle w:val="BookText"/>
        <w:rPr/>
      </w:pPr>
      <w:r>
        <w:rPr>
          <w:rFonts w:ascii="Amiri" w:hAnsi="Amiri" w:eastAsia="Amiri" w:cs="Amiri"/>
          <w:color w:val="111111"/>
          <w:sz w:val="28"/>
          <w:sz w:val="28"/>
          <w:szCs w:val="28"/>
          <w:rtl w:val="true"/>
          <w:lang w:bidi="ar-SA"/>
        </w:rPr>
        <w:t>إِلا أَنَّکَ لَسْتَ نَبِیًّا، إِنَّهُ لا یَنْبَغِی أَنْ أَذْهَبَ إِلا و أنتَ خَلیفَتی فی کلّ مؤمن من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شیبانی،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ألبانی که روایات کتاب مزبور را تحقیق کرده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الجنة فی تخریج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ذیل روایت فوق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روایت حسن و رجال سند همه موثق و رجال آن از راویان بخاری و مسلم هستند، جز ابی بلج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بخاری و مسلم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 ابی‌بلج، یحیی بن سلیم بن بلج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باسم بن فیصل جوابره، که از اساتید علوم حدیث دانشکده اصول دین در دانشگاه امام محمد بن سعود ریاض عربستان بوده و روایات کتاب السنة را تحقیق و تصحیح کرده، بعد از نقل روایت با سند فوق، در پاورقی در جمله ای مشابه، مانند ألبانی به تصحیح روایت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وجود تصحیح حدیث از سوی بزرگان عامه، جناب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ولی آن قسمت را که بر ولایت امیرالمؤمنین   علیه السلام   دلالت دارد، حذف کرده و از بریده أسلمی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علی   علیه السلام   را به سوی خالد فرستاد تا خمس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غسلی که علی کرده بود، دشمنش بودم و به خالد نیز آن را گوشزد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 أتبغض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تبغضه، له فی الخمس أکثر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مشاهده می‌کنیم که چگونه بخاری حدیث بریده را تحریف کرده و اصل حدیث پیامبر   صلی الله علیه و آله وسلم  را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حذف کرد؛ با آن‌که حدیث مزبور همراه با مضمون کامل آن ـ که پیش‌تر ذکر شد ـ دارای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شواهدی که در متن کامل حدیث مزبور در منابع فوق الذکر و سایر منابع وجود دارد، حاکی از آن است که اصل جریان، یک واقعه بیش نبوده که در صحیح بخاری مختصراً مورد اشاره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نیز از بخاری پیروی کرده و در سنن الکبری این حدیث را ناقص نقل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این حدیث را تحریف کردند؟ دلیل روشن است، چراکه حدیث ولایت در حقیقت، تصریح به امامت و خلافت، آن هم خلافت بلافصل امیرالمؤمنین   علیه السلام   است، چراکه پیامبر خدا  صلی الله علیه و آله وسلم  با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ولیّ کل مؤمن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طبق برخی نقل‌ها در همین داستان و در حالی که بُریده نامه را تقدیم کرده و به بدگویی از امیرالمؤمنین  علیه السلام   پرداخت،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تقعنّ یا بریدة فی علیّ، فإنّ علیّا منّی و أنا منه و هو ولیّکم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کلمات تصریح به امامت و خلافت آن حضرت، آن هم بلافاصله بعد از پیامبر   صلی الله علیه و آله وسلم</w:t>
      </w:r>
      <w:bookmarkStart w:id="479" w:name="pg3261_16549"/>
    </w:p>
    <w:p>
      <w:pPr>
        <w:pStyle w:val="BookText"/>
        <w:rPr/>
      </w:pPr>
      <w:bookmarkEnd w:id="47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جناب بخاری که میانۀ خوبی با حضرت امیر   علیه السلام   ندارد، چاره ای جز به‌کارگیری قیچی تحریف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 تحریف فهمیده می شود که منظور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فهم عامه نیز همان ولایت و امامت است، چراکه اگر غیر از این بود، نیازی به تحریف در روایت از سوی پیروان مذهب و مکتب سقیفه احساس نمی شد</w:t>
      </w:r>
      <w:r>
        <w:rPr>
          <w:rFonts w:eastAsia="IRNazanin" w:cs="IRNazanin"/>
          <w:color w:val="111111"/>
          <w:sz w:val="28"/>
          <w:szCs w:val="28"/>
          <w:rtl w:val="true"/>
          <w:lang w:bidi="fa-IR"/>
        </w:rPr>
        <w:t>.</w:t>
      </w:r>
    </w:p>
    <w:p>
      <w:pPr>
        <w:pStyle w:val="Heading3"/>
        <w:numPr>
          <w:ilvl w:val="2"/>
          <w:numId w:val="1"/>
        </w:numPr>
        <w:rPr/>
      </w:pPr>
      <w:bookmarkStart w:id="480" w:name="__RefHeading___Toc2051897_2749589250"/>
      <w:bookmarkStart w:id="481" w:name="_Toc198"/>
      <w:bookmarkEnd w:id="480"/>
      <w:r>
        <w:rPr>
          <w:rtl w:val="true"/>
        </w:rPr>
        <w:t>تحریف در داستان حدیبیه</w:t>
      </w:r>
      <w:bookmarkEnd w:id="481"/>
    </w:p>
    <w:p>
      <w:pPr>
        <w:pStyle w:val="BookText"/>
        <w:rPr/>
      </w:pPr>
      <w:r>
        <w:rPr>
          <w:rFonts w:ascii="IRNazanin" w:hAnsi="IRNazanin" w:eastAsia="IRNazanin"/>
          <w:color w:val="111111"/>
          <w:sz w:val="28"/>
          <w:sz w:val="28"/>
          <w:szCs w:val="28"/>
          <w:rtl w:val="true"/>
          <w:lang w:bidi="fa-IR"/>
        </w:rPr>
        <w:t xml:space="preserve">از وقایع زندگانی پیامبر اسلام   صلی الله علیه و آله وسلم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پذیرش آن حضرت، این موضوع مورد اعتراض برخی افراد، از جمله خلیفه دوم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صنعانی، ابن حبان در صحیح، طبرانی در معجم کبیر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صلح حدیبیه از زبان خلیفۀ دوم نقل می‌کنند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عبدالرزاق عن معمر قال أخبرنی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والله ما شککت منذ أسلمت إلا یومئذ قال فأتیت النبی   صلی الله علیه و آله وسلم  فقلت ألست نبی الله حقا؟ قال بلی؛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 و عدونا علی الباطل؟ قال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صنعانی،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جناب بخاری که روایت را عیناً با همان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از زهری از عروه از مسور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صنعانی نقل کرده، اعتراف عمر به شک در نبوت پیامبر   صلی الله علیه و آله وسلم  را با قیچی تحریف حذف کرده و به ادامۀ رایزنی و مشاجرۀ عمر با پیامبر   صلی الله علیه و آله وسلم  پرداخته و چنین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عبدالله بن محمد حدثنا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فأتیت نبی الله   صلی الله علیه و آله وسلم  فقلت ألست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ألسنا علی الحق و عدونا علی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فرمودید، جناب بخاری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شککت منذ أسلمت إلا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تشکیک خلیفۀ دوم در رسالت پیامبر خدا   صلی الله علیه و آله وسلم  دلالت داشت، سانسور کرده است</w:t>
      </w:r>
      <w:r>
        <w:rPr>
          <w:rFonts w:eastAsia="IRNazanin" w:cs="IRNazanin"/>
          <w:color w:val="111111"/>
          <w:sz w:val="28"/>
          <w:szCs w:val="28"/>
          <w:rtl w:val="true"/>
          <w:lang w:bidi="fa-IR"/>
        </w:rPr>
        <w:t>.</w:t>
      </w:r>
    </w:p>
    <w:p>
      <w:pPr>
        <w:pStyle w:val="Heading3"/>
        <w:numPr>
          <w:ilvl w:val="2"/>
          <w:numId w:val="1"/>
        </w:numPr>
        <w:rPr/>
      </w:pPr>
      <w:bookmarkStart w:id="482" w:name="__RefHeading___Toc2051899_2749589250"/>
      <w:bookmarkStart w:id="483" w:name="_Toc199"/>
      <w:bookmarkEnd w:id="482"/>
      <w:r>
        <w:rPr>
          <w:rtl w:val="true"/>
        </w:rPr>
        <w:t>پنج‌شنبۀ سیاه</w:t>
      </w:r>
      <w:bookmarkEnd w:id="4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حوادث تلخ تاریخ اسلام، ماجرای روزهای پایانی عمر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متواتر، آن حضرت در آخرین پنج شنبۀ عمر مبارک خود و در حالی که افراد زیادی در کنارشان حاضر بودند، درخواست قلم و دوات کرد که مطلب مهمی را املا کرده و توسط افراد حاضر نوشته شود تا باعث پیش‌گیری از گمراهی مسلمین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حاضر با بر هم زدن آرامش مجلس و حتی متهم کردن آن حضرت به هذیان‌گویی، مانع ثبت آن مطلب گشتند، به طوری که رسول مکرم   صلی الله علیه و آله وسلم  به شدت ناراحت شده و آنان را مورد توبیخ قرار دادند</w:t>
      </w:r>
      <w:r>
        <w:rPr>
          <w:rFonts w:eastAsia="IRNazanin" w:cs="IRNazanin"/>
          <w:color w:val="111111"/>
          <w:sz w:val="28"/>
          <w:szCs w:val="28"/>
          <w:rtl w:val="true"/>
          <w:lang w:bidi="fa-IR"/>
        </w:rPr>
        <w:t>.</w:t>
      </w:r>
      <w:bookmarkStart w:id="484" w:name="pg3261_16550"/>
    </w:p>
    <w:p>
      <w:pPr>
        <w:pStyle w:val="BookText"/>
        <w:rPr/>
      </w:pPr>
      <w:bookmarkEnd w:id="484"/>
      <w:r>
        <w:rPr>
          <w:rFonts w:ascii="IRNazanin" w:hAnsi="IRNazanin" w:eastAsia="IRNazanin"/>
          <w:color w:val="111111"/>
          <w:sz w:val="28"/>
          <w:sz w:val="28"/>
          <w:szCs w:val="28"/>
          <w:rtl w:val="true"/>
          <w:lang w:bidi="fa-IR"/>
        </w:rPr>
        <w:t xml:space="preserve">حادثۀ مزبور مورد اتفاق فریقین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ابن حجر، بی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بی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مربوطه تقریباً در تمامی کتاب‌های تاریخ اسلام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بخاری نیز حداقل در هفت مورد از صحیح بخاری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اشاره کرد و در هر مورد سعی کرد تا حادثه را به گونه ای ترسیم کند که به شأن و جایگاه آنان که مانع نوشتن وصیت گشته و پیامبر خدا  صلی الله علیه و آله وسلم  را به هذیان متهم کردند، آسیبی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بسیاری از منابع فریقین، اصل اتهام هذیان‌گویی به 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ابن حجر، بی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آن را از سوی خلیفۀ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بخاری از نقل صریح عبارت و نام گویندۀ آن خودداری و در حقیقت تحریف کرد و صرفاً در مواردی به نقل جمله به صورت استفهامی، آن هم از گویندگان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ما شأنه؟ أهجر؟ استفهموه فذهبوا یردون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مورد دیگر به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غلبۀ بیماری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وی با آن‌که تهمت مزبور را در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خلیفۀ دوم نقل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إن النبی   صلی الله علیه و آله وسلم  غلبه الوجع و عندکم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جای دیگر، سعی در کتمان و تحریف نام گوینده داشته و</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بعضهم إن رسول الله  صلی الله علیه و آله وسلم  قد غلبه الوجع و عندکم القرآن حسبنا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نام گوینده را از متن روایت حذف می کند</w:t>
      </w:r>
      <w:r>
        <w:rPr>
          <w:rFonts w:eastAsia="IRNazanin" w:cs="IRNazanin"/>
          <w:color w:val="111111"/>
          <w:sz w:val="28"/>
          <w:szCs w:val="28"/>
          <w:rtl w:val="true"/>
          <w:lang w:bidi="fa-IR"/>
        </w:rPr>
        <w:t>.</w:t>
      </w:r>
    </w:p>
    <w:p>
      <w:pPr>
        <w:pStyle w:val="Heading3"/>
        <w:numPr>
          <w:ilvl w:val="2"/>
          <w:numId w:val="1"/>
        </w:numPr>
        <w:rPr/>
      </w:pPr>
      <w:bookmarkStart w:id="485" w:name="__RefHeading___Toc2051901_2749589250"/>
      <w:bookmarkStart w:id="486" w:name="_Toc200"/>
      <w:bookmarkEnd w:id="485"/>
      <w:r>
        <w:rPr>
          <w:rtl w:val="true"/>
        </w:rPr>
        <w:t>تحریف دیدگاه امیرالمؤمنین</w:t>
      </w:r>
      <w:r>
        <w:rPr/>
        <w:t></w:t>
      </w:r>
      <w:r>
        <w:rPr>
          <w:rtl w:val="true"/>
        </w:rPr>
        <w:t xml:space="preserve"> دربارۀ خلفا</w:t>
      </w:r>
      <w:bookmarkEnd w:id="486"/>
    </w:p>
    <w:p>
      <w:pPr>
        <w:pStyle w:val="BookText"/>
        <w:rPr/>
      </w:pPr>
      <w:r>
        <w:rPr>
          <w:rFonts w:ascii="IRNazanin" w:hAnsi="IRNazanin" w:eastAsia="IRNazanin"/>
          <w:color w:val="111111"/>
          <w:sz w:val="28"/>
          <w:sz w:val="28"/>
          <w:szCs w:val="28"/>
          <w:rtl w:val="true"/>
          <w:lang w:bidi="fa-IR"/>
        </w:rPr>
        <w:t>یکی از وقایعی که صحیح بخاری و صحیح مسلم هر دو بدان اشاره کردند، ماجرای گفت وگوی خلیفۀ دوم عمر بن خطاب با امیرالمؤمنین   علیه السلام   و عباس عموی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تأکید دارند که رابطه بین امیرالمؤمنین  علیه السلام   و خلفا کاملاً دوستانه و همراه با محبت، احترام و اعتماد متقابل بوده و هیچ گونه مشکلی بین آنان وجود نداشته و خلافت آنان مورد امضا و قبول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از سویی، بطلان این توهم را اثبات کرده و از سوی دیگر، بیان‌گر دیدگاه امام علی   علیه السلام   نسبت به خلفا و عدم مشروعیت خلافت آنان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مزبور در صحیح مسلم بدین صورت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تُوُفِّیَ رَسُولُ اللهِ   صلی الله علیه و آله وسلم  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وَلِیُّ رَسُولِ اللهِ  صلی الله علیه و آله وسلم  فَجِئتُما تَطلـُبُ مِیراثَکَ مِن ابنِ أخِیکَ، وَ یَطلُبُ هذا مِیراثَ امرَأتِهِ مِن أبِیها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نُورَثُ، ما تَرَکناهُ صَدَقَه؛ فَرَأَیْتُمَاهُ کَاذِبًا آثِمًا غَادِرًا خَائِنًا</w:t>
      </w:r>
    </w:p>
    <w:p>
      <w:pPr>
        <w:pStyle w:val="BookText"/>
        <w:rPr/>
      </w:pPr>
      <w:r>
        <w:rPr>
          <w:rFonts w:ascii="Amiri" w:hAnsi="Amiri" w:eastAsia="Amiri" w:cs="Amiri"/>
          <w:color w:val="111111"/>
          <w:sz w:val="28"/>
          <w:sz w:val="28"/>
          <w:szCs w:val="28"/>
          <w:rtl w:val="true"/>
          <w:lang w:bidi="ar-SA"/>
        </w:rPr>
        <w:t>وَاللهُ یَعْلَمُ إِنَّهُ لَصَادِقٌ بَارٌّ رَاشِدٌ تَابِعٌ لِلْحَقِّ ثُمَّ تُوُفِّیَ أَبُوبَکْرٍ وَ أَنَا وَلِیُّ رَسُولِ الله  صلی الله علیه و آله وسلم  وَ وَلِیُّ أَبِی بَکْرٍ فَرَأَیْتُمَانِی کَاذِبًا آثِمًا غَادِرًا خَائِنًا وَالله یَعْلَمُ إِنِّی لَصَادِقٌ بَارٌّ رَاشِدٌ تَابِعٌ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أَکَذَلِکَ؟ قَالاَ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نیشابوری، بی 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همین روایت، چهار بار درصحیح بخاری و هر بار به صورت‌های گوناگون و همراه با تحریف حقیقت و ابهام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نفقة الرجل قوت سنة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چنین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قالا نعم ثم توفی الله نبیه  صلی الله علیه و آله وسلم  فقال أبوبکر أنا ولی رسول الله  صلی الله علیه و آله وسلم  فقبضها أبوبکر یعمل فیها بما عمل به فیها رسول الله  صلی الله علیه و آله وسلم  و أنتما حینئذ ـ و أقبل علی علیّ و عباس ـ تزعمان أن أبابکر کذا و کذا والله یعلم أنه فیها صادق بار راشد تابع للحق ثم توفی الله أبابکر فقلت أنا ولی رسول الله  صلی الله علیه و آله وسلم  و أبی بکر فقبضتها سنتین أعمل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وسلم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فتوفی الله نبیه  صلی الله علیه و آله وسلم  فقال أبوبکر أنا ولی رسول الله  صلی الله علیه و آله وسلم  فقبضها فعمل بما عمل به رسول الله  صلی الله علیه و آله وسلم  ثم توفی الله أبابکر فقلت أنا ولی ولی رسول الله  صلی الله علیه و آله وسلم  فقبضتها سنتین أعمل فیها ما عمل رسول الله  صلی الله علیه و آله وسلم  و أبوبکر ثم جئتمانی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جای دیگر از صحیح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چنین 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 ثم توفی الله نبیه  صلی الله علیه و آله وسلم  فقال أبوبکر أنا ولی رسول الله  صلی الله علیه و آله وسلم  فقبضها أبوبکر فعمل فیها بما عمل رسول الله  صلی الله علیه و آله وسلم  و الله یعلم إنه فیها لصادق بارّ راشد تابع للحق ثم توفی الله أبابکر فکنت أنا ولی</w:t>
      </w:r>
    </w:p>
    <w:p>
      <w:pPr>
        <w:pStyle w:val="BookText"/>
        <w:rPr/>
      </w:pPr>
      <w:r>
        <w:rPr>
          <w:rFonts w:ascii="IRNazanin" w:hAnsi="IRNazanin" w:eastAsia="IRNazanin"/>
          <w:color w:val="111111"/>
          <w:sz w:val="28"/>
          <w:sz w:val="28"/>
          <w:szCs w:val="28"/>
          <w:rtl w:val="true"/>
          <w:lang w:bidi="fa-IR"/>
        </w:rPr>
        <w:t>أبی بکر فقبضتها سنتین من إمارتی أعمل فیها بما عمل رسول الله  صلی الله علیه و آله وسلم  و ما عمل فیها أبوبکر و الله یعلم إنی فیها لصادق بار راشد تابع للحق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فرمودید، بخاری در این دو روایت، هیچ اشاره ای به آن قسمت از سخنان خلیفه که دیدگاه امیرالمؤمنین  علیه السلام   و عباس را دربارۀ ابوبکر نقل می کند، نکرده و با تحریف از کنار آن گذشت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المغازی ـ باب حدیث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داستان اشاره می کند و روایت را با تحریف چنین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توفی النبی  صلی الله علیه و آله وسلم  فقال أبوبکر فأنا ولی رسول الله  صلی الله علیه و آله وسلم  فقبضه أبوبکر فعمل فیه بما عمل به رسول الله  صلی الله علیه و آله وسلم  و أنتم حینئذ فأقبل علی علیّ و عباس و قال تذکران أن أبابکر فیه کما تقولان والله یعلم إنه فیه لصادق بار راشد تابع للحق؟ ثم توفی الله أبابکر فقلت أنا ولی رسول الله  صلی الله علیه و آله وسلم  و أبی بکر فقبضته سنتین من إمارتی أعمل فیه بما عمل رسول الله  صلی الله علیه و آله وسلم  و أبوبکر و الله یعلم أنی فیه صادق بار راشد تابع للحق؟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1480</w:t>
      </w:r>
      <w:r>
        <w:rPr>
          <w:rFonts w:eastAsia="IRNazanin" w:cs="IRNazanin"/>
          <w:color w:val="111111"/>
          <w:sz w:val="28"/>
          <w:szCs w:val="28"/>
          <w:rtl w:val="true"/>
          <w:lang w:bidi="fa-IR"/>
        </w:rPr>
        <w:t>).</w:t>
      </w:r>
      <w:bookmarkStart w:id="487" w:name="pg3261_16552"/>
    </w:p>
    <w:p>
      <w:pPr>
        <w:pStyle w:val="BookText"/>
        <w:rPr/>
      </w:pPr>
      <w:bookmarkEnd w:id="487"/>
      <w:r>
        <w:rPr>
          <w:rFonts w:ascii="IRNazanin" w:hAnsi="IRNazanin" w:eastAsia="IRNazanin"/>
          <w:color w:val="111111"/>
          <w:sz w:val="28"/>
          <w:sz w:val="28"/>
          <w:szCs w:val="28"/>
          <w:rtl w:val="true"/>
          <w:lang w:bidi="fa-IR"/>
        </w:rPr>
        <w:t xml:space="preserve">گفتنی است، سند این ماجرا و گفت‌وگو در همۀ موارد چهارگانه صحیح بخاری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تفاوتی در سند این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مشخص شد که جناب بخاری مایل نبود روایت را به صورت کامل بیاورد، چراکه باید ضمن نقل روایت، به طور ضمنی به بطلان و عدم مشروعیت خلافت آنان از نظر امیرالمؤمنین  علیه السلام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گواهی بیهقی در سنن کبری که پس از نقل کامل روایت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رواه البخاری عن إسحاق بن محمد الفروی عن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احتمال داد که روایت در متن اصلی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بیهقی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درست نقل شده و بعدها توسط دیگران تحریف شده باشد</w:t>
      </w:r>
      <w:r>
        <w:rPr>
          <w:rFonts w:eastAsia="IRNazanin" w:cs="IRNazanin"/>
          <w:color w:val="111111"/>
          <w:sz w:val="28"/>
          <w:szCs w:val="28"/>
          <w:rtl w:val="true"/>
          <w:lang w:bidi="fa-IR"/>
        </w:rPr>
        <w:t>.</w:t>
      </w:r>
    </w:p>
    <w:p>
      <w:pPr>
        <w:pStyle w:val="Heading3"/>
        <w:numPr>
          <w:ilvl w:val="2"/>
          <w:numId w:val="1"/>
        </w:numPr>
        <w:rPr/>
      </w:pPr>
      <w:bookmarkStart w:id="488" w:name="__RefHeading___Toc2051903_2749589250"/>
      <w:bookmarkStart w:id="489" w:name="_Toc201"/>
      <w:bookmarkEnd w:id="488"/>
      <w:r>
        <w:rPr>
          <w:rtl w:val="true"/>
        </w:rPr>
        <w:t>تحریف روایت وضوی امام علی</w:t>
      </w:r>
      <w:r>
        <w:rPr/>
        <w:t></w:t>
      </w:r>
      <w:bookmarkEnd w:id="489"/>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امام علی  علیه السلام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النَّزَّالَ بْنَ سَبْرَةَ، یُحَدِّثُ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الظُّهْرَ، ثُمَّ قَعَدَ فِی حَوَائِجِ النَّاسِ فِی رَحَبَةِ الکُوفَةِ، حَتَّی حَضَرَتْ صَلاَةُ العَصْرِ، ثُمَّ أُتِیَ بِمَاءٍ، فَشَرِبَ وَ غَسَلَ وَجْهَهُ وَ یَدَیْهِ، و ذَکَرَ رأسَهُ و رِجلَیهِ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معتبرترین کتاب حدیث اهل‌سنت را مطالعه می کند، حق دارد از خود و صاحب کتاب سؤال کند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رأسَهُ و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 و پای خود را یادآوری کرد،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چه تناسبی با موضوع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خواننده ای مطمئن به وجود تحریف در این روایت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مسند ابوداود همین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شعبه از عبدالملک بن میسره از 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در فراز مزبور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 وَجْهَهُ وَ یَدَیْهِ وَ مَسَحَ عَلی رَأسِهِ و رِجلَیه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طیالسی،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حضرت در وضو، صورت و دست‌ها را شست و بر سر و پایش مسح کشید؛ یعنی همان وضویی که شیعه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جناب بخاری و یا کاتبان صحیح تحمل نکرده و چاره را در قیچی کردن و تحریف حدیث می بینند</w:t>
      </w:r>
      <w:r>
        <w:rPr>
          <w:rFonts w:eastAsia="IRNazanin" w:cs="IRNazanin"/>
          <w:color w:val="111111"/>
          <w:sz w:val="28"/>
          <w:szCs w:val="28"/>
          <w:rtl w:val="true"/>
          <w:lang w:bidi="fa-IR"/>
        </w:rPr>
        <w:t>.</w:t>
      </w:r>
    </w:p>
    <w:p>
      <w:pPr>
        <w:pStyle w:val="Heading3"/>
        <w:numPr>
          <w:ilvl w:val="2"/>
          <w:numId w:val="1"/>
        </w:numPr>
        <w:rPr/>
      </w:pPr>
      <w:bookmarkStart w:id="490" w:name="__RefHeading___Toc2051905_2749589250"/>
      <w:bookmarkStart w:id="491" w:name="_Toc202"/>
      <w:bookmarkEnd w:id="490"/>
      <w:r>
        <w:rPr>
          <w:rtl w:val="true"/>
        </w:rPr>
        <w:t>بخاری و بانوان برگزیدۀ عالم</w:t>
      </w:r>
      <w:bookmarkEnd w:id="49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روایتی معروف، پیامبر  صلی الله علیه و آله وسلم  زنان کمال‌یافته را چهار تن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آسیه همسر فرعون، حضرت خدیجه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فاطمه زهرا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بخاری تقریباً چهار بار به اصل موضوع اشاره شد، ولی گویا هر بار تلاش شد تا از نقل اصل روایت خودداری و به صورت تحریف‌شده بدان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به شرح زیر در بخاری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وسلم  کَمُلَ من الرِّجَالِ کَثِیرٌ و لم یَکْمُلْ من النِّسَاءِ إلا آسِیَةُ امْرَأَةُ فِرْعَوْنَ وَ مَرْیَمُ بِنْتُ عِمْرَانَ وَ إِنَّ فَضْلَ عَائِشَةَ علی النِّسَاءِ کَفَضْلِ الثَّرِیدِ علی سَائِرِ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بخاری،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النبی   صلی الله علیه و آله وسلم  فَضْلُ عَائِشَةَ علی النِّسَاءِ کَفَضْلِ الثَّرِیدِ علی سَائِرِ الطَّعَامِ کَمُلَ من الرِّجَالِ کَثِیرٌ و لم یَکْمُلْ من النِّسَاءِ إلا مَرْیَمُ بِنْتُ عِمْرَانَ وَ آسِیَةُ 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بخاری،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وسلم  کَمُلَ من الرِّجَالِ کَثِیرٌ و لم یَکْمُلْ من النِّسَاءِ إلا مَرْیَمُ بِنْتُ عِمْرَانَ وَ آسِیَةُ امْرَأَةُ فِرْعَوْنَ وَ فَضْلُ عَائِشَةَ علی النِّسَاءِ کَفَضْلِ الثَّرِیدِ علی سَائِرِ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بخاری،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النبی  صلی الله علیه و آله وسلم  قال کَمَلَ من الرِّجَالِ کَثِیرٌ و لم‌یَکْمُلْ من النِّسَاءِ إلا مَرْیَمُ بِنْتُ عِمْرَانَ وَ آسِیَةُ امْرَأَةُ فِرْعَوْنَ وَ فَضْلُ عَائِشَةَ علی النِّسَاءِ کَفَضْلِ الثَّرِیدِ علی سَائِرِ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بخاری،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چهار روایت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افراد زیادی به کمال رسیدند، ولی از میان زنان جز مریم بنت عمران و آسیه همسر فرعون به کمال نرسیدند و برتری عایشه بر زنان، برتری آبگوشت بر سایر غذاهاست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فعلی صحیح بخاری، نامی از حضرت خدیجه و دخترش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برده نمی شود؛ این در حالی است که طبق نقل برخی از عامه، نام حضرت خدیجه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نقل برخی دیگر، نام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صحیح بخاری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اثیر از ابوالحسن رزین بن معاویه مالکی اندلسی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 لم یکمُل من النساء إلا مریمُ بنتُ عمران و آسِیَةُ امرأةُ فرعون و خدیجةُ بنتُ خویلد و فاطمةُ بنت محمد و فَضْلُ عائشة علی النساء کفضل الثرید علی سائر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بی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صراحت نام حضرت خدیجه و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روایت وجود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صحیح البخاری أیضا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کمل من الرجال کثیر و لم یکمل من النساء إلا مریم بنت عمران و خدیجه بنت خویلد و آسیة امرأة فرعون و فضل عائشة علی النساء کفضل الثرید علی سائر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بی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492" w:name="pg3261_16554"/>
    </w:p>
    <w:p>
      <w:pPr>
        <w:pStyle w:val="BookText"/>
        <w:rPr/>
      </w:pPr>
      <w:bookmarkEnd w:id="492"/>
      <w:r>
        <w:rPr>
          <w:rFonts w:ascii="IRNazanin" w:hAnsi="IRNazanin" w:eastAsia="IRNazanin"/>
          <w:color w:val="111111"/>
          <w:sz w:val="28"/>
          <w:sz w:val="28"/>
          <w:szCs w:val="28"/>
          <w:rtl w:val="true"/>
          <w:lang w:bidi="fa-IR"/>
        </w:rPr>
        <w:t>البته در موارد دیگر از کتابش، بر صحت حدیث از نظر صحیح بخاری و صحیح مسلم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تفسیرش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ثبت فی الصحیحین 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 لم یکمل من النساء إلا آسیة امرأة فرعون و مریم ابنة عمران و خدیجة بنت خویلد، و إن فضل عائشة علی النساء کفضل الثرید علی سائر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هم در الأربعین فی مناقب امهات المؤمنین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ابن رزین فی مجموع الصحاح عن النبی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 من الرجال کثیر و لم یکمل من النساء إلا أربع مریم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آسیة امرأة فرعون و خدیجة بنت خویلد و فاطمة بنت محمد و فضل عائشة علی النساء کفضل الثرید علی سائر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به شهادت دانشمندان مختلف عامه، حدیث مزبور در متن اصلی صحیح بخاری وجود داشته و در متن فعلی از این کتاب حذف و قطعاً مورد دستبرد واقع گردید</w:t>
      </w:r>
      <w:r>
        <w:rPr>
          <w:rFonts w:eastAsia="IRNazanin" w:cs="IRNazanin"/>
          <w:color w:val="111111"/>
          <w:sz w:val="28"/>
          <w:szCs w:val="28"/>
          <w:rtl w:val="true"/>
          <w:lang w:bidi="fa-IR"/>
        </w:rPr>
        <w:t>.</w:t>
      </w:r>
    </w:p>
    <w:p>
      <w:pPr>
        <w:pStyle w:val="Heading3"/>
        <w:numPr>
          <w:ilvl w:val="2"/>
          <w:numId w:val="1"/>
        </w:numPr>
        <w:rPr/>
      </w:pPr>
      <w:bookmarkStart w:id="493" w:name="__RefHeading___Toc2051907_2749589250"/>
      <w:bookmarkStart w:id="494" w:name="_Toc203"/>
      <w:bookmarkEnd w:id="493"/>
      <w:r>
        <w:rPr>
          <w:rtl w:val="true"/>
        </w:rPr>
        <w:t>تدلیس بخاری در رجم مجنونه</w:t>
      </w:r>
      <w:bookmarkEnd w:id="494"/>
    </w:p>
    <w:p>
      <w:pPr>
        <w:pStyle w:val="BookText"/>
        <w:rPr/>
      </w:pPr>
      <w:r>
        <w:rPr>
          <w:rFonts w:ascii="IRNazanin" w:hAnsi="IRNazanin" w:eastAsia="IRNazanin"/>
          <w:color w:val="111111"/>
          <w:sz w:val="28"/>
          <w:sz w:val="28"/>
          <w:szCs w:val="28"/>
          <w:rtl w:val="true"/>
          <w:lang w:bidi="fa-IR"/>
        </w:rPr>
        <w:t>در کتاب‌های معتبر و حتی شروح صحیح بخاری، حدیثی با متن‌های مختلف نقل گردید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بمجنونة قد زنت فاستشار فیها اناسا فامر بها ان ترجم فمرّ بها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مجنونة فلانة زنت فامر بها ان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ارجعوا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القلم قد رفع عن ثلاثة عن المجنون حتی یبرأ، عن النائم حتی یستیقظ، و عن الصبی حتی یعقل؟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بال هذه ترجم؟ قال فارسلها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طیالسی،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ابن حجر، بی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باب لا یرجم المجنون و المجنونه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تفاوت مختصر در 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أراد أن یرجم مجنونة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نیز در استیعاب این حدیث را مورد اشاره قرار داده و این جمله را هم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بخاری این حدیث را در دو مورد از کتابش نقل کرده و در هر دو مورد، در مقام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پرده‌پوشی به ناآگاهی یا غفلت عمر و یا برای پایمال کردن این حقیقت که علی  علیه السلام   برخلاف عمر و صحابۀ دیگر قضاوت نمود و قضاوت وی طبق دستور و فرمان رسول خدا  صلی الله علیه و آله وسلم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و صدر حدیث را حذف و به ذیل حدیث اکتفا کرده و با تحریف 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bookmarkStart w:id="495" w:name="pg3261_16555"/>
    </w:p>
    <w:p>
      <w:pPr>
        <w:pStyle w:val="BookText"/>
        <w:rPr/>
      </w:pPr>
      <w:bookmarkEnd w:id="495"/>
      <w:r>
        <w:rPr>
          <w:rFonts w:ascii="IRNazanin" w:hAnsi="IRNazanin" w:eastAsia="IRNazanin"/>
          <w:color w:val="111111"/>
          <w:sz w:val="28"/>
          <w:sz w:val="28"/>
          <w:szCs w:val="28"/>
          <w:rtl w:val="true"/>
          <w:lang w:bidi="fa-IR"/>
        </w:rPr>
        <w:t>علی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القلم رفع عن المجنون حتی یفیق، و عن الصبی حتی یدرک و عن النائم حتی یستیقظ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 باب الطلاق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همین خطاب عتاب‌آلود امیرالمؤمنین  علیه السلام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ناشی از خطای فاحش از سوی مخاطب بوده است؛ هرچند جناب بخاری سعی در پرده‌پوشی روی حقیقت داشته باشد</w:t>
      </w:r>
      <w:r>
        <w:rPr>
          <w:rFonts w:eastAsia="IRNazanin" w:cs="IRNazanin"/>
          <w:color w:val="111111"/>
          <w:sz w:val="28"/>
          <w:szCs w:val="28"/>
          <w:rtl w:val="true"/>
          <w:lang w:bidi="fa-IR"/>
        </w:rPr>
        <w:t>.</w:t>
      </w:r>
    </w:p>
    <w:p>
      <w:pPr>
        <w:pStyle w:val="Heading3"/>
        <w:numPr>
          <w:ilvl w:val="2"/>
          <w:numId w:val="1"/>
        </w:numPr>
        <w:rPr/>
      </w:pPr>
      <w:bookmarkStart w:id="496" w:name="__RefHeading___Toc2051909_2749589250"/>
      <w:bookmarkStart w:id="497" w:name="_Toc204"/>
      <w:bookmarkEnd w:id="496"/>
      <w:r>
        <w:rPr>
          <w:rtl w:val="true"/>
        </w:rPr>
        <w:t>حرمت عایشه</w:t>
      </w:r>
      <w:bookmarkEnd w:id="497"/>
    </w:p>
    <w:p>
      <w:pPr>
        <w:pStyle w:val="BookText"/>
        <w:rPr/>
      </w:pPr>
      <w:r>
        <w:rPr>
          <w:rFonts w:ascii="IRNazanin" w:hAnsi="IRNazanin" w:eastAsia="IRNazanin"/>
          <w:color w:val="111111"/>
          <w:sz w:val="28"/>
          <w:sz w:val="28"/>
          <w:szCs w:val="28"/>
          <w:rtl w:val="true"/>
          <w:lang w:bidi="fa-IR"/>
        </w:rPr>
        <w:t>عایشه از همسران پیامبر  صلی الله علیه و آله وسلم  است که بر اساس روایات معتبر اهل‌سنت، مکرراً قلب نازنین حضرت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به تفسیر آیات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آزردن تا بدان‌جا پیش رفت که پدرش ابوبکر به همین خاطر بر گوشش سیلی نواخت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بی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اهل‌سنت به دلیل انتسابش به خلیفۀ اول، ارادت شگرفی نسبت به او داشته، ضمن ترجیح وی بر سایر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شدن هرگونه اشکال و ایراد به او را ناروا دانسته و در این راه با منتقدان به شدت برخورد می کنند؛ تا جایی که جهت حفظ آبرو و جایگاه وی، اجازۀ تحریف حقایق تاریخی را به خود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تنها چند مورد از تحریفات بخاری در ارتباط با عایشه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هفته های زندگی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یکی از تلخ ترین هفته های صدر اسلام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قرار بر این شد که آن حضرت، ایام بیماری را در حجرۀ عایشه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ماجرا را چنین روایت کرد که پیامبر  صلی الله علیه و آله وسلم  در حالی که پاهایش بر زمین کشیده می شد و دو نفر،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مردی دیگر زیر بازوهای آن حضرت را گرفته بودند، حرکت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عایشه در نقل ماجرا به روشنی دست به تحریفِ حقیقت زده و نامی از نفر دوم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ابهام به ناخشنودی عایشه از آن شخص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کسی نیست جز امیرالمؤمنین  علیه السلام   که بر اساس روایت ابن سعد در طبقات و دیگران، ابن عباس ضمن معرفی ایشان به عنوان نفر دوم در آن ماجرا، با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انّ عایشۀ لا تطیب له نفسا بخیر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از زهری به نقل از ابن اسحاق در المغازی روایت می کند که پس از نقل ماجرا و تحریف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لکنها لا تقدر علی أن تذکره بخیر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bookmarkStart w:id="498" w:name="pg3261_16556"/>
    </w:p>
    <w:p>
      <w:pPr>
        <w:pStyle w:val="BookText"/>
        <w:rPr/>
      </w:pPr>
      <w:bookmarkEnd w:id="498"/>
      <w:r>
        <w:rPr>
          <w:rFonts w:ascii="IRNazanin" w:hAnsi="IRNazanin" w:eastAsia="IRNazanin"/>
          <w:color w:val="111111"/>
          <w:sz w:val="28"/>
          <w:sz w:val="28"/>
          <w:szCs w:val="28"/>
          <w:rtl w:val="true"/>
          <w:lang w:bidi="fa-IR"/>
        </w:rPr>
        <w:t>ولی جناب بخاری با آن‌که در چند مورد روایت را نقل می کند، اما هیچ اشاره ای به سخن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در دلیل تحریف عایشه که همان کراهتِ از بردن نام زیبای امام  علیه السلام   است، نمی کند تا به قداست عایشه به خاطر دشمنی با نام امام  علیه السلام   آسیبی وارد نشود؛ مثلاً در یکی از آن موارد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بعد از آن‌که بیماری‌اش شدت یافت، از همسرانش خواست تا دوران بیماری را در حجرۀ من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 که پایش را به زمین کشیده و دو نفر، یکی عباس و مردی دیگر هم دو طرف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عایشه را برای ابن‌عباس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 مردی که عایشه نامش را نبرد،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وسیله یکی دیگر از تحریفات بخاری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مربوط به حسادت به هوو و شکستن ظرف غذای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نزد یکی از همسرانش بود که یکی دیگر از همسران، ظرف غذایی همراه خادمی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زد و ظرف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جای دیگر، مانند برخی دیگر از عامه، برای آن‌که نام آن همسر را نیاورد،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وسلم  نزد یکی از همسرانش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ظرف غذایی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که پیامبر در منزلش بود، به دست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ظرف غذا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تکه‌های ظرف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شما غیرت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حسادتش 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خادم را نگه داشت و ظرف سالمی از منزل آن‌که آن حضرت در خانه‌اش بود، به جای آن ظرف برگرداند و ظرف شکسته را در منزل آن‌که ظرف را شکست،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باب الغیره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دیدیم، او حقیقت را پوشانده و نمی‌نویسد که آن یکی از همسران که در حضور پیامبر با جسارت و حسادت، ظرف حاوی غذای اهدایی را شکست، چه کسی بود؟ ولی ترمذی در سنن و در حدیثی که خود آن را حَسن و صحیح می‌داند، او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همسران پیامبر  صلی الله علیه و آله وسلم  ظرف غذایی خدمت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دست آن ظرف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شکست و غذا ریخت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ابوعیسی ترمذی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حسن 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بی تا، </w:t>
      </w:r>
      <w:r>
        <w:rPr>
          <w:rFonts w:eastAsia="IRNazanin" w:cs="IRNazanin"/>
          <w:color w:val="111111"/>
          <w:sz w:val="28"/>
          <w:szCs w:val="28"/>
          <w:lang w:bidi="fa-IR"/>
        </w:rPr>
        <w:t>3:640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499" w:name="__RefHeading___Toc2051911_2749589250"/>
      <w:bookmarkStart w:id="500" w:name="_Toc205"/>
      <w:bookmarkEnd w:id="499"/>
      <w:r>
        <w:rPr>
          <w:rtl w:val="true"/>
        </w:rPr>
        <w:t>سانسور اعتراض عایشه به پیامبر</w:t>
      </w:r>
      <w:r>
        <w:rPr/>
        <w:t></w:t>
      </w:r>
      <w:bookmarkEnd w:id="5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با متن زیر در صحیح بخاری نقل شد که حاکی از وجود واقعیتی فراتر از ماجرا در اصل مطلب است</w:t>
      </w:r>
      <w:r>
        <w:rPr>
          <w:rFonts w:eastAsia="IRNazanin" w:cs="IRNazanin"/>
          <w:color w:val="111111"/>
          <w:sz w:val="28"/>
          <w:szCs w:val="28"/>
          <w:rtl w:val="true"/>
          <w:lang w:bidi="fa-IR"/>
        </w:rPr>
        <w:t>:</w:t>
      </w:r>
      <w:bookmarkStart w:id="501" w:name="pg3261_16557"/>
    </w:p>
    <w:p>
      <w:pPr>
        <w:pStyle w:val="BookText"/>
        <w:rPr/>
      </w:pPr>
      <w:bookmarkEnd w:id="501"/>
      <w:r>
        <w:rPr>
          <w:rFonts w:ascii="IRNazanin" w:hAnsi="IRNazanin" w:eastAsia="IRNazanin"/>
          <w:color w:val="111111"/>
          <w:sz w:val="28"/>
          <w:sz w:val="28"/>
          <w:szCs w:val="28"/>
          <w:rtl w:val="true"/>
          <w:lang w:bidi="fa-IR"/>
        </w:rPr>
        <w:t>بر اساس روایت مزبور،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رسول الله  صلی الله علیه و آله وسلم  انی لأعلم إذا کنت عنی راضیة و إذا کنت علی غضبی؛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أین تعرف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کنت عنی راضیة فإنک تقولین لا و ربّ محمد و إذا کنت غضبی قلت لا و رب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أجل و الله یا رسول الله ما أَهجُرُ الا اسمک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است که در متن صحیح بخاری فعلی وجود دارد، ولی ظاهراً او جهت حفظ حرمت عایشه، صدر روایت را که دلیل سخنان پیامبر  صلی الله علیه و آله وسلم  بود حذف کردند، چراکه بر اساس برخی دیگر از روایات، داستان این گونه بود که عایشه طبق روش دائمی خود، با زخم زبان خطاب به پیامبر  صلی الله علیه و 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 کنی که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از روی بزرگواری، حلم و بردباری لبخندی زده و این گونه جوابش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 و رضای تو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در احیاء العلوم غزالی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له مرة فی کلام غضبت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أنک نبی؟ فتبسم رسول الله  صلی الله علیه و آله وسلم  حلماً و کرماً، و کان رسول الله  صلی الله علیه و آله وسلم  یقول لعائشة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غضبک من رضاک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روشن شد که صدر روایت که حاکی از زخم زبان یا تردید عایشه در رسالت رسول الله  صلی الله علیه و آله وسلم  بود، از صحیح بخاری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تفاوت سوگند عایشه در حالت رضا و خشم که مورد اشارۀ پیامبر  صلی الله علیه و آله وسلم  واقع شد، گویای این امر است که عایشه به هنگام خشم، رسالت پیامبر اسلام را نادیده گرفته و مورد تردید قرار می داد و برای گوشزد کردن و فهماندن این امر به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نام خدای ابراهیم سوگند یاد می کرد؛ وگرنه عدول از سوگند اول و سوگند به خدای ابراهیم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خدای همۀ عالمیان و همۀ پیامبران، همان خدای واحد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غزالی نیز این روایت را از مسند ابی‌یعلی نقل می کند، در حالی که در این کتاب چنین حدیثی یافت نشد و ظاهراً مورد تحریف واقع گردید</w:t>
      </w:r>
      <w:r>
        <w:rPr>
          <w:rFonts w:eastAsia="IRNazanin" w:cs="IRNazanin"/>
          <w:color w:val="111111"/>
          <w:sz w:val="28"/>
          <w:szCs w:val="28"/>
          <w:rtl w:val="true"/>
          <w:lang w:bidi="fa-IR"/>
        </w:rPr>
        <w:t>!</w:t>
      </w:r>
    </w:p>
    <w:p>
      <w:pPr>
        <w:pStyle w:val="Heading3"/>
        <w:numPr>
          <w:ilvl w:val="2"/>
          <w:numId w:val="1"/>
        </w:numPr>
        <w:rPr/>
      </w:pPr>
      <w:bookmarkStart w:id="502" w:name="__RefHeading___Toc2051913_2749589250"/>
      <w:bookmarkStart w:id="503" w:name="_Toc206"/>
      <w:bookmarkEnd w:id="502"/>
      <w:r>
        <w:rPr>
          <w:rtl w:val="true"/>
        </w:rPr>
        <w:t>مشروب‌فروشی سمرۀ بن جندب</w:t>
      </w:r>
      <w:bookmarkEnd w:id="50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اعتقادات برادران اهل‌سنت، موضوع عدالت تمام صحابۀ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آنان معتقدند، صحابۀ آن حضرت همگی عادل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حقّ انتقاد از هیچ یک از صحابه را ندارد و از طرف دیگر، تمام تلاش را برای به کرسی نشاندن این باور به کار بسته و گاهی منتقدان صحابه را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ملحدِ مستحقّ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سرخسی،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باور را به صورت عمومی قبول نداشته و</w:t>
      </w:r>
      <w:bookmarkStart w:id="504" w:name="pg3261_16558"/>
    </w:p>
    <w:p>
      <w:pPr>
        <w:pStyle w:val="BookText"/>
        <w:rPr/>
      </w:pPr>
      <w:bookmarkEnd w:id="504"/>
      <w:r>
        <w:rPr>
          <w:rFonts w:ascii="IRNazanin" w:hAnsi="IRNazanin" w:eastAsia="IRNazanin"/>
          <w:color w:val="111111"/>
          <w:sz w:val="28"/>
          <w:sz w:val="28"/>
          <w:szCs w:val="28"/>
          <w:rtl w:val="true"/>
          <w:lang w:bidi="fa-IR"/>
        </w:rPr>
        <w:t>ضمن احترام به صحابۀ عادلی که در مسیر عمل به دستورات الهی و وفاداری به پیامبر  صلی الله علیه و آله وسلم  قرار داشتند، با استناد به آیاتی از قرآن و روایات متعدد که در منابع معتبر اهل‌سنت نیز موجود است، جمعی از اطرافیان پیامبر  صلی الله علیه و آله وسلم  را به خاطر اعمال ناشایست و خلاف عدالت و آلوده شدن به انواع پلیدی‌ها، غیر قابل احترام و حتی فاسق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سمرۀ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کارهای خلافش، اشتغال به خرید و فروش مشروب بوده و همین امر باعث شد تا مورد نفرین خلیفۀ دوم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 عمر انّ سَمُرَة باعَ خمراً فقالَ قاتل الله سمرة ألم یعلم أن رسول الله  صلی الله علیه و آله وسلم  قال لعن الله الیهود حرمت علیهم الشحوم فجملوها فباعوها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نیشابوری،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حُمیدی هم در مسندش روایت را مانند متن مسلم آورد؛ ولی جالب این‌جاست که بخاری با آن‌که روایت را از حمیدی نقل می کند، از این فرد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تا گناه وی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در نسخه های موجود صحیح بخاری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ابْنَ عَبَّاسٍ رَضِیَ الله عَنْهُمَا،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بْنَ الخَطَّابِ انّ فلاناً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فلاناً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خلیفۀ دوم نفرین مبهم کرده و از شخص مشروب فروش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گونه نیست و همان‌طور که در سایر منابع آمد، وی با صراحت از سمره نام می برد، ولی چرا و به چه دلیل باید سخن عمر را در این‌جا تحریف کرد؟ سؤالی است که باید پیروان مکتب سقیفه پاسخ‌گو باشند</w:t>
      </w:r>
      <w:r>
        <w:rPr>
          <w:rFonts w:eastAsia="IRNazanin" w:cs="IRNazanin"/>
          <w:color w:val="111111"/>
          <w:sz w:val="28"/>
          <w:szCs w:val="28"/>
          <w:rtl w:val="true"/>
          <w:lang w:bidi="fa-IR"/>
        </w:rPr>
        <w:t>.</w:t>
      </w:r>
    </w:p>
    <w:p>
      <w:pPr>
        <w:pStyle w:val="Heading3"/>
        <w:numPr>
          <w:ilvl w:val="2"/>
          <w:numId w:val="1"/>
        </w:numPr>
        <w:rPr/>
      </w:pPr>
      <w:bookmarkStart w:id="505" w:name="__RefHeading___Toc2051915_2749589250"/>
      <w:bookmarkStart w:id="506" w:name="_Toc207"/>
      <w:bookmarkEnd w:id="505"/>
      <w:r>
        <w:rPr>
          <w:rtl w:val="true"/>
        </w:rPr>
        <w:t>حذف تکذیب عمر</w:t>
      </w:r>
      <w:bookmarkEnd w:id="506"/>
    </w:p>
    <w:p>
      <w:pPr>
        <w:pStyle w:val="BookText"/>
        <w:rPr/>
      </w:pPr>
      <w:r>
        <w:rPr>
          <w:rFonts w:ascii="IRNazanin" w:hAnsi="IRNazanin" w:eastAsia="IRNazanin"/>
          <w:color w:val="111111"/>
          <w:sz w:val="28"/>
          <w:sz w:val="28"/>
          <w:szCs w:val="28"/>
          <w:rtl w:val="true"/>
          <w:lang w:bidi="fa-IR"/>
        </w:rPr>
        <w:t>بر اساس روایت بیهقی در دلائل النبوه، اسماء بنت عمیس بعد از ماجرای هجرت اصحاب به حبشه، نزد حفصه حاضر بود که خلیفۀ دوم وارد شد و از دخترش حفصه پرسید که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است؟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سبقناکم بالهجرة فنحن أحق برسول الله؛ فغضبت و قالت کلمه کذِبتَ یا عمر کلّا؛ و الله کنتم مع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در پایان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البخاری و مسلم فی الصحیح عن أبی کریب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بیهقی،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متن موجود بخاری روایت مزبور تقریباً با همان سند نقل شد، ولی فرازی که اسماء بنت عمیس، عمر را دروغ‌گو می خواند، حذف و تحریف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سَبَقْنَاکُمْ بِالْهِجْرَةِ فَنَحْنُ أَحَقُّ بِرَسُولِ اللهِ  صلی الله علیه و آله وسلم  مِنْکُمْ فَغَضِبَتْ وَ قالَت کَلا وَاللهِ کُنْتُمْ مع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 متن، پاسخ اسماء ناقص آمده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w:t>
      </w:r>
      <w:bookmarkStart w:id="507" w:name="pg3261_16559"/>
    </w:p>
    <w:p>
      <w:pPr>
        <w:pStyle w:val="BookText"/>
        <w:rPr/>
      </w:pPr>
      <w:bookmarkEnd w:id="507"/>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تحریف شد تا صراحت لهجۀ اسماء در برابر خلیفه پنهان بماند</w:t>
      </w:r>
      <w:r>
        <w:rPr>
          <w:rFonts w:eastAsia="IRNazanin" w:cs="IRNazanin"/>
          <w:color w:val="111111"/>
          <w:sz w:val="28"/>
          <w:szCs w:val="28"/>
          <w:rtl w:val="true"/>
          <w:lang w:bidi="fa-IR"/>
        </w:rPr>
        <w:t>.</w:t>
      </w:r>
    </w:p>
    <w:p>
      <w:pPr>
        <w:pStyle w:val="Heading3"/>
        <w:numPr>
          <w:ilvl w:val="2"/>
          <w:numId w:val="1"/>
        </w:numPr>
        <w:rPr/>
      </w:pPr>
      <w:bookmarkStart w:id="508" w:name="__RefHeading___Toc2051917_2749589250"/>
      <w:bookmarkStart w:id="509" w:name="_Toc208"/>
      <w:bookmarkEnd w:id="508"/>
      <w:r>
        <w:rPr>
          <w:rtl w:val="true"/>
        </w:rPr>
        <w:t>تحریف حدیث متعه</w:t>
      </w:r>
      <w:bookmarkEnd w:id="509"/>
    </w:p>
    <w:p>
      <w:pPr>
        <w:pStyle w:val="BookText"/>
        <w:rPr/>
      </w:pPr>
      <w:r>
        <w:rPr>
          <w:rFonts w:ascii="IRNazanin" w:hAnsi="IRNazanin" w:eastAsia="IRNazanin"/>
          <w:color w:val="111111"/>
          <w:sz w:val="28"/>
          <w:sz w:val="28"/>
          <w:szCs w:val="28"/>
          <w:rtl w:val="true"/>
          <w:lang w:bidi="fa-IR"/>
        </w:rPr>
        <w:t xml:space="preserve">یکی از اختلافات عمده بین تشیع و مکتب سقیفه، موضوع ازدواج موقت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بقای حلّیت متعه که در قرآن کریم و از زمان پیامبر  صلی الله علیه و آله وسلم  صورت گرفت، اصرار داشته، وجود هر گونه عامل نسخ برای این حکم الهی را انکار می کنند؛ برعکس، عامه بر نسخ این حکم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روایاتی بر تحریم متعه از سوی خلیفۀ دوم در دست می باشد، ولی آنان معتقدند در زمان پیامبر  صلی الله علیه و آله وسلم  این حکم منسوخ گردید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همین ارتباط، دو تحریف در بخاری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نسخۀ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الأفکار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سورۀ بقره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بالعمره الی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عمران بن حصین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أُنْزِلَتْ آیَةُ الْمُتْعَةِ فِی کِتَابِ اللهِ فَفَعَلْنَاهَا مَعَ رَسُولِ اللهِ وَ لَمْ یُنْزَلْ قُرْآنٌ یُحَرِّمُهُ وَ لَمْ یَنْهَ عَنْهَا حَتَّی مَاتَ قَالَ رَجُلٌ بِرَأْیِهِ مَا شَاءَ 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دلایل روشن، عده ای از ناشران معاصر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النجاه باشراف محمد زهیر بن ناصر الناصر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دار احیاء التراث العربی به شرح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مکتبه سلفیه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العمره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شمارۀ حدیث </w:t>
      </w:r>
      <w:r>
        <w:rPr>
          <w:rFonts w:eastAsia="IRNazanin" w:cs="IRNazanin"/>
          <w:color w:val="111111"/>
          <w:sz w:val="28"/>
          <w:szCs w:val="28"/>
          <w:lang w:bidi="fa-IR"/>
        </w:rPr>
        <w:t>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انتشارات دار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به تحریف و حذف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یُقَالُ إنَّهُ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مزبور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از نویسندگان بزرگ اهل‌سنت به وجود این جمله در صحیح بخاری اشاره کردند؛ از جمله حمیدی در الجمع بین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در جامع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در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بدرالدین عینی در عمدۀ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بدرالدین عینی، بی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روایت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انه عمر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روایتی را حداقل دو بار نقل می کند که حاکی از ازدواج اصحاب در جنگ‌هاست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موجود در صحیح بخاری فعلی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نغزو مع النبی  صلی الله علیه و آله وسلم  و لیس معنا نساء فقلنا ألا نختصی؟ فنهانا عن ذلک فرخص لنا بعد ذلک أن نتزوج المرأة بالثوب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تحرموا طیبات ما أحل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روایت این است که یاران پیامبر  صلی الله علیه و آله وسلم  در جنگ ابتدا مورد نهی و سپس مجاز به نکاح شدند و لباس را مهریۀ ازدواج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 این روایت به اصل ازدواج در جنگ‌ها پرداخته و هیچ</w:t>
      </w:r>
    </w:p>
    <w:p>
      <w:pPr>
        <w:pStyle w:val="BookText"/>
        <w:rPr/>
      </w:pPr>
      <w:r>
        <w:rPr>
          <w:rFonts w:ascii="IRNazanin" w:hAnsi="IRNazanin" w:eastAsia="IRNazanin"/>
          <w:color w:val="111111"/>
          <w:sz w:val="28"/>
          <w:sz w:val="28"/>
          <w:szCs w:val="28"/>
          <w:rtl w:val="true"/>
          <w:lang w:bidi="fa-IR"/>
        </w:rPr>
        <w:t xml:space="preserve">اشاره ای به دائمی یا موقت بودن آن ندارد؛ این در حالی است که تعدادی از منابع اهل‌سنت، همین حدیث را با اضافۀ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سنن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باب نکاح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بدین‌گونه آورده است</w:t>
      </w:r>
      <w:r>
        <w:rPr>
          <w:rFonts w:eastAsia="IRNazanin" w:cs="IRNazanin"/>
          <w:color w:val="111111"/>
          <w:sz w:val="28"/>
          <w:szCs w:val="28"/>
          <w:rtl w:val="true"/>
          <w:lang w:bidi="fa-IR"/>
        </w:rPr>
        <w:t>: «</w:t>
      </w:r>
      <w:r>
        <w:rPr>
          <w:rFonts w:eastAsia="IRNazanin" w:cs="IRNazanin"/>
          <w:color w:val="111111"/>
          <w:sz w:val="28"/>
          <w:szCs w:val="28"/>
          <w:lang w:bidi="fa-IR"/>
        </w:rPr>
        <w:t>13919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رخّص لنا أن ننکح المرأة بالثوب إلی أجل؛ لفظ حدیث أبی‌عثمان و فی حدیث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رخص لنا فی أن نتزوج المرأة بالثوب إلی أجل ثم قرأ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البخاری و مسلم فی الصحیح من أوجه عن إسماعیل بن أبی‌خالد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نیز ذیل آیۀ مزبور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نغزو مع رسول الله  صلی الله علیه و آله وسلم  و لیس معنا نساء،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نستخصی؟ فنهانا رسول الله  صلی الله علیه و آله وسلم  عن ذلک، و رخص لنا أن ننکح المرأة بالثوب إلی أجل، ثم قرأ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مطلب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و مسلم آن را در حدیث اسماعیل بن خالد روایت کردند و این پیش از تحریم نکاح متعه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تدوین‌کنندگان تفسیر در پاورقی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البخاری فی التفسیر باب قوله تعالی یَا أَیُّهَا الَّذِینَ آمَنُوا لاتُحَرِّمُوا طَیِّبَاتِ مَا أَحَلَّ اللهُ لَکُمْ</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سیوطی در درّ المنثور از بخاری و دیگران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البخاری و مسلم و ابن أبی شیبة و النسائی و ابن أبی حاتم و ابن حبان و البیهقی فی سننه و أبوالشیخ و ابن مردویه عن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نغزو مع رسول الله  صلی الله علیه و آله وسلم  و لیس معنا نساء فقلنا ألا نستخصی؟ فنهانا رسول الله‌  صلی الله علیه و آله وسلم  عن ذلک و رخص لنا أن ننکح المرأة بالثوب إلی أجل ثم قرأ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لاتحرموا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Style w:val="FootnoteAnchor"/>
          <w:rtl w:val="true"/>
        </w:rPr>
        <w:footnoteReference w:id="47"/>
      </w:r>
      <w:bookmarkStart w:id="510" w:name="pg3261_16561"/>
    </w:p>
    <w:p>
      <w:pPr>
        <w:pStyle w:val="Heading3"/>
        <w:numPr>
          <w:ilvl w:val="2"/>
          <w:numId w:val="1"/>
        </w:numPr>
        <w:rPr/>
      </w:pPr>
      <w:bookmarkStart w:id="511" w:name="__RefHeading___Toc2051919_2749589250"/>
      <w:bookmarkStart w:id="512" w:name="_Toc209"/>
      <w:bookmarkEnd w:id="510"/>
      <w:bookmarkEnd w:id="511"/>
      <w:r>
        <w:rPr>
          <w:rtl w:val="true"/>
        </w:rPr>
        <w:t>تغییر حدیث روضه</w:t>
      </w:r>
      <w:bookmarkEnd w:id="512"/>
    </w:p>
    <w:p>
      <w:pPr>
        <w:pStyle w:val="BookText"/>
        <w:rPr/>
      </w:pPr>
      <w:r>
        <w:rPr>
          <w:rFonts w:ascii="IRNazanin" w:hAnsi="IRNazanin" w:eastAsia="IRNazanin"/>
          <w:color w:val="111111"/>
          <w:sz w:val="28"/>
          <w:sz w:val="28"/>
          <w:szCs w:val="28"/>
          <w:rtl w:val="true"/>
          <w:lang w:bidi="fa-IR"/>
        </w:rPr>
        <w:t>از جمله روایات مشهور نبوی، حدیثی است که به معرفی محدودۀ روضۀ شریفه در مسجد النبی  صلی الله علیه و آله وسلم  پرداخته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حنبل،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وهابیون اصرار بر انکار این روایت داشته و حدیث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بیتی و 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چاپ‌های فعلی صحیح بخاری و صحیح مسلم، حدیث را به همین صورت که وهابیون نقل می‌کنند، می‌یابیم، ولی ظاهراً حقیقت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شهادت برخی دانشمندان اهل‌سنت، روایت مزبور در صحیحین به همان صورتِ صحیح آمده و در نسخه های فعلی، روایت تحریف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تحریف هم روشن است، چراکه برخلاف سایر مسلمین، وهابیون هیچ ارزش و قداستی برای قبور بزرگان، حتی پیامبر  صلی الله علیه و آله وسلم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که خود از شارحان صحیح مسلم است، در کتاب المجموع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 منبری روضة من ریاض الجنة و منبری علی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الأذکار، در آداب زیارت قبر پیامبر  صلی الله علیه و آله وسلم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فیتوسل به فی حق نفسه، و یتشفع به إلی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علی رسول الله  صلی الله علیه و آله وسلم  و یکثر من کل ذلک، ثم یأتی الروضة بین القبر و المنبر فیکثر من الدعاء فیها فقد روینا فی صحیحی البخاری و مسلم عن أبی هریرة رضی الله عنه عن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صراحت دارد که این روایت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و 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صحیحین بخاری و مسلم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مزی نیز در تحفة الأشراف بمعرفة الأطراف ابتدا با حروف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که بخاری و مسلم این حدیث را روایت کردند؛ سپس به معرفی ابوابی که این حدیث در آن دو کتاب آمد،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فی آخر الصلاة و فی آخر الحج عن 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الحوض عن إبراهیم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الاعتصام عن عمرو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فی الحج عن زهیر بن حرب و محمد بن المثنی، کلاهما عن یحیی القطان به و عن محمد بن عبدالله بن نمیر، عن أبیه، عن عبیدالله بن عمر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النکت الظراف که تعلیقه بر تحفۀ الاشراف است</w:t>
      </w:r>
      <w:r>
        <w:rPr>
          <w:rStyle w:val="FootnoteAnchor"/>
          <w:rtl w:val="true"/>
        </w:rPr>
        <w:footnoteReference w:id="48"/>
      </w:r>
      <w:r>
        <w:rPr>
          <w:rFonts w:ascii="IRNazanin" w:hAnsi="IRNazanin" w:eastAsia="IRNazanin"/>
          <w:color w:val="111111"/>
          <w:sz w:val="28"/>
          <w:sz w:val="28"/>
          <w:szCs w:val="28"/>
          <w:rtl w:val="true"/>
          <w:lang w:bidi="fa-IR"/>
        </w:rPr>
        <w:t>، بدون ردّ سخن حافظ مزی به شرح آن می‌پردازد</w:t>
      </w:r>
      <w:r>
        <w:rPr>
          <w:rFonts w:eastAsia="IRNazanin" w:cs="IRNazanin"/>
          <w:color w:val="111111"/>
          <w:sz w:val="28"/>
          <w:szCs w:val="28"/>
          <w:rtl w:val="true"/>
          <w:lang w:bidi="fa-IR"/>
        </w:rPr>
        <w:t>: «</w:t>
      </w:r>
      <w:r>
        <w:rPr>
          <w:rFonts w:eastAsia="IRNazanin" w:cs="IRNazanin"/>
          <w:color w:val="111111"/>
          <w:sz w:val="28"/>
          <w:szCs w:val="28"/>
          <w:lang w:bidi="fa-IR"/>
        </w:rPr>
        <w:t>12267</w:t>
      </w:r>
      <w:r>
        <w:rPr>
          <w:rFonts w:ascii="IRNazanin" w:hAnsi="IRNazanin" w:eastAsia="IRNazanin"/>
          <w:color w:val="111111"/>
          <w:sz w:val="28"/>
          <w:sz w:val="28"/>
          <w:szCs w:val="28"/>
          <w:rtl w:val="true"/>
          <w:lang w:bidi="fa-IR"/>
        </w:rPr>
        <w:t>خ م حدیث ما بین قبری و منبری 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الاعتصام عن عمرو بن علی، عن عبدالرحمن بن مهدی،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عن أبی هریرة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بذلک عن مالک عبدالرحمن بن مهدی، و رواته رواة الموطأ عن مالک،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أبی‌هریرة أو أبی سعید بالشک کلهم، إلا معن بن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و أبی سعید بواو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تابعه الولید بن مسلم و مطرف قاله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 أبوعمر إلی معن روح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ملقن شافعی 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الْحَادِی بعد الْعشْرین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ملقن،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بوده و شیخان، یعنی بخاری و مسلم آن را از ابوهریره و دیگران نقل کردند و هم‌چنین نسائی آن را از حدیث امّ‌سلمه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مستخرج نقل می کند که این حدیث توسط تعداد زیادی از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ابن عمر، عبدالله بن زید مزنی، أبوسعید خدری، سهل بن سعد، ابوبکر، عمر، علی بن أبی طالب، جابر بن عبدالله، سعد بن أبی وقاص، جبیر بن مطعم، زبیر بن عوام، أبوسعید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بن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أبوواقد لیثی، معاذ بن الحارث الأنصاری، أبوحلیمة قاری، أنس بن مالک و أبومعلّی أنصاری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شوکانی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استدل القائلون بأفضلیة المدینة بأدلة منها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 منبری روضۀ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البخاری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که به شهادت جمع کثیری از علمای اهل تسنن، روایت شریفه نبوی در صحیحین بخاری و مسلم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و 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ولی همان گونه که گذشت، این روایت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با الفاظ فوق وجود نداشته 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513" w:name="pg3261_16563"/>
    </w:p>
    <w:p>
      <w:pPr>
        <w:pStyle w:val="BookText"/>
        <w:rPr/>
      </w:pPr>
      <w:bookmarkEnd w:id="513"/>
      <w:r>
        <w:rPr>
          <w:rFonts w:ascii="IRNazanin" w:hAnsi="IRNazanin" w:eastAsia="IRNazanin"/>
          <w:color w:val="111111"/>
          <w:sz w:val="28"/>
          <w:sz w:val="28"/>
          <w:szCs w:val="28"/>
          <w:rtl w:val="true"/>
          <w:lang w:bidi="fa-IR"/>
        </w:rPr>
        <w:t xml:space="preserve">همۀ این‌ها در حالی است که نام باب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ما بین القبر و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باب در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القبر و المنبر روضۀ من ریاض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بخاری و مسلم نام ابواب کتاب خود را بر اساس متن احادیث انتخاب می کردند؛ پس چرا در نام باب،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خودِ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514" w:name="__RefHeading___Toc2051921_2749589250"/>
      <w:bookmarkStart w:id="515" w:name="_Toc210"/>
      <w:bookmarkEnd w:id="514"/>
      <w:r>
        <w:rPr>
          <w:rtl w:val="true"/>
        </w:rPr>
        <w:t>حذف اقتدای ابن‌عمر به حجاج بن یوسف</w:t>
      </w:r>
      <w:bookmarkEnd w:id="515"/>
    </w:p>
    <w:p>
      <w:pPr>
        <w:pStyle w:val="BookText"/>
        <w:rPr/>
      </w:pPr>
      <w:r>
        <w:rPr>
          <w:rFonts w:ascii="IRNazanin" w:hAnsi="IRNazanin" w:eastAsia="IRNazanin"/>
          <w:color w:val="111111"/>
          <w:sz w:val="28"/>
          <w:sz w:val="28"/>
          <w:szCs w:val="28"/>
          <w:rtl w:val="true"/>
          <w:lang w:bidi="fa-IR"/>
        </w:rPr>
        <w:t>یکی از مسائل مهم در نماز جماعت، احراز عدالت یا شهرت امام جماعت به عدالت است؛ این در حالی است که برادران اهل‌سنت، ارزش و اعتبار چندانی برای این شرط قائل نیستند تا بدان‌جا که بسیاری از آنان، اقتدا به شخص فاسق را نیز جایز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و دانشمندان آنان،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کنند که به حجاج بن یوسف ثقفی، آن چهرۀ سفاک و فاسق اقتدا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روایتی را مورد استناد قرار می دهند که در صحیح بخاری آمده بود، ولی جالب این‌که این روایت هم به تیغ تحریف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العز حنفی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صحیح البخاری أن عبدالله بن عمر ـ رضی الله عنه ـ کان یصلّی خلف الحجاج بن یوسف الثقفی و کذا أنس بن مالک و کان الحجاج فاسقا ظالما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العز،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ملقن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پشت سر حجاج بن یوسف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 و بخاری آن را در صحیحش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ملقن،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نماز خواندن ابن عمر پشت سر حجاج بن یوسف را بخاری در روایتی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نجیم حنفی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صحیح بخاری آمده است که ابن عمر پشت سر حجاج بن یوسف که فاسق بود، نماز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نجیم حنفی،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هم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أخرج البخاری عن ابن عمر أنه کان یصلی خلف الحجاج بن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گروهی از علمای اهل تسنن صراحت دارند که این روایت علاوه بر صحیح بخاری، در صحیح مسلم هم روایت شده است؛ تا آن‌جا که برخی مثل زکریا الأنصاری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صَحَّتْ لِمَا رواه الشیخان أَنَّ ابْنَ عُمَرَ کان یُصَلِّی خَلْفَ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bookmarkStart w:id="516" w:name="pg3261_16564"/>
    </w:p>
    <w:p>
      <w:pPr>
        <w:pStyle w:val="BookText"/>
        <w:rPr/>
      </w:pPr>
      <w:bookmarkEnd w:id="516"/>
      <w:r>
        <w:rPr>
          <w:rFonts w:ascii="IRNazanin" w:hAnsi="IRNazanin" w:eastAsia="IRNazanin"/>
          <w:color w:val="111111"/>
          <w:sz w:val="28"/>
          <w:sz w:val="28"/>
          <w:szCs w:val="28"/>
          <w:rtl w:val="true"/>
          <w:lang w:bidi="fa-IR"/>
        </w:rPr>
        <w:t>این ها شهادت جمعی از دانشمندان محترم اهل‌سنت به وجود حدیث در صحیح بخاری است، ولی متأسفانه در نسخه های فعلی کتاب، این روایت وجود نداشته و تحریف شد؛ تا جایی که ناصرالدین ألبانی تلاش‌ها برای یافتن حدیث مزبور در نسخه‌های صحیح بخاری را بی ثمر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تلخیص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بخاری روایت کرده است؛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روایت را در صحیح بخاری پیدا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ألبانی،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تحریف‌گران، حدیث را از صحیح بخاری و صحیح مسلم حذف کردند، ولی توجه نکردند که ابن أبی شیبه، استاد بخاری نیز به اصل قضیه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صَحِبَنَا رَجُلٌ مِنْ أَهْلِ الْیَمَامَةِ، فَحدَّثَنَا؛ أَنَّهُ رَأَی ابْنَ عُمَرَ صَلَّی خَلْفَ ابْنِ الزُّبَیْرِ بِمِنًی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صَلَّی خَلْفَ الْحَجَّاجِ أَرْبَعًا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شیبه،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ترتیب، اصل داستان اقتدا به حجاج را روایت کرد و مورد قبول قرار داد</w:t>
      </w:r>
      <w:r>
        <w:rPr>
          <w:rFonts w:eastAsia="IRNazanin" w:cs="IRNazanin"/>
          <w:color w:val="111111"/>
          <w:sz w:val="28"/>
          <w:szCs w:val="28"/>
          <w:rtl w:val="true"/>
          <w:lang w:bidi="fa-IR"/>
        </w:rPr>
        <w:t>.</w:t>
      </w:r>
    </w:p>
    <w:p>
      <w:pPr>
        <w:pStyle w:val="Heading3"/>
        <w:numPr>
          <w:ilvl w:val="2"/>
          <w:numId w:val="1"/>
        </w:numPr>
        <w:rPr/>
      </w:pPr>
      <w:bookmarkStart w:id="517" w:name="__RefHeading___Toc2051923_2749589250"/>
      <w:bookmarkStart w:id="518" w:name="_Toc211"/>
      <w:bookmarkEnd w:id="517"/>
      <w:r>
        <w:rPr>
          <w:rtl w:val="true"/>
        </w:rPr>
        <w:t>نتیجه‌گیری</w:t>
      </w:r>
      <w:bookmarkEnd w:id="518"/>
    </w:p>
    <w:p>
      <w:pPr>
        <w:pStyle w:val="BookText"/>
        <w:rPr/>
      </w:pPr>
      <w:r>
        <w:rPr>
          <w:rFonts w:ascii="IRNazanin" w:hAnsi="IRNazanin" w:eastAsia="IRNazanin"/>
          <w:color w:val="111111"/>
          <w:sz w:val="28"/>
          <w:sz w:val="28"/>
          <w:szCs w:val="28"/>
          <w:rtl w:val="true"/>
          <w:lang w:bidi="fa-IR"/>
        </w:rPr>
        <w:t>هدف از این تحقیق، اثبات نفوذ پدیدۀ تحریف در کتاب صحیح بخاری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نمونه های گوناگونی که به صورت مستند ذکر شد، ثابت گشت که احادیثی در صحیح بخاری تقطیع یا تحریف گردید؛ چنان‌که حدیث ولایت، حدیث متعه، حدیث روضه، حدیث بانوان برگزیدۀ عالم و داستان حدیبیه دچار چنین سرنوشتی در بخاری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برخی از احادیثی که همراه با بیان نقصی از افراد محبوبِ برادران اهل‌سنت بوده، به سرنوشت تحریف گرفتار شد؛ مانند احادیثی که دربارۀ لغزش‌های خلیفه دوم، عایشه، سمرۀ بن جندب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 و همین امر باعث کاسته شدنِ اعتبار این کتاب گشته و نباید تصور کرد که هر آنچه در آن وارد شد، می توان بدون بررسی سند پذیرفت</w:t>
      </w:r>
      <w:r>
        <w:rPr>
          <w:rFonts w:eastAsia="IRNazanin" w:cs="IRNazanin"/>
          <w:color w:val="111111"/>
          <w:sz w:val="28"/>
          <w:szCs w:val="28"/>
          <w:rtl w:val="true"/>
          <w:lang w:bidi="fa-IR"/>
        </w:rPr>
        <w:t>.</w:t>
      </w:r>
    </w:p>
    <w:p>
      <w:pPr>
        <w:pStyle w:val="Heading3"/>
        <w:numPr>
          <w:ilvl w:val="2"/>
          <w:numId w:val="1"/>
        </w:numPr>
        <w:rPr/>
      </w:pPr>
      <w:bookmarkStart w:id="519" w:name="__RefHeading___Toc2051925_2749589250"/>
      <w:bookmarkStart w:id="520" w:name="_Toc212"/>
      <w:bookmarkEnd w:id="519"/>
      <w:r>
        <w:rPr>
          <w:rtl w:val="true"/>
        </w:rPr>
        <w:t>منابع</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شیبة کوفی، أبوبکر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فی الأحادیث و الآثار،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یوسف الحوت، ریاض، مکتبة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العز، حنفی،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العقیدة الطحاویة، چاپ چهارم، بیروت، مکتب الإسلامی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أثیر، مجدالدین عبدالکریم شیبانی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جامع الأصول فی أحادیث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الأرنؤوط، بی جا، مکتبۀ حلوانی و مکتبۀ دار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 بستی،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ابن حبان،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شرح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الخطیب،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الحبیر فی أحادیث الرافعی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هاشم الیمانی المدنی، مدینة منوره،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الظراف علی الأطراف،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شرف‌الدین و زهیر الشاویش، بیروت، المکتب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فی تمییز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أبوعبدالله شیبانی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أحمد بن حنبل، مصر، مؤسسة قرطبة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بصری،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الکبری،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یوسف بن عبدالله،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أبومنصور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الأربعین فی مناقب أمهات المؤمنین،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مطیع الحافظ و غزوة بدیر، دمشق،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نجیم حنفی،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البحر الرائق شرح کنز الدقائق،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إسماعیل بن عمر ابوالفداء،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مکتبة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شمس‌الدین، دارالکتب العلمیه، بیروت، منشورات محمد علی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قیم، محمد بن أبی بکر أیوب الزرعی،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المعاد فی هدی خیر العباد،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الأرناؤوط، بیروت،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مکتبة المنار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ملقن شافعی، سراج‌الدین أبی حفص،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البدر المنیر فی تخریج الأحادیث و الأثار الواقعة فی الشرح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أبوالغیط، عبدالله بن سلیمان و یاسر بن کمال، ریاض، دارالهجرة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ألبانی، محمد ناصرالدین،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إرواء الغلیل فی تخریج أحادیث منار السبیل، تحت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الشاویش، بیروت، المکتب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سلسلة الاحادیث الصحیحة،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قم، مرکز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الأنصاری، زکریا،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أسنی المطالب فی شرح روض الطالب،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محمد تامر، بیروت، دارالکتب العلمیة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إسماعیل أبوعبدالله،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بشرح الکرمانی،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الصحیح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دیب البغا، چاپ سوم، بیروت، دار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زهیر بن ناصر الناصر، مصر، دار طوق النجاه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بیروت، دارالکتب العلمیه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لابی عبدالله محمد بن اسماعیل البخاری، قاهره، مکتبه السلفیه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نشر با هزینه دکتر محمد بن صالح الراجحی، عربستان، بیت الافکار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أحمد بن الحسین،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مکة المکرمة، مکتبة دارالباز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النبوه،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السلمی،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 دیگران،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 محمد بن فتوح،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الجمع بین الصحیحین البخاری ومسلم،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حسین البواب، چاپ دوم، بیروت، دار 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سرخسی، محمد بن أحمد بن أبی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السرخسی،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محمد بن علی بن محمد،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نیل الأوطار من أحادیث سید الأخیار شرح منتقی الأخبار، بیروت، دارالجیل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شیبانی، عمرو بن أبی عاصم الضحاک،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ناصرالدین الألبانی، بیروت، المکتب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صنعانی، أبوبکر عبدالرزاق بن همام،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الرحمن الأعظمی، بیروت، المکتب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طیالسی،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أبی داود،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 بدرالدین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القاری شرح صحیح البخاری،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ابوحامد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العالمین و کشف ما فی الدارین،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محمد حسن إسماعیل و أحمد فرید المزیدی،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احیاء علوم الدین،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الجامع لأحکام القرآن، تهران، ناصرخسرو، چاپ اول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 جمال الدین ابی الحجاج یوسف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تحفة الأشراف بمعرفة الأطراف،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شرف‌الدین، بیروت، المکتب الإسلامی و دارالقیمة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أحمد بن شعیب أبوعبدالرحمن،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أمیرالمؤمنین علی بن أبی طالب  علیه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میرین البلوشی، کویت، مکتبة المعلا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نووی، ابوزکریا یحیی،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الأذکار المنتخبة من کلام سید الأبرار، بیروت، دارالکتب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 بیروت، دارالفکر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ابوالحسین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محمدفؤاد عبدالباقی، بیروت، دار إحیاء التراث العربی</w:t>
      </w:r>
      <w:r>
        <w:rPr>
          <w:rFonts w:eastAsia="IRNazanin" w:cs="IRNazanin"/>
          <w:color w:val="111111"/>
          <w:sz w:val="28"/>
          <w:szCs w:val="28"/>
          <w:rtl w:val="true"/>
          <w:lang w:bidi="fa-IR"/>
        </w:rPr>
        <w:t>.</w:t>
      </w:r>
      <w:bookmarkStart w:id="521" w:name="pg3261_16568"/>
    </w:p>
    <w:p>
      <w:pPr>
        <w:pStyle w:val="Heading2"/>
        <w:numPr>
          <w:ilvl w:val="1"/>
          <w:numId w:val="1"/>
        </w:numPr>
        <w:rPr/>
      </w:pPr>
      <w:bookmarkStart w:id="522" w:name="__RefHeading___Toc2051927_2749589250"/>
      <w:bookmarkStart w:id="523" w:name="_Toc213"/>
      <w:bookmarkEnd w:id="521"/>
      <w:bookmarkEnd w:id="522"/>
      <w:r>
        <w:rPr>
          <w:rtl w:val="true"/>
        </w:rPr>
        <w:t>خلاصة المقالات باللغة العربیة</w:t>
      </w:r>
      <w:bookmarkEnd w:id="523"/>
    </w:p>
    <w:p>
      <w:pPr>
        <w:pStyle w:val="Heading3"/>
        <w:numPr>
          <w:ilvl w:val="2"/>
          <w:numId w:val="1"/>
        </w:numPr>
        <w:rPr/>
      </w:pPr>
      <w:bookmarkStart w:id="524" w:name="__RefHeading___Toc2051929_2749589250"/>
      <w:bookmarkStart w:id="525" w:name="_Toc214"/>
      <w:bookmarkEnd w:id="524"/>
      <w:r>
        <w:rPr>
          <w:rtl w:val="true"/>
        </w:rPr>
        <w:t xml:space="preserve">حقیقة الانسان المرکبة من الروح و الجسد، تنظیر هشام بن الحکم بشأن حقیقة الانسان </w:t>
      </w:r>
      <w:r>
        <w:rPr>
          <w:rtl w:val="true"/>
        </w:rPr>
        <w:t xml:space="preserve">/ </w:t>
      </w:r>
      <w:r>
        <w:rPr>
          <w:rtl w:val="true"/>
        </w:rPr>
        <w:t xml:space="preserve">محمدتقی السبحانی </w:t>
      </w:r>
      <w:r>
        <w:rPr>
          <w:rtl w:val="true"/>
        </w:rPr>
        <w:t>-</w:t>
      </w:r>
      <w:r>
        <w:rPr>
          <w:rtl w:val="true"/>
        </w:rPr>
        <w:t>حسین نعیم</w:t>
      </w:r>
      <w:r>
        <w:rPr>
          <w:rtl w:val="true"/>
        </w:rPr>
        <w:t>¬</w:t>
      </w:r>
      <w:r>
        <w:rPr>
          <w:rtl w:val="true"/>
        </w:rPr>
        <w:t>آبادی</w:t>
      </w:r>
      <w:bookmarkEnd w:id="525"/>
    </w:p>
    <w:p>
      <w:pPr>
        <w:pStyle w:val="Heading4"/>
        <w:numPr>
          <w:ilvl w:val="3"/>
          <w:numId w:val="1"/>
        </w:numPr>
        <w:rPr/>
      </w:pPr>
      <w:bookmarkStart w:id="526" w:name="__RefHeading___Toc2051931_2749589250"/>
      <w:bookmarkStart w:id="527" w:name="_Toc215"/>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یری قدماء الإمامیة أن حقیقة الانسان تتکون من أمرین مثالیین حقیقیین، و من النظریات المهمة الأخری بشأن حقیقة الانسان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الافتراض الفیزیائی لحقیقة الانسان، و نظریة الروح المنطبعة، و نظریة افتراض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قدماء الإمامیة أن حقیقة الانسان عبارة عن المرکب من الروح و الجسد، مع أن الأصالة للروح و إن لوحظ الجسد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أوضح هشام بن الحکم هذه النظریة بصورة أدقّ ضمن المحاور الثلاثة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الدنیا، و الترکیب فیها بین الروح و البدن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عبارة عن العقل و قدرة الإرادة فی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الروح باعتبارها الجزء الرئیسی و الثابت فی حقیقة الانسان، و لها تجرّد نسبی لا محض، و تستطیع أن تؤدی نشاطها الإدراکی من دون الحاجة لأی شیء آخر</w:t>
      </w:r>
      <w:r>
        <w:rPr>
          <w:rFonts w:eastAsia="IRNazanin" w:cs="IRNazanin"/>
          <w:color w:val="111111"/>
          <w:sz w:val="28"/>
          <w:szCs w:val="28"/>
          <w:rtl w:val="true"/>
          <w:lang w:bidi="fa-IR"/>
        </w:rPr>
        <w:t>.</w:t>
      </w:r>
    </w:p>
    <w:p>
      <w:pPr>
        <w:pStyle w:val="Heading4"/>
        <w:numPr>
          <w:ilvl w:val="3"/>
          <w:numId w:val="1"/>
        </w:numPr>
        <w:rPr/>
      </w:pPr>
      <w:bookmarkStart w:id="528" w:name="__RefHeading___Toc2051933_2749589250"/>
      <w:bookmarkStart w:id="529" w:name="_Toc216"/>
      <w:bookmarkEnd w:id="528"/>
      <w:r>
        <w:rPr>
          <w:rtl w:val="true"/>
        </w:rPr>
        <w:t>الألفاظ المحوریة</w:t>
      </w:r>
      <w:bookmarkEnd w:id="529"/>
    </w:p>
    <w:p>
      <w:pPr>
        <w:pStyle w:val="BookText"/>
        <w:rPr/>
      </w:pPr>
      <w:r>
        <w:rPr>
          <w:rFonts w:ascii="IRNazanin" w:hAnsi="IRNazanin" w:eastAsia="IRNazanin"/>
          <w:color w:val="111111"/>
          <w:sz w:val="28"/>
          <w:sz w:val="28"/>
          <w:szCs w:val="28"/>
          <w:rtl w:val="true"/>
          <w:lang w:bidi="fa-IR"/>
        </w:rPr>
        <w:t>حقیقة الإنسان، الروح، الجسم، النفس، هشام بن الحکم، المثالیین</w:t>
      </w:r>
      <w:r>
        <w:rPr>
          <w:rFonts w:eastAsia="IRNazanin" w:cs="IRNazanin"/>
          <w:color w:val="111111"/>
          <w:sz w:val="28"/>
          <w:szCs w:val="28"/>
          <w:rtl w:val="true"/>
          <w:lang w:bidi="fa-IR"/>
        </w:rPr>
        <w:t>.</w:t>
      </w:r>
    </w:p>
    <w:p>
      <w:pPr>
        <w:pStyle w:val="BookText"/>
        <w:rPr/>
      </w:pPr>
      <w:r>
        <w:rPr>
          <w:rStyle w:val="FootnoteAnchor"/>
          <w:rtl w:val="true"/>
        </w:rPr>
        <w:footnoteReference w:id="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hnaeimabadi79@gmail.com</w:t>
      </w:r>
      <w:r>
        <w:rPr>
          <w:rFonts w:eastAsia="Times New Roman" w:cs="Times New Roman" w:ascii="Times New Roman" w:hAnsi="Times New Roman"/>
          <w:color w:val="111111"/>
          <w:sz w:val="28"/>
          <w:szCs w:val="28"/>
          <w:rtl w:val="true"/>
          <w:lang w:val="en-US" w:bidi="en-US"/>
        </w:rPr>
        <w:t>).</w:t>
      </w:r>
      <w:bookmarkStart w:id="530" w:name="pg3261_16569"/>
    </w:p>
    <w:p>
      <w:pPr>
        <w:pStyle w:val="Heading3"/>
        <w:numPr>
          <w:ilvl w:val="2"/>
          <w:numId w:val="1"/>
        </w:numPr>
        <w:rPr/>
      </w:pPr>
      <w:bookmarkStart w:id="531" w:name="__RefHeading___Toc2051935_2749589250"/>
      <w:bookmarkStart w:id="532" w:name="_Toc217"/>
      <w:bookmarkEnd w:id="530"/>
      <w:bookmarkEnd w:id="531"/>
      <w:r>
        <w:rPr>
          <w:rtl w:val="true"/>
        </w:rPr>
        <w:t>دراسة آراء متکلمی الإمامیة بشأن سعة نطاق علم الإمام بالاعتماد علی الروایات</w:t>
      </w:r>
      <w:r>
        <w:rPr>
          <w:rtl w:val="true"/>
        </w:rPr>
        <w:t xml:space="preserve">/ </w:t>
      </w:r>
      <w:r>
        <w:rPr>
          <w:rtl w:val="true"/>
        </w:rPr>
        <w:t>محمد حسین الفاریاب</w:t>
      </w:r>
      <w:bookmarkEnd w:id="532"/>
    </w:p>
    <w:p>
      <w:pPr>
        <w:pStyle w:val="Heading4"/>
        <w:numPr>
          <w:ilvl w:val="3"/>
          <w:numId w:val="1"/>
        </w:numPr>
        <w:rPr/>
      </w:pPr>
      <w:bookmarkStart w:id="533" w:name="__RefHeading___Toc2051937_2749589250"/>
      <w:bookmarkStart w:id="534" w:name="_Toc218"/>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إن مسألة علم الإمام هی من المسائل التی شغلت أذهان متکلمی الإمامیة علی مر التاریخ، و لها مسائل فرعیة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علم الإمام، و مصادر علم الإمام، وسعة نطاق علم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الحاضر یتناول دراسة سعة نطاق علم الإمام، فأوضحنا أولاً النظریات المطروحة فی العصر الذهبی لکلام الإمامیة أعنی کبار متکلمی الإمامیة فی المدارس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الحلة و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عقبناه بدراسة نظریاتهم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متکلمو الإمامیة فی هذه المدارس الثلاث بشکل عام علی ضرورة علم الإمام بالدین، و أما فیما سواه فقد راعوا جانب الاحتیاط فی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یبدو فی النظر أن العقل بإمکانه إثبات ضرورة علم الإمام بأمور یحتاج الیها لأداء وظیفته،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سوی ذلک فإن مرجعنا الوحید هو الروایات الواردة عن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الروایات المعتبرة فإن الإمام لا یعلم کل شیء بالفعل، و لکنه إن أراد أن یعلم فإن الله سیعلمه ذلک</w:t>
      </w:r>
      <w:r>
        <w:rPr>
          <w:rFonts w:eastAsia="IRNazanin" w:cs="IRNazanin"/>
          <w:color w:val="111111"/>
          <w:sz w:val="28"/>
          <w:szCs w:val="28"/>
          <w:rtl w:val="true"/>
          <w:lang w:bidi="fa-IR"/>
        </w:rPr>
        <w:t>.</w:t>
      </w:r>
    </w:p>
    <w:p>
      <w:pPr>
        <w:pStyle w:val="Heading4"/>
        <w:numPr>
          <w:ilvl w:val="3"/>
          <w:numId w:val="1"/>
        </w:numPr>
        <w:rPr/>
      </w:pPr>
      <w:bookmarkStart w:id="535" w:name="__RefHeading___Toc2051939_2749589250"/>
      <w:bookmarkStart w:id="536" w:name="_Toc219"/>
      <w:bookmarkEnd w:id="535"/>
      <w:r>
        <w:rPr>
          <w:rtl w:val="true"/>
        </w:rPr>
        <w:t>الألفاظ المحوریة</w:t>
      </w:r>
      <w:bookmarkEnd w:id="536"/>
    </w:p>
    <w:p>
      <w:pPr>
        <w:pStyle w:val="BookText"/>
        <w:rPr/>
      </w:pPr>
      <w:r>
        <w:rPr>
          <w:rFonts w:ascii="IRNazanin" w:hAnsi="IRNazanin" w:eastAsia="IRNazanin"/>
          <w:color w:val="111111"/>
          <w:sz w:val="28"/>
          <w:sz w:val="28"/>
          <w:szCs w:val="28"/>
          <w:rtl w:val="true"/>
          <w:lang w:bidi="fa-IR"/>
        </w:rPr>
        <w:t>علم الإمام، المتکلمون، بغداد، الری، الحلّة، نطاق العلم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
      </w:r>
      <w:bookmarkStart w:id="537" w:name="pg3261_16570"/>
    </w:p>
    <w:p>
      <w:pPr>
        <w:pStyle w:val="Heading3"/>
        <w:numPr>
          <w:ilvl w:val="2"/>
          <w:numId w:val="1"/>
        </w:numPr>
        <w:rPr/>
      </w:pPr>
      <w:bookmarkStart w:id="538" w:name="__RefHeading___Toc2051941_2749589250"/>
      <w:bookmarkStart w:id="539" w:name="_Toc220"/>
      <w:bookmarkEnd w:id="537"/>
      <w:bookmarkEnd w:id="538"/>
      <w:r>
        <w:rPr>
          <w:rtl w:val="true"/>
        </w:rPr>
        <w:t xml:space="preserve">العلقة بین الربوبیة التوحیدیة و العنایة الإلهیة فی النظام المعرفی القرآنی </w:t>
      </w:r>
      <w:r>
        <w:rPr>
          <w:rtl w:val="true"/>
        </w:rPr>
        <w:t xml:space="preserve">/ </w:t>
      </w:r>
      <w:r>
        <w:rPr>
          <w:rtl w:val="true"/>
        </w:rPr>
        <w:t xml:space="preserve">ید الله الربیعی </w:t>
      </w:r>
      <w:r>
        <w:rPr>
          <w:rtl w:val="true"/>
        </w:rPr>
        <w:t xml:space="preserve">- </w:t>
      </w:r>
      <w:r>
        <w:rPr>
          <w:rtl w:val="true"/>
        </w:rPr>
        <w:t>حمید نگارش</w:t>
      </w:r>
      <w:bookmarkEnd w:id="539"/>
    </w:p>
    <w:p>
      <w:pPr>
        <w:pStyle w:val="Heading4"/>
        <w:numPr>
          <w:ilvl w:val="3"/>
          <w:numId w:val="1"/>
        </w:numPr>
        <w:rPr/>
      </w:pPr>
      <w:bookmarkStart w:id="540" w:name="__RefHeading___Toc2051943_2749589250"/>
      <w:bookmarkStart w:id="541" w:name="_Toc221"/>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مسألة التوحید الربوبی و تحلیل رؤیة القرآن تجاهها هی المحور لهذا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العناوین التالیة من الأمور ذات الصلة بالتوحید الربوبی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و النصرة و الإمداد و أمثالها و التی یعبّر عنها فی النظام الفلسفی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العلقة بین هذه العناوین و مسألة التوحید الربوبی هی أن أکثر العقائد المشوبة بالشرک تأتی فی مرحلة متأخرة عن الإیمان بوجود الله و أنه الخالق للکون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آیات القرآن تبین أن المساکین یؤمنون بالتوحید الخالقی، و أنهم ابتلوا بالشرک فی مرتبة الربوبیة و ما یلازمها أعنی التوححید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انتهینا إلیه فی هذا البحث بعد التعرف علی ماهیة التوحید الربوبی، هو إثبات أن أرکان الربوبیة الإلهیة هی العلم و القدرة المطلقة و الی جانبهما الإرادة الحرة الالهیة</w:t>
      </w:r>
      <w:r>
        <w:rPr>
          <w:rFonts w:eastAsia="IRNazanin" w:cs="IRNazanin"/>
          <w:color w:val="111111"/>
          <w:sz w:val="28"/>
          <w:szCs w:val="28"/>
          <w:rtl w:val="true"/>
          <w:lang w:bidi="fa-IR"/>
        </w:rPr>
        <w:t>.</w:t>
      </w:r>
    </w:p>
    <w:p>
      <w:pPr>
        <w:pStyle w:val="Heading4"/>
        <w:numPr>
          <w:ilvl w:val="3"/>
          <w:numId w:val="1"/>
        </w:numPr>
        <w:rPr/>
      </w:pPr>
      <w:bookmarkStart w:id="542" w:name="__RefHeading___Toc2051945_2749589250"/>
      <w:bookmarkStart w:id="543" w:name="_Toc222"/>
      <w:bookmarkEnd w:id="542"/>
      <w:r>
        <w:rPr>
          <w:rtl w:val="true"/>
        </w:rPr>
        <w:t>الألفاظ المحوریة</w:t>
      </w:r>
      <w:bookmarkEnd w:id="543"/>
    </w:p>
    <w:p>
      <w:pPr>
        <w:pStyle w:val="BookText"/>
        <w:rPr/>
      </w:pPr>
      <w:r>
        <w:rPr>
          <w:rFonts w:ascii="IRNazanin" w:hAnsi="IRNazanin" w:eastAsia="IRNazanin"/>
          <w:color w:val="111111"/>
          <w:sz w:val="28"/>
          <w:sz w:val="28"/>
          <w:szCs w:val="28"/>
          <w:rtl w:val="true"/>
          <w:lang w:bidi="fa-IR"/>
        </w:rPr>
        <w:t>التوحید، الربوبیة، العنایة، الهدایة، الجنود الإلهیون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bookmarkStart w:id="544" w:name="pg3261_16571"/>
    </w:p>
    <w:p>
      <w:pPr>
        <w:pStyle w:val="Heading3"/>
        <w:numPr>
          <w:ilvl w:val="2"/>
          <w:numId w:val="1"/>
        </w:numPr>
        <w:rPr/>
      </w:pPr>
      <w:bookmarkStart w:id="545" w:name="__RefHeading___Toc2051947_2749589250"/>
      <w:bookmarkStart w:id="546" w:name="_Toc223"/>
      <w:bookmarkEnd w:id="544"/>
      <w:bookmarkEnd w:id="545"/>
      <w:r>
        <w:rPr>
          <w:rtl w:val="true"/>
        </w:rPr>
        <w:t>الإلهیات السلبیة فی المدرسة الکلامیة فی الحلة</w:t>
      </w:r>
      <w:r>
        <w:rPr>
          <w:rtl w:val="true"/>
        </w:rPr>
        <w:t xml:space="preserve">/ </w:t>
      </w:r>
      <w:r>
        <w:rPr>
          <w:rtl w:val="true"/>
        </w:rPr>
        <w:t xml:space="preserve">رضا برنجکار </w:t>
      </w:r>
      <w:r>
        <w:rPr>
          <w:rtl w:val="true"/>
        </w:rPr>
        <w:t xml:space="preserve">- </w:t>
      </w:r>
      <w:r>
        <w:rPr>
          <w:rtl w:val="true"/>
        </w:rPr>
        <w:t>السید مسیح شاه</w:t>
      </w:r>
      <w:r>
        <w:rPr>
          <w:rtl w:val="true"/>
        </w:rPr>
        <w:t>¬</w:t>
      </w:r>
      <w:r>
        <w:rPr>
          <w:rtl w:val="true"/>
        </w:rPr>
        <w:t>چراغ</w:t>
      </w:r>
      <w:bookmarkEnd w:id="546"/>
    </w:p>
    <w:p>
      <w:pPr>
        <w:pStyle w:val="Heading4"/>
        <w:numPr>
          <w:ilvl w:val="3"/>
          <w:numId w:val="1"/>
        </w:numPr>
        <w:rPr/>
      </w:pPr>
      <w:bookmarkStart w:id="547" w:name="__RefHeading___Toc2051949_2749589250"/>
      <w:bookmarkStart w:id="548" w:name="_Toc224"/>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 xml:space="preserve">تحتل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مرموقة فی المدرسة الکلامیة فی الحلة، فقد فسّر الخوجه نصیر ـ و من خلال استعانته ببرهان الشیخ الصدوق بشأن الإلهیات السلبیة ـ صفة حیاة الله بنحو سلبی، و یری أن هذه القاعدة صالحة للتعمیم الی الصفات الإلهیة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منظاره فإن الذی ینفی الصفات الزائدة علی الذات فی بحث معرفة الصفات علیه أن یقول بالاهیات السلبیة فی فهم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فقد نحا طلاب الخوجة نصیر نفس منحی استاذهم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مال العلامة الحلی الی القول باشتراک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الواجب و الممکن، کما أن الفاضل المقداد آمن بنظریة نیابة الذات عن الصفات، و بذلک فقد أبدوا مبانٍ أخری لدعم الإلهیات السلبیة</w:t>
      </w:r>
      <w:r>
        <w:rPr>
          <w:rFonts w:eastAsia="IRNazanin" w:cs="IRNazanin"/>
          <w:color w:val="111111"/>
          <w:sz w:val="28"/>
          <w:szCs w:val="28"/>
          <w:rtl w:val="true"/>
          <w:lang w:bidi="fa-IR"/>
        </w:rPr>
        <w:t>.</w:t>
      </w:r>
    </w:p>
    <w:p>
      <w:pPr>
        <w:pStyle w:val="Heading4"/>
        <w:numPr>
          <w:ilvl w:val="3"/>
          <w:numId w:val="1"/>
        </w:numPr>
        <w:rPr/>
      </w:pPr>
      <w:bookmarkStart w:id="549" w:name="__RefHeading___Toc2051951_2749589250"/>
      <w:bookmarkStart w:id="550" w:name="_Toc225"/>
      <w:bookmarkEnd w:id="549"/>
      <w:r>
        <w:rPr>
          <w:rtl w:val="true"/>
        </w:rPr>
        <w:t>الألفاظ المحوریة</w:t>
      </w:r>
      <w:bookmarkEnd w:id="550"/>
    </w:p>
    <w:p>
      <w:pPr>
        <w:pStyle w:val="BookText"/>
        <w:rPr/>
      </w:pPr>
      <w:r>
        <w:rPr>
          <w:rFonts w:ascii="IRNazanin" w:hAnsi="IRNazanin" w:eastAsia="IRNazanin"/>
          <w:color w:val="111111"/>
          <w:sz w:val="28"/>
          <w:sz w:val="28"/>
          <w:szCs w:val="28"/>
          <w:rtl w:val="true"/>
          <w:lang w:bidi="fa-IR"/>
        </w:rPr>
        <w:t>المدرسة الکلامیة فی الحلة، الصفات الذاتیة، معانی الصفات، الالهیات السلبیة، الاشتراک اللفظی، نیابة الذات عن الصفات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bookmarkStart w:id="551" w:name="pg3261_16572"/>
    </w:p>
    <w:p>
      <w:pPr>
        <w:pStyle w:val="Heading3"/>
        <w:numPr>
          <w:ilvl w:val="2"/>
          <w:numId w:val="1"/>
        </w:numPr>
        <w:rPr/>
      </w:pPr>
      <w:bookmarkStart w:id="552" w:name="__RefHeading___Toc2051953_2749589250"/>
      <w:bookmarkStart w:id="553" w:name="_Toc226"/>
      <w:bookmarkEnd w:id="551"/>
      <w:bookmarkEnd w:id="552"/>
      <w:r>
        <w:rPr>
          <w:rtl w:val="true"/>
        </w:rPr>
        <w:t xml:space="preserve">نهج المناجاة الشیعیة و حلّ مسألة الشرور </w:t>
      </w:r>
      <w:r>
        <w:rPr>
          <w:rtl w:val="true"/>
        </w:rPr>
        <w:t xml:space="preserve">/ </w:t>
      </w:r>
      <w:r>
        <w:rPr>
          <w:rtl w:val="true"/>
        </w:rPr>
        <w:t xml:space="preserve">احمد الکریمی </w:t>
      </w:r>
      <w:r>
        <w:rPr>
          <w:rtl w:val="true"/>
        </w:rPr>
        <w:t xml:space="preserve">- </w:t>
      </w:r>
      <w:r>
        <w:rPr>
          <w:rtl w:val="true"/>
        </w:rPr>
        <w:t>محمد صالح المازنی</w:t>
      </w:r>
      <w:bookmarkEnd w:id="553"/>
    </w:p>
    <w:p>
      <w:pPr>
        <w:pStyle w:val="Heading4"/>
        <w:numPr>
          <w:ilvl w:val="3"/>
          <w:numId w:val="1"/>
        </w:numPr>
        <w:rPr/>
      </w:pPr>
      <w:bookmarkStart w:id="554" w:name="__RefHeading___Toc2051955_2749589250"/>
      <w:bookmarkStart w:id="555" w:name="_Toc227"/>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إن وجود الشرور فی العالم یبعث علی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النسبة بین الشرور و بین الوجود الإلهی المتصف بالعلم والقدرة و الخیر المطلق ؟ و هذا البحث من الأبحاث المثیرة للجدل فی نطاق الأبحاث الدینیة و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الحاضر یتناول هذه المسألة بالدراسة و یجیب علیها من زاویة جدیدة، و یحاول اکتشاف و قراءة نهج الأدعیة الشیعیة فی حل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الوقت ذاته یری الدور الإیجابی لبعض الآلام فی کمال و رقی الإنسان، فی حین یری أن لبعض الآلام دور سلبی و تخریبی، و أن الاضطراب و القلق الحاصل منه یؤدی الی الفتور و الضعف عن أداء الوظائف الدینیة و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القسم الثانی بالشرور، و قد أشارت المناجاة الی العدید من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فإن المناجاة الشیعیة ـ و علی الرغم من نظرة بعض الفلاسفة فی رد وجود الشرور فی العالم ـ تری ثبوتها</w:t>
      </w:r>
      <w:r>
        <w:rPr>
          <w:rFonts w:eastAsia="IRNazanin" w:cs="IRNazanin"/>
          <w:color w:val="111111"/>
          <w:sz w:val="28"/>
          <w:szCs w:val="28"/>
          <w:rtl w:val="true"/>
          <w:lang w:bidi="fa-IR"/>
        </w:rPr>
        <w:t>.</w:t>
      </w:r>
    </w:p>
    <w:p>
      <w:pPr>
        <w:pStyle w:val="Heading4"/>
        <w:numPr>
          <w:ilvl w:val="3"/>
          <w:numId w:val="1"/>
        </w:numPr>
        <w:rPr/>
      </w:pPr>
      <w:bookmarkStart w:id="556" w:name="__RefHeading___Toc2051957_2749589250"/>
      <w:bookmarkStart w:id="557" w:name="_Toc228"/>
      <w:bookmarkEnd w:id="556"/>
      <w:r>
        <w:rPr>
          <w:rtl w:val="true"/>
        </w:rPr>
        <w:t>الألفاظ المحوریة</w:t>
      </w:r>
      <w:bookmarkEnd w:id="557"/>
    </w:p>
    <w:p>
      <w:pPr>
        <w:pStyle w:val="BookText"/>
        <w:rPr/>
      </w:pPr>
      <w:r>
        <w:rPr>
          <w:rFonts w:ascii="IRNazanin" w:hAnsi="IRNazanin" w:eastAsia="IRNazanin"/>
          <w:color w:val="111111"/>
          <w:sz w:val="28"/>
          <w:sz w:val="28"/>
          <w:szCs w:val="28"/>
          <w:rtl w:val="true"/>
          <w:lang w:bidi="fa-IR"/>
        </w:rPr>
        <w:t>مسألة الشرّ، المناجاة، الشیعة، الادعیة المأثورة، الأئمة المعصومون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bookmarkStart w:id="558" w:name="pg3261_16573"/>
    </w:p>
    <w:p>
      <w:pPr>
        <w:pStyle w:val="Heading3"/>
        <w:numPr>
          <w:ilvl w:val="2"/>
          <w:numId w:val="1"/>
        </w:numPr>
        <w:rPr/>
      </w:pPr>
      <w:bookmarkStart w:id="559" w:name="__RefHeading___Toc2051959_2749589250"/>
      <w:bookmarkStart w:id="560" w:name="_Toc229"/>
      <w:bookmarkEnd w:id="558"/>
      <w:bookmarkEnd w:id="559"/>
      <w:r>
        <w:rPr>
          <w:rtl w:val="true"/>
        </w:rPr>
        <w:t xml:space="preserve">تحلیل ظاهرة </w:t>
      </w:r>
      <w:r>
        <w:rPr>
          <w:rtl w:val="true"/>
        </w:rPr>
        <w:t>«</w:t>
      </w:r>
      <w:r>
        <w:rPr>
          <w:rtl w:val="true"/>
        </w:rPr>
        <w:t>تأسیس الطوائف ضمن إطار المذهب</w:t>
      </w:r>
      <w:r>
        <w:rPr>
          <w:rtl w:val="true"/>
        </w:rPr>
        <w:t xml:space="preserve">» </w:t>
      </w:r>
      <w:r>
        <w:rPr>
          <w:rtl w:val="true"/>
        </w:rPr>
        <w:t xml:space="preserve">فی التیار السلفی المعاصر </w:t>
      </w:r>
      <w:r>
        <w:rPr>
          <w:rtl w:val="true"/>
        </w:rPr>
        <w:t xml:space="preserve">/ </w:t>
      </w:r>
      <w:r>
        <w:rPr>
          <w:rtl w:val="true"/>
        </w:rPr>
        <w:t>حمید ایمان</w:t>
      </w:r>
      <w:r>
        <w:rPr>
          <w:rtl w:val="true"/>
        </w:rPr>
        <w:t>¬</w:t>
      </w:r>
      <w:r>
        <w:rPr>
          <w:rtl w:val="true"/>
        </w:rPr>
        <w:t xml:space="preserve">دار </w:t>
      </w:r>
      <w:r>
        <w:rPr>
          <w:rtl w:val="true"/>
        </w:rPr>
        <w:t xml:space="preserve">- </w:t>
      </w:r>
      <w:r>
        <w:rPr>
          <w:rtl w:val="true"/>
        </w:rPr>
        <w:t>رضا ملازاده یامجی</w:t>
      </w:r>
      <w:bookmarkEnd w:id="560"/>
    </w:p>
    <w:p>
      <w:pPr>
        <w:pStyle w:val="Heading4"/>
        <w:numPr>
          <w:ilvl w:val="3"/>
          <w:numId w:val="1"/>
        </w:numPr>
        <w:rPr/>
      </w:pPr>
      <w:bookmarkStart w:id="561" w:name="__RefHeading___Toc2051961_2749589250"/>
      <w:bookmarkStart w:id="562" w:name="_Toc230"/>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الطوائف ضمن إطار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ظاهرة فریدة فی التیار السلفی المعاصر، و هذا ما جرّ التیار السلفی إلی نقاشات و تحدّیات شدیدة علی المستوی العقیدی و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تتبع أرضیة نشوء هذه الطوائف یعدّ ضرورة لا محیص عنها و ذلک بهدف تحلیل حقیقة التیار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الأصلی فی البحث الحاضر هو کیفیة ظهور هذه الطوائف داخل التیار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لتحلیل هذه الظاهرة ینبغی التعرف علی ماهیة و مکونات کل واحدة من هذه الطوائف، و حدود و ثغور کل منها، و التداخل الموجود بینها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یبدو فی النظر أن التعنّت و الجمود و عدم احتمال آراء المخالفین بل و تکفیرهم و العنف فی تاریخ أئمة السلفیة کان له دور بالغ فی هذا الموضوع</w:t>
      </w:r>
      <w:r>
        <w:rPr>
          <w:rFonts w:eastAsia="IRNazanin" w:cs="IRNazanin"/>
          <w:color w:val="111111"/>
          <w:sz w:val="28"/>
          <w:szCs w:val="28"/>
          <w:rtl w:val="true"/>
          <w:lang w:bidi="fa-IR"/>
        </w:rPr>
        <w:t>.</w:t>
      </w:r>
    </w:p>
    <w:p>
      <w:pPr>
        <w:pStyle w:val="Heading4"/>
        <w:numPr>
          <w:ilvl w:val="3"/>
          <w:numId w:val="1"/>
        </w:numPr>
        <w:rPr/>
      </w:pPr>
      <w:bookmarkStart w:id="563" w:name="__RefHeading___Toc2051963_2749589250"/>
      <w:bookmarkStart w:id="564" w:name="_Toc231"/>
      <w:bookmarkEnd w:id="563"/>
      <w:r>
        <w:rPr>
          <w:rtl w:val="true"/>
        </w:rPr>
        <w:t>الألفاظ المحوریة</w:t>
      </w:r>
      <w:bookmarkEnd w:id="564"/>
    </w:p>
    <w:p>
      <w:pPr>
        <w:pStyle w:val="BookText"/>
        <w:rPr/>
      </w:pPr>
      <w:r>
        <w:rPr>
          <w:rFonts w:ascii="IRNazanin" w:hAnsi="IRNazanin" w:eastAsia="IRNazanin"/>
          <w:color w:val="111111"/>
          <w:sz w:val="28"/>
          <w:sz w:val="28"/>
          <w:szCs w:val="28"/>
          <w:rtl w:val="true"/>
          <w:lang w:bidi="fa-IR"/>
        </w:rPr>
        <w:t>السلفیة، تأسیس فرقهسازی، جامیه، سروریه، حدادیه، ممیعه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bookmarkStart w:id="565" w:name="pg3261_16574"/>
    </w:p>
    <w:p>
      <w:pPr>
        <w:pStyle w:val="Heading3"/>
        <w:numPr>
          <w:ilvl w:val="2"/>
          <w:numId w:val="1"/>
        </w:numPr>
        <w:rPr/>
      </w:pPr>
      <w:bookmarkStart w:id="566" w:name="__RefHeading___Toc2051965_2749589250"/>
      <w:bookmarkStart w:id="567" w:name="_Toc232"/>
      <w:bookmarkEnd w:id="565"/>
      <w:bookmarkEnd w:id="566"/>
      <w:r>
        <w:rPr>
          <w:rtl w:val="true"/>
        </w:rPr>
        <w:t>صحیح البخاری و تحریف الحقائق</w:t>
      </w:r>
      <w:r>
        <w:rPr>
          <w:rtl w:val="true"/>
        </w:rPr>
        <w:t xml:space="preserve">/ </w:t>
      </w:r>
      <w:r>
        <w:rPr>
          <w:rtl w:val="true"/>
        </w:rPr>
        <w:t>عبدالرحمن باقرزادة</w:t>
      </w:r>
      <w:bookmarkEnd w:id="567"/>
    </w:p>
    <w:p>
      <w:pPr>
        <w:pStyle w:val="Heading4"/>
        <w:numPr>
          <w:ilvl w:val="3"/>
          <w:numId w:val="1"/>
        </w:numPr>
        <w:rPr/>
      </w:pPr>
      <w:bookmarkStart w:id="568" w:name="__RefHeading___Toc2051967_2749589250"/>
      <w:bookmarkStart w:id="569" w:name="_Toc233"/>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 xml:space="preserve">یعدّ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أرفع مصادر أهل السنة من حیث الإسناد، و لهذا یتم تلقی روایاته بالقبول من دون دراسة و تقییم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فنظراً لهذه المنزلة و نظراً لکون ظاهرة التحریف ـ و التی تسببت فی بروز بعض الآفات علی المستوی الکلامی و الفقهی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 تسربت الی المصادر الدینیة، فإن السؤال التالی یتبادر للأذهان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أحادیث هذا الکتاب مصونة تماماً من هذه الظاهرة بحیث یمکننا الاعتماد علیها بشکل کامل؟ المقال الحاضر للإجابة علی هذا السؤال، و أهم النتائج التی توصلنا إلیها هی أن هذه الظاهرة قد تسربت لأحادیث هذا الکتاب أیضاً، و قد قمنا بهذا البحث بنهج وصفی تحلیلی و بالاعتماد علی المصادر المختلفة لأهل السنة</w:t>
      </w:r>
      <w:r>
        <w:rPr>
          <w:rFonts w:eastAsia="IRNazanin" w:cs="IRNazanin"/>
          <w:color w:val="111111"/>
          <w:sz w:val="28"/>
          <w:szCs w:val="28"/>
          <w:rtl w:val="true"/>
          <w:lang w:bidi="fa-IR"/>
        </w:rPr>
        <w:t>.</w:t>
      </w:r>
    </w:p>
    <w:p>
      <w:pPr>
        <w:pStyle w:val="Heading4"/>
        <w:numPr>
          <w:ilvl w:val="3"/>
          <w:numId w:val="1"/>
        </w:numPr>
        <w:rPr/>
      </w:pPr>
      <w:bookmarkStart w:id="570" w:name="__RefHeading___Toc2051969_2749589250"/>
      <w:bookmarkStart w:id="571" w:name="_Toc234"/>
      <w:bookmarkEnd w:id="570"/>
      <w:r>
        <w:rPr>
          <w:rtl w:val="true"/>
        </w:rPr>
        <w:t>الألفاظ المحوریة</w:t>
      </w:r>
      <w:bookmarkEnd w:id="571"/>
    </w:p>
    <w:p>
      <w:pPr>
        <w:pStyle w:val="BookText"/>
        <w:rPr/>
      </w:pPr>
      <w:r>
        <w:rPr>
          <w:rFonts w:ascii="IRNazanin" w:hAnsi="IRNazanin" w:eastAsia="IRNazanin"/>
          <w:color w:val="111111"/>
          <w:sz w:val="28"/>
          <w:sz w:val="28"/>
          <w:szCs w:val="28"/>
          <w:rtl w:val="true"/>
          <w:lang w:bidi="fa-IR"/>
        </w:rPr>
        <w:t>صحیح البخاری، تحریف الحقائق، عدالة الصحابة، الآثار الإسلامیة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bookmarkStart w:id="572" w:name="pg3261_16575"/>
    </w:p>
    <w:p>
      <w:pPr>
        <w:pStyle w:val="Heading2"/>
        <w:numPr>
          <w:ilvl w:val="1"/>
          <w:numId w:val="1"/>
        </w:numPr>
        <w:rPr/>
      </w:pPr>
      <w:bookmarkStart w:id="573" w:name="__RefHeading___Toc2051971_2749589250"/>
      <w:bookmarkStart w:id="574" w:name="_Toc235"/>
      <w:bookmarkEnd w:id="572"/>
      <w:bookmarkEnd w:id="573"/>
      <w:r>
        <w:rPr/>
        <w:t>Abstracts</w:t>
      </w:r>
      <w:bookmarkEnd w:id="574"/>
    </w:p>
    <w:p>
      <w:pPr>
        <w:pStyle w:val="Heading3"/>
        <w:numPr>
          <w:ilvl w:val="2"/>
          <w:numId w:val="1"/>
        </w:numPr>
        <w:rPr/>
      </w:pPr>
      <w:bookmarkStart w:id="575" w:name="__RefHeading___Toc2051973_2749589250"/>
      <w:bookmarkStart w:id="576" w:name="_Toc236"/>
      <w:bookmarkEnd w:id="575"/>
      <w:r>
        <w:rPr/>
        <w:t>The Kalami Bases for the Development of Deduction from the Behavior of the Infallibles /Mehdi Mardani -Ali Rad</w:t>
      </w:r>
      <w:bookmarkEnd w:id="576"/>
    </w:p>
    <w:p>
      <w:pPr>
        <w:pStyle w:val="Heading4"/>
        <w:numPr>
          <w:ilvl w:val="3"/>
          <w:numId w:val="1"/>
        </w:numPr>
        <w:rPr/>
      </w:pPr>
      <w:bookmarkStart w:id="577" w:name="__RefHeading___Toc2051975_2749589250"/>
      <w:bookmarkStart w:id="578" w:name="_Toc237"/>
      <w:bookmarkEnd w:id="577"/>
      <w:r>
        <w:rPr/>
        <w:t>Point</w:t>
      </w:r>
      <w:bookmarkEnd w:id="578"/>
    </w:p>
    <w:p>
      <w:pPr>
        <w:pStyle w:val="BookText"/>
        <w:rPr/>
      </w:pPr>
      <w:r>
        <w:rPr>
          <w:rFonts w:eastAsia="Times New Roman" w:cs="Times New Roman" w:ascii="Times New Roman" w:hAnsi="Times New Roman"/>
          <w:color w:val="111111"/>
          <w:sz w:val="28"/>
          <w:szCs w:val="28"/>
          <w:lang w:val="en-US" w:bidi="en-US"/>
        </w:rPr>
        <w:t>On the basis of the Shi'a Thought, "the behavior of the Infallibles" is one of the sources of deducting the religious teachings that, because of not-clarification of its bases in validation and denotation, did not paid attention to it as it should. One way to increase the domain of benefiting the practical tradition is to explain the bases and assumptions that their acceptance brings about more using of the Infallibles' behavior and, as a result, brings about the development of referring to it and deducing of it. With an analytic-discovering method, the present research tries to explain the kalami bases of deduction from the Infallibles' behavior that are based on the basis of validity of the sources of Infallibles' behavior, and to prepare the field for much use of the act tradition. The authority of the Infallibles' behavior before prophecy/Imamah, the authority of the previous prophets and the authority of Fatima al-Zahra (p.b.u.h.) are amongst the influential bases in the development of deducting the religious teachings from the Infallibles' behavior</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2051977_2749589250"/>
      <w:bookmarkStart w:id="580" w:name="_Toc238"/>
      <w:bookmarkEnd w:id="579"/>
      <w:r>
        <w:rPr/>
        <w:t>Keywords</w:t>
      </w:r>
      <w:bookmarkEnd w:id="58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Act tradition, deduction of the religious teachings, the Infallibles' behavior function, and belief assumptions</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bookmarkStart w:id="581" w:name="pg3261_16576"/>
    </w:p>
    <w:p>
      <w:pPr>
        <w:pStyle w:val="Heading3"/>
        <w:numPr>
          <w:ilvl w:val="2"/>
          <w:numId w:val="1"/>
        </w:numPr>
        <w:rPr/>
      </w:pPr>
      <w:bookmarkStart w:id="582" w:name="__RefHeading___Toc2051979_2749589250"/>
      <w:bookmarkStart w:id="583" w:name="_Toc239"/>
      <w:bookmarkEnd w:id="581"/>
      <w:bookmarkEnd w:id="582"/>
      <w:r>
        <w:rPr/>
        <w:t>Examining the View of Imamiyyah Theologians on the Domain of the Imam's Knowledge on the Basis of Narrations / MohammadHosein Faryab</w:t>
      </w:r>
      <w:bookmarkEnd w:id="583"/>
    </w:p>
    <w:p>
      <w:pPr>
        <w:pStyle w:val="Heading4"/>
        <w:numPr>
          <w:ilvl w:val="3"/>
          <w:numId w:val="1"/>
        </w:numPr>
        <w:rPr/>
      </w:pPr>
      <w:bookmarkStart w:id="584" w:name="__RefHeading___Toc2051981_2749589250"/>
      <w:bookmarkStart w:id="585" w:name="_Toc240"/>
      <w:bookmarkEnd w:id="584"/>
      <w:r>
        <w:rPr/>
        <w:t>Point</w:t>
      </w:r>
      <w:bookmarkEnd w:id="585"/>
    </w:p>
    <w:p>
      <w:pPr>
        <w:pStyle w:val="BookText"/>
        <w:rPr/>
      </w:pPr>
      <w:r>
        <w:rPr>
          <w:rFonts w:eastAsia="Times New Roman" w:cs="Times New Roman" w:ascii="Times New Roman" w:hAnsi="Times New Roman"/>
          <w:color w:val="111111"/>
          <w:sz w:val="28"/>
          <w:szCs w:val="28"/>
          <w:lang w:val="en-US" w:bidi="en-US"/>
        </w:rPr>
        <w:t>The issue of the Imam's knowledge had been one of the concerns of Imamiyyah theologians during the history. This issue has sub-topics such as the nature of Imam's knowledge, the sources of Imam's knowledge and the domain of Imam's knowledge. The present writing investigates the domain of Imam's knowledge. The author explains at first the theories of the golden generation of Shi'a Kalam that is the scholars of three Kalami schools of Baghdad, Rey and Hellah, and, then examined their views. The Imami theologians in the three above mentioned schools mainly emphasized on the necessity of knowledge in religion, but cautiously talked about what is beyond it. It seems that the human reason easily prove the necessity of having the knowledge that Imam need it for performing his duties, but beyond that, the Narrations of the infallible Imams (p. b. u. t.) are the only reference for solving the differences. According to the authentic narrations, the Imam is not as such that knows everything at the moment, but if he will, God will inform him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2051983_2749589250"/>
      <w:bookmarkStart w:id="587" w:name="_Toc241"/>
      <w:bookmarkEnd w:id="586"/>
      <w:r>
        <w:rPr/>
        <w:t>Keywords</w:t>
      </w:r>
      <w:bookmarkEnd w:id="587"/>
    </w:p>
    <w:p>
      <w:pPr>
        <w:pStyle w:val="BookText"/>
        <w:rPr/>
      </w:pPr>
      <w:r>
        <w:rPr>
          <w:rFonts w:eastAsia="Times New Roman" w:cs="Times New Roman" w:ascii="Times New Roman" w:hAnsi="Times New Roman"/>
          <w:color w:val="111111"/>
          <w:sz w:val="28"/>
          <w:szCs w:val="28"/>
          <w:lang w:val="en-US" w:bidi="en-US"/>
        </w:rPr>
        <w:t>Imam's knowledge, theologians, Baghdad, Rey, Hellah, domain of knowledge</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588" w:name="pg3261_16577"/>
    </w:p>
    <w:p>
      <w:pPr>
        <w:pStyle w:val="Heading3"/>
        <w:numPr>
          <w:ilvl w:val="2"/>
          <w:numId w:val="1"/>
        </w:numPr>
        <w:rPr/>
      </w:pPr>
      <w:bookmarkStart w:id="589" w:name="__RefHeading___Toc2051985_2749589250"/>
      <w:bookmarkStart w:id="590" w:name="_Toc242"/>
      <w:bookmarkEnd w:id="588"/>
      <w:bookmarkEnd w:id="589"/>
      <w:r>
        <w:rPr/>
        <w:t>The Relationship between Monotheistic Lordship and Divine Providence in the Qur'anic Thought System / Yadollah Rabiei - Hamid Negaresh</w:t>
      </w:r>
      <w:bookmarkEnd w:id="590"/>
    </w:p>
    <w:p>
      <w:pPr>
        <w:pStyle w:val="Heading4"/>
        <w:numPr>
          <w:ilvl w:val="3"/>
          <w:numId w:val="1"/>
        </w:numPr>
        <w:rPr/>
      </w:pPr>
      <w:bookmarkStart w:id="591" w:name="__RefHeading___Toc2051987_2749589250"/>
      <w:bookmarkStart w:id="592" w:name="_Toc243"/>
      <w:bookmarkEnd w:id="591"/>
      <w:r>
        <w:rPr/>
        <w:t>Point</w:t>
      </w:r>
      <w:bookmarkEnd w:id="592"/>
    </w:p>
    <w:p>
      <w:pPr>
        <w:pStyle w:val="BookText"/>
        <w:rPr/>
      </w:pPr>
      <w:r>
        <w:rPr>
          <w:rFonts w:eastAsia="Times New Roman" w:cs="Times New Roman" w:ascii="Times New Roman" w:hAnsi="Times New Roman"/>
          <w:color w:val="111111"/>
          <w:sz w:val="28"/>
          <w:szCs w:val="28"/>
          <w:lang w:val="en-US" w:bidi="en-US"/>
        </w:rPr>
        <w:t>The present writings' center is the issue of monotheistic lordship (al-tawhid al-rububi) and the analysis of the Qur'anic view on it. Titles of guidance, aid, assistance and the like are related to monotheistic lordship that in the philosophical system are called "providence" ('Enayah). The mutual relation between these titles and the issue of monotheistic lordship is because that most of polytheistic beliefs begin from some phases after accepting the existence of God and belief in God as the creator of the world. The Qur'anic verses state that the irreligious people believed in oneness of creator, but they believe in polytheism at the phase of lordship and consequently in the phase of monotheism in worship. After exploring the nature of monotheistic lordship, the present research had resulted to prove that the Divine Lordship formed of two components of Knowledge and Divine Absolute Power along with the Divine Free Wil</w:t>
      </w:r>
    </w:p>
    <w:p>
      <w:pPr>
        <w:pStyle w:val="Heading4"/>
        <w:numPr>
          <w:ilvl w:val="3"/>
          <w:numId w:val="1"/>
        </w:numPr>
        <w:rPr/>
      </w:pPr>
      <w:bookmarkStart w:id="593" w:name="__RefHeading___Toc2051989_2749589250"/>
      <w:bookmarkStart w:id="594" w:name="_Toc244"/>
      <w:bookmarkEnd w:id="593"/>
      <w:r>
        <w:rPr/>
        <w:t>Keywords</w:t>
      </w:r>
      <w:bookmarkEnd w:id="594"/>
    </w:p>
    <w:p>
      <w:pPr>
        <w:pStyle w:val="BookText"/>
        <w:rPr/>
      </w:pPr>
      <w:r>
        <w:rPr>
          <w:rFonts w:eastAsia="Times New Roman" w:cs="Times New Roman" w:ascii="Times New Roman" w:hAnsi="Times New Roman"/>
          <w:color w:val="111111"/>
          <w:sz w:val="28"/>
          <w:szCs w:val="28"/>
          <w:lang w:val="en-US" w:bidi="en-US"/>
        </w:rPr>
        <w:t>monotheism, lordship, providence, guidance, divine troops</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Assistant Professor at the Imam Sadeq (p. b. u. h.) Islamic Sciences Research Center</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595" w:name="pg3261_16578"/>
    </w:p>
    <w:p>
      <w:pPr>
        <w:pStyle w:val="Heading3"/>
        <w:numPr>
          <w:ilvl w:val="2"/>
          <w:numId w:val="1"/>
        </w:numPr>
        <w:rPr/>
      </w:pPr>
      <w:bookmarkStart w:id="596" w:name="__RefHeading___Toc2051991_2749589250"/>
      <w:bookmarkStart w:id="597" w:name="_Toc245"/>
      <w:bookmarkEnd w:id="595"/>
      <w:bookmarkEnd w:id="596"/>
      <w:r>
        <w:rPr/>
        <w:t>Negative Theology in the Kalam School of Hellah / Reza Brenjkar - Seyed Masih Shahcheragh</w:t>
      </w:r>
      <w:bookmarkEnd w:id="597"/>
    </w:p>
    <w:p>
      <w:pPr>
        <w:pStyle w:val="Heading4"/>
        <w:numPr>
          <w:ilvl w:val="3"/>
          <w:numId w:val="1"/>
        </w:numPr>
        <w:rPr/>
      </w:pPr>
      <w:bookmarkStart w:id="598" w:name="__RefHeading___Toc2051993_2749589250"/>
      <w:bookmarkStart w:id="599" w:name="_Toc246"/>
      <w:bookmarkEnd w:id="598"/>
      <w:r>
        <w:rPr/>
        <w:t>Point</w:t>
      </w:r>
      <w:bookmarkEnd w:id="599"/>
    </w:p>
    <w:p>
      <w:pPr>
        <w:pStyle w:val="BookText"/>
        <w:rPr/>
      </w:pPr>
      <w:r>
        <w:rPr>
          <w:rFonts w:eastAsia="Times New Roman" w:cs="Times New Roman" w:ascii="Times New Roman" w:hAnsi="Times New Roman"/>
          <w:color w:val="111111"/>
          <w:sz w:val="28"/>
          <w:szCs w:val="28"/>
          <w:lang w:val="en-US" w:bidi="en-US"/>
        </w:rPr>
        <w:t>Among the theologians of Hellah School, "the negative theology" is of an important place. Using the argument of Sheikh Sadugh about the negative theology, Khwajah Nasir interpreted the attribute of Life as negative and regarded this rule as true to other God intrinsic attributes. According to him, whoever who believe in negation of accidental attributes in the ontological discussions of the attributes, must believe in negative theology in the semantic discussions of the attributes. Khwajah's disciples in the Hellah School also had the same position. Allamah Helli, by desiring to the literal sameness of the word "being" between the necessary and contingent being, and Fazel al-Meghdad, by accepting the theory of representing God's attributes from God's Essence, presented other bases to enforce the negative theology</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2051995_2749589250"/>
      <w:bookmarkStart w:id="601" w:name="_Toc247"/>
      <w:bookmarkEnd w:id="600"/>
      <w:r>
        <w:rPr/>
        <w:t>Keywords</w:t>
      </w:r>
      <w:bookmarkEnd w:id="601"/>
    </w:p>
    <w:p>
      <w:pPr>
        <w:pStyle w:val="BookText"/>
        <w:rPr/>
      </w:pPr>
      <w:r>
        <w:rPr>
          <w:rFonts w:eastAsia="Times New Roman" w:cs="Times New Roman" w:ascii="Times New Roman" w:hAnsi="Times New Roman"/>
          <w:color w:val="111111"/>
          <w:sz w:val="28"/>
          <w:szCs w:val="28"/>
          <w:lang w:val="en-US" w:bidi="en-US"/>
        </w:rPr>
        <w:t>the Kalam School of Hellah, intrinsic attributes, semantics of attributes, negative theology, literal sameness, representation of the attributes from the Essence</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602" w:name="pg3261_16579"/>
    </w:p>
    <w:p>
      <w:pPr>
        <w:pStyle w:val="Heading3"/>
        <w:numPr>
          <w:ilvl w:val="2"/>
          <w:numId w:val="1"/>
        </w:numPr>
        <w:rPr/>
      </w:pPr>
      <w:bookmarkStart w:id="603" w:name="__RefHeading___Toc2051997_2749589250"/>
      <w:bookmarkStart w:id="604" w:name="_Toc248"/>
      <w:bookmarkEnd w:id="602"/>
      <w:bookmarkEnd w:id="603"/>
      <w:r>
        <w:rPr/>
        <w:t>The Attitude of the Shi'i Prayers to Solve the Problem of Evil / Ahmad Karimi - MohammadSaleh Mazani</w:t>
      </w:r>
      <w:bookmarkEnd w:id="604"/>
    </w:p>
    <w:p>
      <w:pPr>
        <w:pStyle w:val="Heading4"/>
        <w:numPr>
          <w:ilvl w:val="3"/>
          <w:numId w:val="1"/>
        </w:numPr>
        <w:rPr/>
      </w:pPr>
      <w:bookmarkStart w:id="605" w:name="__RefHeading___Toc2051999_2749589250"/>
      <w:bookmarkStart w:id="606" w:name="_Toc249"/>
      <w:bookmarkEnd w:id="605"/>
      <w:r>
        <w:rPr/>
        <w:t>Point</w:t>
      </w:r>
      <w:bookmarkEnd w:id="606"/>
    </w:p>
    <w:p>
      <w:pPr>
        <w:pStyle w:val="BookText"/>
        <w:rPr/>
      </w:pPr>
      <w:r>
        <w:rPr>
          <w:rFonts w:eastAsia="Times New Roman" w:cs="Times New Roman" w:ascii="Times New Roman" w:hAnsi="Times New Roman"/>
          <w:color w:val="111111"/>
          <w:sz w:val="28"/>
          <w:szCs w:val="28"/>
          <w:lang w:val="en-US" w:bidi="en-US"/>
        </w:rPr>
        <w:t>The existence of evils in the universe brings this question into human mind that what is the relationship between the problem of evil and the existence of God with attributes of Knowing, Almighty and Good. This problem had been always one of the challenging discussions in religious studies and philosophy of religion. By examining and answering this question from a new perspective, the present research tries to discover and revise the attitude of the Shi'i prayers to the problem of evils. At the same time it pays attention to the constructive role of some sufferings in human moral perfection, the present research mentions some other evils that have very damaging role on human being and the anxiety and worry resulted from them, lead to weakness in performing the religiously and worldly affairs. In the Shi'i prayers, the second group are obviously mentioned under the title of "evil" and referred to numerous cases of it. It is noteworthy that despite some philosophers' viewpoint in rejecting the existence of evil in the universe, the Shi'i prayers ontologically regarded it as existent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2052001_2749589250"/>
      <w:bookmarkStart w:id="608" w:name="_Toc250"/>
      <w:bookmarkEnd w:id="607"/>
      <w:r>
        <w:rPr/>
        <w:t>Keywords</w:t>
      </w:r>
      <w:bookmarkEnd w:id="608"/>
    </w:p>
    <w:p>
      <w:pPr>
        <w:pStyle w:val="BookText"/>
        <w:rPr/>
      </w:pPr>
      <w:r>
        <w:rPr>
          <w:rFonts w:eastAsia="Times New Roman" w:cs="Times New Roman" w:ascii="Times New Roman" w:hAnsi="Times New Roman"/>
          <w:color w:val="111111"/>
          <w:sz w:val="28"/>
          <w:szCs w:val="28"/>
          <w:lang w:val="en-US" w:bidi="en-US"/>
        </w:rPr>
        <w:t>the problem of evil, prayer, narrated prayers, the infallible Imams (p. b. u. t.)</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609" w:name="__RefHeading___Toc2052003_2749589250"/>
      <w:bookmarkStart w:id="610" w:name="_Toc251"/>
      <w:bookmarkEnd w:id="609"/>
      <w:r>
        <w:rPr/>
        <w:t>Exploring the Phenomenon of "Inter-Denomination Sects" in the Contemporary Salafiyyah Trend / Hamid Imandar- Reza Mullazadeh Yamchi</w:t>
      </w:r>
      <w:bookmarkEnd w:id="610"/>
    </w:p>
    <w:p>
      <w:pPr>
        <w:pStyle w:val="Heading4"/>
        <w:numPr>
          <w:ilvl w:val="3"/>
          <w:numId w:val="1"/>
        </w:numPr>
        <w:rPr/>
      </w:pPr>
      <w:bookmarkStart w:id="611" w:name="__RefHeading___Toc2052005_2749589250"/>
      <w:bookmarkStart w:id="612" w:name="_Toc252"/>
      <w:bookmarkEnd w:id="611"/>
      <w:r>
        <w:rPr/>
        <w:t>Point</w:t>
      </w:r>
      <w:bookmarkEnd w:id="612"/>
    </w:p>
    <w:p>
      <w:pPr>
        <w:pStyle w:val="BookText"/>
        <w:rPr/>
      </w:pPr>
      <w:r>
        <w:rPr>
          <w:rFonts w:eastAsia="Times New Roman" w:cs="Times New Roman" w:ascii="Times New Roman" w:hAnsi="Times New Roman"/>
          <w:color w:val="111111"/>
          <w:sz w:val="28"/>
          <w:szCs w:val="28"/>
          <w:lang w:val="en-US" w:bidi="en-US"/>
        </w:rPr>
        <w:t>As unique phenomenon in the contemporary Salafiyyah trend, "Inter-Denomination Sects" has trapped this school by deep kalami and belief challenges and disputes. Thus the examination of backgrounds for formation of these sub-sects is an inevitable necessity to analyze the reality of the Salafiyyah trend. The present research's basic question is the backgrounds for formation of these sub-sects and the way their appearance and emergence into the interior of the Salafiyyah trend. To examine this phenomenon, it is important to identify the nature and components of each of these sects and to distinguish their theoretical and belief boundaries and commonalities. It seems that the Salafi pioneers' dogmatism, exclusivism, rigidity, intolerance towards opposite opinions, excommunication-centric and historical violation had played an influential role in this phenomenon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2052007_2749589250"/>
      <w:bookmarkStart w:id="614" w:name="_Toc253"/>
      <w:bookmarkEnd w:id="613"/>
      <w:r>
        <w:rPr/>
        <w:t>Keywords</w:t>
      </w:r>
      <w:bookmarkEnd w:id="614"/>
    </w:p>
    <w:p>
      <w:pPr>
        <w:pStyle w:val="BookText"/>
        <w:rPr/>
      </w:pPr>
      <w:r>
        <w:rPr>
          <w:rFonts w:eastAsia="Times New Roman" w:cs="Times New Roman" w:ascii="Times New Roman" w:hAnsi="Times New Roman"/>
          <w:color w:val="111111"/>
          <w:sz w:val="28"/>
          <w:szCs w:val="28"/>
          <w:lang w:val="en-US" w:bidi="en-US"/>
        </w:rPr>
        <w:t>Salafiyyah, sect-making, Jamiyyah, Sarwariyyah, Haddadiyyah, Momi'iyyah</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615" w:name="pg3261_16580"/>
    </w:p>
    <w:p>
      <w:pPr>
        <w:pStyle w:val="Heading3"/>
        <w:numPr>
          <w:ilvl w:val="2"/>
          <w:numId w:val="1"/>
        </w:numPr>
        <w:rPr/>
      </w:pPr>
      <w:bookmarkStart w:id="616" w:name="__RefHeading___Toc2052009_2749589250"/>
      <w:bookmarkStart w:id="617" w:name="_Toc254"/>
      <w:bookmarkEnd w:id="615"/>
      <w:bookmarkEnd w:id="616"/>
      <w:r>
        <w:rPr/>
        <w:t>Al-Sahih al-Bokhari and the Distortion of Reality / Abdul-Rahman Bagherzadeh</w:t>
      </w:r>
      <w:bookmarkEnd w:id="617"/>
    </w:p>
    <w:p>
      <w:pPr>
        <w:pStyle w:val="Heading4"/>
        <w:numPr>
          <w:ilvl w:val="3"/>
          <w:numId w:val="1"/>
        </w:numPr>
        <w:rPr/>
      </w:pPr>
      <w:bookmarkStart w:id="618" w:name="__RefHeading___Toc2052011_2749589250"/>
      <w:bookmarkStart w:id="619" w:name="_Toc255"/>
      <w:bookmarkEnd w:id="618"/>
      <w:r>
        <w:rPr/>
        <w:t>Point</w:t>
      </w:r>
      <w:bookmarkEnd w:id="619"/>
    </w:p>
    <w:p>
      <w:pPr>
        <w:pStyle w:val="BookText"/>
        <w:rPr/>
      </w:pPr>
      <w:r>
        <w:rPr>
          <w:rFonts w:eastAsia="Times New Roman" w:cs="Times New Roman" w:ascii="Times New Roman" w:hAnsi="Times New Roman"/>
          <w:color w:val="111111"/>
          <w:sz w:val="28"/>
          <w:szCs w:val="28"/>
          <w:lang w:val="en-US" w:bidi="en-US"/>
        </w:rPr>
        <w:t>The book al-Sahih al-Bokhari is not only regarded amongst the Sunni first hand documents but also as the most important Sunni narrative document so that its narrations are accepted without examination. Considering this place and because the phenomenon of distortion, despite its negative consequences in belief, jurisprudential approaches and the like, it infiltrated into numerous number of religious sources, this question arises that whether this book avoided distortion in order to completely trust on it. The present article had been written to answer this question, and its most important finding is to prove the penetration of the phenomenon of distortion to this book</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2052013_2749589250"/>
      <w:bookmarkStart w:id="621" w:name="_Toc256"/>
      <w:bookmarkEnd w:id="620"/>
      <w:r>
        <w:rPr/>
        <w:t>Keywords</w:t>
      </w:r>
      <w:bookmarkEnd w:id="621"/>
    </w:p>
    <w:p>
      <w:pPr>
        <w:pStyle w:val="BookText"/>
        <w:rPr/>
      </w:pPr>
      <w:r>
        <w:rPr>
          <w:rFonts w:eastAsia="Times New Roman" w:cs="Times New Roman" w:ascii="Times New Roman" w:hAnsi="Times New Roman"/>
          <w:color w:val="111111"/>
          <w:sz w:val="28"/>
          <w:szCs w:val="28"/>
          <w:lang w:val="en-US" w:bidi="en-US"/>
        </w:rPr>
        <w:t>al-Sahih al-Bokhari, distortion of reality, the Prophet's companions' justification, Islamic works</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پژوهشگاه علوم و فرهنگ اسلامی و عضو انجمن کلام اسلامی حوزه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دانشگاه ادیان و مذاهب قم و پژوهشگر پژوهشکده کلام اهل‌بیت  علیهم السلام  و عضو انجمن کلام اسلامی حوزه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hnaeimabadi79@gmail.com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همچون متکلمان دیگر، بحث از صفات مکلف را به خود مکلف و سپس حقیقت مکلف می‌کشاند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الحساب علیها أو علی الأبدان و الحساب علی الحی المکلف المأمور المنهی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دیدگاه‌های اولیه، خدایاری معتقد است متکلمان امامی پس از ابن‌میثم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چرخشی آشکار بحث از چیستی نفس را در مباحث معاد مطرح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خدایاری،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برای ارائه یک نمونه از این تصور رایج، به محمدتقی یوسفی اشاره می‌شود که در تز دکتری خود در تبیین دیدگاه یگانه‌انگاران فیزیکالیست، به نظریات مدرن بسنده کرده و به دلیل این‌همانیِ این دیدگاه‌ها با ماتریالیست، همه فیزیکالیست‌ها را با یک تحلیل مورد قضاوت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نهایت به این تحلیل ناخودآگاه می‌رسد که فیزیکالیسم مساوی با الحاد و ماتریالیست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غافل از این‌که چنانچه خواهد آمد، شخصیت‌های برجسته‌ای از معتزله و حتی از شیعه مانند سید مرتضی و شیخ طوسی درباره حقیقت انسان، فیزیکالیست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برنجکار، خدایاری،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اساساً این دیدگاه را که نفس موجودی جدای از جسم نیست، دیدگاه ماده‌گرایان در برابر معتقدان به خدا و دین تلقی کرده‌اند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دیدگاهی که امروزه از آن تعبیر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mind</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body dualism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این باره و فقط برای نمونه نک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Claremont school of theology</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علم‌الهدی اشاره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مطالعه اندیشه‌های او می‌توان دریافت که تعالی‌ای که نوپدیداری برای ذهن قائل است کماکان در محدوده ماده باقی می‌ماند و از سنخ تعالی به معنای علو جایگاه یا ارتقای مرتبه وجودی یا جاودانگی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علم‌الهدی،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دیدگاه‌های کلایتون در این باره نک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بخش مهمی از اسفار خود را به این موضوع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جایی از کتابش، بابی تحت این عنوان باز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تجرد النفس الناطقة الإنسانیة تجردا تاما عقلیا و کیفیة حدوثها و فیه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 النفس الناطقة لیست بجسم و لا مقدار و لا منطبعة فی مقدار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ظنانی النور در کار مفصل خود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فیزیکی کلام؛ اتم، فاصله و خلأ در کیهان‌شناسی معتزله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مبسوطی از این نظریه ارائه داده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See: Alnoor, 1994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یا کسی که اشعری از او نقل کرده، احتمالاً بین این حقیقت که دیدگاه امامیه درباره بدن ذره‌ای مربوط به حقیقت بدن است و نه حقیقت انسان، خلط کرده و به همین دلیل، گروه دوم از امامیه را قائل به جزء لایتجزی معرفی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دوآلیسم 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دوآلیسمی است که درباره افلاطون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کاپلستون،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مورفی،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حتی فلاسفه اسلامی می‌گویند که بدن را صرفاً ابزار روح و به نوعی فاعل موجَب روح می‌دانند که عده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هشام بن سالم در بحث استطاعت به اختلافی مبنایی در موضوع حقیقت انسان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برخلاف هشام بن حکم در شناختی که از انسان ارائه می‌دهد، با مؤمن طاق در قول به اصالت جسم هم‌عقیده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لاشیء الا الاجسام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او استطاعت بر فعل را جسمانی و آن را جزئی از انسان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قوه‌ای در روح و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سخن هشام بن سالم در باب استطاعت سخنی متمایز، اما در بستر فکری، جریانی فکری است که ظاهراً اعتقادی به ذووجهین بودن حقیقت انسان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برخلاف هشام بن حکم که جنبه جسمانی انسان را به عنوان موات و زیرمجموعه‌ای از جنبه حساس، درّاک و زنده آدمی، یعنی روح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معتقد به حیات و قدرت مستقل جسم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خود هشام بن سالم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جسمانی بودن روح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جسد را بر چهار چیز بنا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عقل، خون و نفس و ادامه می‌دهد که زمانی که روح خارج شد، عقل در پی آن می‌رود و زمانی که روح چیزی را ببیند، عقل آن چیز را برای روح حفظ می‌کند و خون و نفس باقی می‌مانند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صدوق،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روایت به نظر می‌رسد زمانی که سخن از خروج روح و در پی آن عقل از بدن به میان می‌آید، دیدگاه تجردانگارانه درباره روح دچار خلل جدی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سند این روایت ـ که سندش در بحارالأنوار به طور کامل آمده، اما در متن چاپ‌شده خصال افتادگی دارد ـ حاوی دو تن از خاندان طاطری است، زیرا غیر از علی بن حسن طاطری،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نیز آن‌طور که نجاشی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عموی علی بن حسن طاطری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حسینی‌زاده به مشابهت دیدگاه طأطریون به بنونوبخت به نقل از نویسنده گمنام خلاصةالنظر اشاره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حسینی‌زاده،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اسعدی،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خدایاری،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معتقدند، در میان دانشمندان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کسی است که ایده هیکل مشاهَد را مطرح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مقایسه دیدگاه جسم‌انگارانه ابن‌راوندی با سید مرتضی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آن‌طور که محمدتقی سبحانی می‌گوید، همین نظریه چهارم بعدها به پایه نظری نظریات امثال سید مرتضی و شیخ طوسی و پس از آن غالب متکلمان شیعه تا کنون تبدیل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قبض روح توسط ملکی از ملائکه خداوند انجام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هم کیفیتی جسمانی دارد، پس باید هم‌چنین به دنبال سنخیتی متناسب با روح برای فرشته قبض روح هم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استدلال به این صورت قابل 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جسمانی است، روح توسط یک فرشته از بدن جدا می‌شود، باید بین قابض و مقبوض سنخیت متناسبی وجود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وگرنه محال اتفاق می‌افتد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فرشته قبض روح هم دارای ماده و جسمانی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چرا گزارش مفصلی که مجلسی در دو جا نقل کرده و هر دو از احتجاج است، یک جا به عنوان سؤال زندیق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البته از أخبرنی عن السراج ـ و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متن به علاوه بخش نخست، به عنوان سؤال هشام بن حکم آمده است؟ احتمالاً روایت از هشام نقل شده و مجلسی خلط کرده است و در حقیقت هشام روایت زندیق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این احتمال که هشام زندیق را به جای خود جا بزند، کاملاً منتفی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در علل الشرایع هم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در علل الشرایع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عَلِیُّ بْنُ أَحْمَدَ رَحِمَهُ اللَّهُ قَالَ حَدَّثَنَا مُحَمَّدُ بْنُ أَبِی عَبْدِ اللَّهِ الْکُوفِیُّ عَنْ مُوسَی بْنِ عِمْرَانَ النَّخَعِیِّ عَنْ عَمِّهِ الْحُسَیْنِ بْنِ یَزِیدَ عَنْ إِسْمَاعِیلَ بْنِ أَبِی زِیَادٍ السَّکُونِیِّ قَالَ 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خلاصه‌ای با همین مضمون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رازی،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فاخبرنی عن قولک انه واحد لا شبیه له الیس الله واحدا و الانسان واحدا فوحدانیته اشبهت وحدانیۀ الانسان فقال  صلی الله علیه و آله وسلم  الله واحد واحدی المعنی و الانسان واحد ثنوی المعنی جسم و عرض و بدن و روح و انما التشبیه فی المعانی لاغیر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 آیات مربوط به عقل و مشتقات آن در قرآن قابل مطالعه و بررسی است؛ مثلاً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مبینی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تحلیل این آیات پرداخته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مبینی،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ناقصی از این مناظره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مترجم در پایان ترجمه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متن افتادگی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مترجم گران‌قدر، مطلب را متوجه نشده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هی الفاعلۀ الدراکۀ الحساسۀ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سبحانی، اشتباهی را که دیگران درباره مفید و مفید درباره هشام درباره حقیقت انسان مرتکب شده‌اند، با دقت بررسی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شخصیت‌هایی همچون خابط، فضل حدثی، بکر بن اخت عبدالله و پیروانشان که از نظریه نظّام در حقیقت انسان پیروی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به اعتقاد خابط درباره‌ی روح تصریح کرده است؛ اسفراینی،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یقول ان الانسان فی الحقیقه هو الروح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خابط و فضل حدثی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شاگرد نظام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محمدجواد،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هر دو قائل به تناسخ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خابط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به حدثی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مشکور،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اول که بکر بن اخت عبدالواحد را سرسلسله فرقه‌ای با نام بکریه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در دوران نظّام می‌زیسته و با عقیده نظّام که حقیقت انسان روح است نه بدن موافقت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ایام النّظّام و کان یوافقه فی قوله ان الانسان هو الروح لا هذا القالب الذی تکون منه الروح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بشر بن المعتمر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الجسد الظاهر و الروح الّذی یحیا به، و هما بمجموعهما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هشام بن عمرو مثل قول بشر بن المعتمر، لکنه کان یجعل الأعراض التی لا یکون الإنسان إلّا بها من أحد قسمی الإنسان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دانشگاه آزاد اسلامی واحد شاهرود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ab33845@gmail.com</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اسلامی امام صادق  علیه السلام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منشأ و خاستگاه شر در نگاه ثنویون معرفی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جدید به همین نگاه بازگشت 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دستگاه اندیشه فلسفی و متکلمانی که با دستگاه فلسفی به تحلیل آموزه‌ها پرداخته‌اند، شرّ امری عدمی دانسته شده، اما از نگاه روایات و حتی آیات وحی، شرّ امری وجودی تلقی شده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فاعل را هشت قسم می‌دانند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بالطبع؛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بالجبر؛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بالرضا؛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بالعنایة؛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بالتجلی؛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بالقصد؛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بالتسخیر؛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بالقسر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خداوند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بالتجلی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عرفا ذات حق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بالرضا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و متکلمان صانع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بالقصد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می‌پندارند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تمام دانشگاه تهران و عضو انجمن کلام اسلامی حوزه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پردیس فارابی دانشگاه تهران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کلام و عضو هیئت علمی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Karimi.ah@qhu.ac.ir</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و دانشجوی دکتری مدرسی معارف اسلامی، گرایش اخلاق اسلامی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است که هم در قلب است و غم در سر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دکترای دانشگاه فردوسی مشهد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دانشگاه فردوسی مشهد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دانشگاه مازندران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a.bagherzadeh@umz.ac.ir</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ابن أبی شیبه در المصنف و ابی یعلی در مسند این روایت را با عبارات گوناگون، روایت کردند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تفصیل موضوع و ادله هر دو طرف را در آثار مختلف باید جست‌وجو کرد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افرادی چون ابن اثیر در 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بی 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قیم در زاد المعاد فی هدی خیر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قیم،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مزبور را به صورت کامل از صحیح بخاری نقل کردند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تعلیقه همراه با اصل کتاب تحفةالاشراف چاپ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عضو الهیئة العلمیة فی معهد العلوم و الثقافة الاسلامیة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sobhani.mt@gmail.com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 دکتوراه فی جامعة الادیان و المذاهب،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باحث فی معهد کلام اهل البیت</w:t>
      </w:r>
      <w:r>
        <w:rPr>
          <w:rFonts w:ascii="IRNazanin" w:hAnsi="IRNazanin" w:eastAsia="IRNazanin"/>
          <w:b w:val="false"/>
          <w:b w:val="false"/>
          <w:bCs w:val="false"/>
          <w:i w:val="false"/>
          <w:i w:val="false"/>
          <w:iCs w:val="false"/>
          <w:color w:val="333333"/>
          <w:sz w:val="20"/>
          <w:sz w:val="20"/>
          <w:szCs w:val="20"/>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استاذ مساعد فی مؤسسة الإمام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التعلیمیة البحثیة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عضو الهیئة العلمیة فی الجامعة الاسلامیة 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ab33845@gmail.com</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استاذ مساعد فی معهد علوم الامام الصادق علوم الاسلامیة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بروفسور فی جامعة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طالب دکتوراه فی فردیس فارابی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طهران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استاذ مساعد فی قسم الکلام و عضو الهیئة العلمیة فی جامعة القرآن و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Karimi.ah@qhu.ac.ir</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طالب حوزوی و طالب دکتوراه تدریس المعارف الاسلامیة فرع الاخلاق الاسلامیة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ms.mazani@gmail.com</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 دکتوراه فی جامعة الفردوسی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 دکتوراه فی جامعة الفردوسی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الهیئة العلمیة فی جامعة مازندران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a.bagherzadeh@umz.ac.ir</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Faculty member of the Quran and Hadith University; email: Mardani.m@qhu.ac.ir 2 . Assistant professor of University of Tehran – Pardis Farabi; emai: ali.rad@ut.ac.ir</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Assistant Professor at the Imam Khomeini Education and Research Ins</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Faculty member of the Azade Islami University, unit of Shahrood; email: ab33845@gmail.com</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Professor at Tehran University. 2 . Doctoral student at the Farabi Pardis of Tehran University</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Assistant professor at the Kalam department and faculty member of the Qur'an and Hadith University; email: Karimi.ah@qhu.ac.ir 2 . Graduate of the Qom Seminary and doctoral student of Islamic Sciences mastery, Islamic Ethics trend; email: ms.mazani@gmail.com</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Doctoral graduate of the Ferdousi University of Mashhad. 2. Doctoral student in the Ferdousi University of Mashhad</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Faculty member of Mazandaran University; email: a.bagherzadeh@umz.ac.ir1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30203</Words>
  <Characters>125855</Characters>
  <CharactersWithSpaces>155674</CharactersWithSpaces>
  <Paragraphs>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2026-08-17T21:46:48Z</dcterms:created>
  <dc:creator>ghaemiyeh.com</dc:creator>
  <dc:description/>
  <dc:language>en-US</dc:language>
  <cp:lastModifiedBy/>
  <dcterms:modified xsi:type="dcterms:W3CDTF">2026-08-18T01:16:53Z</dcterms:modified>
  <cp:revision>1</cp:revision>
  <dc:subject/>
  <dc:title>فصلنامه تحقیقات کلامی شماره 15</dc:title>
</cp:coreProperties>
</file>

<file path=docProps/custom.xml><?xml version="1.0" encoding="utf-8"?>
<Properties xmlns="http://schemas.openxmlformats.org/officeDocument/2006/custom-properties" xmlns:vt="http://schemas.openxmlformats.org/officeDocument/2006/docPropsVTypes"/>
</file>