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حقوق بشر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993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2993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29940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029942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029944_2749589250">
            <w:r>
              <w:rPr>
                <w:webHidden/>
                <w:rStyle w:val="IndexLink"/>
                <w:rtl w:val="true"/>
              </w:rPr>
              <w:t>زندگی در سایه عدالت حق هر انسان</w:t>
            </w:r>
            <w:r>
              <w:rPr>
                <w:rStyle w:val="IndexLink"/>
                <w:rtl w:val="true"/>
              </w:rPr>
              <w:tab/>
            </w:r>
            <w:r>
              <w:rPr>
                <w:rStyle w:val="IndexLink"/>
              </w:rPr>
              <w:t>16</w:t>
            </w:r>
          </w:hyperlink>
        </w:p>
        <w:p>
          <w:pPr>
            <w:pStyle w:val="Contents2"/>
            <w:tabs>
              <w:tab w:val="clear" w:pos="8743"/>
              <w:tab w:val="right" w:pos="9026" w:leader="dot"/>
            </w:tabs>
            <w:rPr/>
          </w:pPr>
          <w:hyperlink w:anchor="__RefHeading___Toc1029946_2749589250">
            <w:r>
              <w:rPr>
                <w:webHidden/>
                <w:rStyle w:val="IndexLink"/>
                <w:rtl w:val="true"/>
              </w:rPr>
              <w:t>حق آزادی</w:t>
            </w:r>
            <w:r>
              <w:rPr>
                <w:rStyle w:val="IndexLink"/>
                <w:rtl w:val="true"/>
              </w:rPr>
              <w:tab/>
            </w:r>
            <w:r>
              <w:rPr>
                <w:rStyle w:val="IndexLink"/>
              </w:rPr>
              <w:t>17</w:t>
            </w:r>
          </w:hyperlink>
        </w:p>
        <w:p>
          <w:pPr>
            <w:pStyle w:val="Contents2"/>
            <w:tabs>
              <w:tab w:val="clear" w:pos="8743"/>
              <w:tab w:val="right" w:pos="9026" w:leader="dot"/>
            </w:tabs>
            <w:rPr/>
          </w:pPr>
          <w:hyperlink w:anchor="__RefHeading___Toc1029948_2749589250">
            <w:r>
              <w:rPr>
                <w:webHidden/>
                <w:rStyle w:val="IndexLink"/>
                <w:rtl w:val="true"/>
              </w:rPr>
              <w:t>حق برابری</w:t>
            </w:r>
            <w:r>
              <w:rPr>
                <w:rStyle w:val="IndexLink"/>
                <w:rtl w:val="true"/>
              </w:rPr>
              <w:tab/>
            </w:r>
            <w:r>
              <w:rPr>
                <w:rStyle w:val="IndexLink"/>
              </w:rPr>
              <w:t>18</w:t>
            </w:r>
          </w:hyperlink>
        </w:p>
        <w:p>
          <w:pPr>
            <w:pStyle w:val="Contents2"/>
            <w:tabs>
              <w:tab w:val="clear" w:pos="8743"/>
              <w:tab w:val="right" w:pos="9026" w:leader="dot"/>
            </w:tabs>
            <w:rPr/>
          </w:pPr>
          <w:hyperlink w:anchor="__RefHeading___Toc1029950_2749589250">
            <w:r>
              <w:rPr>
                <w:webHidden/>
                <w:rStyle w:val="IndexLink"/>
                <w:rtl w:val="true"/>
              </w:rPr>
              <w:t>حق زندگی</w:t>
            </w:r>
            <w:r>
              <w:rPr>
                <w:rStyle w:val="IndexLink"/>
                <w:rtl w:val="true"/>
              </w:rPr>
              <w:tab/>
            </w:r>
            <w:r>
              <w:rPr>
                <w:rStyle w:val="IndexLink"/>
              </w:rPr>
              <w:t>19</w:t>
            </w:r>
          </w:hyperlink>
        </w:p>
        <w:p>
          <w:pPr>
            <w:pStyle w:val="Contents2"/>
            <w:tabs>
              <w:tab w:val="clear" w:pos="8743"/>
              <w:tab w:val="right" w:pos="9026" w:leader="dot"/>
            </w:tabs>
            <w:rPr/>
          </w:pPr>
          <w:hyperlink w:anchor="__RefHeading___Toc1029952_2749589250">
            <w:r>
              <w:rPr>
                <w:webHidden/>
                <w:rStyle w:val="IndexLink"/>
                <w:rtl w:val="true"/>
              </w:rPr>
              <w:t>حق عدالت</w:t>
            </w:r>
            <w:r>
              <w:rPr>
                <w:rStyle w:val="IndexLink"/>
                <w:rtl w:val="true"/>
              </w:rPr>
              <w:tab/>
            </w:r>
            <w:r>
              <w:rPr>
                <w:rStyle w:val="IndexLink"/>
              </w:rPr>
              <w:t>20</w:t>
            </w:r>
          </w:hyperlink>
        </w:p>
        <w:p>
          <w:pPr>
            <w:pStyle w:val="Contents2"/>
            <w:tabs>
              <w:tab w:val="clear" w:pos="8743"/>
              <w:tab w:val="right" w:pos="9026" w:leader="dot"/>
            </w:tabs>
            <w:rPr/>
          </w:pPr>
          <w:hyperlink w:anchor="__RefHeading___Toc1029954_2749589250">
            <w:r>
              <w:rPr>
                <w:webHidden/>
                <w:rStyle w:val="IndexLink"/>
                <w:rtl w:val="true"/>
              </w:rPr>
              <w:t>حق امنیت جانی</w:t>
            </w:r>
            <w:r>
              <w:rPr>
                <w:rStyle w:val="IndexLink"/>
                <w:rtl w:val="true"/>
              </w:rPr>
              <w:tab/>
            </w:r>
            <w:r>
              <w:rPr>
                <w:rStyle w:val="IndexLink"/>
              </w:rPr>
              <w:t>22</w:t>
            </w:r>
          </w:hyperlink>
        </w:p>
        <w:p>
          <w:pPr>
            <w:pStyle w:val="Contents2"/>
            <w:tabs>
              <w:tab w:val="clear" w:pos="8743"/>
              <w:tab w:val="right" w:pos="9026" w:leader="dot"/>
            </w:tabs>
            <w:rPr/>
          </w:pPr>
          <w:hyperlink w:anchor="__RefHeading___Toc1029956_2749589250">
            <w:r>
              <w:rPr>
                <w:webHidden/>
                <w:rStyle w:val="IndexLink"/>
                <w:rtl w:val="true"/>
              </w:rPr>
              <w:t>حق کرامت و احترام</w:t>
            </w:r>
            <w:r>
              <w:rPr>
                <w:rStyle w:val="IndexLink"/>
                <w:rtl w:val="true"/>
              </w:rPr>
              <w:tab/>
            </w:r>
            <w:r>
              <w:rPr>
                <w:rStyle w:val="IndexLink"/>
              </w:rPr>
              <w:t>24</w:t>
            </w:r>
          </w:hyperlink>
        </w:p>
        <w:p>
          <w:pPr>
            <w:pStyle w:val="Contents2"/>
            <w:tabs>
              <w:tab w:val="clear" w:pos="8743"/>
              <w:tab w:val="right" w:pos="9026" w:leader="dot"/>
            </w:tabs>
            <w:rPr/>
          </w:pPr>
          <w:hyperlink w:anchor="__RefHeading___Toc1029958_2749589250">
            <w:r>
              <w:rPr>
                <w:webHidden/>
                <w:rStyle w:val="IndexLink"/>
                <w:rtl w:val="true"/>
              </w:rPr>
              <w:t>حق آبرومندی</w:t>
            </w:r>
            <w:r>
              <w:rPr>
                <w:rStyle w:val="IndexLink"/>
                <w:rtl w:val="true"/>
              </w:rPr>
              <w:tab/>
            </w:r>
            <w:r>
              <w:rPr>
                <w:rStyle w:val="IndexLink"/>
              </w:rPr>
              <w:t>25</w:t>
            </w:r>
          </w:hyperlink>
        </w:p>
        <w:p>
          <w:pPr>
            <w:pStyle w:val="Contents2"/>
            <w:tabs>
              <w:tab w:val="clear" w:pos="8743"/>
              <w:tab w:val="right" w:pos="9026" w:leader="dot"/>
            </w:tabs>
            <w:rPr/>
          </w:pPr>
          <w:hyperlink w:anchor="__RefHeading___Toc1029960_2749589250">
            <w:r>
              <w:rPr>
                <w:webHidden/>
                <w:rStyle w:val="IndexLink"/>
                <w:rtl w:val="true"/>
              </w:rPr>
              <w:t>حق مالکیت</w:t>
            </w:r>
            <w:r>
              <w:rPr>
                <w:rStyle w:val="IndexLink"/>
                <w:rtl w:val="true"/>
              </w:rPr>
              <w:tab/>
            </w:r>
            <w:r>
              <w:rPr>
                <w:rStyle w:val="IndexLink"/>
              </w:rPr>
              <w:t>26</w:t>
            </w:r>
          </w:hyperlink>
        </w:p>
        <w:p>
          <w:pPr>
            <w:pStyle w:val="Contents2"/>
            <w:tabs>
              <w:tab w:val="clear" w:pos="8743"/>
              <w:tab w:val="right" w:pos="9026" w:leader="dot"/>
            </w:tabs>
            <w:rPr/>
          </w:pPr>
          <w:hyperlink w:anchor="__RefHeading___Toc1029962_2749589250">
            <w:r>
              <w:rPr>
                <w:webHidden/>
                <w:rStyle w:val="IndexLink"/>
                <w:rtl w:val="true"/>
              </w:rPr>
              <w:t>حق امنیت مالی</w:t>
            </w:r>
            <w:r>
              <w:rPr>
                <w:rStyle w:val="IndexLink"/>
                <w:rtl w:val="true"/>
              </w:rPr>
              <w:tab/>
            </w:r>
            <w:r>
              <w:rPr>
                <w:rStyle w:val="IndexLink"/>
              </w:rPr>
              <w:t>27</w:t>
            </w:r>
          </w:hyperlink>
        </w:p>
        <w:p>
          <w:pPr>
            <w:pStyle w:val="Contents2"/>
            <w:tabs>
              <w:tab w:val="clear" w:pos="8743"/>
              <w:tab w:val="right" w:pos="9026" w:leader="dot"/>
            </w:tabs>
            <w:rPr/>
          </w:pPr>
          <w:hyperlink w:anchor="__RefHeading___Toc1029964_2749589250">
            <w:r>
              <w:rPr>
                <w:webHidden/>
                <w:rStyle w:val="IndexLink"/>
                <w:rtl w:val="true"/>
              </w:rPr>
              <w:t>حق داد و ستد</w:t>
            </w:r>
            <w:r>
              <w:rPr>
                <w:rStyle w:val="IndexLink"/>
                <w:rtl w:val="true"/>
              </w:rPr>
              <w:tab/>
            </w:r>
            <w:r>
              <w:rPr>
                <w:rStyle w:val="IndexLink"/>
              </w:rPr>
              <w:t>28</w:t>
            </w:r>
          </w:hyperlink>
        </w:p>
        <w:p>
          <w:pPr>
            <w:pStyle w:val="Contents2"/>
            <w:tabs>
              <w:tab w:val="clear" w:pos="8743"/>
              <w:tab w:val="right" w:pos="9026" w:leader="dot"/>
            </w:tabs>
            <w:rPr/>
          </w:pPr>
          <w:hyperlink w:anchor="__RefHeading___Toc1029966_2749589250">
            <w:r>
              <w:rPr>
                <w:webHidden/>
                <w:rStyle w:val="IndexLink"/>
                <w:rtl w:val="true"/>
              </w:rPr>
              <w:t>حق امنیت اجتماعی</w:t>
            </w:r>
            <w:r>
              <w:rPr>
                <w:rStyle w:val="IndexLink"/>
                <w:rtl w:val="true"/>
              </w:rPr>
              <w:tab/>
            </w:r>
            <w:r>
              <w:rPr>
                <w:rStyle w:val="IndexLink"/>
              </w:rPr>
              <w:t>29</w:t>
            </w:r>
          </w:hyperlink>
        </w:p>
        <w:p>
          <w:pPr>
            <w:pStyle w:val="Contents2"/>
            <w:tabs>
              <w:tab w:val="clear" w:pos="8743"/>
              <w:tab w:val="right" w:pos="9026" w:leader="dot"/>
            </w:tabs>
            <w:rPr/>
          </w:pPr>
          <w:hyperlink w:anchor="__RefHeading___Toc1029968_2749589250">
            <w:r>
              <w:rPr>
                <w:webHidden/>
                <w:rStyle w:val="IndexLink"/>
                <w:rtl w:val="true"/>
              </w:rPr>
              <w:t>حق امنیت ناموس</w:t>
            </w:r>
            <w:r>
              <w:rPr>
                <w:rStyle w:val="IndexLink"/>
                <w:rtl w:val="true"/>
              </w:rPr>
              <w:tab/>
            </w:r>
            <w:r>
              <w:rPr>
                <w:rStyle w:val="IndexLink"/>
              </w:rPr>
              <w:t>30</w:t>
            </w:r>
          </w:hyperlink>
        </w:p>
        <w:p>
          <w:pPr>
            <w:pStyle w:val="Contents2"/>
            <w:tabs>
              <w:tab w:val="clear" w:pos="8743"/>
              <w:tab w:val="right" w:pos="9026" w:leader="dot"/>
            </w:tabs>
            <w:rPr/>
          </w:pPr>
          <w:hyperlink w:anchor="__RefHeading___Toc1029970_2749589250">
            <w:r>
              <w:rPr>
                <w:webHidden/>
                <w:rStyle w:val="IndexLink"/>
                <w:rtl w:val="true"/>
              </w:rPr>
              <w:t>ممنوعیت تفتیش در زندگی خصوصی</w:t>
            </w:r>
            <w:r>
              <w:rPr>
                <w:rStyle w:val="IndexLink"/>
                <w:rtl w:val="true"/>
              </w:rPr>
              <w:tab/>
            </w:r>
            <w:r>
              <w:rPr>
                <w:rStyle w:val="IndexLink"/>
              </w:rPr>
              <w:t>31</w:t>
            </w:r>
          </w:hyperlink>
        </w:p>
        <w:p>
          <w:pPr>
            <w:pStyle w:val="Contents2"/>
            <w:tabs>
              <w:tab w:val="clear" w:pos="8743"/>
              <w:tab w:val="right" w:pos="9026" w:leader="dot"/>
            </w:tabs>
            <w:rPr/>
          </w:pPr>
          <w:hyperlink w:anchor="__RefHeading___Toc1029972_2749589250">
            <w:r>
              <w:rPr>
                <w:webHidden/>
                <w:rStyle w:val="IndexLink"/>
                <w:rtl w:val="true"/>
              </w:rPr>
              <w:t>حق برابری در برابر قانون</w:t>
            </w:r>
            <w:r>
              <w:rPr>
                <w:rStyle w:val="IndexLink"/>
                <w:rtl w:val="true"/>
              </w:rPr>
              <w:tab/>
            </w:r>
            <w:r>
              <w:rPr>
                <w:rStyle w:val="IndexLink"/>
              </w:rPr>
              <w:t>33</w:t>
            </w:r>
          </w:hyperlink>
        </w:p>
        <w:p>
          <w:pPr>
            <w:pStyle w:val="Contents2"/>
            <w:tabs>
              <w:tab w:val="clear" w:pos="8743"/>
              <w:tab w:val="right" w:pos="9026" w:leader="dot"/>
            </w:tabs>
            <w:rPr/>
          </w:pPr>
          <w:hyperlink w:anchor="__RefHeading___Toc1029974_2749589250">
            <w:r>
              <w:rPr>
                <w:webHidden/>
                <w:rStyle w:val="IndexLink"/>
                <w:rtl w:val="true"/>
              </w:rPr>
              <w:t>حق دادخواهی</w:t>
            </w:r>
            <w:r>
              <w:rPr>
                <w:rStyle w:val="IndexLink"/>
                <w:rtl w:val="true"/>
              </w:rPr>
              <w:tab/>
            </w:r>
            <w:r>
              <w:rPr>
                <w:rStyle w:val="IndexLink"/>
              </w:rPr>
              <w:t>35</w:t>
            </w:r>
          </w:hyperlink>
        </w:p>
        <w:p>
          <w:pPr>
            <w:pStyle w:val="Contents2"/>
            <w:tabs>
              <w:tab w:val="clear" w:pos="8743"/>
              <w:tab w:val="right" w:pos="9026" w:leader="dot"/>
            </w:tabs>
            <w:rPr/>
          </w:pPr>
          <w:hyperlink w:anchor="__RefHeading___Toc1029976_2749589250">
            <w:r>
              <w:rPr>
                <w:webHidden/>
                <w:rStyle w:val="IndexLink"/>
                <w:rtl w:val="true"/>
              </w:rPr>
              <w:t>حق شکایت</w:t>
            </w:r>
            <w:r>
              <w:rPr>
                <w:rStyle w:val="IndexLink"/>
                <w:rtl w:val="true"/>
              </w:rPr>
              <w:tab/>
            </w:r>
            <w:r>
              <w:rPr>
                <w:rStyle w:val="IndexLink"/>
              </w:rPr>
              <w:t>36</w:t>
            </w:r>
          </w:hyperlink>
        </w:p>
        <w:p>
          <w:pPr>
            <w:pStyle w:val="Contents2"/>
            <w:tabs>
              <w:tab w:val="clear" w:pos="8743"/>
              <w:tab w:val="right" w:pos="9026" w:leader="dot"/>
            </w:tabs>
            <w:rPr/>
          </w:pPr>
          <w:hyperlink w:anchor="__RefHeading___Toc1029978_2749589250">
            <w:r>
              <w:rPr>
                <w:webHidden/>
                <w:rStyle w:val="IndexLink"/>
                <w:rtl w:val="true"/>
              </w:rPr>
              <w:t>حق قضاوت عادلانه</w:t>
            </w:r>
            <w:r>
              <w:rPr>
                <w:rStyle w:val="IndexLink"/>
                <w:rtl w:val="true"/>
              </w:rPr>
              <w:tab/>
            </w:r>
            <w:r>
              <w:rPr>
                <w:rStyle w:val="IndexLink"/>
              </w:rPr>
              <w:t>37</w:t>
            </w:r>
          </w:hyperlink>
        </w:p>
        <w:p>
          <w:pPr>
            <w:pStyle w:val="Contents2"/>
            <w:tabs>
              <w:tab w:val="clear" w:pos="8743"/>
              <w:tab w:val="right" w:pos="9026" w:leader="dot"/>
            </w:tabs>
            <w:rPr/>
          </w:pPr>
          <w:hyperlink w:anchor="__RefHeading___Toc1029980_2749589250">
            <w:r>
              <w:rPr>
                <w:webHidden/>
                <w:rStyle w:val="IndexLink"/>
                <w:rtl w:val="true"/>
              </w:rPr>
              <w:t>ممنوعیت شکنجه</w:t>
            </w:r>
            <w:r>
              <w:rPr>
                <w:rStyle w:val="IndexLink"/>
                <w:rtl w:val="true"/>
              </w:rPr>
              <w:tab/>
            </w:r>
            <w:r>
              <w:rPr>
                <w:rStyle w:val="IndexLink"/>
              </w:rPr>
              <w:t>38</w:t>
            </w:r>
          </w:hyperlink>
        </w:p>
        <w:p>
          <w:pPr>
            <w:pStyle w:val="Contents2"/>
            <w:tabs>
              <w:tab w:val="clear" w:pos="8743"/>
              <w:tab w:val="right" w:pos="9026" w:leader="dot"/>
            </w:tabs>
            <w:rPr/>
          </w:pPr>
          <w:hyperlink w:anchor="__RefHeading___Toc1029982_2749589250">
            <w:r>
              <w:rPr>
                <w:webHidden/>
                <w:rStyle w:val="IndexLink"/>
                <w:rtl w:val="true"/>
              </w:rPr>
              <w:t>حق مصونیت متهم</w:t>
            </w:r>
            <w:r>
              <w:rPr>
                <w:rStyle w:val="IndexLink"/>
                <w:rtl w:val="true"/>
              </w:rPr>
              <w:tab/>
            </w:r>
            <w:r>
              <w:rPr>
                <w:rStyle w:val="IndexLink"/>
              </w:rPr>
              <w:t>39</w:t>
            </w:r>
          </w:hyperlink>
        </w:p>
        <w:p>
          <w:pPr>
            <w:pStyle w:val="Contents2"/>
            <w:tabs>
              <w:tab w:val="clear" w:pos="8743"/>
              <w:tab w:val="right" w:pos="9026" w:leader="dot"/>
            </w:tabs>
            <w:rPr/>
          </w:pPr>
          <w:hyperlink w:anchor="__RefHeading___Toc1029984_2749589250">
            <w:r>
              <w:rPr>
                <w:webHidden/>
                <w:rStyle w:val="IndexLink"/>
                <w:rtl w:val="true"/>
              </w:rPr>
              <w:t>حق تناسب جرم و جزا</w:t>
            </w:r>
            <w:r>
              <w:rPr>
                <w:rStyle w:val="IndexLink"/>
                <w:rtl w:val="true"/>
              </w:rPr>
              <w:tab/>
            </w:r>
            <w:r>
              <w:rPr>
                <w:rStyle w:val="IndexLink"/>
              </w:rPr>
              <w:t>40</w:t>
            </w:r>
          </w:hyperlink>
        </w:p>
        <w:p>
          <w:pPr>
            <w:pStyle w:val="Contents2"/>
            <w:tabs>
              <w:tab w:val="clear" w:pos="8743"/>
              <w:tab w:val="right" w:pos="9026" w:leader="dot"/>
            </w:tabs>
            <w:rPr/>
          </w:pPr>
          <w:hyperlink w:anchor="__RefHeading___Toc1029986_2749589250">
            <w:r>
              <w:rPr>
                <w:webHidden/>
                <w:rStyle w:val="IndexLink"/>
                <w:rtl w:val="true"/>
              </w:rPr>
              <w:t>حق انتخاب وطن</w:t>
            </w:r>
            <w:r>
              <w:rPr>
                <w:rStyle w:val="IndexLink"/>
                <w:rtl w:val="true"/>
              </w:rPr>
              <w:tab/>
            </w:r>
            <w:r>
              <w:rPr>
                <w:rStyle w:val="IndexLink"/>
              </w:rPr>
              <w:t>41</w:t>
            </w:r>
          </w:hyperlink>
        </w:p>
        <w:p>
          <w:pPr>
            <w:pStyle w:val="Contents2"/>
            <w:tabs>
              <w:tab w:val="clear" w:pos="8743"/>
              <w:tab w:val="right" w:pos="9026" w:leader="dot"/>
            </w:tabs>
            <w:rPr/>
          </w:pPr>
          <w:hyperlink w:anchor="__RefHeading___Toc1029988_2749589250">
            <w:r>
              <w:rPr>
                <w:webHidden/>
                <w:rStyle w:val="IndexLink"/>
                <w:rtl w:val="true"/>
              </w:rPr>
              <w:t>حق ازدواج</w:t>
            </w:r>
            <w:r>
              <w:rPr>
                <w:rStyle w:val="IndexLink"/>
                <w:rtl w:val="true"/>
              </w:rPr>
              <w:tab/>
            </w:r>
            <w:r>
              <w:rPr>
                <w:rStyle w:val="IndexLink"/>
              </w:rPr>
              <w:t>42</w:t>
            </w:r>
          </w:hyperlink>
        </w:p>
        <w:p>
          <w:pPr>
            <w:pStyle w:val="Contents2"/>
            <w:tabs>
              <w:tab w:val="clear" w:pos="8743"/>
              <w:tab w:val="right" w:pos="9026" w:leader="dot"/>
            </w:tabs>
            <w:rPr/>
          </w:pPr>
          <w:hyperlink w:anchor="__RefHeading___Toc1029990_2749589250">
            <w:r>
              <w:rPr>
                <w:webHidden/>
                <w:rStyle w:val="IndexLink"/>
                <w:rtl w:val="true"/>
              </w:rPr>
              <w:t>حق توالد و تناسل</w:t>
            </w:r>
            <w:r>
              <w:rPr>
                <w:rStyle w:val="IndexLink"/>
                <w:rtl w:val="true"/>
              </w:rPr>
              <w:tab/>
            </w:r>
            <w:r>
              <w:rPr>
                <w:rStyle w:val="IndexLink"/>
              </w:rPr>
              <w:t>43</w:t>
            </w:r>
          </w:hyperlink>
        </w:p>
        <w:p>
          <w:pPr>
            <w:pStyle w:val="Contents2"/>
            <w:tabs>
              <w:tab w:val="clear" w:pos="8743"/>
              <w:tab w:val="right" w:pos="9026" w:leader="dot"/>
            </w:tabs>
            <w:rPr/>
          </w:pPr>
          <w:hyperlink w:anchor="__RefHeading___Toc1029992_2749589250">
            <w:r>
              <w:rPr>
                <w:webHidden/>
                <w:rStyle w:val="IndexLink"/>
                <w:rtl w:val="true"/>
              </w:rPr>
              <w:t>حق مسکن</w:t>
            </w:r>
            <w:r>
              <w:rPr>
                <w:rStyle w:val="IndexLink"/>
                <w:rtl w:val="true"/>
              </w:rPr>
              <w:tab/>
            </w:r>
            <w:r>
              <w:rPr>
                <w:rStyle w:val="IndexLink"/>
              </w:rPr>
              <w:t>44</w:t>
            </w:r>
          </w:hyperlink>
        </w:p>
        <w:p>
          <w:pPr>
            <w:pStyle w:val="Contents2"/>
            <w:tabs>
              <w:tab w:val="clear" w:pos="8743"/>
              <w:tab w:val="right" w:pos="9026" w:leader="dot"/>
            </w:tabs>
            <w:rPr/>
          </w:pPr>
          <w:hyperlink w:anchor="__RefHeading___Toc1029994_2749589250">
            <w:r>
              <w:rPr>
                <w:webHidden/>
                <w:rStyle w:val="IndexLink"/>
                <w:rtl w:val="true"/>
              </w:rPr>
              <w:t>حق امنیت منزل</w:t>
            </w:r>
            <w:r>
              <w:rPr>
                <w:rStyle w:val="IndexLink"/>
                <w:rtl w:val="true"/>
              </w:rPr>
              <w:tab/>
            </w:r>
            <w:r>
              <w:rPr>
                <w:rStyle w:val="IndexLink"/>
              </w:rPr>
              <w:t>45</w:t>
            </w:r>
          </w:hyperlink>
        </w:p>
        <w:p>
          <w:pPr>
            <w:pStyle w:val="Contents2"/>
            <w:tabs>
              <w:tab w:val="clear" w:pos="8743"/>
              <w:tab w:val="right" w:pos="9026" w:leader="dot"/>
            </w:tabs>
            <w:rPr/>
          </w:pPr>
          <w:hyperlink w:anchor="__RefHeading___Toc1029996_2749589250">
            <w:r>
              <w:rPr>
                <w:webHidden/>
                <w:rStyle w:val="IndexLink"/>
                <w:rtl w:val="true"/>
              </w:rPr>
              <w:t>حق دفاع شخصی</w:t>
            </w:r>
            <w:r>
              <w:rPr>
                <w:rStyle w:val="IndexLink"/>
                <w:rtl w:val="true"/>
              </w:rPr>
              <w:tab/>
            </w:r>
            <w:r>
              <w:rPr>
                <w:rStyle w:val="IndexLink"/>
              </w:rPr>
              <w:t>47</w:t>
            </w:r>
          </w:hyperlink>
        </w:p>
        <w:p>
          <w:pPr>
            <w:pStyle w:val="Contents2"/>
            <w:tabs>
              <w:tab w:val="clear" w:pos="8743"/>
              <w:tab w:val="right" w:pos="9026" w:leader="dot"/>
            </w:tabs>
            <w:rPr/>
          </w:pPr>
          <w:hyperlink w:anchor="__RefHeading___Toc1029998_2749589250">
            <w:r>
              <w:rPr>
                <w:webHidden/>
                <w:rStyle w:val="IndexLink"/>
                <w:rtl w:val="true"/>
              </w:rPr>
              <w:t>حق آموزش</w:t>
            </w:r>
            <w:r>
              <w:rPr>
                <w:rStyle w:val="IndexLink"/>
                <w:rtl w:val="true"/>
              </w:rPr>
              <w:tab/>
            </w:r>
            <w:r>
              <w:rPr>
                <w:rStyle w:val="IndexLink"/>
              </w:rPr>
              <w:t>48</w:t>
            </w:r>
          </w:hyperlink>
        </w:p>
        <w:p>
          <w:pPr>
            <w:pStyle w:val="Contents2"/>
            <w:tabs>
              <w:tab w:val="clear" w:pos="8743"/>
              <w:tab w:val="right" w:pos="9026" w:leader="dot"/>
            </w:tabs>
            <w:rPr/>
          </w:pPr>
          <w:hyperlink w:anchor="__RefHeading___Toc1030000_2749589250">
            <w:r>
              <w:rPr>
                <w:webHidden/>
                <w:rStyle w:val="IndexLink"/>
                <w:rtl w:val="true"/>
              </w:rPr>
              <w:t>حق آزادی اشتغال</w:t>
            </w:r>
            <w:r>
              <w:rPr>
                <w:rStyle w:val="IndexLink"/>
                <w:rtl w:val="true"/>
              </w:rPr>
              <w:tab/>
            </w:r>
            <w:r>
              <w:rPr>
                <w:rStyle w:val="IndexLink"/>
              </w:rPr>
              <w:t>49</w:t>
            </w:r>
          </w:hyperlink>
        </w:p>
        <w:p>
          <w:pPr>
            <w:pStyle w:val="Contents2"/>
            <w:tabs>
              <w:tab w:val="clear" w:pos="8743"/>
              <w:tab w:val="right" w:pos="9026" w:leader="dot"/>
            </w:tabs>
            <w:rPr/>
          </w:pPr>
          <w:hyperlink w:anchor="__RefHeading___Toc1030002_2749589250">
            <w:r>
              <w:rPr>
                <w:webHidden/>
                <w:rStyle w:val="IndexLink"/>
                <w:rtl w:val="true"/>
              </w:rPr>
              <w:t>حق تأمین معاش آبرومندانه</w:t>
            </w:r>
            <w:r>
              <w:rPr>
                <w:rStyle w:val="IndexLink"/>
                <w:rtl w:val="true"/>
              </w:rPr>
              <w:tab/>
            </w:r>
            <w:r>
              <w:rPr>
                <w:rStyle w:val="IndexLink"/>
              </w:rPr>
              <w:t>50</w:t>
            </w:r>
          </w:hyperlink>
        </w:p>
        <w:p>
          <w:pPr>
            <w:pStyle w:val="Contents2"/>
            <w:tabs>
              <w:tab w:val="clear" w:pos="8743"/>
              <w:tab w:val="right" w:pos="9026" w:leader="dot"/>
            </w:tabs>
            <w:rPr/>
          </w:pPr>
          <w:hyperlink w:anchor="__RefHeading___Toc1030004_2749589250">
            <w:r>
              <w:rPr>
                <w:webHidden/>
                <w:rStyle w:val="IndexLink"/>
                <w:rtl w:val="true"/>
              </w:rPr>
              <w:t>حق محبّت و همزیستی</w:t>
            </w:r>
            <w:r>
              <w:rPr>
                <w:rStyle w:val="IndexLink"/>
                <w:rtl w:val="true"/>
              </w:rPr>
              <w:tab/>
            </w:r>
            <w:r>
              <w:rPr>
                <w:rStyle w:val="IndexLink"/>
              </w:rPr>
              <w:t>52</w:t>
            </w:r>
          </w:hyperlink>
        </w:p>
        <w:p>
          <w:pPr>
            <w:pStyle w:val="Contents2"/>
            <w:tabs>
              <w:tab w:val="clear" w:pos="8743"/>
              <w:tab w:val="right" w:pos="9026" w:leader="dot"/>
            </w:tabs>
            <w:rPr/>
          </w:pPr>
          <w:hyperlink w:anchor="__RefHeading___Toc1030006_2749589250">
            <w:r>
              <w:rPr>
                <w:webHidden/>
                <w:rStyle w:val="IndexLink"/>
                <w:rtl w:val="true"/>
              </w:rPr>
              <w:t>حق مشاوره</w:t>
            </w:r>
            <w:r>
              <w:rPr>
                <w:rStyle w:val="IndexLink"/>
                <w:rtl w:val="true"/>
              </w:rPr>
              <w:tab/>
            </w:r>
            <w:r>
              <w:rPr>
                <w:rStyle w:val="IndexLink"/>
              </w:rPr>
              <w:t>53</w:t>
            </w:r>
          </w:hyperlink>
        </w:p>
        <w:p>
          <w:pPr>
            <w:pStyle w:val="Contents2"/>
            <w:tabs>
              <w:tab w:val="clear" w:pos="8743"/>
              <w:tab w:val="right" w:pos="9026" w:leader="dot"/>
            </w:tabs>
            <w:rPr/>
          </w:pPr>
          <w:hyperlink w:anchor="__RefHeading___Toc1030008_2749589250">
            <w:r>
              <w:rPr>
                <w:webHidden/>
                <w:rStyle w:val="IndexLink"/>
                <w:rtl w:val="true"/>
              </w:rPr>
              <w:t>حق صدق و امانت</w:t>
            </w:r>
            <w:r>
              <w:rPr>
                <w:rStyle w:val="IndexLink"/>
                <w:rtl w:val="true"/>
              </w:rPr>
              <w:tab/>
            </w:r>
            <w:r>
              <w:rPr>
                <w:rStyle w:val="IndexLink"/>
              </w:rPr>
              <w:t>54</w:t>
            </w:r>
          </w:hyperlink>
        </w:p>
        <w:p>
          <w:pPr>
            <w:pStyle w:val="Contents2"/>
            <w:tabs>
              <w:tab w:val="clear" w:pos="8743"/>
              <w:tab w:val="right" w:pos="9026" w:leader="dot"/>
            </w:tabs>
            <w:rPr/>
          </w:pPr>
          <w:hyperlink w:anchor="__RefHeading___Toc1030010_2749589250">
            <w:r>
              <w:rPr>
                <w:webHidden/>
                <w:rStyle w:val="IndexLink"/>
                <w:rtl w:val="true"/>
              </w:rPr>
              <w:t>حق پای بندی به معاهدات</w:t>
            </w:r>
            <w:r>
              <w:rPr>
                <w:rStyle w:val="IndexLink"/>
                <w:rtl w:val="true"/>
              </w:rPr>
              <w:tab/>
            </w:r>
            <w:r>
              <w:rPr>
                <w:rStyle w:val="IndexLink"/>
              </w:rPr>
              <w:t>55</w:t>
            </w:r>
          </w:hyperlink>
        </w:p>
        <w:p>
          <w:pPr>
            <w:pStyle w:val="Contents2"/>
            <w:tabs>
              <w:tab w:val="clear" w:pos="8743"/>
              <w:tab w:val="right" w:pos="9026" w:leader="dot"/>
            </w:tabs>
            <w:rPr/>
          </w:pPr>
          <w:hyperlink w:anchor="__RefHeading___Toc1030012_2749589250">
            <w:r>
              <w:rPr>
                <w:webHidden/>
                <w:rStyle w:val="IndexLink"/>
                <w:rtl w:val="true"/>
              </w:rPr>
              <w:t>حق امهال وامدار</w:t>
            </w:r>
            <w:r>
              <w:rPr>
                <w:rStyle w:val="IndexLink"/>
                <w:rtl w:val="true"/>
              </w:rPr>
              <w:tab/>
            </w:r>
            <w:r>
              <w:rPr>
                <w:rStyle w:val="IndexLink"/>
              </w:rPr>
              <w:t>56</w:t>
            </w:r>
          </w:hyperlink>
        </w:p>
        <w:p>
          <w:pPr>
            <w:pStyle w:val="Contents2"/>
            <w:tabs>
              <w:tab w:val="clear" w:pos="8743"/>
              <w:tab w:val="right" w:pos="9026" w:leader="dot"/>
            </w:tabs>
            <w:rPr/>
          </w:pPr>
          <w:hyperlink w:anchor="__RefHeading___Toc1030014_2749589250">
            <w:r>
              <w:rPr>
                <w:webHidden/>
                <w:rStyle w:val="IndexLink"/>
                <w:rtl w:val="true"/>
              </w:rPr>
              <w:t>حق مصالحه</w:t>
            </w:r>
            <w:r>
              <w:rPr>
                <w:rStyle w:val="IndexLink"/>
                <w:rtl w:val="true"/>
              </w:rPr>
              <w:tab/>
            </w:r>
            <w:r>
              <w:rPr>
                <w:rStyle w:val="IndexLink"/>
              </w:rPr>
              <w:t>57</w:t>
            </w:r>
          </w:hyperlink>
        </w:p>
        <w:p>
          <w:pPr>
            <w:pStyle w:val="Contents2"/>
            <w:tabs>
              <w:tab w:val="clear" w:pos="8743"/>
              <w:tab w:val="right" w:pos="9026" w:leader="dot"/>
            </w:tabs>
            <w:rPr/>
          </w:pPr>
          <w:hyperlink w:anchor="__RefHeading___Toc1030016_2749589250">
            <w:r>
              <w:rPr>
                <w:webHidden/>
                <w:rStyle w:val="IndexLink"/>
                <w:rtl w:val="true"/>
              </w:rPr>
              <w:t>حق وکالت</w:t>
            </w:r>
            <w:r>
              <w:rPr>
                <w:rStyle w:val="IndexLink"/>
                <w:rtl w:val="true"/>
              </w:rPr>
              <w:tab/>
            </w:r>
            <w:r>
              <w:rPr>
                <w:rStyle w:val="IndexLink"/>
              </w:rPr>
              <w:t>58</w:t>
            </w:r>
          </w:hyperlink>
        </w:p>
        <w:p>
          <w:pPr>
            <w:pStyle w:val="Contents2"/>
            <w:tabs>
              <w:tab w:val="clear" w:pos="8743"/>
              <w:tab w:val="right" w:pos="9026" w:leader="dot"/>
            </w:tabs>
            <w:rPr/>
          </w:pPr>
          <w:hyperlink w:anchor="__RefHeading___Toc1030018_2749589250">
            <w:r>
              <w:rPr>
                <w:webHidden/>
                <w:rStyle w:val="IndexLink"/>
                <w:rtl w:val="true"/>
              </w:rPr>
              <w:t>حق شراکت</w:t>
            </w:r>
            <w:r>
              <w:rPr>
                <w:rStyle w:val="IndexLink"/>
                <w:rtl w:val="true"/>
              </w:rPr>
              <w:tab/>
            </w:r>
            <w:r>
              <w:rPr>
                <w:rStyle w:val="IndexLink"/>
              </w:rPr>
              <w:t>59</w:t>
            </w:r>
          </w:hyperlink>
        </w:p>
        <w:p>
          <w:pPr>
            <w:pStyle w:val="Contents2"/>
            <w:tabs>
              <w:tab w:val="clear" w:pos="8743"/>
              <w:tab w:val="right" w:pos="9026" w:leader="dot"/>
            </w:tabs>
            <w:rPr/>
          </w:pPr>
          <w:hyperlink w:anchor="__RefHeading___Toc1030020_2749589250">
            <w:r>
              <w:rPr>
                <w:webHidden/>
                <w:rStyle w:val="IndexLink"/>
                <w:rtl w:val="true"/>
              </w:rPr>
              <w:t>حق بهره‌برداری از منابع طبیعی</w:t>
            </w:r>
            <w:r>
              <w:rPr>
                <w:rStyle w:val="IndexLink"/>
                <w:rtl w:val="true"/>
              </w:rPr>
              <w:tab/>
            </w:r>
            <w:r>
              <w:rPr>
                <w:rStyle w:val="IndexLink"/>
              </w:rPr>
              <w:t>60</w:t>
            </w:r>
          </w:hyperlink>
        </w:p>
        <w:p>
          <w:pPr>
            <w:pStyle w:val="Contents2"/>
            <w:tabs>
              <w:tab w:val="clear" w:pos="8743"/>
              <w:tab w:val="right" w:pos="9026" w:leader="dot"/>
            </w:tabs>
            <w:rPr/>
          </w:pPr>
          <w:hyperlink w:anchor="__RefHeading___Toc1030022_2749589250">
            <w:r>
              <w:rPr>
                <w:webHidden/>
                <w:rStyle w:val="IndexLink"/>
                <w:rtl w:val="true"/>
              </w:rPr>
              <w:t>حق آزادی سفر</w:t>
            </w:r>
            <w:r>
              <w:rPr>
                <w:rStyle w:val="IndexLink"/>
                <w:rtl w:val="true"/>
              </w:rPr>
              <w:tab/>
            </w:r>
            <w:r>
              <w:rPr>
                <w:rStyle w:val="IndexLink"/>
              </w:rPr>
              <w:t>61</w:t>
            </w:r>
          </w:hyperlink>
        </w:p>
        <w:p>
          <w:pPr>
            <w:pStyle w:val="Contents2"/>
            <w:tabs>
              <w:tab w:val="clear" w:pos="8743"/>
              <w:tab w:val="right" w:pos="9026" w:leader="dot"/>
            </w:tabs>
            <w:rPr/>
          </w:pPr>
          <w:hyperlink w:anchor="__RefHeading___Toc1030024_2749589250">
            <w:r>
              <w:rPr>
                <w:webHidden/>
                <w:rStyle w:val="IndexLink"/>
                <w:rtl w:val="true"/>
              </w:rPr>
              <w:t>حقوق متقابل دولت و ملت</w:t>
            </w:r>
            <w:r>
              <w:rPr>
                <w:rStyle w:val="IndexLink"/>
                <w:rtl w:val="true"/>
              </w:rPr>
              <w:tab/>
            </w:r>
            <w:r>
              <w:rPr>
                <w:rStyle w:val="IndexLink"/>
              </w:rPr>
              <w:t>62</w:t>
            </w:r>
          </w:hyperlink>
        </w:p>
        <w:p>
          <w:pPr>
            <w:pStyle w:val="Contents2"/>
            <w:tabs>
              <w:tab w:val="clear" w:pos="8743"/>
              <w:tab w:val="right" w:pos="9026" w:leader="dot"/>
            </w:tabs>
            <w:rPr/>
          </w:pPr>
          <w:hyperlink w:anchor="__RefHeading___Toc1030026_2749589250">
            <w:r>
              <w:rPr>
                <w:webHidden/>
                <w:rStyle w:val="IndexLink"/>
                <w:rtl w:val="true"/>
              </w:rPr>
              <w:t>کتاب نامه</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80_20398"/>
      <w:bookmarkStart w:id="1" w:name="pg3080_20398"/>
      <w:bookmarkEnd w:id="1"/>
    </w:p>
    <w:p>
      <w:pPr>
        <w:pStyle w:val="Heading2"/>
        <w:numPr>
          <w:ilvl w:val="1"/>
          <w:numId w:val="1"/>
        </w:numPr>
        <w:rPr/>
      </w:pPr>
      <w:bookmarkStart w:id="2" w:name="pg3080_20398"/>
      <w:bookmarkStart w:id="3" w:name="__RefHeading___Toc102993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مهدوی اُرزگانی ، عبداللّه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مهدوی اُرزگانی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038</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اربعینات ـ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چهل حدیث حقوق بشر</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مهدوی اَرزگانی</w:t>
      </w:r>
    </w:p>
    <w:p>
      <w:pPr>
        <w:pStyle w:val="BookText"/>
        <w:rPr/>
      </w:pPr>
      <w:r>
        <w:rPr>
          <w:rFonts w:ascii="IRNazanin" w:hAnsi="IRNazanin" w:eastAsia="IRNazanin"/>
          <w:color w:val="111111"/>
          <w:sz w:val="28"/>
          <w:sz w:val="28"/>
          <w:szCs w:val="28"/>
          <w:rtl w:val="true"/>
          <w:lang w:bidi="fa-IR"/>
        </w:rPr>
        <w:t xml:space="preserve">چاپ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09122539794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038</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کلیه حقوق برای آستانه مقدسه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993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80_20401"/>
      <w:bookmarkStart w:id="8" w:name="pg3080_20401"/>
      <w:bookmarkEnd w:id="8"/>
    </w:p>
    <w:p>
      <w:pPr>
        <w:pStyle w:val="Heading2"/>
        <w:numPr>
          <w:ilvl w:val="1"/>
          <w:numId w:val="1"/>
        </w:numPr>
        <w:rPr/>
      </w:pPr>
      <w:bookmarkStart w:id="9" w:name="pg3080_20401"/>
      <w:bookmarkStart w:id="10" w:name="__RefHeading___Toc102994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زندگی در سایه عدالت حق هر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برابری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امنیت جانی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کرامت و 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آبرومندی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امنیت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داد و ستد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امنیت ناموس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تفتیش در زندگی خصوصی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برابری در برابر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دادخواهی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شکایت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قضاوت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شکنجه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مصونیت متهم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تناسب جرم و جزا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انتخاب وطن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توالد و تناسل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مسکن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امنیت منزل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دفاع شخصی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آزادی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تأمین معاش آبرومندانه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محبّت و همزیستی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صدق و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پای بندی به معاهدات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امهال وامدار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مصالحه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شراکت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بهره‌برداری از منابع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آزادی سفر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متقابل دولت و ملت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2" w:name="pg3080_20405"/>
    </w:p>
    <w:p>
      <w:pPr>
        <w:pStyle w:val="Heading2"/>
        <w:numPr>
          <w:ilvl w:val="1"/>
          <w:numId w:val="1"/>
        </w:numPr>
        <w:rPr/>
      </w:pPr>
      <w:bookmarkStart w:id="13" w:name="__RefHeading___Toc1029942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اهل بیت،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آستان احادیث اهل بیت ، عقل خضوع می‌کند دل خشوع می‌یابد و روح سیراب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نورانی ائمه اطهار ، منشوری است که حکمت‌های قدسی و معارف ناب الهی را بر دل‌ها و عقل‌ها می‌تاباند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گلشنی روح پرور و گنجینه‌ای گرانبها و سرمایه‌ای پایان‌ناپذیر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أوْ غَرِّبا ، فَلا تَجِدانِ علما صحیحا اِلاّ شیئا خَرَجَ مِنْ عِندنِا اهلِ البیت؛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شرق و غرب جهان بروید ، هیچ دانش صحیحی نخواهید یافت ، مگر آن که از ما خاندان پیامبر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مدیون راویان ، محدّثان و عالمان گذشته شیعه‌ایم که با دقّت و درایت و مسئولیت‌شناسی ،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نسل‌های بعدی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اهل‌بیت علیهم‌السلام آنگونه که خودشان فرموده‌اند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مجموعه‌های حدیثی ، دانشکده‌های صامت امّا جاویدان امامان شیعه است که بشریّت را آموزش غیر حضوری می‌دهد و خرسندیم که ما میراث‌دار این </w:t>
      </w:r>
    </w:p>
    <w:p>
      <w:pPr>
        <w:pStyle w:val="BookText"/>
        <w:rPr/>
      </w:pPr>
      <w:r>
        <w:rPr>
          <w:rFonts w:ascii="IRNazanin" w:hAnsi="IRNazanin" w:eastAsia="IRNazanin"/>
          <w:color w:val="111111"/>
          <w:sz w:val="28"/>
          <w:sz w:val="28"/>
          <w:szCs w:val="28"/>
          <w:rtl w:val="true"/>
          <w:lang w:bidi="fa-IR"/>
        </w:rPr>
        <w:t xml:space="preserve">علوم و معارفیم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حیرت‌ها و ضلالت‌ها و کج راهه‌ها ،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هدایت‌گر اندیشه‌ها و صفابخش دل‌ها و جان‌ها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صلی‌الله‌علیه‌و‌آله و اهل بیت او ، هم در عرصه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در قلمرو فقه و تبیین احکام شرع و حلال و حرام الهی سند و پشتوانه است ، هم در موضوعات اخلاقی ، تربیتی ، تهذیب نفس ، پند و موعظه ، سرشار از حکمت و بینش و هدایت است و اگر مردم با احادیث نورانی خاندان عصمت و طهارت آشنا شوند ، دل در گرو محبت و اطاعت آنان می‌نهند، همانگونه که حضرت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لو عَلِموا مَحاسِنَ کلامِنا لاَتّبعونا؛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مردم خوبی‌ها و زیبایی‌های سخن ما را بدانند ، از ما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آموختن ، نوشتن ، بیان ، نشر ، شرح و تبیین، حفظ و تعلّم احادیث اهل بیت ، کاری است ارزشمند و در راستای حفظ و گسترش فرهنگ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حدیثی شیعه ، همچون دریایی عمیق و موّاج پر از گهرهای نفیس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بهره‌گیری از ذخایر این اقیانوس ژرف و پرگهر ، باید به غوّاصی در دل آن پرداخت و لؤلؤ و مرجان‌هایی به دست آورد و به نسل امروز و مشتاقان عرضه کرد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گام‌های ارزشمند در نشر و تشریح احادیث عترت پاک نبوی است که عالمان از دیرباز به آن مبادرت می‌ورزیدند و جامعه را </w:t>
      </w:r>
    </w:p>
    <w:p>
      <w:pPr>
        <w:pStyle w:val="BookText"/>
        <w:rPr/>
      </w:pPr>
      <w:r>
        <w:rPr>
          <w:rFonts w:ascii="IRNazanin" w:hAnsi="IRNazanin" w:eastAsia="IRNazanin"/>
          <w:color w:val="111111"/>
          <w:sz w:val="28"/>
          <w:sz w:val="28"/>
          <w:szCs w:val="28"/>
          <w:rtl w:val="true"/>
          <w:lang w:bidi="fa-IR"/>
        </w:rPr>
        <w:t xml:space="preserve">از معنویّت آثار اهل بیت بهره‌مند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حدیث از احادیث ما را حفظ کند ، در روز قیامت فقیه و دین شناس برانگیخته می‌شود ، هم پشتوانه چنین حرکت علمی و فرهنگی است ، هم ما را به ضرورت حفظ احادیث آنان آگاه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حفظ به معنای به حافظه سپردن باشد ، چه ثبت و ضبط و جلوگیری از فراموش شدن و از بین رفتن باشد و چه به معنای حفظ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تشویقی است برای رویکرد به معارف اهل بیت که در کلمات نورانی آنان نهفته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 نیاز جامعه به آشنایی با فرهنگ ناب اهل بیت ، بیش از هر زمان احساس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استقبال هم که مردم از خود نشان می‌دهند ، ضرورت ارائه و عرضه کلمات خاندان عصمت را در قالبی روان ، </w:t>
      </w:r>
    </w:p>
    <w:p>
      <w:pPr>
        <w:pStyle w:val="BookText"/>
        <w:rPr/>
      </w:pPr>
      <w:r>
        <w:rPr>
          <w:rFonts w:ascii="IRNazanin" w:hAnsi="IRNazanin" w:eastAsia="IRNazanin"/>
          <w:color w:val="111111"/>
          <w:sz w:val="28"/>
          <w:sz w:val="28"/>
          <w:szCs w:val="28"/>
          <w:rtl w:val="true"/>
          <w:lang w:bidi="fa-IR"/>
        </w:rPr>
        <w:t xml:space="preserve">سهل الوصول و متناسب با اقشار مختلف علاقه‌مند ، روشن‌تر نشان می‌دهد و به همین دلیل ،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مقدسه حضرت معصومه علیهاالسلام نیز به عنوان یک حرکت فرهنگی در راه نشر احادیث پیشوایان دین و ترویج معارف عترت ، اقدام به چاپ این سلسله از چهل حدیث‌های موضوعی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 ابتدا در کمیته‌ای تعیین ، سپس به محققان و مؤلفان سفارش داده شده تا به گردآوری و تدوین چهل حدیث پیرامون موضوعات برگزیده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اغلب موضوعات ، اخلاقی ، تربیتی ، کاربردی و معارفی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جزوه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عنوان مخلوق الهی ، دارای حق و حقوقی است که در سایه آنها می‌تواند با دیگران همزیستی مسالمت‌آمیز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این حقوق در رعایت متقابل آن از سوی مردم ، جامعه را قابل زیست‌تر می‌سازد و افراد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غربیان ، با شعار و تبلیغات می‌خواهند وانمود کنند که حقوق بشر و کرامت او را بهتر می‌شناسند و همواره اعلامیه جهانی حقوق بشر را به رخ می‌کشند ، در حالی که قرآن و احادیث کلاًّ در ادیان آسمانی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مقررّ شده و رعایت آن‌ها موجب سلامت و سعادت جامعه به شمار آمده است و حق تقدم با انبیای الهی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حقوق بشر از نگاه مکتب ، ما را با غنای اسلام و </w:t>
      </w:r>
    </w:p>
    <w:p>
      <w:pPr>
        <w:pStyle w:val="BookText"/>
        <w:rPr/>
      </w:pPr>
      <w:r>
        <w:rPr>
          <w:rFonts w:ascii="IRNazanin" w:hAnsi="IRNazanin" w:eastAsia="IRNazanin"/>
          <w:color w:val="111111"/>
          <w:sz w:val="28"/>
          <w:sz w:val="28"/>
          <w:szCs w:val="28"/>
          <w:rtl w:val="true"/>
          <w:lang w:bidi="fa-IR"/>
        </w:rPr>
        <w:t xml:space="preserve">کرامت بخشی دین به انسان و جایگاه او آشناتر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جزوه می‌خوانید ، گوشه‌ای از رهنمودهای دین درباره این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حضرت رسول صلی‌الله‌علیه‌و‌آله و روش حکومت حضرت علی علیه‌السلام بهترین نمونه شناخت این حقوق و احترام به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از تلاش قابل تقدیر برادر ارجمند حجة الاسلام جناب آقای عبداللّه مهدوی ارزگانی که این مجموعه را فراهم آورده‌اند ، تشکر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فروغ معارف اهل بیت علیهم‌السلام همه ابعاد زندگی ما را روشنی بخشد و با احترام به حقوق انسان‌ها بتوانیم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محور تعالیم آسمانی موفق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 w:name="pg3080_20421"/>
    </w:p>
    <w:p>
      <w:pPr>
        <w:pStyle w:val="Heading2"/>
        <w:numPr>
          <w:ilvl w:val="1"/>
          <w:numId w:val="1"/>
        </w:numPr>
        <w:rPr/>
      </w:pPr>
      <w:bookmarkStart w:id="16" w:name="__RefHeading___Toc1029944_2749589250"/>
      <w:bookmarkStart w:id="17" w:name="_Toc5"/>
      <w:bookmarkEnd w:id="15"/>
      <w:bookmarkEnd w:id="16"/>
      <w:r>
        <w:rPr>
          <w:rtl w:val="true"/>
        </w:rPr>
        <w:t>زندگی در سایه عدالت حق هر انسان</w:t>
      </w:r>
      <w:bookmarkEnd w:id="17"/>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شَنَئانُ قَوْمٍ عَلی أَلاَّ تَعْدِلُوا اعْدِلُوْا هُوَ أَقْرَبُ لِلتَّقْوی وَ اتَّقُوا اللّهَ إِنَّ اللّهَ خَبِیرٌ بِما تَعْمَلُونَ؛</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جمعیّتی، شما را به گناه و ترک عدالت نکشاند، عدالت کنید که به پرهیز کاری نزدیکتر است، و از خدا بترسید که خداوند از آن‌چه انجام می‌دهید با خبر است</w:t>
      </w:r>
      <w:r>
        <w:rPr>
          <w:rFonts w:eastAsia="IRNazanin" w:cs="IRNazanin"/>
          <w:color w:val="111111"/>
          <w:sz w:val="28"/>
          <w:szCs w:val="28"/>
          <w:rtl w:val="true"/>
          <w:lang w:bidi="fa-IR"/>
        </w:rPr>
        <w:t xml:space="preserve">. </w:t>
      </w:r>
      <w:bookmarkStart w:id="18" w:name="pg3080_20423"/>
    </w:p>
    <w:p>
      <w:pPr>
        <w:pStyle w:val="Heading2"/>
        <w:numPr>
          <w:ilvl w:val="1"/>
          <w:numId w:val="1"/>
        </w:numPr>
        <w:rPr/>
      </w:pPr>
      <w:bookmarkStart w:id="19" w:name="__RefHeading___Toc1029946_2749589250"/>
      <w:bookmarkStart w:id="20" w:name="_Toc6"/>
      <w:bookmarkEnd w:id="18"/>
      <w:bookmarkEnd w:id="19"/>
      <w:r>
        <w:rPr>
          <w:rtl w:val="true"/>
        </w:rPr>
        <w:t>حق آزادی</w:t>
      </w:r>
      <w:bookmarkEnd w:id="20"/>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آدَمَ لَم یَلِدْ عَبدا ولا أَمَةً، و إِنَّ النّاسَ کُلُّهُم أَحْرارٌ؛</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برده و کنیز به دنیا نیاورده است، همانا همه مردم آزادند</w:t>
      </w:r>
      <w:r>
        <w:rPr>
          <w:rFonts w:eastAsia="IRNazanin" w:cs="IRNazanin"/>
          <w:color w:val="111111"/>
          <w:sz w:val="28"/>
          <w:szCs w:val="28"/>
          <w:rtl w:val="true"/>
          <w:lang w:bidi="fa-IR"/>
        </w:rPr>
        <w:t xml:space="preserve">. </w:t>
      </w:r>
      <w:bookmarkStart w:id="21" w:name="pg3080_20425"/>
    </w:p>
    <w:p>
      <w:pPr>
        <w:pStyle w:val="Heading2"/>
        <w:numPr>
          <w:ilvl w:val="1"/>
          <w:numId w:val="1"/>
        </w:numPr>
        <w:rPr/>
      </w:pPr>
      <w:bookmarkStart w:id="22" w:name="__RefHeading___Toc1029948_2749589250"/>
      <w:bookmarkStart w:id="23" w:name="_Toc7"/>
      <w:bookmarkEnd w:id="21"/>
      <w:bookmarkEnd w:id="22"/>
      <w:r>
        <w:rPr>
          <w:rtl w:val="true"/>
        </w:rPr>
        <w:t>حق برابری</w:t>
      </w:r>
      <w:bookmarkEnd w:id="23"/>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اَلطَّرِیقُ مُشتَرَکٌ، وَ النّاسُ فِی الحَقِّ سَواءٌ؛</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مسیر مشترک است و مردم در حق با هم برابرند</w:t>
      </w:r>
      <w:r>
        <w:rPr>
          <w:rFonts w:eastAsia="IRNazanin" w:cs="IRNazanin"/>
          <w:color w:val="111111"/>
          <w:sz w:val="28"/>
          <w:szCs w:val="28"/>
          <w:rtl w:val="true"/>
          <w:lang w:bidi="fa-IR"/>
        </w:rPr>
        <w:t xml:space="preserve">. </w:t>
      </w:r>
      <w:bookmarkStart w:id="24" w:name="pg3080_20427"/>
    </w:p>
    <w:p>
      <w:pPr>
        <w:pStyle w:val="Heading2"/>
        <w:numPr>
          <w:ilvl w:val="1"/>
          <w:numId w:val="1"/>
        </w:numPr>
        <w:rPr/>
      </w:pPr>
      <w:bookmarkStart w:id="25" w:name="__RefHeading___Toc1029950_2749589250"/>
      <w:bookmarkStart w:id="26" w:name="_Toc8"/>
      <w:bookmarkEnd w:id="24"/>
      <w:bookmarkEnd w:id="25"/>
      <w:r>
        <w:rPr>
          <w:rtl w:val="true"/>
        </w:rPr>
        <w:t>حق زندگی</w:t>
      </w:r>
      <w:bookmarkEnd w:id="26"/>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نَفْسَهُ مُتَعَمِّدا فَهُوَ فی نارِ جَهَنَّمَ خالِدا فِیها؛</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خود را عمدا بکشد، جایگاه او همیشه در آتش جهنّم خواهد بود</w:t>
      </w:r>
      <w:r>
        <w:rPr>
          <w:rFonts w:eastAsia="IRNazanin" w:cs="IRNazanin"/>
          <w:color w:val="111111"/>
          <w:sz w:val="28"/>
          <w:szCs w:val="28"/>
          <w:rtl w:val="true"/>
          <w:lang w:bidi="fa-IR"/>
        </w:rPr>
        <w:t>.</w:t>
      </w:r>
      <w:r>
        <w:rPr>
          <w:rStyle w:val="FootnoteAnchor"/>
          <w:rtl w:val="true"/>
        </w:rPr>
        <w:footnoteReference w:id="8"/>
      </w:r>
      <w:bookmarkStart w:id="27" w:name="pg3080_20429"/>
    </w:p>
    <w:p>
      <w:pPr>
        <w:pStyle w:val="Heading2"/>
        <w:numPr>
          <w:ilvl w:val="1"/>
          <w:numId w:val="1"/>
        </w:numPr>
        <w:rPr/>
      </w:pPr>
      <w:bookmarkStart w:id="28" w:name="__RefHeading___Toc1029952_2749589250"/>
      <w:bookmarkStart w:id="29" w:name="_Toc9"/>
      <w:bookmarkEnd w:id="27"/>
      <w:bookmarkEnd w:id="28"/>
      <w:r>
        <w:rPr>
          <w:rtl w:val="true"/>
        </w:rPr>
        <w:t>حق عدالت</w:t>
      </w:r>
      <w:bookmarkEnd w:id="29"/>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عِبادَ اللّه‌ِ کانَ اللّه‌ُ خَصْمَهُ دوُنَ عِبادِهِ، و مَن خاصَمَهُ اللّه‌ُ أَدحَضَ حُجَّتَهُ، و کانَ اللّه‌ُ حَربا حَتّی یَنزِعَ و یَتُوبَ، و لَیسَ شَی‌ءٌ أَدعی إِلی تَغیِیرِ نِعْمَةِ اللّه‌ِ و تَعجِیلِ نِقْمَتِهِ مِن إِقامَةٍ عَلی ظُلمٍ، فَإِنَّ اللّه‌َ سَمِیعٌ دَعْوَةَ المُضطَهَدِینَ، و هُوَ لِلظَّالِمیِنَ بِالمِرصادِ؛</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بندگان خدا ستم کند، خداوند پیش از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بندگانش دشمن او خواهد بود، و کسی که خداوند دشمن او باشد دلیلش را باطل می‌سازد و با او به جنگ می‌پردازد، تا دست از ظلم بردارد یا توبه کند، و هیچ چیزی در تغییر نعمت‌های خدا و تعجیل انتقام و کیفرش، از اصرار بر ستم سریعتر و زودرس‌تر نیست؛ چرا که خداوند دعا و خواسته مظلومان را می‌شنود و در کمین ستمگران است</w:t>
      </w:r>
      <w:r>
        <w:rPr>
          <w:rFonts w:eastAsia="IRNazanin" w:cs="IRNazanin"/>
          <w:color w:val="111111"/>
          <w:sz w:val="28"/>
          <w:szCs w:val="28"/>
          <w:rtl w:val="true"/>
          <w:lang w:bidi="fa-IR"/>
        </w:rPr>
        <w:t xml:space="preserve">. </w:t>
      </w:r>
      <w:bookmarkStart w:id="30" w:name="pg3080_20433"/>
    </w:p>
    <w:p>
      <w:pPr>
        <w:pStyle w:val="Heading2"/>
        <w:numPr>
          <w:ilvl w:val="1"/>
          <w:numId w:val="1"/>
        </w:numPr>
        <w:rPr/>
      </w:pPr>
      <w:bookmarkStart w:id="31" w:name="__RefHeading___Toc1029954_2749589250"/>
      <w:bookmarkStart w:id="32" w:name="_Toc10"/>
      <w:bookmarkEnd w:id="30"/>
      <w:bookmarkEnd w:id="31"/>
      <w:r>
        <w:rPr>
          <w:rtl w:val="true"/>
        </w:rPr>
        <w:t>حق امنیت جانی</w:t>
      </w:r>
      <w:bookmarkEnd w:id="32"/>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تَعالی إلی مُوسَی بْنِ عِمْرانَ علیه‌السلام أَنْ یا مُوسی قُلْ لِلْمَلاَءِ مِنْ بَنی إِسْرائیلَ إِیّاکُمْ وَ قَتْلَ النَّفْسِ الحَرامِ بِغَیْرِ حَقٍّ، فَإِنَّ مَنْ قَتَلَ مِنْکُم نَفسا فی الدُّنیا قَتَلْتُهُ فی النّارِ مِائَةَ أَلْفِ قَتْلَةٍ مِثْلَ قَتْلِ صاحِبِهِ؛</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بن عمران علیه‌السلام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زورمندان بنی‌اسرائیل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ناحق کشتن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بی‌گناه بر حذر باشید؛ زیرا هر کدام از شما در دنیا کسی را بکشد، او صد هزار مرتبه، همانند کشتن رفیقش او را در آتش خواهد کشت</w:t>
      </w:r>
      <w:r>
        <w:rPr>
          <w:rFonts w:eastAsia="IRNazanin" w:cs="IRNazanin"/>
          <w:color w:val="111111"/>
          <w:sz w:val="28"/>
          <w:szCs w:val="28"/>
          <w:rtl w:val="true"/>
          <w:lang w:bidi="fa-IR"/>
        </w:rPr>
        <w:t xml:space="preserve">. </w:t>
      </w:r>
      <w:bookmarkStart w:id="33" w:name="pg3080_20437"/>
    </w:p>
    <w:p>
      <w:pPr>
        <w:pStyle w:val="Heading2"/>
        <w:numPr>
          <w:ilvl w:val="1"/>
          <w:numId w:val="1"/>
        </w:numPr>
        <w:rPr/>
      </w:pPr>
      <w:bookmarkStart w:id="34" w:name="__RefHeading___Toc1029956_2749589250"/>
      <w:bookmarkStart w:id="35" w:name="_Toc11"/>
      <w:bookmarkEnd w:id="33"/>
      <w:bookmarkEnd w:id="34"/>
      <w:r>
        <w:rPr>
          <w:rtl w:val="true"/>
        </w:rPr>
        <w:t>حق کرامت و احترام</w:t>
      </w:r>
      <w:bookmarkEnd w:id="35"/>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حضرت 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تُحَقِّرَنَّ أَحَدا بِخُلقانِ ثِیابِهِ فَإِنَّ رَبَّکَ و رَبَّهُ واحِدٌ؛</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به سبب کهنه بودن جامه‌اش تحقیر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 مشمار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پروردگار تو و او یکی است</w:t>
      </w:r>
      <w:r>
        <w:rPr>
          <w:rFonts w:eastAsia="IRNazanin" w:cs="IRNazanin"/>
          <w:color w:val="111111"/>
          <w:sz w:val="28"/>
          <w:szCs w:val="28"/>
          <w:rtl w:val="true"/>
          <w:lang w:bidi="fa-IR"/>
        </w:rPr>
        <w:t xml:space="preserve">. </w:t>
      </w:r>
      <w:bookmarkStart w:id="36" w:name="pg3080_20439"/>
    </w:p>
    <w:p>
      <w:pPr>
        <w:pStyle w:val="Heading2"/>
        <w:numPr>
          <w:ilvl w:val="1"/>
          <w:numId w:val="1"/>
        </w:numPr>
        <w:rPr/>
      </w:pPr>
      <w:bookmarkStart w:id="37" w:name="__RefHeading___Toc1029958_2749589250"/>
      <w:bookmarkStart w:id="38" w:name="_Toc12"/>
      <w:bookmarkEnd w:id="36"/>
      <w:bookmarkEnd w:id="37"/>
      <w:r>
        <w:rPr>
          <w:rtl w:val="true"/>
        </w:rPr>
        <w:t>حق آبرومندی</w:t>
      </w:r>
      <w:bookmarkEnd w:id="38"/>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بالِغٍ مِن ذَکَرٍ أَوْ أُنثی إِفتَری عَلی صَغِیرٍ أَو کَبِیرٍ أَو ذَکَرٍ أَو أُنثی أَو مُسلِمٍ أَوْ کافرٍ أَو حُرٍّ أَو مَملُوکٍ فَعَلَیهِ حَدُّ الفِریَةِ، و عَلی غَیرِ البالِغِ حَدُّ الأَدَبِ؛</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مرد یا زن بالغی که بر کوچک یا بزرگ، مرد یا زن، مسلمان یا کافر، آزاد یا برده افترا ببندد، بر او حد دروغ و تهمت جاری می‌شود، و بر غیر بالغ حد تأدیب جاری می‌شود</w:t>
      </w:r>
      <w:r>
        <w:rPr>
          <w:rFonts w:eastAsia="IRNazanin" w:cs="IRNazanin"/>
          <w:color w:val="111111"/>
          <w:sz w:val="28"/>
          <w:szCs w:val="28"/>
          <w:rtl w:val="true"/>
          <w:lang w:bidi="fa-IR"/>
        </w:rPr>
        <w:t xml:space="preserve">. </w:t>
      </w:r>
      <w:bookmarkStart w:id="39" w:name="pg3080_20441"/>
    </w:p>
    <w:p>
      <w:pPr>
        <w:pStyle w:val="Heading2"/>
        <w:numPr>
          <w:ilvl w:val="1"/>
          <w:numId w:val="1"/>
        </w:numPr>
        <w:rPr/>
      </w:pPr>
      <w:bookmarkStart w:id="40" w:name="__RefHeading___Toc1029960_2749589250"/>
      <w:bookmarkStart w:id="41" w:name="_Toc13"/>
      <w:bookmarkEnd w:id="39"/>
      <w:bookmarkEnd w:id="40"/>
      <w:r>
        <w:rPr>
          <w:rtl w:val="true"/>
        </w:rPr>
        <w:t>حق مالکیت</w:t>
      </w:r>
      <w:bookmarkEnd w:id="41"/>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مُسَلَّطُونَ عَلی أَمْوالِهِمْ؛</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 اموال خویش مسلّط‌اند</w:t>
      </w:r>
      <w:r>
        <w:rPr>
          <w:rFonts w:eastAsia="IRNazanin" w:cs="IRNazanin"/>
          <w:color w:val="111111"/>
          <w:sz w:val="28"/>
          <w:szCs w:val="28"/>
          <w:rtl w:val="true"/>
          <w:lang w:bidi="fa-IR"/>
        </w:rPr>
        <w:t xml:space="preserve">. </w:t>
      </w:r>
      <w:bookmarkStart w:id="42" w:name="pg3080_20443"/>
    </w:p>
    <w:p>
      <w:pPr>
        <w:pStyle w:val="Heading2"/>
        <w:numPr>
          <w:ilvl w:val="1"/>
          <w:numId w:val="1"/>
        </w:numPr>
        <w:rPr/>
      </w:pPr>
      <w:bookmarkStart w:id="43" w:name="__RefHeading___Toc1029962_2749589250"/>
      <w:bookmarkStart w:id="44" w:name="_Toc14"/>
      <w:bookmarkEnd w:id="42"/>
      <w:bookmarkEnd w:id="43"/>
      <w:r>
        <w:rPr>
          <w:rtl w:val="true"/>
        </w:rPr>
        <w:t>حق امنیت مالی</w:t>
      </w:r>
      <w:bookmarkEnd w:id="44"/>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امام مهدی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لاَیَحِلُّ لِأَحَدٍ أَنْ یَتَصَرَّفَ فی مالِ غَیرِهِ بِغَیرِ إِذْنِهِ؛</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هیچ کس تصرف در مال دیگری جایز نیست، مگر با اجازه او</w:t>
      </w:r>
      <w:r>
        <w:rPr>
          <w:rFonts w:eastAsia="IRNazanin" w:cs="IRNazanin"/>
          <w:color w:val="111111"/>
          <w:sz w:val="28"/>
          <w:szCs w:val="28"/>
          <w:rtl w:val="true"/>
          <w:lang w:bidi="fa-IR"/>
        </w:rPr>
        <w:t xml:space="preserve">. </w:t>
      </w:r>
      <w:bookmarkStart w:id="45" w:name="pg3080_20445"/>
    </w:p>
    <w:p>
      <w:pPr>
        <w:pStyle w:val="Heading2"/>
        <w:numPr>
          <w:ilvl w:val="1"/>
          <w:numId w:val="1"/>
        </w:numPr>
        <w:rPr/>
      </w:pPr>
      <w:bookmarkStart w:id="46" w:name="__RefHeading___Toc1029964_2749589250"/>
      <w:bookmarkStart w:id="47" w:name="_Toc15"/>
      <w:bookmarkEnd w:id="45"/>
      <w:bookmarkEnd w:id="46"/>
      <w:r>
        <w:rPr>
          <w:rtl w:val="true"/>
        </w:rPr>
        <w:t>حق داد و ستد</w:t>
      </w:r>
      <w:bookmarkEnd w:id="47"/>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 قَد أَحَلَّ اللّه‌ُ البَیعَ و حَرَّمَ الرِّبا، بِعْ وَ ارْبَحْ وَلاتُرْبِ؛</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داد و ستد را حلال و ربا را حرام کرده است، خرید و فروش کن و سود ببر و ربا نخور</w:t>
      </w:r>
      <w:r>
        <w:rPr>
          <w:rFonts w:eastAsia="IRNazanin" w:cs="IRNazanin"/>
          <w:color w:val="111111"/>
          <w:sz w:val="28"/>
          <w:szCs w:val="28"/>
          <w:rtl w:val="true"/>
          <w:lang w:bidi="fa-IR"/>
        </w:rPr>
        <w:t xml:space="preserve">. </w:t>
      </w:r>
      <w:bookmarkStart w:id="48" w:name="pg3080_20447"/>
    </w:p>
    <w:p>
      <w:pPr>
        <w:pStyle w:val="Heading2"/>
        <w:numPr>
          <w:ilvl w:val="1"/>
          <w:numId w:val="1"/>
        </w:numPr>
        <w:rPr/>
      </w:pPr>
      <w:bookmarkStart w:id="49" w:name="__RefHeading___Toc1029966_2749589250"/>
      <w:bookmarkStart w:id="50" w:name="_Toc16"/>
      <w:bookmarkEnd w:id="48"/>
      <w:bookmarkEnd w:id="49"/>
      <w:r>
        <w:rPr>
          <w:rtl w:val="true"/>
        </w:rPr>
        <w:t>حق امنیت اجتماعی</w:t>
      </w:r>
      <w:bookmarkEnd w:id="50"/>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أَشارَ بِحَدِیدَةٍ فی مِصْرٍ قُطِعَتْ یَدُهُ، و مَن ضَرَبَ فِیها قُتِلَ؛</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ایجاد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 اسلحه به سوی مردم اشاره کند، دستش بریده می‌شود، و هر کس کسی را مورد ضرب قرار دهد کشته می‌شود</w:t>
      </w:r>
      <w:r>
        <w:rPr>
          <w:rFonts w:eastAsia="IRNazanin" w:cs="IRNazanin"/>
          <w:color w:val="111111"/>
          <w:sz w:val="28"/>
          <w:szCs w:val="28"/>
          <w:rtl w:val="true"/>
          <w:lang w:bidi="fa-IR"/>
        </w:rPr>
        <w:t xml:space="preserve">. </w:t>
      </w:r>
      <w:bookmarkStart w:id="51" w:name="pg3080_20449"/>
    </w:p>
    <w:p>
      <w:pPr>
        <w:pStyle w:val="Heading2"/>
        <w:numPr>
          <w:ilvl w:val="1"/>
          <w:numId w:val="1"/>
        </w:numPr>
        <w:rPr/>
      </w:pPr>
      <w:bookmarkStart w:id="52" w:name="__RefHeading___Toc1029968_2749589250"/>
      <w:bookmarkStart w:id="53" w:name="_Toc17"/>
      <w:bookmarkEnd w:id="51"/>
      <w:bookmarkEnd w:id="52"/>
      <w:r>
        <w:rPr>
          <w:rtl w:val="true"/>
        </w:rPr>
        <w:t>حق امنیت ناموس</w:t>
      </w:r>
      <w:bookmarkEnd w:id="53"/>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اطَّلَعَ عَلی قَومٍ فی دارِهِم لِیَنْظُرَ إِلی عَوراتِهِم فَرَمَوْهُ، فَفَقَئُوا عَیْنَیْهِ أَو جَرَحُوهُ فَلا دِیَةَ لَهُ؛</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مردی که به منظور نگاه کردن به ناموس کسانی، به درون منزل آن‌ها سربکشد و آن‌ها با انداختن چیزی به سوی او، چشم او را کور کنند، و یا جراحتی بر او وارد آورند، دیه‌ای ندارد</w:t>
      </w:r>
      <w:r>
        <w:rPr>
          <w:rFonts w:eastAsia="IRNazanin" w:cs="IRNazanin"/>
          <w:color w:val="111111"/>
          <w:sz w:val="28"/>
          <w:szCs w:val="28"/>
          <w:rtl w:val="true"/>
          <w:lang w:bidi="fa-IR"/>
        </w:rPr>
        <w:t xml:space="preserve">. </w:t>
      </w:r>
      <w:bookmarkStart w:id="54" w:name="pg3080_20451"/>
    </w:p>
    <w:p>
      <w:pPr>
        <w:pStyle w:val="Heading2"/>
        <w:numPr>
          <w:ilvl w:val="1"/>
          <w:numId w:val="1"/>
        </w:numPr>
        <w:rPr/>
      </w:pPr>
      <w:bookmarkStart w:id="55" w:name="__RefHeading___Toc1029970_2749589250"/>
      <w:bookmarkStart w:id="56" w:name="_Toc18"/>
      <w:bookmarkEnd w:id="54"/>
      <w:bookmarkEnd w:id="55"/>
      <w:r>
        <w:rPr>
          <w:rtl w:val="true"/>
        </w:rPr>
        <w:t>ممنوعیت تفتیش در زندگی خصوصی</w:t>
      </w:r>
      <w:bookmarkEnd w:id="56"/>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امام امیرمؤمنان علی علیه‌السلام به مالک اشتر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وَلْیَکُنْ أَبْعَدَ رَعِیَّتِکَ مِنکَ وَ أَشْنَأَهُمْ عِنْدَکَ أَطْلَبُهُم لِمَعایِبِ النّاسِ، فَإِنَّ فِی النّاسِ عُیُوبا الْوالی أَحَقُّ مَنْ سَتَرَها، فَلا تَکْشِفَنَّ عَمّا غابَ عَنکَ مِنها، فَإِنَّما عَلَیکَ تَطهیرُ ما ظَهَرَلَکَ وَ اللّه‌ُ یَحْکُمُ عَلی ما غابَ عَنکَ، فَاْستُرِ العَوْرَةَ مَا استَطَعْتَ، یَسْتُرِ اللّه‌ُ مِنکَ ما تُحِبُّ سَتْرَهُ مِن رَعِیَّتِکَ؛</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رعیت، کسی را بیش از همه دور و دشمن بداری که به عیبجویی از مردم و گفتن زشتی‌های آنان اصرار دارد؛ زیرا مردم عیوب وزشتی‌هایی دارند که سزاوارترین کس برای پوشاندن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زشتی‌های پوشیده مردم را آشکار مکن، بر تو است پوشاندن آن‌چه بر تو آشکار شود، و خداوند بر آن‌چه از تو پنهان است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 زشتی را بپوشان تا خدا هم زشتی تو را که دوست داری از رعیت پنهان بماند، پوشیده دارد</w:t>
      </w:r>
      <w:r>
        <w:rPr>
          <w:rFonts w:eastAsia="IRNazanin" w:cs="IRNazanin"/>
          <w:color w:val="111111"/>
          <w:sz w:val="28"/>
          <w:szCs w:val="28"/>
          <w:rtl w:val="true"/>
          <w:lang w:bidi="fa-IR"/>
        </w:rPr>
        <w:t xml:space="preserve">. </w:t>
      </w:r>
      <w:bookmarkStart w:id="57" w:name="pg3080_20455"/>
    </w:p>
    <w:p>
      <w:pPr>
        <w:pStyle w:val="Heading2"/>
        <w:numPr>
          <w:ilvl w:val="1"/>
          <w:numId w:val="1"/>
        </w:numPr>
        <w:rPr/>
      </w:pPr>
      <w:bookmarkStart w:id="58" w:name="__RefHeading___Toc1029972_2749589250"/>
      <w:bookmarkStart w:id="59" w:name="_Toc19"/>
      <w:bookmarkEnd w:id="57"/>
      <w:bookmarkEnd w:id="58"/>
      <w:r>
        <w:rPr>
          <w:rtl w:val="true"/>
        </w:rPr>
        <w:t>حق برابری در برابر قانون</w:t>
      </w:r>
      <w:bookmarkEnd w:id="59"/>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أَهلَکَ النّاسَ قَبلَکُم إِنَّهُم کانُوا إِذا سَرَقَ فِیِهُمُ الشَّرِیفُ تَرَکُوهُ و إِذا سَرَقَ فِیهِمُ الَّضعِیفُ أَقامُوا عَلَیهِ الحَدَّ، و الَّذِی نَفسُ مُحَمَّدٍ صلی‌الله‌علیه‌و‌آله بِیَدِهِ لَو أَنَّ فاطِمَةَ بِنْتَ مُحَمَّدٍ صلی‌الله‌علیه‌و‌آله سَرَقَتْ لَقَطَعْتُ یَدَها؛</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پیش از شما را چیزی جز این روش به هلاکت نرساند که وقتی شریف و توانمندشان دست به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دزدی می‌زد او را رها می‌کردند، و هنگامی که ضعیف و ناتوان‌شان دزدی می‌کرد، بر او حد جاری می‌کردند، سوگند به آن کسی که جان محمّد صلی‌الله‌علیه‌و‌آله در دست او است، اگر فاطمه، دختر محمّد صلی‌الله‌علیه‌و‌آله دست به دزدی بزند، دست او را قطع خواهم کرد</w:t>
      </w:r>
      <w:r>
        <w:rPr>
          <w:rFonts w:eastAsia="IRNazanin" w:cs="IRNazanin"/>
          <w:color w:val="111111"/>
          <w:sz w:val="28"/>
          <w:szCs w:val="28"/>
          <w:rtl w:val="true"/>
          <w:lang w:bidi="fa-IR"/>
        </w:rPr>
        <w:t xml:space="preserve">. </w:t>
      </w:r>
      <w:bookmarkStart w:id="60" w:name="pg3080_20458"/>
    </w:p>
    <w:p>
      <w:pPr>
        <w:pStyle w:val="Heading2"/>
        <w:numPr>
          <w:ilvl w:val="1"/>
          <w:numId w:val="1"/>
        </w:numPr>
        <w:rPr/>
      </w:pPr>
      <w:bookmarkStart w:id="61" w:name="__RefHeading___Toc1029974_2749589250"/>
      <w:bookmarkStart w:id="62" w:name="_Toc20"/>
      <w:bookmarkEnd w:id="60"/>
      <w:bookmarkEnd w:id="61"/>
      <w:r>
        <w:rPr>
          <w:rtl w:val="true"/>
        </w:rPr>
        <w:t>حق دادخواهی</w:t>
      </w:r>
      <w:bookmarkEnd w:id="62"/>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امام امیرمؤمنان علی علیه‌السلام به مالک 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سَمِعْتُ رَسُولَ اللّه‌ِ صلی‌الله‌علیه‌و‌آله یَقُولُ فی غَیرِ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أُمَّةٌ لا یُؤْخَذُ لِلضّعَیِفِ فیِها حَقُّهُ مِنَ القَوِیِّ غَیْرَ مُتَتَعْتِعٍ؛</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صلی‌الله‌علیه‌و‌آله بارها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رستگار نخواهند شد مردمی که ضعیف و ناتوان آنان نتواند حق خود را از قوی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بگیرد</w:t>
      </w:r>
      <w:r>
        <w:rPr>
          <w:rFonts w:eastAsia="IRNazanin" w:cs="IRNazanin"/>
          <w:color w:val="111111"/>
          <w:sz w:val="28"/>
          <w:szCs w:val="28"/>
          <w:rtl w:val="true"/>
          <w:lang w:bidi="fa-IR"/>
        </w:rPr>
        <w:t xml:space="preserve">. </w:t>
      </w:r>
      <w:bookmarkStart w:id="63" w:name="pg3080_20460"/>
    </w:p>
    <w:p>
      <w:pPr>
        <w:pStyle w:val="Heading2"/>
        <w:numPr>
          <w:ilvl w:val="1"/>
          <w:numId w:val="1"/>
        </w:numPr>
        <w:rPr/>
      </w:pPr>
      <w:bookmarkStart w:id="64" w:name="__RefHeading___Toc1029976_2749589250"/>
      <w:bookmarkStart w:id="65" w:name="_Toc21"/>
      <w:bookmarkEnd w:id="63"/>
      <w:bookmarkEnd w:id="64"/>
      <w:r>
        <w:rPr>
          <w:rtl w:val="true"/>
        </w:rPr>
        <w:t>حق شکایت</w:t>
      </w:r>
      <w:bookmarkEnd w:id="65"/>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امام امیرمؤمنان علی علیه‌السلام خطاب به مالک 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تَفَقَّدْ أُمُورَ مَن لا یَصِلُ إِلَیکَ مِنهُم مِمَّن تَقْتَحِمُهُ العُیُونُ، و تَحْقِرُهُ الرِّجالُ، فَفَرِّغْ لاِءُولَئِکَ ثِقَتَکَ مِنْ أَهلِ الخَشیَةِ و التَّواضُعِ، فَلْیَرفَعْ إِلَیْکَ أُمُورَهُمْ؛</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آنهایی که مشکلات دارند و در نظر مردم تحقیر شده‌اند و نمی‌توانند شکایت خود را به تو برسانند جستجو به عمل آور و افراد مطمئن و خدا ترس و فروتن را برای آن‌ها بگمار تا درخواست‌های آنان را به تو گزارش نمایند</w:t>
      </w:r>
      <w:r>
        <w:rPr>
          <w:rFonts w:eastAsia="IRNazanin" w:cs="IRNazanin"/>
          <w:color w:val="111111"/>
          <w:sz w:val="28"/>
          <w:szCs w:val="28"/>
          <w:rtl w:val="true"/>
          <w:lang w:bidi="fa-IR"/>
        </w:rPr>
        <w:t xml:space="preserve">. </w:t>
      </w:r>
      <w:bookmarkStart w:id="66" w:name="pg3080_20462"/>
    </w:p>
    <w:p>
      <w:pPr>
        <w:pStyle w:val="Heading2"/>
        <w:numPr>
          <w:ilvl w:val="1"/>
          <w:numId w:val="1"/>
        </w:numPr>
        <w:rPr/>
      </w:pPr>
      <w:bookmarkStart w:id="67" w:name="__RefHeading___Toc1029978_2749589250"/>
      <w:bookmarkStart w:id="68" w:name="_Toc22"/>
      <w:bookmarkEnd w:id="66"/>
      <w:bookmarkEnd w:id="67"/>
      <w:r>
        <w:rPr>
          <w:rtl w:val="true"/>
        </w:rPr>
        <w:t>حق قضاوت عادلانه</w:t>
      </w:r>
      <w:bookmarkEnd w:id="68"/>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واسِ بَینَ المُسلِمِینَ بِوَجْهِکَ و مَنطِقِکَ و مَجلِسِکَ حَتّی لا یَطمَعَ قَرِیبُکَ فِی حَیفِکَ ولا یَیأَسَ عَدُوُّکَ مِن عَدلِکَ؛</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 داوری در میان مسلمانان طوری قرار بگیر که نگاه و گفتار و نحوه نشستن تو نسبت به آن‌ها یکسان باشد، تا خویشان نزدیک تو طمع و چشم داشت ظلم و ستم نداشته باشند و دشمن تو از عدل و انصاف تو مأیوس نگردد</w:t>
      </w:r>
      <w:r>
        <w:rPr>
          <w:rFonts w:eastAsia="IRNazanin" w:cs="IRNazanin"/>
          <w:color w:val="111111"/>
          <w:sz w:val="28"/>
          <w:szCs w:val="28"/>
          <w:rtl w:val="true"/>
          <w:lang w:bidi="fa-IR"/>
        </w:rPr>
        <w:t xml:space="preserve">. </w:t>
      </w:r>
      <w:bookmarkStart w:id="69" w:name="pg3080_20464"/>
    </w:p>
    <w:p>
      <w:pPr>
        <w:pStyle w:val="Heading2"/>
        <w:numPr>
          <w:ilvl w:val="1"/>
          <w:numId w:val="1"/>
        </w:numPr>
        <w:rPr/>
      </w:pPr>
      <w:bookmarkStart w:id="70" w:name="__RefHeading___Toc1029980_2749589250"/>
      <w:bookmarkStart w:id="71" w:name="_Toc23"/>
      <w:bookmarkEnd w:id="69"/>
      <w:bookmarkEnd w:id="70"/>
      <w:r>
        <w:rPr>
          <w:rtl w:val="true"/>
        </w:rPr>
        <w:t>ممنوعیت شکنجه</w:t>
      </w:r>
      <w:bookmarkEnd w:id="71"/>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ضَرَبَ رَجُلاً سَوطا ظُلما ضَرَبَهُ اللّه‌ُ تَبارَکَ وَ تَعالی بِسَوطٍ مِنْ نارٍ؛</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روی ستم تازیانه به کسی بزند، خداوند متعال او را با تازیانه‌ای از آتش خواهد زد</w:t>
      </w:r>
      <w:r>
        <w:rPr>
          <w:rFonts w:eastAsia="IRNazanin" w:cs="IRNazanin"/>
          <w:color w:val="111111"/>
          <w:sz w:val="28"/>
          <w:szCs w:val="28"/>
          <w:rtl w:val="true"/>
          <w:lang w:bidi="fa-IR"/>
        </w:rPr>
        <w:t xml:space="preserve">. </w:t>
      </w:r>
      <w:bookmarkStart w:id="72" w:name="pg3080_20466"/>
    </w:p>
    <w:p>
      <w:pPr>
        <w:pStyle w:val="Heading2"/>
        <w:numPr>
          <w:ilvl w:val="1"/>
          <w:numId w:val="1"/>
        </w:numPr>
        <w:rPr/>
      </w:pPr>
      <w:bookmarkStart w:id="73" w:name="__RefHeading___Toc1029982_2749589250"/>
      <w:bookmarkStart w:id="74" w:name="_Toc24"/>
      <w:bookmarkEnd w:id="72"/>
      <w:bookmarkEnd w:id="73"/>
      <w:r>
        <w:rPr>
          <w:rtl w:val="true"/>
        </w:rPr>
        <w:t>حق مصونیت متهم</w:t>
      </w:r>
      <w:bookmarkEnd w:id="74"/>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تَجرِیدٍ أَو حَبسٍ أَو تَخوِیفٍ، أَو تَهدِیدٍ فَلا حَدَّ عَلَیهِ؛</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أمیرالمؤمنین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برهنه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زندان یا ترساندن یا تهدید، اقرار کند، بر او حد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اعترافی اثر ندارد</w:t>
      </w:r>
      <w:r>
        <w:rPr>
          <w:rFonts w:eastAsia="IRNazanin" w:cs="IRNazanin"/>
          <w:color w:val="111111"/>
          <w:sz w:val="28"/>
          <w:szCs w:val="28"/>
          <w:rtl w:val="true"/>
          <w:lang w:bidi="fa-IR"/>
        </w:rPr>
        <w:t xml:space="preserve">). </w:t>
      </w:r>
      <w:bookmarkStart w:id="75" w:name="pg3080_20468"/>
    </w:p>
    <w:p>
      <w:pPr>
        <w:pStyle w:val="Heading2"/>
        <w:numPr>
          <w:ilvl w:val="1"/>
          <w:numId w:val="1"/>
        </w:numPr>
        <w:rPr/>
      </w:pPr>
      <w:bookmarkStart w:id="76" w:name="__RefHeading___Toc1029984_2749589250"/>
      <w:bookmarkStart w:id="77" w:name="_Toc25"/>
      <w:bookmarkEnd w:id="75"/>
      <w:bookmarkEnd w:id="76"/>
      <w:r>
        <w:rPr>
          <w:rtl w:val="true"/>
        </w:rPr>
        <w:t>حق تناسب جرم و جزا</w:t>
      </w:r>
      <w:bookmarkEnd w:id="77"/>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بَیَّنَ الْحُدُودَ و جَعَلَ عَلی کُلِّ مَن تَعَدَّی الحَدَّ، حَدّا؛</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و تعیین نموده، و برای هر کسی که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نماید، مجازاتی قرار داده است</w:t>
      </w:r>
      <w:r>
        <w:rPr>
          <w:rFonts w:eastAsia="IRNazanin" w:cs="IRNazanin"/>
          <w:color w:val="111111"/>
          <w:sz w:val="28"/>
          <w:szCs w:val="28"/>
          <w:rtl w:val="true"/>
          <w:lang w:bidi="fa-IR"/>
        </w:rPr>
        <w:t xml:space="preserve">. </w:t>
      </w:r>
      <w:bookmarkStart w:id="78" w:name="pg3080_20470"/>
    </w:p>
    <w:p>
      <w:pPr>
        <w:pStyle w:val="Heading2"/>
        <w:numPr>
          <w:ilvl w:val="1"/>
          <w:numId w:val="1"/>
        </w:numPr>
        <w:rPr/>
      </w:pPr>
      <w:bookmarkStart w:id="79" w:name="__RefHeading___Toc1029986_2749589250"/>
      <w:bookmarkStart w:id="80" w:name="_Toc26"/>
      <w:bookmarkEnd w:id="78"/>
      <w:bookmarkEnd w:id="79"/>
      <w:r>
        <w:rPr>
          <w:rtl w:val="true"/>
        </w:rPr>
        <w:t>حق انتخاب وطن</w:t>
      </w:r>
      <w:bookmarkEnd w:id="80"/>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اَلاَْرْضُ أَرْضُ اللّه‌ِ وَالْعِبادُ عِبادُ اللّه‌ِ فَحَیْثُ وَجَدَ أَحَدُکُمْ خَیرا فَلْیَتَّقِ اللّه‌َ وَلْیُقِمْ؛</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زمین خدا و بندگان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هر جا را نیکو یافت تقوای الهی پیشه کند و اقامت گزیند</w:t>
      </w:r>
      <w:r>
        <w:rPr>
          <w:rFonts w:eastAsia="IRNazanin" w:cs="IRNazanin"/>
          <w:color w:val="111111"/>
          <w:sz w:val="28"/>
          <w:szCs w:val="28"/>
          <w:rtl w:val="true"/>
          <w:lang w:bidi="fa-IR"/>
        </w:rPr>
        <w:t xml:space="preserve">. </w:t>
      </w:r>
      <w:bookmarkStart w:id="81" w:name="pg3080_20472"/>
    </w:p>
    <w:p>
      <w:pPr>
        <w:pStyle w:val="Heading2"/>
        <w:numPr>
          <w:ilvl w:val="1"/>
          <w:numId w:val="1"/>
        </w:numPr>
        <w:rPr/>
      </w:pPr>
      <w:bookmarkStart w:id="82" w:name="__RefHeading___Toc1029988_2749589250"/>
      <w:bookmarkStart w:id="83" w:name="_Toc27"/>
      <w:bookmarkEnd w:id="81"/>
      <w:bookmarkEnd w:id="82"/>
      <w:r>
        <w:rPr>
          <w:rtl w:val="true"/>
        </w:rPr>
        <w:t>حق ازدواج</w:t>
      </w:r>
      <w:bookmarkEnd w:id="83"/>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بِنَاءٌ فِی الإِسلامِ أَحَبُّ إِلَی اللّه‌ِ مِنَ التَّزْوِیِجِ؛</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بنایی در اسلام بنا نشده که نزد خداوند، محبوب‌تر از بنیان ازدواج باشد</w:t>
      </w:r>
      <w:r>
        <w:rPr>
          <w:rFonts w:eastAsia="IRNazanin" w:cs="IRNazanin"/>
          <w:color w:val="111111"/>
          <w:sz w:val="28"/>
          <w:szCs w:val="28"/>
          <w:rtl w:val="true"/>
          <w:lang w:bidi="fa-IR"/>
        </w:rPr>
        <w:t xml:space="preserve">. </w:t>
      </w:r>
      <w:bookmarkStart w:id="84" w:name="pg3080_20474"/>
    </w:p>
    <w:p>
      <w:pPr>
        <w:pStyle w:val="Heading2"/>
        <w:numPr>
          <w:ilvl w:val="1"/>
          <w:numId w:val="1"/>
        </w:numPr>
        <w:rPr/>
      </w:pPr>
      <w:bookmarkStart w:id="85" w:name="__RefHeading___Toc1029990_2749589250"/>
      <w:bookmarkStart w:id="86" w:name="_Toc28"/>
      <w:bookmarkEnd w:id="84"/>
      <w:bookmarkEnd w:id="85"/>
      <w:r>
        <w:rPr>
          <w:rtl w:val="true"/>
        </w:rPr>
        <w:t>حق توالد و تناسل</w:t>
      </w:r>
      <w:bookmarkEnd w:id="86"/>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تَناکَحُوا تَناسَلُوا، فَإِنِّی أُباهِی بِکُمُ الأُمَمَ یَومَ القِیامَةِ؛</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کنید تا صاحب نسل و فرزند شوید؛ زیرا من به سبب شما در روز قیامت بر سایر امت‌ها مباهات می‌کنم</w:t>
      </w:r>
      <w:r>
        <w:rPr>
          <w:rFonts w:eastAsia="IRNazanin" w:cs="IRNazanin"/>
          <w:color w:val="111111"/>
          <w:sz w:val="28"/>
          <w:szCs w:val="28"/>
          <w:rtl w:val="true"/>
          <w:lang w:bidi="fa-IR"/>
        </w:rPr>
        <w:t xml:space="preserve">. </w:t>
      </w:r>
      <w:bookmarkStart w:id="87" w:name="pg3080_20476"/>
    </w:p>
    <w:p>
      <w:pPr>
        <w:pStyle w:val="BookText"/>
        <w:rPr/>
      </w:pPr>
      <w:bookmarkEnd w:id="87"/>
      <w:r>
        <w:rPr>
          <w:rFonts w:eastAsia="Times New Roman" w:cs="Times New Roman" w:ascii="Times New Roman" w:hAnsi="Times New Roman"/>
          <w:color w:val="111111"/>
          <w:sz w:val="28"/>
          <w:szCs w:val="28"/>
          <w:lang w:val="en-US" w:bidi="en-US"/>
        </w:rPr>
        <w:t>64</w:t>
      </w:r>
    </w:p>
    <w:p>
      <w:pPr>
        <w:pStyle w:val="Heading2"/>
        <w:numPr>
          <w:ilvl w:val="1"/>
          <w:numId w:val="1"/>
        </w:numPr>
        <w:rPr/>
      </w:pPr>
      <w:bookmarkStart w:id="88" w:name="__RefHeading___Toc1029992_2749589250"/>
      <w:bookmarkStart w:id="89" w:name="_Toc29"/>
      <w:bookmarkEnd w:id="88"/>
      <w:r>
        <w:rPr>
          <w:rtl w:val="true"/>
        </w:rPr>
        <w:t>حق مسکن</w:t>
      </w:r>
      <w:bookmarkEnd w:id="89"/>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 قُلتُ لِأَبی عَبدِاللّه‌ِ علیه‌السلام إِنَّ لیِ عَلی رَجُلٍ دَیْنا وَ قَد أَرادَ أَن یَبِیعَ دارَهُ فَیُعطِیَنِی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أَن تُخْرِجَهُ مِن ظِلِّ رَأْسِهِ؛</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 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مردی طلب دارم، او می‌خواهد خانه‌اش را بفروشد و طلب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پناه می‌دهم از این که او را از سر پناهش بیرون کنی</w:t>
      </w:r>
      <w:r>
        <w:rPr>
          <w:rFonts w:eastAsia="IRNazanin" w:cs="IRNazanin"/>
          <w:color w:val="111111"/>
          <w:sz w:val="28"/>
          <w:szCs w:val="28"/>
          <w:rtl w:val="true"/>
          <w:lang w:bidi="fa-IR"/>
        </w:rPr>
        <w:t xml:space="preserve">». </w:t>
      </w:r>
      <w:bookmarkStart w:id="90" w:name="pg3080_20478"/>
    </w:p>
    <w:p>
      <w:pPr>
        <w:pStyle w:val="Heading2"/>
        <w:numPr>
          <w:ilvl w:val="1"/>
          <w:numId w:val="1"/>
        </w:numPr>
        <w:rPr/>
      </w:pPr>
      <w:bookmarkStart w:id="91" w:name="__RefHeading___Toc1029994_2749589250"/>
      <w:bookmarkStart w:id="92" w:name="_Toc30"/>
      <w:bookmarkEnd w:id="90"/>
      <w:bookmarkEnd w:id="91"/>
      <w:r>
        <w:rPr>
          <w:rtl w:val="true"/>
        </w:rPr>
        <w:t>حق امنیت منزل</w:t>
      </w:r>
      <w:bookmarkEnd w:id="92"/>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الفَتحِ بنِ یَزِیدَ الْجُرْجَانِیِّ، عَن أَبِی الحَسَنِ عَلَیْهِ السَّلامُ، فی رَجُلٍ دَخَلَ عَلی دارِ آخَرَلِلّتَلَصُّصِ ، أَو لِلفُجُورِ، فَقَتَلَهُ صاحِبُ الدَّارِ، أَیُقْتَلُ بِهِ أَم لا؟ فَقالَ عَلَیهِ السَّلامُ اِعْلَمْ أَنَّ مَن دَخَلَ دارَ غَیرِهِ فَقَد أُهْدِرَ دَمُهُ ولا یَجِبُ عَلَیهِ شَی‌ءٌ؛</w:t>
      </w:r>
      <w:r>
        <w:rPr>
          <w:rStyle w:val="FootnoteAnchor"/>
          <w:rtl w:val="true"/>
        </w:rPr>
        <w:footnoteReference w:id="3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بن یزید جرجانی از امام رضا علیه‌السلام درباره مردی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دزدی یا بی‌عفتی کردن وارد منزل کسی شده و به دست صاحب خانه کشته شود،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قاتل به سبب قتل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هر کس وارد منزل دیگری گردد، خون او هدر است و هیچ گونه مجازاتی بر قاتل نیست</w:t>
      </w:r>
      <w:r>
        <w:rPr>
          <w:rFonts w:eastAsia="IRNazanin" w:cs="IRNazanin"/>
          <w:color w:val="111111"/>
          <w:sz w:val="28"/>
          <w:szCs w:val="28"/>
          <w:rtl w:val="true"/>
          <w:lang w:bidi="fa-IR"/>
        </w:rPr>
        <w:t xml:space="preserve">.» </w:t>
      </w:r>
      <w:bookmarkStart w:id="93" w:name="pg3080_20482"/>
    </w:p>
    <w:p>
      <w:pPr>
        <w:pStyle w:val="Heading2"/>
        <w:numPr>
          <w:ilvl w:val="1"/>
          <w:numId w:val="1"/>
        </w:numPr>
        <w:rPr/>
      </w:pPr>
      <w:bookmarkStart w:id="94" w:name="__RefHeading___Toc1029996_2749589250"/>
      <w:bookmarkStart w:id="95" w:name="_Toc31"/>
      <w:bookmarkEnd w:id="93"/>
      <w:bookmarkEnd w:id="94"/>
      <w:r>
        <w:rPr>
          <w:rtl w:val="true"/>
        </w:rPr>
        <w:t>حق دفاع شخصی</w:t>
      </w:r>
      <w:bookmarkEnd w:id="95"/>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عَلَیکَ رَجُلٌ یُرِیدُ أَهلَکَ و مالَکَ فَابْدُرْهُ بِالضَّرْبَةِ إِنِ استَطَعتَ، فَإِنَّ اللِّصَّ مُحارِبٌ ِللّه‌ِ و لِرَسُولِهِ، فَما تَبِعَکَ مِنهُ شَی‌ءٌ فَهُوَ عَلَیَّ؛</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مردی به قصد خانواده و مالت بر تو وارد شود، اگر توانستی در ضربه زدن بر او پیشی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دستی کن و به سرعت ضربتی بر او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دزد، با خدا و رسول وی در جنگ است، اگر کار تو پیامدی داشت، بر عهده من است</w:t>
      </w:r>
      <w:r>
        <w:rPr>
          <w:rFonts w:eastAsia="IRNazanin" w:cs="IRNazanin"/>
          <w:color w:val="111111"/>
          <w:sz w:val="28"/>
          <w:szCs w:val="28"/>
          <w:rtl w:val="true"/>
          <w:lang w:bidi="fa-IR"/>
        </w:rPr>
        <w:t xml:space="preserve">. </w:t>
      </w:r>
      <w:bookmarkStart w:id="96" w:name="pg3080_20484"/>
    </w:p>
    <w:p>
      <w:pPr>
        <w:pStyle w:val="Heading2"/>
        <w:numPr>
          <w:ilvl w:val="1"/>
          <w:numId w:val="1"/>
        </w:numPr>
        <w:rPr/>
      </w:pPr>
      <w:bookmarkStart w:id="97" w:name="__RefHeading___Toc1029998_2749589250"/>
      <w:bookmarkStart w:id="98" w:name="_Toc32"/>
      <w:bookmarkEnd w:id="96"/>
      <w:bookmarkEnd w:id="97"/>
      <w:r>
        <w:rPr>
          <w:rtl w:val="true"/>
        </w:rPr>
        <w:t>حق آموزش</w:t>
      </w:r>
      <w:bookmarkEnd w:id="98"/>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ألْعِلْمُ لا یَحِلُّ مَنْعُهُ؛</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علم جایز نیست</w:t>
      </w:r>
      <w:r>
        <w:rPr>
          <w:rFonts w:eastAsia="IRNazanin" w:cs="IRNazanin"/>
          <w:color w:val="111111"/>
          <w:sz w:val="28"/>
          <w:szCs w:val="28"/>
          <w:rtl w:val="true"/>
          <w:lang w:bidi="fa-IR"/>
        </w:rPr>
        <w:t xml:space="preserve">. </w:t>
      </w:r>
      <w:bookmarkStart w:id="99" w:name="pg3080_20486"/>
    </w:p>
    <w:p>
      <w:pPr>
        <w:pStyle w:val="Heading2"/>
        <w:numPr>
          <w:ilvl w:val="1"/>
          <w:numId w:val="1"/>
        </w:numPr>
        <w:rPr/>
      </w:pPr>
      <w:bookmarkStart w:id="100" w:name="__RefHeading___Toc1030000_2749589250"/>
      <w:bookmarkStart w:id="101" w:name="_Toc33"/>
      <w:bookmarkEnd w:id="99"/>
      <w:bookmarkEnd w:id="100"/>
      <w:r>
        <w:rPr>
          <w:rtl w:val="true"/>
        </w:rPr>
        <w:t>حق آزادی اشتغال</w:t>
      </w:r>
      <w:bookmarkEnd w:id="101"/>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أَری أَن أُجْبِرَ أَحَدا عَلی عَمَلٍ یَکْرَهُهُ؛</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 نمی‌دانم کسی را به انجام کاری مجبور کنم که آن را دوست ندارد</w:t>
      </w:r>
      <w:r>
        <w:rPr>
          <w:rFonts w:eastAsia="IRNazanin" w:cs="IRNazanin"/>
          <w:color w:val="111111"/>
          <w:sz w:val="28"/>
          <w:szCs w:val="28"/>
          <w:rtl w:val="true"/>
          <w:lang w:bidi="fa-IR"/>
        </w:rPr>
        <w:t xml:space="preserve">. </w:t>
      </w:r>
      <w:bookmarkStart w:id="102" w:name="pg3080_20488"/>
    </w:p>
    <w:p>
      <w:pPr>
        <w:pStyle w:val="Heading2"/>
        <w:numPr>
          <w:ilvl w:val="1"/>
          <w:numId w:val="1"/>
        </w:numPr>
        <w:rPr/>
      </w:pPr>
      <w:bookmarkStart w:id="103" w:name="__RefHeading___Toc1030002_2749589250"/>
      <w:bookmarkStart w:id="104" w:name="_Toc34"/>
      <w:bookmarkEnd w:id="102"/>
      <w:bookmarkEnd w:id="103"/>
      <w:r>
        <w:rPr>
          <w:rtl w:val="true"/>
        </w:rPr>
        <w:t>حق تأمین معاش آبرومندانه</w:t>
      </w:r>
      <w:bookmarkEnd w:id="104"/>
    </w:p>
    <w:p>
      <w:pPr>
        <w:pStyle w:val="BookText"/>
        <w:rPr/>
      </w:pPr>
      <w:r>
        <w:rPr>
          <w:rFonts w:ascii="IRNazanin" w:hAnsi="IRNazanin" w:eastAsia="IRNazanin"/>
          <w:color w:val="111111"/>
          <w:sz w:val="28"/>
          <w:sz w:val="28"/>
          <w:szCs w:val="28"/>
          <w:rtl w:val="true"/>
          <w:lang w:bidi="fa-IR"/>
        </w:rPr>
        <w:t>پ</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امام امیرمؤمنان علی علیه‌السلام به مالک اشتر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و قِسما مِن غَلّاتِ صَوافیِ الإِسلامِ فی کُلِّ بَلَدٍ؛</w:t>
      </w:r>
      <w:r>
        <w:rPr>
          <w:rStyle w:val="FootnoteAnchor"/>
          <w:rtl w:val="true"/>
        </w:rPr>
        <w:footnoteReference w:id="3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پایین و زیر دستان جامعه را در نظر داشته باش؛ آن‌هایی که چاره ندارند، فقیر، محتاج، زمین‌گیر و گرفتارند، زیرا در این طبقه هم نیازمندی است که نیاز خود را اظهار می‌کند و هم نیازمندی است که نیاز خود را اظهار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آن‌چه را که از حق خود درباره تو امر کرده است انجام ده، بخشی از بیت المال و بخشی از غلّات زمین‌های غنیمت اسلام را که در هر شهری به دست آمده برای آنان مقرر دار</w:t>
      </w:r>
      <w:r>
        <w:rPr>
          <w:rFonts w:eastAsia="IRNazanin" w:cs="IRNazanin"/>
          <w:color w:val="111111"/>
          <w:sz w:val="28"/>
          <w:szCs w:val="28"/>
          <w:rtl w:val="true"/>
          <w:lang w:bidi="fa-IR"/>
        </w:rPr>
        <w:t xml:space="preserve">. </w:t>
      </w:r>
      <w:bookmarkStart w:id="105" w:name="pg3080_20491"/>
    </w:p>
    <w:p>
      <w:pPr>
        <w:pStyle w:val="Heading2"/>
        <w:numPr>
          <w:ilvl w:val="1"/>
          <w:numId w:val="1"/>
        </w:numPr>
        <w:rPr/>
      </w:pPr>
      <w:bookmarkStart w:id="106" w:name="__RefHeading___Toc1030004_2749589250"/>
      <w:bookmarkStart w:id="107" w:name="_Toc35"/>
      <w:bookmarkEnd w:id="105"/>
      <w:bookmarkEnd w:id="106"/>
      <w:r>
        <w:rPr>
          <w:rtl w:val="true"/>
        </w:rPr>
        <w:t>حق محبّت و همزیستی</w:t>
      </w:r>
      <w:bookmarkEnd w:id="107"/>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تَصافَحُوا و تَهَادَوْا، فَإِنَّ المُصافَحَةَ تَزِیدُ فی المَوَدَّةِ، وَ الْهَدِیَّةَ تَذْهَبُ الغِلَّ؛</w:t>
      </w:r>
      <w:r>
        <w:rPr>
          <w:rStyle w:val="FootnoteAnchor"/>
          <w:rtl w:val="true"/>
        </w:rPr>
        <w:footnoteReference w:id="3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همدیگر دست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همدیگر هدیه دهید؛ زیرا دست دادن بر محبّت می‌افزاید و هدیه دادن کینه را می‌زداید</w:t>
      </w:r>
      <w:r>
        <w:rPr>
          <w:rFonts w:eastAsia="IRNazanin" w:cs="IRNazanin"/>
          <w:color w:val="111111"/>
          <w:sz w:val="28"/>
          <w:szCs w:val="28"/>
          <w:rtl w:val="true"/>
          <w:lang w:bidi="fa-IR"/>
        </w:rPr>
        <w:t xml:space="preserve">. </w:t>
      </w:r>
      <w:bookmarkStart w:id="108" w:name="pg3080_20493"/>
    </w:p>
    <w:p>
      <w:pPr>
        <w:pStyle w:val="Heading2"/>
        <w:numPr>
          <w:ilvl w:val="1"/>
          <w:numId w:val="1"/>
        </w:numPr>
        <w:rPr/>
      </w:pPr>
      <w:bookmarkStart w:id="109" w:name="__RefHeading___Toc1030006_2749589250"/>
      <w:bookmarkStart w:id="110" w:name="_Toc36"/>
      <w:bookmarkEnd w:id="108"/>
      <w:bookmarkEnd w:id="109"/>
      <w:r>
        <w:rPr>
          <w:rtl w:val="true"/>
        </w:rPr>
        <w:t>حق مشاوره</w:t>
      </w:r>
      <w:bookmarkEnd w:id="110"/>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مَلَکَ استَأثَرَ، و مَنِ استَبَدَّ بِرَأْیِهِ هَلَکَ، و مَن شاوَرَ الرِّجالَ شارَکَها فِی عُقُولِها؛</w:t>
      </w:r>
      <w:r>
        <w:rPr>
          <w:rStyle w:val="FootnoteAnchor"/>
          <w:rtl w:val="true"/>
        </w:rPr>
        <w:footnoteReference w:id="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امتیازجو می‌شود و هر که خود رأیی نماید تباه گردد، و هر که با مردان مشورت نماید با خردهاشان شرکت می‌کند</w:t>
      </w:r>
      <w:r>
        <w:rPr>
          <w:rFonts w:eastAsia="IRNazanin" w:cs="IRNazanin"/>
          <w:color w:val="111111"/>
          <w:sz w:val="28"/>
          <w:szCs w:val="28"/>
          <w:rtl w:val="true"/>
          <w:lang w:bidi="fa-IR"/>
        </w:rPr>
        <w:t xml:space="preserve">. </w:t>
      </w:r>
      <w:bookmarkStart w:id="111" w:name="pg3080_20495"/>
    </w:p>
    <w:p>
      <w:pPr>
        <w:pStyle w:val="Heading2"/>
        <w:numPr>
          <w:ilvl w:val="1"/>
          <w:numId w:val="1"/>
        </w:numPr>
        <w:rPr/>
      </w:pPr>
      <w:bookmarkStart w:id="112" w:name="__RefHeading___Toc1030008_2749589250"/>
      <w:bookmarkStart w:id="113" w:name="_Toc37"/>
      <w:bookmarkEnd w:id="111"/>
      <w:bookmarkEnd w:id="112"/>
      <w:r>
        <w:rPr>
          <w:rtl w:val="true"/>
        </w:rPr>
        <w:t>حق صدق و امانت</w:t>
      </w:r>
      <w:bookmarkEnd w:id="113"/>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بِأَداءِ الاَمانَةِ فَوَ الَّذِی بَعَثَ مُحَمَّدا صلی‌الله‌علیه‌و‌آله بِالْحَقِّ نَبِیّا لَو أَنَّ قاتِلَ أَبی الحُسَینِ بنِ عَلِیٍّ علیه‌السلام إِئْتَمَنَنِی عَلَی السَّیْفِ الّذِی قَتَلَهُ بِهِ لاَءَدَّیْتُهُ إِلَیهِ؛</w:t>
      </w:r>
      <w:r>
        <w:rPr>
          <w:rStyle w:val="FootnoteAnchor"/>
          <w:rtl w:val="true"/>
        </w:rPr>
        <w:footnoteReference w:id="3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ادای امانت، سوگند به آن کسی که محمّد صلی‌الله‌علیه‌و‌آله را به حق به نبوت فرستاده، اگر قاتل پدرم شمشیری که با آن پدرم را کشته بود به من امانت می‌سپرد، هر آینه آن را به او برمی‌گرداندم</w:t>
      </w:r>
      <w:r>
        <w:rPr>
          <w:rFonts w:eastAsia="IRNazanin" w:cs="IRNazanin"/>
          <w:color w:val="111111"/>
          <w:sz w:val="28"/>
          <w:szCs w:val="28"/>
          <w:rtl w:val="true"/>
          <w:lang w:bidi="fa-IR"/>
        </w:rPr>
        <w:t xml:space="preserve">. </w:t>
      </w:r>
      <w:bookmarkStart w:id="114" w:name="pg3080_20497"/>
    </w:p>
    <w:p>
      <w:pPr>
        <w:pStyle w:val="Heading2"/>
        <w:numPr>
          <w:ilvl w:val="1"/>
          <w:numId w:val="1"/>
        </w:numPr>
        <w:rPr/>
      </w:pPr>
      <w:bookmarkStart w:id="115" w:name="__RefHeading___Toc1030010_2749589250"/>
      <w:bookmarkStart w:id="116" w:name="_Toc38"/>
      <w:bookmarkEnd w:id="114"/>
      <w:bookmarkEnd w:id="115"/>
      <w:r>
        <w:rPr>
          <w:rtl w:val="true"/>
        </w:rPr>
        <w:t>حق پای بندی به معاهدات</w:t>
      </w:r>
      <w:bookmarkEnd w:id="116"/>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لَم یَجْعَلِ اللّه‌ُ عَزَّوَجَلَّ لاِءَحَدٍ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الاَمانَةِ إِلی البَرِّ وَ الفاجِرِ، و الوَفاءُ بِالعَهدِ لِلْبَرِّ و الفاجِرِ و بِرُّ الوالِدَینِ بَرَّینِ کانا أَو فاجِرَیْنِ؛</w:t>
      </w:r>
      <w:r>
        <w:rPr>
          <w:rStyle w:val="FootnoteAnchor"/>
          <w:rtl w:val="true"/>
        </w:rPr>
        <w:footnoteReference w:id="3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هیچ کس در سه چیز رخصت قرار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امانت به نیکوکار و بدکار، وفا به پیمان با نیکوکار و بدکار، نیکی به پدر و مادر، نیکوکار باشند یا بدکار</w:t>
      </w:r>
      <w:r>
        <w:rPr>
          <w:rFonts w:eastAsia="IRNazanin" w:cs="IRNazanin"/>
          <w:color w:val="111111"/>
          <w:sz w:val="28"/>
          <w:szCs w:val="28"/>
          <w:rtl w:val="true"/>
          <w:lang w:bidi="fa-IR"/>
        </w:rPr>
        <w:t xml:space="preserve">. </w:t>
      </w:r>
      <w:bookmarkStart w:id="117" w:name="pg3080_20499"/>
    </w:p>
    <w:p>
      <w:pPr>
        <w:pStyle w:val="Heading2"/>
        <w:numPr>
          <w:ilvl w:val="1"/>
          <w:numId w:val="1"/>
        </w:numPr>
        <w:rPr/>
      </w:pPr>
      <w:bookmarkStart w:id="118" w:name="__RefHeading___Toc1030012_2749589250"/>
      <w:bookmarkStart w:id="119" w:name="_Toc39"/>
      <w:bookmarkEnd w:id="117"/>
      <w:bookmarkEnd w:id="118"/>
      <w:r>
        <w:rPr>
          <w:rtl w:val="true"/>
        </w:rPr>
        <w:t>حق امهال وامدار</w:t>
      </w:r>
      <w:bookmarkEnd w:id="119"/>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أَقْرَضَ رَجُلاً قَرْضا إِلی مَیسَرَةٍ کانَ مالُهُ فی زَکاةٍ و کانَ هُوَ فی الصَّلاةِ مَعَ المَلائِکَةِ حَتّی یَقضِیَهُ؛</w:t>
      </w:r>
      <w:r>
        <w:rPr>
          <w:rStyle w:val="FootnoteAnchor"/>
          <w:rtl w:val="true"/>
        </w:rPr>
        <w:footnoteReference w:id="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تا هنگام وسعت مالی مردی به او قرض بدهد، مالش در رشد و نموّ بوده و خودش با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تا زمانی که آن مرد قرض را ادا نماید</w:t>
      </w:r>
      <w:r>
        <w:rPr>
          <w:rFonts w:eastAsia="IRNazanin" w:cs="IRNazanin"/>
          <w:color w:val="111111"/>
          <w:sz w:val="28"/>
          <w:szCs w:val="28"/>
          <w:rtl w:val="true"/>
          <w:lang w:bidi="fa-IR"/>
        </w:rPr>
        <w:t xml:space="preserve">. </w:t>
      </w:r>
      <w:bookmarkStart w:id="120" w:name="pg3080_20502"/>
    </w:p>
    <w:p>
      <w:pPr>
        <w:pStyle w:val="Heading2"/>
        <w:numPr>
          <w:ilvl w:val="1"/>
          <w:numId w:val="1"/>
        </w:numPr>
        <w:rPr/>
      </w:pPr>
      <w:bookmarkStart w:id="121" w:name="__RefHeading___Toc1030014_2749589250"/>
      <w:bookmarkStart w:id="122" w:name="_Toc40"/>
      <w:bookmarkEnd w:id="120"/>
      <w:bookmarkEnd w:id="121"/>
      <w:r>
        <w:rPr>
          <w:rtl w:val="true"/>
        </w:rPr>
        <w:t>حق مصالحه</w:t>
      </w:r>
      <w:bookmarkEnd w:id="122"/>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w:t>
      </w:r>
      <w:r>
        <w:rPr>
          <w:rStyle w:val="FootnoteAnchor"/>
          <w:rtl w:val="true"/>
        </w:rPr>
        <w:footnoteReference w:id="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خواهی میان مردمی که با هم اختلاف می‌کنند، و نزدیک نمودن آنان به همدیگر هنگامی که از هم دوری می‌کنند، صدقه‌ای است که خدا آن را دوست دارد</w:t>
      </w:r>
      <w:r>
        <w:rPr>
          <w:rFonts w:eastAsia="IRNazanin" w:cs="IRNazanin"/>
          <w:color w:val="111111"/>
          <w:sz w:val="28"/>
          <w:szCs w:val="28"/>
          <w:rtl w:val="true"/>
          <w:lang w:bidi="fa-IR"/>
        </w:rPr>
        <w:t xml:space="preserve">. </w:t>
      </w:r>
      <w:bookmarkStart w:id="123" w:name="pg3080_20504"/>
    </w:p>
    <w:p>
      <w:pPr>
        <w:pStyle w:val="Heading2"/>
        <w:numPr>
          <w:ilvl w:val="1"/>
          <w:numId w:val="1"/>
        </w:numPr>
        <w:rPr/>
      </w:pPr>
      <w:bookmarkStart w:id="124" w:name="__RefHeading___Toc1030016_2749589250"/>
      <w:bookmarkStart w:id="125" w:name="_Toc41"/>
      <w:bookmarkEnd w:id="123"/>
      <w:bookmarkEnd w:id="124"/>
      <w:r>
        <w:rPr>
          <w:rtl w:val="true"/>
        </w:rPr>
        <w:t>حق وکالت</w:t>
      </w:r>
      <w:bookmarkEnd w:id="125"/>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وَکَّلَ رَجُلاً عَلی إِمضاءِ أَمرٍ مِنَ الأُمُورِ فَالْوَکَالَةُ ثابِتَةٌ أَبَدا حَتّی یُعْلِمَهُ بِالخُروُجِ مِنها کَما أَعْلَمَهُ بِالدُّخُولِ فِیها؛</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مردی را برای انجام کاری وکیل نماید، وکالت او همواره ثابت است، تا این که عزل او را از وکالت به وی خبر دهد، همچنان که نصب او را به وکالت به او اعلام کرده بود</w:t>
      </w:r>
      <w:r>
        <w:rPr>
          <w:rFonts w:eastAsia="IRNazanin" w:cs="IRNazanin"/>
          <w:color w:val="111111"/>
          <w:sz w:val="28"/>
          <w:szCs w:val="28"/>
          <w:rtl w:val="true"/>
          <w:lang w:bidi="fa-IR"/>
        </w:rPr>
        <w:t xml:space="preserve">. </w:t>
      </w:r>
      <w:bookmarkStart w:id="126" w:name="pg3080_20506"/>
    </w:p>
    <w:p>
      <w:pPr>
        <w:pStyle w:val="Heading2"/>
        <w:numPr>
          <w:ilvl w:val="1"/>
          <w:numId w:val="1"/>
        </w:numPr>
        <w:rPr/>
      </w:pPr>
      <w:bookmarkStart w:id="127" w:name="__RefHeading___Toc1030018_2749589250"/>
      <w:bookmarkStart w:id="128" w:name="_Toc42"/>
      <w:bookmarkEnd w:id="126"/>
      <w:bookmarkEnd w:id="127"/>
      <w:r>
        <w:rPr>
          <w:rtl w:val="true"/>
        </w:rPr>
        <w:t>حق شراکت</w:t>
      </w:r>
      <w:bookmarkEnd w:id="128"/>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اللّه‌ِ عَلَی الشَّرِیکَینِ ما لَمْ یَتَخَاوَنا؛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خدا بالای سر دو شریک است تا هنگامی که به همدیگر خیانت نکنند</w:t>
      </w:r>
      <w:r>
        <w:rPr>
          <w:rFonts w:eastAsia="IRNazanin" w:cs="IRNazanin"/>
          <w:color w:val="111111"/>
          <w:sz w:val="28"/>
          <w:szCs w:val="28"/>
          <w:rtl w:val="true"/>
          <w:lang w:bidi="fa-IR"/>
        </w:rPr>
        <w:t>.</w:t>
      </w:r>
      <w:r>
        <w:rPr>
          <w:rStyle w:val="FootnoteAnchor"/>
          <w:rtl w:val="true"/>
        </w:rPr>
        <w:footnoteReference w:id="42"/>
      </w:r>
      <w:bookmarkStart w:id="129" w:name="pg3080_20507"/>
    </w:p>
    <w:p>
      <w:pPr>
        <w:pStyle w:val="Heading2"/>
        <w:numPr>
          <w:ilvl w:val="1"/>
          <w:numId w:val="1"/>
        </w:numPr>
        <w:rPr/>
      </w:pPr>
      <w:bookmarkStart w:id="130" w:name="__RefHeading___Toc1030020_2749589250"/>
      <w:bookmarkStart w:id="131" w:name="_Toc43"/>
      <w:bookmarkEnd w:id="129"/>
      <w:bookmarkEnd w:id="130"/>
      <w:r>
        <w:rPr>
          <w:rtl w:val="true"/>
        </w:rPr>
        <w:t>حق بهره‌برداری از منابع طبیعی</w:t>
      </w:r>
      <w:bookmarkEnd w:id="131"/>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حق بهره‌برداری از منابع طبیعیامام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یَحِلُّ مَنْعُهُنَّ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المِلحُ، وَ الکَلاَءُ، وَ النّارُ، وَ العِلمُ؛</w:t>
      </w:r>
      <w:r>
        <w:rPr>
          <w:rStyle w:val="FootnoteAnchor"/>
          <w:rtl w:val="true"/>
        </w:rPr>
        <w:footnoteReference w:id="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و جلوگیری از پنج 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نمک، گیاه، آتش و علم</w:t>
      </w:r>
      <w:r>
        <w:rPr>
          <w:rFonts w:eastAsia="IRNazanin" w:cs="IRNazanin"/>
          <w:color w:val="111111"/>
          <w:sz w:val="28"/>
          <w:szCs w:val="28"/>
          <w:rtl w:val="true"/>
          <w:lang w:bidi="fa-IR"/>
        </w:rPr>
        <w:t xml:space="preserve">. </w:t>
      </w:r>
      <w:bookmarkStart w:id="132" w:name="pg3080_20510"/>
    </w:p>
    <w:p>
      <w:pPr>
        <w:pStyle w:val="Heading2"/>
        <w:numPr>
          <w:ilvl w:val="1"/>
          <w:numId w:val="1"/>
        </w:numPr>
        <w:rPr/>
      </w:pPr>
      <w:bookmarkStart w:id="133" w:name="__RefHeading___Toc1030022_2749589250"/>
      <w:bookmarkStart w:id="134" w:name="_Toc44"/>
      <w:bookmarkEnd w:id="132"/>
      <w:bookmarkEnd w:id="133"/>
      <w:r>
        <w:rPr>
          <w:rtl w:val="true"/>
        </w:rPr>
        <w:t>حق آزادی سفر</w:t>
      </w:r>
      <w:bookmarkEnd w:id="134"/>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سَافِرُوا، فَإِنَّکُمْ إِنْ لَمْ تَغنَمُوا مَالاً، أَفَدْتُم عَقْلاً؛</w:t>
      </w:r>
      <w:r>
        <w:rPr>
          <w:rStyle w:val="FootnoteAnchor"/>
          <w:rtl w:val="true"/>
        </w:rPr>
        <w:footnoteReference w:id="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مالی به دست نیاوردید، از نظر عقلی رشد می‌کنید</w:t>
      </w:r>
      <w:r>
        <w:rPr>
          <w:rFonts w:eastAsia="IRNazanin" w:cs="IRNazanin"/>
          <w:color w:val="111111"/>
          <w:sz w:val="28"/>
          <w:szCs w:val="28"/>
          <w:rtl w:val="true"/>
          <w:lang w:bidi="fa-IR"/>
        </w:rPr>
        <w:t xml:space="preserve">. </w:t>
      </w:r>
      <w:bookmarkStart w:id="135" w:name="pg3080_20511"/>
    </w:p>
    <w:p>
      <w:pPr>
        <w:pStyle w:val="Heading2"/>
        <w:numPr>
          <w:ilvl w:val="1"/>
          <w:numId w:val="1"/>
        </w:numPr>
        <w:rPr/>
      </w:pPr>
      <w:bookmarkStart w:id="136" w:name="__RefHeading___Toc1030024_2749589250"/>
      <w:bookmarkStart w:id="137" w:name="_Toc45"/>
      <w:bookmarkEnd w:id="135"/>
      <w:bookmarkEnd w:id="136"/>
      <w:r>
        <w:rPr>
          <w:rtl w:val="true"/>
        </w:rPr>
        <w:t>حقوق متقابل دولت و ملت</w:t>
      </w:r>
      <w:bookmarkEnd w:id="137"/>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 لی عَلَیکُمْ حَقّا وَلَکُمْ عَلَیَّ حَقٌّ، فَأَمّا حَقُّکُمْ عَلَیَّ فَالنَّصِیْحَةُ لَکُمْ وَ تَوْفیرُفَیْئِکُمْ عَلَیْکُم وَ تَعْلِیْمُکُمْ کَیْلا تَجْهَلُوا وَ تَأدیبُکُمْ کَیْما تَعْلَمُوا، وَأَمّا حَقّی عَلَیْکُمْ فَالْوَفاءُ بِالْبَیْعةِ وَالنَّصِیحَةُ فِی الْمَشْهَدِ وَالْمَغِیبِ وَالاِْجابَةُ حینَ أدْعُوکُم وَالطّاعَةُ حینَ آمُرُکُم؛</w:t>
      </w:r>
      <w:r>
        <w:rPr>
          <w:rStyle w:val="FootnoteAnchor"/>
          <w:rtl w:val="true"/>
        </w:rPr>
        <w:footnoteReference w:id="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مرا بر شما حقی و شما را بر من حقی است، امّا حقی که شما بر من دارید خیرخواهی نسبت به شما و رساندن غنیمت و حقوق به طور مستوفا به شما، و یاد دادن به شما است تا نادان نمانید، و تربیت نمودن شما است تا بیاموزید، امّا حقی که من بر شما دارم باقی بودن بر بیعت و اخلاص و خیرخواهی در پنهان و آشکار، و اجابت هنگامی که شما را بخوانم، و اطاعت و پیروی است، آنگاه که شما را امر می‌کنم</w:t>
      </w:r>
      <w:r>
        <w:rPr>
          <w:rFonts w:eastAsia="IRNazanin" w:cs="IRNazanin"/>
          <w:color w:val="111111"/>
          <w:sz w:val="28"/>
          <w:szCs w:val="28"/>
          <w:rtl w:val="true"/>
          <w:lang w:bidi="fa-IR"/>
        </w:rPr>
        <w:t xml:space="preserve">. </w:t>
      </w:r>
      <w:bookmarkStart w:id="138" w:name="pg3080_20516"/>
    </w:p>
    <w:p>
      <w:pPr>
        <w:pStyle w:val="Heading2"/>
        <w:numPr>
          <w:ilvl w:val="1"/>
          <w:numId w:val="1"/>
        </w:numPr>
        <w:rPr/>
      </w:pPr>
      <w:bookmarkStart w:id="139" w:name="__RefHeading___Toc1030026_2749589250"/>
      <w:bookmarkStart w:id="140" w:name="_Toc46"/>
      <w:bookmarkEnd w:id="138"/>
      <w:bookmarkEnd w:id="139"/>
      <w:r>
        <w:rPr>
          <w:rtl w:val="true"/>
        </w:rPr>
        <w:t>کتاب نامه</w:t>
      </w:r>
      <w:bookmarkEnd w:id="140"/>
    </w:p>
    <w:p>
      <w:pPr>
        <w:pStyle w:val="BookText"/>
        <w:rPr/>
      </w:pPr>
      <w:r>
        <w:rPr>
          <w:rFonts w:ascii="IRNazanin" w:hAnsi="IRNazanin" w:eastAsia="IRNazanin"/>
          <w:color w:val="111111"/>
          <w:sz w:val="28"/>
          <w:sz w:val="28"/>
          <w:szCs w:val="28"/>
          <w:rtl w:val="true"/>
          <w:lang w:bidi="fa-IR"/>
        </w:rPr>
        <w:t xml:space="preserve">ـ قرآن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احمد بن یحیی بلاذری، تحقیق محمّد باقر محمودی،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بیروت، مؤسسة الاعلمی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محمّدبن حسن صفار، تصحیح میرزا محسن کوچه باغی،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مؤسسه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محمّدبن حسن طوسی، تحقیق سید حسن موسوی خراسانی،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دارالکتب الاسلامیة،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و عقاب الاعمال، محمّدبن علی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قم،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احمد بن علی طبرسی، تعلیقات و ملاحظات </w:t>
      </w:r>
    </w:p>
    <w:p>
      <w:pPr>
        <w:pStyle w:val="BookText"/>
        <w:rPr/>
      </w:pPr>
      <w:r>
        <w:rPr>
          <w:rFonts w:ascii="IRNazanin" w:hAnsi="IRNazanin" w:eastAsia="IRNazanin"/>
          <w:color w:val="111111"/>
          <w:sz w:val="28"/>
          <w:sz w:val="28"/>
          <w:szCs w:val="28"/>
          <w:rtl w:val="true"/>
          <w:lang w:bidi="fa-IR"/>
        </w:rPr>
        <w:t xml:space="preserve">سید محمّدباقر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نجف اشرف، مطبعة النعمان،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نعمان بن محمّدتمیمی مغربی، تحقیق آصف بن علی اصغر فیض،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محمدبن فتال نیشابوری، مقدمه سید محمدمهدی و سید حسن خراسانی،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محمّدبن حسن طوسی، تحقیق سید حسن موسوی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تهران، دارالکتب الاسلامیة،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محمدبن اسماعیل بخاری،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دارالفکر للطباعة و النشر و التوزیع،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محمدبن علی احسائی، تحقیق آقا مجتبی عراقی،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قم، مطبعة سید الشهداء،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محمّدبن یعقوب کلینی، تصحیح علی اکبر غفاری،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پنجم، تهران، دارالکتب الاسلامیة،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علی متقی هندی، تصحیح بکری حیانی و صفوة السفا،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میرزا حسین نوری طبرسی، تحقیق مؤسسه آل البیت،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جلد، چاپ اوّل، قم، مؤسسة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محمّدبن علی صدوق، تصحیح علی اکبر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قم، منشورات جماعة المدرسین فی الحوزة العلمیة،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حسن بن فضل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مشکات الانوار، علی طبرسی، تحقیق مهدی هوشمند،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قم،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سخنان امیرالمؤمنین علیه‌السلام ، ترجمه و شرح </w:t>
      </w:r>
    </w:p>
    <w:p>
      <w:pPr>
        <w:pStyle w:val="BookText"/>
        <w:rPr/>
      </w:pPr>
      <w:r>
        <w:rPr>
          <w:rFonts w:ascii="IRNazanin" w:hAnsi="IRNazanin" w:eastAsia="IRNazanin"/>
          <w:color w:val="111111"/>
          <w:sz w:val="28"/>
          <w:sz w:val="28"/>
          <w:szCs w:val="28"/>
          <w:rtl w:val="true"/>
          <w:lang w:bidi="fa-IR"/>
        </w:rPr>
        <w:t xml:space="preserve">سید علی نقی فیض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نصربن مزاحم منقری، تحقیق عبدالسلام محمّدهارون،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مؤسسة العربیة الحدیثه للطبع و النشر و التوزیع،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غلطگیری مرحله اول انجام شد</w:t>
      </w:r>
    </w:p>
    <w:p>
      <w:pPr>
        <w:pStyle w:val="BookText"/>
        <w:rPr/>
      </w:pPr>
      <w:r>
        <w:rPr>
          <w:rFonts w:ascii="IRNazanin" w:hAnsi="IRNazanin" w:eastAsia="IRNazanin"/>
          <w:color w:val="111111"/>
          <w:sz w:val="28"/>
          <w:sz w:val="28"/>
          <w:szCs w:val="28"/>
          <w:rtl w:val="true"/>
          <w:lang w:bidi="fa-IR"/>
        </w:rPr>
        <w:t xml:space="preserve">غلطگیری مرحله دوم انجام شد </w:t>
      </w:r>
      <w:r>
        <w:rPr>
          <w:rFonts w:eastAsia="IRNazanin" w:cs="IRNazanin"/>
          <w:color w:val="111111"/>
          <w:sz w:val="28"/>
          <w:szCs w:val="28"/>
          <w:lang w:bidi="fa-IR"/>
        </w:rPr>
        <w:t>20/4/1388</w:t>
      </w:r>
    </w:p>
    <w:p>
      <w:pPr>
        <w:pStyle w:val="BookText"/>
        <w:rPr/>
      </w:pPr>
      <w:r>
        <w:rPr>
          <w:rFonts w:ascii="IRNazanin" w:hAnsi="IRNazanin" w:eastAsia="IRNazanin"/>
          <w:color w:val="111111"/>
          <w:sz w:val="28"/>
          <w:sz w:val="28"/>
          <w:szCs w:val="28"/>
          <w:rtl w:val="true"/>
          <w:lang w:bidi="fa-IR"/>
        </w:rPr>
        <w:t xml:space="preserve">غلطگیری سوم انجام شد </w:t>
      </w:r>
      <w:r>
        <w:rPr>
          <w:rFonts w:eastAsia="IRNazanin" w:cs="IRNazanin"/>
          <w:color w:val="111111"/>
          <w:sz w:val="28"/>
          <w:szCs w:val="28"/>
          <w:lang w:bidi="fa-IR"/>
        </w:rPr>
        <w:t>2/6/1388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غلطگیری چهارم انجام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26/8/1388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 سوره مائده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حرمت شدید خود کشی نشان حق حیات انسان‌ها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مشکات الانوار،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4822</Words>
  <Characters>18107</Characters>
  <CharactersWithSpaces>22585</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2026-08-17T20:41:47Z</dcterms:created>
  <dc:creator>ghaemiyeh.com</dc:creator>
  <dc:description/>
  <dc:language>en-US</dc:language>
  <cp:lastModifiedBy/>
  <dcterms:modified xsi:type="dcterms:W3CDTF">2026-08-18T00:11:49Z</dcterms:modified>
  <cp:revision>1</cp:revision>
  <dc:subject/>
  <dc:title>چهل حدیث حقوق بشر</dc:title>
</cp:coreProperties>
</file>

<file path=docProps/custom.xml><?xml version="1.0" encoding="utf-8"?>
<Properties xmlns="http://schemas.openxmlformats.org/officeDocument/2006/custom-properties" xmlns:vt="http://schemas.openxmlformats.org/officeDocument/2006/docPropsVTypes"/>
</file>