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السجود علی التربه الحسینیه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851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3853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3855_2749589250">
            <w:r>
              <w:rPr>
                <w:webHidden/>
                <w:rStyle w:val="IndexLink"/>
                <w:rtl w:val="true"/>
              </w:rPr>
              <w:t>مقدمة المحقق</w:t>
            </w:r>
            <w:r>
              <w:rPr>
                <w:rStyle w:val="IndexLink"/>
                <w:rtl w:val="true"/>
              </w:rPr>
              <w:tab/>
            </w:r>
            <w:r>
              <w:rPr>
                <w:rStyle w:val="IndexLink"/>
              </w:rPr>
              <w:t>6</w:t>
            </w:r>
          </w:hyperlink>
        </w:p>
        <w:p>
          <w:pPr>
            <w:pStyle w:val="Contents2"/>
            <w:tabs>
              <w:tab w:val="clear" w:pos="8743"/>
              <w:tab w:val="right" w:pos="9026" w:leader="dot"/>
            </w:tabs>
            <w:rPr/>
          </w:pPr>
          <w:hyperlink w:anchor="__RefHeading___Toc163857_2749589250">
            <w:r>
              <w:rPr>
                <w:webHidden/>
                <w:rStyle w:val="IndexLink"/>
                <w:rtl w:val="true"/>
              </w:rPr>
              <w:t>منهجنا فی التحقیق</w:t>
            </w:r>
            <w:r>
              <w:rPr>
                <w:rStyle w:val="IndexLink"/>
                <w:rtl w:val="true"/>
              </w:rPr>
              <w:tab/>
            </w:r>
            <w:r>
              <w:rPr>
                <w:rStyle w:val="IndexLink"/>
              </w:rPr>
              <w:t>7</w:t>
            </w:r>
          </w:hyperlink>
        </w:p>
        <w:p>
          <w:pPr>
            <w:pStyle w:val="Contents2"/>
            <w:tabs>
              <w:tab w:val="clear" w:pos="8743"/>
              <w:tab w:val="right" w:pos="9026" w:leader="dot"/>
            </w:tabs>
            <w:rPr/>
          </w:pPr>
          <w:hyperlink w:anchor="__RefHeading___Toc163859_2749589250">
            <w:r>
              <w:rPr>
                <w:webHidden/>
                <w:rStyle w:val="IndexLink"/>
                <w:rtl w:val="true"/>
              </w:rPr>
              <w:t>السید عبد الرضا الشهرستانی</w:t>
            </w:r>
            <w:r>
              <w:rPr>
                <w:rStyle w:val="IndexLink"/>
                <w:rtl w:val="true"/>
              </w:rPr>
              <w:tab/>
            </w:r>
            <w:r>
              <w:rPr>
                <w:rStyle w:val="IndexLink"/>
              </w:rPr>
              <w:t>8</w:t>
            </w:r>
          </w:hyperlink>
        </w:p>
        <w:p>
          <w:pPr>
            <w:pStyle w:val="Contents3"/>
            <w:tabs>
              <w:tab w:val="clear" w:pos="8459"/>
              <w:tab w:val="right" w:pos="9026" w:leader="dot"/>
            </w:tabs>
            <w:rPr/>
          </w:pPr>
          <w:hyperlink w:anchor="__RefHeading___Toc163861_2749589250">
            <w:r>
              <w:rPr>
                <w:webHidden/>
                <w:rStyle w:val="IndexLink"/>
                <w:rtl w:val="true"/>
              </w:rPr>
              <w:t>حیاته العامة</w:t>
            </w:r>
            <w:r>
              <w:rPr>
                <w:rStyle w:val="IndexLink"/>
                <w:rtl w:val="true"/>
              </w:rPr>
              <w:tab/>
            </w:r>
            <w:r>
              <w:rPr>
                <w:rStyle w:val="IndexLink"/>
              </w:rPr>
              <w:t>8</w:t>
            </w:r>
          </w:hyperlink>
        </w:p>
        <w:p>
          <w:pPr>
            <w:pStyle w:val="Contents3"/>
            <w:tabs>
              <w:tab w:val="clear" w:pos="8459"/>
              <w:tab w:val="right" w:pos="9026" w:leader="dot"/>
            </w:tabs>
            <w:rPr/>
          </w:pPr>
          <w:hyperlink w:anchor="__RefHeading___Toc163863_2749589250">
            <w:r>
              <w:rPr>
                <w:webHidden/>
                <w:rStyle w:val="IndexLink"/>
                <w:rtl w:val="true"/>
              </w:rPr>
              <w:t>حیاته العامة</w:t>
            </w:r>
            <w:r>
              <w:rPr>
                <w:rStyle w:val="IndexLink"/>
                <w:rtl w:val="true"/>
              </w:rPr>
              <w:tab/>
            </w:r>
            <w:r>
              <w:rPr>
                <w:rStyle w:val="IndexLink"/>
              </w:rPr>
              <w:t>9</w:t>
            </w:r>
          </w:hyperlink>
        </w:p>
        <w:p>
          <w:pPr>
            <w:pStyle w:val="Contents3"/>
            <w:tabs>
              <w:tab w:val="clear" w:pos="8459"/>
              <w:tab w:val="right" w:pos="9026" w:leader="dot"/>
            </w:tabs>
            <w:rPr/>
          </w:pPr>
          <w:hyperlink w:anchor="__RefHeading___Toc163865_2749589250">
            <w:r>
              <w:rPr>
                <w:webHidden/>
                <w:rStyle w:val="IndexLink"/>
                <w:rtl w:val="true"/>
              </w:rPr>
              <w:t>صفاته</w:t>
            </w:r>
            <w:r>
              <w:rPr>
                <w:rStyle w:val="IndexLink"/>
                <w:rtl w:val="true"/>
              </w:rPr>
              <w:tab/>
            </w:r>
            <w:r>
              <w:rPr>
                <w:rStyle w:val="IndexLink"/>
              </w:rPr>
              <w:t>10</w:t>
            </w:r>
          </w:hyperlink>
        </w:p>
        <w:p>
          <w:pPr>
            <w:pStyle w:val="Contents3"/>
            <w:tabs>
              <w:tab w:val="clear" w:pos="8459"/>
              <w:tab w:val="right" w:pos="9026" w:leader="dot"/>
            </w:tabs>
            <w:rPr/>
          </w:pPr>
          <w:hyperlink w:anchor="__RefHeading___Toc163867_2749589250">
            <w:r>
              <w:rPr>
                <w:webHidden/>
                <w:rStyle w:val="IndexLink"/>
                <w:rtl w:val="true"/>
              </w:rPr>
              <w:t>أعماله وآثاره</w:t>
            </w:r>
            <w:r>
              <w:rPr>
                <w:rStyle w:val="IndexLink"/>
                <w:rtl w:val="true"/>
              </w:rPr>
              <w:tab/>
            </w:r>
            <w:r>
              <w:rPr>
                <w:rStyle w:val="IndexLink"/>
              </w:rPr>
              <w:t>10</w:t>
            </w:r>
          </w:hyperlink>
        </w:p>
        <w:p>
          <w:pPr>
            <w:pStyle w:val="Contents3"/>
            <w:tabs>
              <w:tab w:val="clear" w:pos="8459"/>
              <w:tab w:val="right" w:pos="9026" w:leader="dot"/>
            </w:tabs>
            <w:rPr/>
          </w:pPr>
          <w:hyperlink w:anchor="__RefHeading___Toc163869_2749589250">
            <w:r>
              <w:rPr>
                <w:webHidden/>
                <w:rStyle w:val="IndexLink"/>
                <w:rtl w:val="true"/>
              </w:rPr>
              <w:t>أما المخطوط منها فنذکر</w:t>
            </w:r>
            <w:r>
              <w:rPr>
                <w:rStyle w:val="IndexLink"/>
                <w:rtl w:val="true"/>
              </w:rPr>
              <w:t>:</w:t>
              <w:tab/>
            </w:r>
            <w:r>
              <w:rPr>
                <w:rStyle w:val="IndexLink"/>
              </w:rPr>
              <w:t>12</w:t>
            </w:r>
          </w:hyperlink>
        </w:p>
        <w:p>
          <w:pPr>
            <w:pStyle w:val="Contents3"/>
            <w:tabs>
              <w:tab w:val="clear" w:pos="8459"/>
              <w:tab w:val="right" w:pos="9026" w:leader="dot"/>
            </w:tabs>
            <w:rPr/>
          </w:pPr>
          <w:hyperlink w:anchor="__RefHeading___Toc163871_2749589250">
            <w:r>
              <w:rPr>
                <w:webHidden/>
                <w:rStyle w:val="IndexLink"/>
                <w:rtl w:val="true"/>
              </w:rPr>
              <w:t>وفاته</w:t>
            </w:r>
            <w:r>
              <w:rPr>
                <w:rStyle w:val="IndexLink"/>
                <w:rtl w:val="true"/>
              </w:rPr>
              <w:tab/>
            </w:r>
            <w:r>
              <w:rPr>
                <w:rStyle w:val="IndexLink"/>
              </w:rPr>
              <w:t>13</w:t>
            </w:r>
          </w:hyperlink>
        </w:p>
        <w:p>
          <w:pPr>
            <w:pStyle w:val="Contents2"/>
            <w:tabs>
              <w:tab w:val="clear" w:pos="8743"/>
              <w:tab w:val="right" w:pos="9026" w:leader="dot"/>
            </w:tabs>
            <w:rPr/>
          </w:pPr>
          <w:hyperlink w:anchor="__RefHeading___Toc163873_2749589250">
            <w:r>
              <w:rPr>
                <w:webHidden/>
                <w:rStyle w:val="IndexLink"/>
                <w:rtl w:val="true"/>
              </w:rPr>
              <w:t>بسم الله الرحمن الرحیم</w:t>
            </w:r>
            <w:r>
              <w:rPr>
                <w:rStyle w:val="IndexLink"/>
                <w:rtl w:val="true"/>
              </w:rPr>
              <w:tab/>
            </w:r>
            <w:r>
              <w:rPr>
                <w:rStyle w:val="IndexLink"/>
              </w:rPr>
              <w:t>14</w:t>
            </w:r>
          </w:hyperlink>
        </w:p>
        <w:p>
          <w:pPr>
            <w:pStyle w:val="Contents3"/>
            <w:tabs>
              <w:tab w:val="clear" w:pos="8459"/>
              <w:tab w:val="right" w:pos="9026" w:leader="dot"/>
            </w:tabs>
            <w:rPr/>
          </w:pPr>
          <w:hyperlink w:anchor="__RefHeading___Toc163875_274958925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63877_2749589250">
            <w:r>
              <w:rPr>
                <w:webHidden/>
                <w:rStyle w:val="IndexLink"/>
                <w:rtl w:val="true"/>
              </w:rPr>
              <w:t>والدلیل علی إثبات الأمر الأول وجوه</w:t>
            </w:r>
            <w:r>
              <w:rPr>
                <w:rStyle w:val="IndexLink"/>
                <w:rtl w:val="true"/>
              </w:rPr>
              <w:t>:</w:t>
              <w:tab/>
            </w:r>
            <w:r>
              <w:rPr>
                <w:rStyle w:val="IndexLink"/>
              </w:rPr>
              <w:t>15</w:t>
            </w:r>
          </w:hyperlink>
        </w:p>
        <w:p>
          <w:pPr>
            <w:pStyle w:val="Contents3"/>
            <w:tabs>
              <w:tab w:val="clear" w:pos="8459"/>
              <w:tab w:val="right" w:pos="9026" w:leader="dot"/>
            </w:tabs>
            <w:rPr/>
          </w:pPr>
          <w:hyperlink w:anchor="__RefHeading___Toc163879_2749589250">
            <w:r>
              <w:rPr>
                <w:webHidden/>
                <w:rStyle w:val="IndexLink"/>
                <w:rtl w:val="true"/>
              </w:rPr>
              <w:t>أما من العامة فمنها</w:t>
            </w:r>
            <w:r>
              <w:rPr>
                <w:rStyle w:val="IndexLink"/>
                <w:rtl w:val="true"/>
              </w:rPr>
              <w:t>:</w:t>
              <w:tab/>
            </w:r>
            <w:r>
              <w:rPr>
                <w:rStyle w:val="IndexLink"/>
              </w:rPr>
              <w:t>18</w:t>
            </w:r>
          </w:hyperlink>
        </w:p>
        <w:p>
          <w:pPr>
            <w:pStyle w:val="Contents2"/>
            <w:tabs>
              <w:tab w:val="clear" w:pos="8743"/>
              <w:tab w:val="right" w:pos="9026" w:leader="dot"/>
            </w:tabs>
            <w:rPr/>
          </w:pPr>
          <w:hyperlink w:anchor="__RefHeading___Toc163881_2749589250">
            <w:r>
              <w:rPr>
                <w:webHidden/>
                <w:rStyle w:val="IndexLink"/>
                <w:rtl w:val="true"/>
              </w:rPr>
              <w:t>المصادر</w:t>
            </w:r>
            <w:r>
              <w:rPr>
                <w:rStyle w:val="IndexLink"/>
                <w:rtl w:val="true"/>
              </w:rPr>
              <w:tab/>
            </w:r>
            <w:r>
              <w:rPr>
                <w:rStyle w:val="IndexLink"/>
              </w:rPr>
              <w:t>32</w:t>
            </w:r>
          </w:hyperlink>
        </w:p>
        <w:p>
          <w:pPr>
            <w:pStyle w:val="Contents2"/>
            <w:tabs>
              <w:tab w:val="clear" w:pos="8743"/>
              <w:tab w:val="right" w:pos="9026" w:leader="dot"/>
            </w:tabs>
            <w:rPr/>
          </w:pPr>
          <w:hyperlink w:anchor="__RefHeading___Toc163883_2749589250">
            <w:r>
              <w:rPr>
                <w:webHidden/>
                <w:rStyle w:val="IndexLink"/>
                <w:rtl w:val="true"/>
              </w:rPr>
              <w:t>المحتویات</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52_28434"/>
      <w:bookmarkStart w:id="1" w:name="pg2952_28434"/>
      <w:bookmarkEnd w:id="1"/>
    </w:p>
    <w:p>
      <w:pPr>
        <w:pStyle w:val="Heading2"/>
        <w:numPr>
          <w:ilvl w:val="1"/>
          <w:numId w:val="1"/>
        </w:numPr>
        <w:rPr/>
      </w:pPr>
      <w:bookmarkStart w:id="2" w:name="pg2952_28434"/>
      <w:bookmarkStart w:id="3" w:name="__RefHeading___Toc163851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الحسینی المرعشی الشهرستانی، عبدالرضا،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السجود علی التربة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عبدالرضا الحسینی الشهرستانی؛ تحقیق حیدر الجد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مطالعات تطبیقیة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السجود – أحادیث – دراسة وتحقیق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التربة الحسینیة –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السجود والتربة الحسینیة – 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حیدر،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186 / 508</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Heading2"/>
        <w:numPr>
          <w:ilvl w:val="1"/>
          <w:numId w:val="1"/>
        </w:numPr>
        <w:rPr/>
      </w:pPr>
      <w:bookmarkStart w:id="5" w:name="__RefHeading___Toc163853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ascii="IRNazanin" w:hAnsi="IRNazanin" w:eastAsia="IRNazanin"/>
          <w:color w:val="111111"/>
          <w:sz w:val="28"/>
          <w:sz w:val="28"/>
          <w:szCs w:val="28"/>
          <w:rtl w:val="true"/>
          <w:lang w:bidi="fa-IR"/>
        </w:rPr>
        <w:t>تألیف عبدالرضا الحسینی الشهرستانی</w:t>
      </w:r>
    </w:p>
    <w:p>
      <w:pPr>
        <w:pStyle w:val="BookText"/>
        <w:rPr/>
      </w:pPr>
      <w:r>
        <w:rPr>
          <w:rFonts w:ascii="IRNazanin" w:hAnsi="IRNazanin" w:eastAsia="IRNazanin"/>
          <w:color w:val="111111"/>
          <w:sz w:val="28"/>
          <w:sz w:val="28"/>
          <w:szCs w:val="28"/>
          <w:rtl w:val="true"/>
          <w:lang w:bidi="fa-IR"/>
        </w:rPr>
        <w:t>تحقیق حیدر الجد</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وحدة الدراسات التخصصیة فی الإمام الحسین علیه السلام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w:t>
      </w:r>
    </w:p>
    <w:p>
      <w:pPr>
        <w:pStyle w:val="BookText"/>
        <w:rPr/>
      </w:pP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Web: www.imamhussain-lib.com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952_28438"/>
    </w:p>
    <w:p>
      <w:pPr>
        <w:pStyle w:val="Heading2"/>
        <w:numPr>
          <w:ilvl w:val="1"/>
          <w:numId w:val="1"/>
        </w:numPr>
        <w:rPr/>
      </w:pPr>
      <w:bookmarkStart w:id="8" w:name="__RefHeading___Toc163855_2749589250"/>
      <w:bookmarkStart w:id="9" w:name="_Toc3"/>
      <w:bookmarkEnd w:id="7"/>
      <w:bookmarkEnd w:id="8"/>
      <w:r>
        <w:rPr>
          <w:rtl w:val="true"/>
        </w:rPr>
        <w:t>مقدمة المحقق</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وخالق الخلق أجمعین، الحمد حمداً کما ینبغی له، عظمت صفاته وتعالی عن مجانسة مخلوقاته، وصلی الله علی خیر الأنام محمد المصطفی المختار وآله الغرر الأخیار ما دجی لیل وأضاء نهار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وفقنی الجلیل جلت نعماؤه فی العمل علی تحقیق هذه الرسالة المختصرة فی حجمها، العظیمة فی محتواها، ألا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التربة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دواعی اختیاری لهذه الرسالة، ما یدور من جدال وسجال حول مشروعیة السجود علی مطلق الأرض وبالخصوص التربة الحسینیة علی ساکنها ألف تحیة وسلام، فطفقت أبحث فی رسالة مختصرة، تفید السائل وتفی بحاجة المسؤول، مدارها العرض المنطقی المدعّم بالدلیل العقلی والنقلی فوجدت ضالتی فی هذا الکتیب وقد اخترته دون غیره لما حازه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الاختصار وترک الإعادة والإطناب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ــ الاعتماد علی کتب الصحاح وغیرها من المصادر المعتمدة عند إخواننا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بتألیفها فقیه باحث، ومحقق عالم هو سماحة المغفور له السید عبد الرضا الحسینی المرعشی الشهرستانی تغمده الله برحمته الواسعة، الذی عرفته المحافل الدینیة والمجالس الأدبیة فی کربلاء، رائداً من روادها، وأنموذجاً طاهراً من النماذج التی خرّجتها مدرسة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تقبل منا هذا الیسیر، یا من یقبل الیسیر ویعفو عن الکثیر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الجد ــ النجف الأشرف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الأولی</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bookmarkStart w:id="10" w:name="pg2952_28440"/>
    </w:p>
    <w:p>
      <w:pPr>
        <w:pStyle w:val="Heading2"/>
        <w:numPr>
          <w:ilvl w:val="1"/>
          <w:numId w:val="1"/>
        </w:numPr>
        <w:rPr/>
      </w:pPr>
      <w:bookmarkStart w:id="11" w:name="__RefHeading___Toc163857_2749589250"/>
      <w:bookmarkStart w:id="12" w:name="_Toc4"/>
      <w:bookmarkEnd w:id="10"/>
      <w:bookmarkEnd w:id="11"/>
      <w:r>
        <w:rPr>
          <w:rtl w:val="true"/>
        </w:rPr>
        <w:t>منهجنا فی التحقیق</w:t>
      </w:r>
      <w:bookmarkEnd w:id="12"/>
    </w:p>
    <w:p>
      <w:pPr>
        <w:pStyle w:val="BookText"/>
        <w:rPr/>
      </w:pPr>
      <w:r>
        <w:rPr>
          <w:rFonts w:ascii="IRNazanin" w:hAnsi="IRNazanin" w:eastAsia="IRNazanin"/>
          <w:color w:val="111111"/>
          <w:sz w:val="28"/>
          <w:sz w:val="28"/>
          <w:szCs w:val="28"/>
          <w:rtl w:val="true"/>
          <w:lang w:bidi="fa-IR"/>
        </w:rPr>
        <w:t xml:space="preserve">لقد تم طبع هذه الرسالة فی النجف الأشرف بمطبعة النعمان سنة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 فأصبحت هذه الطبعة معتمدة لدینا لعدم وجود نسخة مخطوطة یمکن اعتمادها، وقد لا تختلف کثیراً فی التحقیق عمن سبقنا من الأعلام، لأن الهدف المنشود من عملیة التحقیق هو إخراج النص بصورة واضحة مفهومة ومبسطة، وقد اتبعنا فی التحقیق منهجاً یتلخص بالخطوات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وضعنا ترجمة وافیة للمؤلف مسلطین فیها الضوء علی حیاته ومؤلفاته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قمنا بإصلاح بعض الکلمات إملائیاً دون مس بعبارة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 تخریج الآیات القرآنیة والأحادیث النبویة وأحادیث أئمة الهدی علیهم السلام وذلک بإرجاعها إلی مصادرها الأصلیة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قمنا بترجمة الأعلام الذین یردون ضمن الشرح ما خلا المشهورین منهم وذلک لشیوع معرفتهم عند الناس</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أوردنا بعض التعلیقات متی ما رأینا حاجة المطلب لها</w:t>
      </w:r>
      <w:r>
        <w:rPr>
          <w:rFonts w:eastAsia="IRNazanin" w:cs="IRNazanin"/>
          <w:color w:val="111111"/>
          <w:sz w:val="28"/>
          <w:szCs w:val="28"/>
          <w:rtl w:val="true"/>
          <w:lang w:bidi="fa-IR"/>
        </w:rPr>
        <w:t>.</w:t>
      </w:r>
      <w:bookmarkStart w:id="13" w:name="pg2952_28442"/>
    </w:p>
    <w:p>
      <w:pPr>
        <w:pStyle w:val="Heading2"/>
        <w:numPr>
          <w:ilvl w:val="1"/>
          <w:numId w:val="1"/>
        </w:numPr>
        <w:rPr/>
      </w:pPr>
      <w:bookmarkStart w:id="14" w:name="__RefHeading___Toc163859_2749589250"/>
      <w:bookmarkStart w:id="15" w:name="_Toc5"/>
      <w:bookmarkEnd w:id="13"/>
      <w:bookmarkEnd w:id="14"/>
      <w:r>
        <w:rPr>
          <w:rtl w:val="true"/>
        </w:rPr>
        <w:t>السید عبد الرضا الشهرستانی</w:t>
      </w:r>
      <w:bookmarkEnd w:id="15"/>
    </w:p>
    <w:p>
      <w:pPr>
        <w:pStyle w:val="Heading3"/>
        <w:numPr>
          <w:ilvl w:val="2"/>
          <w:numId w:val="1"/>
        </w:numPr>
        <w:rPr/>
      </w:pPr>
      <w:bookmarkStart w:id="16" w:name="__RefHeading___Toc163861_2749589250"/>
      <w:bookmarkStart w:id="17" w:name="_Toc6"/>
      <w:bookmarkEnd w:id="16"/>
      <w:r>
        <w:rPr>
          <w:rtl w:val="true"/>
        </w:rPr>
        <w:t>حیاته العامة</w:t>
      </w:r>
      <w:bookmarkEnd w:id="17"/>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ــ أولاً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ینتمی السید عبد الرضا إلی سلالة الأطهار الذین أوجب الله علینا محبتهم، فشجرته أصلها ثابت وفرعها فی السماء طابت وطهرت وفی آفاق المعمورة انتشرت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امرئ فی المکرمات محله</w:t>
      </w:r>
    </w:p>
    <w:p>
      <w:pPr>
        <w:pStyle w:val="BookText"/>
        <w:rPr/>
      </w:pPr>
      <w:r>
        <w:rPr>
          <w:rFonts w:ascii="IRNazanin" w:hAnsi="IRNazanin" w:eastAsia="IRNazanin"/>
          <w:color w:val="111111"/>
          <w:sz w:val="28"/>
          <w:sz w:val="28"/>
          <w:szCs w:val="28"/>
          <w:rtl w:val="true"/>
          <w:lang w:bidi="fa-IR"/>
        </w:rPr>
        <w:t>فاق الثّریا رفعةً ومقاما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فهر أصله</w:t>
      </w:r>
    </w:p>
    <w:p>
      <w:pPr>
        <w:pStyle w:val="BookText"/>
        <w:rPr/>
      </w:pPr>
      <w:r>
        <w:rPr>
          <w:rFonts w:ascii="IRNazanin" w:hAnsi="IRNazanin" w:eastAsia="IRNazanin"/>
          <w:color w:val="111111"/>
          <w:sz w:val="28"/>
          <w:sz w:val="28"/>
          <w:szCs w:val="28"/>
          <w:rtl w:val="true"/>
          <w:lang w:bidi="fa-IR"/>
        </w:rPr>
        <w:t>حاز المعالی سیدا وإماما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السید عبد الرضا ابن السید زین العابدین ابن السید محمد حسین ابن السید محمد علی الشهرستانی ابن السید محمد حسین بن محمد علی بن محمد إسماعیل بن محمد باقر بن محمد تقی بن محمد جعفر بن عطاء الله بن محمد مهدی ابن أمیر تاج الدین حسین ابن أمیر نظام الدین علی ابن أمیر عبد الله ابن أمیر محمد ابن أمیر عبد الکریم ابن أمیر عبد الله ابن أمیر عبد الکریم ابن أمیر محمد ابن أمیر السید مرتضی ابن السید علی خان ابن السید کمال الدین ابن السید قوام الدین ابن السید صادق ابن السید عبد الله ابن السید محمد بن أبی الهاشم بن الحسین الشهیر بالمامطری بن علی مرعش بن عبد الله بن محمد الأکبر ابن الحسن الدکة ابن الحسین الأصغر ابن علی السجاد ابن الحسین الشهید ابن علی بن أبی طالب علیهم السلام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18" w:name="pg2952_28444"/>
    </w:p>
    <w:p>
      <w:pPr>
        <w:pStyle w:val="BookText"/>
        <w:rPr/>
      </w:pPr>
      <w:bookmarkEnd w:id="18"/>
      <w:r>
        <w:rPr>
          <w:rFonts w:ascii="IRNazanin" w:hAnsi="IRNazanin" w:eastAsia="IRNazanin"/>
          <w:color w:val="111111"/>
          <w:sz w:val="28"/>
          <w:sz w:val="28"/>
          <w:szCs w:val="28"/>
          <w:rtl w:val="true"/>
          <w:lang w:bidi="fa-IR"/>
        </w:rPr>
        <w:t>نسبٌ کأن علیه من شمس الضحی</w:t>
      </w:r>
    </w:p>
    <w:p>
      <w:pPr>
        <w:pStyle w:val="BookText"/>
        <w:rPr/>
      </w:pPr>
      <w:r>
        <w:rPr>
          <w:rFonts w:ascii="IRNazanin" w:hAnsi="IRNazanin" w:eastAsia="IRNazanin"/>
          <w:color w:val="111111"/>
          <w:sz w:val="28"/>
          <w:sz w:val="28"/>
          <w:szCs w:val="28"/>
          <w:rtl w:val="true"/>
          <w:lang w:bidi="fa-IR"/>
        </w:rPr>
        <w:t>نورا ومن فلق الصباح عمودا</w:t>
      </w:r>
    </w:p>
    <w:p>
      <w:pPr>
        <w:pStyle w:val="BookText"/>
        <w:rPr/>
      </w:pPr>
      <w:r>
        <w:rPr>
          <w:rFonts w:ascii="IRNazanin" w:hAnsi="IRNazanin" w:eastAsia="IRNazanin"/>
          <w:color w:val="111111"/>
          <w:sz w:val="28"/>
          <w:sz w:val="28"/>
          <w:szCs w:val="28"/>
          <w:rtl w:val="true"/>
          <w:lang w:bidi="fa-IR"/>
        </w:rPr>
        <w:t>ما فیه إلا سید من سید</w:t>
      </w:r>
    </w:p>
    <w:p>
      <w:pPr>
        <w:pStyle w:val="BookText"/>
        <w:rPr/>
      </w:pPr>
      <w:r>
        <w:rPr>
          <w:rFonts w:ascii="IRNazanin" w:hAnsi="IRNazanin" w:eastAsia="IRNazanin"/>
          <w:color w:val="111111"/>
          <w:sz w:val="28"/>
          <w:sz w:val="28"/>
          <w:szCs w:val="28"/>
          <w:rtl w:val="true"/>
          <w:lang w:bidi="fa-IR"/>
        </w:rPr>
        <w:t>حاز المکارم والتقی والجودا</w:t>
      </w:r>
    </w:p>
    <w:p>
      <w:pPr>
        <w:pStyle w:val="Heading3"/>
        <w:numPr>
          <w:ilvl w:val="2"/>
          <w:numId w:val="1"/>
        </w:numPr>
        <w:rPr/>
      </w:pPr>
      <w:bookmarkStart w:id="19" w:name="__RefHeading___Toc163863_2749589250"/>
      <w:bookmarkStart w:id="20" w:name="_Toc7"/>
      <w:bookmarkEnd w:id="19"/>
      <w:r>
        <w:rPr>
          <w:rtl w:val="true"/>
        </w:rPr>
        <w:t>حیاته العامة</w:t>
      </w:r>
      <w:bookmarkEnd w:id="20"/>
    </w:p>
    <w:p>
      <w:pPr>
        <w:pStyle w:val="BookText"/>
        <w:rPr/>
      </w:pPr>
      <w:r>
        <w:rPr>
          <w:rFonts w:ascii="IRNazanin" w:hAnsi="IRNazanin" w:eastAsia="IRNazanin"/>
          <w:color w:val="111111"/>
          <w:sz w:val="28"/>
          <w:sz w:val="28"/>
          <w:szCs w:val="28"/>
          <w:rtl w:val="true"/>
          <w:lang w:bidi="fa-IR"/>
        </w:rPr>
        <w:t xml:space="preserve">ولد سماحته فی کربلاء المقدسة فی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هـ</w:t>
      </w:r>
      <w:r>
        <w:rPr>
          <w:rStyle w:val="FootnoteAnchor"/>
          <w:rtl w:val="true"/>
        </w:rPr>
        <w:footnoteReference w:id="3"/>
      </w:r>
      <w:r>
        <w:rPr>
          <w:rFonts w:ascii="IRNazanin" w:hAnsi="IRNazanin" w:eastAsia="IRNazanin"/>
          <w:color w:val="111111"/>
          <w:sz w:val="28"/>
          <w:sz w:val="28"/>
          <w:szCs w:val="28"/>
          <w:rtl w:val="true"/>
          <w:lang w:bidi="fa-IR"/>
        </w:rPr>
        <w:t>، نشأ وترعرع فی بیت عریق فی العلم والفقه والتقدم والوجاهة، فالوسط العلمائی الذی ولد ونما فی محیطه وفّرَ له جمیع أسباب النبوغ والبراعة فی استیعاب العلوم العقلیة والنقلیة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 دراسته الأولیة فی المدرسة الجعفریة الدینیة، وبعد أن أکمل المقدمات بدأ یحضر الدرس لدی الشیخ علی أکبر سیبویه، والشیخ جعفر الرشتی متولی المدرسة الهندیة الدینیة، ثم توجه لدراسة السطوح فدرس المکاسب والرسائل والکفایة علی ید العالم الجلیل الشیخ یوسف الخراسانی، والفیلسوف الشیخ محمد رضا الأصفهانی والعالم المبجل السید محمد طاهر البحرانی، ثم حضر درس السید میرزا مهدی الشیرازی والسید محمد هادی المیلانی والسید عبد الحسین الحجة الطباطبائی والشیخ مرتضی الأشتیانی، وغیرهم من أساطین الفکر فی کربلاء المقدسة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21" w:name="pg2952_28445"/>
    </w:p>
    <w:p>
      <w:pPr>
        <w:pStyle w:val="Heading3"/>
        <w:numPr>
          <w:ilvl w:val="2"/>
          <w:numId w:val="1"/>
        </w:numPr>
        <w:rPr/>
      </w:pPr>
      <w:bookmarkStart w:id="22" w:name="__RefHeading___Toc163865_2749589250"/>
      <w:bookmarkStart w:id="23" w:name="_Toc8"/>
      <w:bookmarkEnd w:id="21"/>
      <w:bookmarkEnd w:id="22"/>
      <w:r>
        <w:rPr>
          <w:rtl w:val="true"/>
        </w:rPr>
        <w:t>صفاته</w:t>
      </w:r>
      <w:bookmarkEnd w:id="23"/>
    </w:p>
    <w:p>
      <w:pPr>
        <w:pStyle w:val="BookText"/>
        <w:rPr/>
      </w:pPr>
      <w:r>
        <w:rPr>
          <w:rFonts w:ascii="IRNazanin" w:hAnsi="IRNazanin" w:eastAsia="IRNazanin"/>
          <w:color w:val="111111"/>
          <w:sz w:val="28"/>
          <w:sz w:val="28"/>
          <w:szCs w:val="28"/>
          <w:rtl w:val="true"/>
          <w:lang w:bidi="fa-IR"/>
        </w:rPr>
        <w:t>یتحدث عنه السید سلمان آل طعمة مؤرخ کربلاء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عرفته عن کثب، وحببه إلی نفسی ما فطر علیه من السجایا الحمیدة إلی جانب ما یتحلی به من خصال الجد والدأب والإخلاص فی العمل مع المعرفة العمیقة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صالحاً زاهداً ثقة، موفور الوقار، مهاباً علامة مشارکاً فی جملة من العلوم، متضلعاً بها، متمکناً منها، مصنفاً فیها کالفقة وأصوله، واللغة العربیة وآدابها والکلام والتاریخ وعلم الفلک ونحو ذلک، وله فیها نتاج یشهد بعلو منزلته، وقد بذل غایة الوسع لیمضی فی طریقة لاحبة تحفظ للعربیة أصالتها وبیانها ونهجها المنیع فی التطور والنماء ویمدها بطاقة متجددة تستجیب بها لمتطلبات العصر، یستقصی وینقب ویبحث لیقدم الرأی العلمی الدقیق الحصیف مع الأناة وحسن التأنی، وقد جمع صفتی العالم والمربی</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63867_2749589250"/>
      <w:bookmarkStart w:id="25" w:name="_Toc9"/>
      <w:bookmarkEnd w:id="24"/>
      <w:r>
        <w:rPr>
          <w:rtl w:val="true"/>
        </w:rPr>
        <w:t>أعماله وآثاره</w:t>
      </w:r>
      <w:bookmarkEnd w:id="25"/>
    </w:p>
    <w:p>
      <w:pPr>
        <w:pStyle w:val="BookText"/>
        <w:rPr/>
      </w:pPr>
      <w:r>
        <w:rPr>
          <w:rFonts w:ascii="IRNazanin" w:hAnsi="IRNazanin" w:eastAsia="IRNazanin"/>
          <w:color w:val="111111"/>
          <w:sz w:val="28"/>
          <w:sz w:val="28"/>
          <w:szCs w:val="28"/>
          <w:rtl w:val="true"/>
          <w:lang w:bidi="fa-IR"/>
        </w:rPr>
        <w:t>أعماله وآثاره</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السید سباقاً إلی الخیرات، منهمکاً فی خدمة الدین ومساعدة الناس، وقد ترک جملة من الباقیات الصالحات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مدرسة الإمام الصادق علیه السلام الأهلیة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مشروع مستوصف کربلاء الخیری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الجمعیة الخیریة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المکتبة الجعفریة بالمدرسة الهندیة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تصدی لإمامة الجماعة فی الحرم الحسینی المطهر طیلة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فکان المرشد والموجه والمدافع عن الإسلام، وقد تنوعت نتاجاته الفکریة فمنها المطبوع ومنها المخطوط الذی لم یر النور بعد، أما المطبوع منها فنذکر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مجلة أجوبة المسائل الدینیة التی تأسست سنة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وصدر منها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توقفت عن الصدور سنة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هـ، وقد احتوت علی أجوبة ما یقارب ثلاثة آلاف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النیروز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الجماعة فی عصر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السجود علی التربة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اخترنا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الإمام الحسین بن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w:t>
      </w:r>
      <w:bookmarkStart w:id="26" w:name="pg2952_28449"/>
    </w:p>
    <w:p>
      <w:pPr>
        <w:pStyle w:val="BookText"/>
        <w:rPr/>
      </w:pPr>
      <w:bookmarkEnd w:id="26"/>
      <w:r>
        <w:rPr>
          <w:rFonts w:ascii="IRNazanin" w:hAnsi="IRNazanin" w:eastAsia="IRNazanin"/>
          <w:color w:val="111111"/>
          <w:sz w:val="28"/>
          <w:sz w:val="28"/>
          <w:szCs w:val="28"/>
          <w:rtl w:val="true"/>
          <w:lang w:bidi="fa-IR"/>
        </w:rPr>
        <w:t>التقویم الفلکی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المستقیم إلی بیان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القویم إلی جنة النعیم والصراط المستقیم فی الإمامة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الجلیة فی تبویب المسائل الدینیة</w:t>
      </w:r>
      <w:r>
        <w:rPr>
          <w:rFonts w:eastAsia="IRNazanin" w:cs="IRNazanin"/>
          <w:color w:val="111111"/>
          <w:sz w:val="28"/>
          <w:szCs w:val="28"/>
          <w:rtl w:val="true"/>
          <w:lang w:bidi="fa-IR"/>
        </w:rPr>
        <w:t>.</w:t>
      </w:r>
    </w:p>
    <w:p>
      <w:pPr>
        <w:pStyle w:val="Heading3"/>
        <w:numPr>
          <w:ilvl w:val="2"/>
          <w:numId w:val="1"/>
        </w:numPr>
        <w:rPr/>
      </w:pPr>
      <w:bookmarkStart w:id="27" w:name="__RefHeading___Toc163869_2749589250"/>
      <w:bookmarkStart w:id="28" w:name="_Toc10"/>
      <w:bookmarkEnd w:id="27"/>
      <w:r>
        <w:rPr>
          <w:rtl w:val="true"/>
        </w:rPr>
        <w:t>أما المخطوط منها فنذکر</w:t>
      </w:r>
      <w:r>
        <w:rPr>
          <w:rtl w:val="true"/>
        </w:rPr>
        <w:t>:</w:t>
      </w:r>
      <w:bookmarkEnd w:id="28"/>
    </w:p>
    <w:p>
      <w:pPr>
        <w:pStyle w:val="BookText"/>
        <w:rPr/>
      </w:pPr>
      <w:r>
        <w:rPr>
          <w:rFonts w:ascii="IRNazanin" w:hAnsi="IRNazanin" w:eastAsia="IRNazanin"/>
          <w:color w:val="111111"/>
          <w:sz w:val="28"/>
          <w:sz w:val="28"/>
          <w:szCs w:val="28"/>
          <w:rtl w:val="true"/>
          <w:lang w:bidi="fa-IR"/>
        </w:rPr>
        <w:t>أما المخطوط منها فنذکر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التقریب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علی المکاسب للشیخ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علی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علی اللمعة الدمشقیة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القوانین علی الأصول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عقائد المؤمنین فی أصول الدین</w:t>
      </w:r>
      <w:r>
        <w:rPr>
          <w:rFonts w:eastAsia="IRNazanin" w:cs="IRNazanin"/>
          <w:color w:val="111111"/>
          <w:sz w:val="28"/>
          <w:szCs w:val="28"/>
          <w:rtl w:val="true"/>
          <w:lang w:bidi="fa-IR"/>
        </w:rPr>
        <w:t>.</w:t>
      </w:r>
      <w:bookmarkStart w:id="29" w:name="pg2952_28451"/>
    </w:p>
    <w:p>
      <w:pPr>
        <w:pStyle w:val="Heading3"/>
        <w:numPr>
          <w:ilvl w:val="2"/>
          <w:numId w:val="1"/>
        </w:numPr>
        <w:rPr/>
      </w:pPr>
      <w:bookmarkStart w:id="30" w:name="__RefHeading___Toc163871_2749589250"/>
      <w:bookmarkStart w:id="31" w:name="_Toc11"/>
      <w:bookmarkEnd w:id="29"/>
      <w:bookmarkEnd w:id="30"/>
      <w:r>
        <w:rPr>
          <w:rtl w:val="true"/>
        </w:rPr>
        <w:t>وفاته</w:t>
      </w:r>
      <w:bookmarkEnd w:id="31"/>
    </w:p>
    <w:p>
      <w:pPr>
        <w:pStyle w:val="BookText"/>
        <w:rPr/>
      </w:pPr>
      <w:r>
        <w:rPr>
          <w:rFonts w:ascii="IRNazanin" w:hAnsi="IRNazanin" w:eastAsia="IRNazanin"/>
          <w:color w:val="111111"/>
          <w:sz w:val="28"/>
          <w:sz w:val="28"/>
          <w:szCs w:val="28"/>
          <w:rtl w:val="true"/>
          <w:lang w:bidi="fa-IR"/>
        </w:rPr>
        <w:t xml:space="preserve">وشاءت الظروف أن یبتعد السید عن مدینته کربلاء المقدسة التی أحبها وعشق تربتها الزاکیة، وکان ذلک البعد نتیجة للضغط الذی مارسته إزاءه السلطات الجائرة التی کانت تترصد حرکات العلماء وتحاول إبعادهم عن المجتمع بشتی الوسائل، حط السید عبد الرضا رحاله فی مدینة مشهد المقدسة مجاوراً الإمام علی بن موسی الرضا علیه السلام، وبعد عمر زاخر بالعطاء العلمی والعمل الجاد والجهاد الدؤوب، ودّع الحیاة الفانیة والتحقت روحه الطاهرة ببارئها وذلک یوم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ودفن هناک، رحمه الله وأعلی درجته وجمعه مع أجداده الأطهار محمد وآله الأخیار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السید أولاداً صلحاء، منهم من اشتغل بالعلم مقتفیاً بذلک خطی والده کالسید جواد الشهرستانی الذی أسهم إسهاماً فاعلاً فی بناء المؤسسات الثقافیة والجمعیات الخیریة وتأسیسها وعمل جاهداً علی إحیاء التراث الإسلامی، والسید علی الشهرستانی صاحب المؤلفات القیمة والتحقیقات الراقیة، فضلاً عن السید زین العابدین الذی سلک مسلک التجارة حفظهم الله</w:t>
      </w:r>
      <w:r>
        <w:rPr>
          <w:rFonts w:eastAsia="IRNazanin" w:cs="IRNazanin"/>
          <w:color w:val="111111"/>
          <w:sz w:val="28"/>
          <w:szCs w:val="28"/>
          <w:rtl w:val="true"/>
          <w:lang w:bidi="fa-IR"/>
        </w:rPr>
        <w:t>.</w:t>
      </w:r>
      <w:bookmarkStart w:id="32" w:name="pg2952_28453"/>
    </w:p>
    <w:p>
      <w:pPr>
        <w:pStyle w:val="Heading2"/>
        <w:numPr>
          <w:ilvl w:val="1"/>
          <w:numId w:val="1"/>
        </w:numPr>
        <w:rPr/>
      </w:pPr>
      <w:bookmarkStart w:id="33" w:name="__RefHeading___Toc163873_2749589250"/>
      <w:bookmarkStart w:id="34" w:name="_Toc12"/>
      <w:bookmarkEnd w:id="32"/>
      <w:bookmarkEnd w:id="33"/>
      <w:r>
        <w:rPr>
          <w:rtl w:val="true"/>
        </w:rPr>
        <w:t>بسم الله الرحمن الرحیم</w:t>
      </w:r>
      <w:bookmarkEnd w:id="34"/>
    </w:p>
    <w:p>
      <w:pPr>
        <w:pStyle w:val="Heading3"/>
        <w:numPr>
          <w:ilvl w:val="2"/>
          <w:numId w:val="1"/>
        </w:numPr>
        <w:rPr/>
      </w:pPr>
      <w:bookmarkStart w:id="35" w:name="__RefHeading___Toc163875_2749589250"/>
      <w:bookmarkStart w:id="36" w:name="_Toc13"/>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جواز السجود علی الأرض وترابها، مما أجمع علیه المسلمون جمیعاً من الشیعة والسنة ومما لم یختلف فیه اثنان، لما رواه الفریقان متواتراً 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العسقلانی فی شرح حدیث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جزء من الأرض یصلح أن یکون مکاناً للسجود ولا یختص السجود منها بموضع دون غیره، وقیل إن معنی ذلک إباحة السجود فی جمیع الأرض</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والخلاف بین الشیعة والسنة فی الحصر وعدمه، بمعنی أن الشیعة حصروا جواز السجود وصحته بکونه علی الأرض وما أنبتته من غیر المأکول والملبوس</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غیر الشیعة، فقد اتفقوا مع الشیعة فی جواز السجود علی الأرض أو ما أنبتته إلاّ أنهم لم یحصروه فیها، بل جوزوا السجود علی غیرها أیضاً</w:t>
      </w:r>
      <w:r>
        <w:rPr>
          <w:rFonts w:eastAsia="IRNazanin" w:cs="IRNazanin"/>
          <w:color w:val="111111"/>
          <w:sz w:val="28"/>
          <w:szCs w:val="28"/>
          <w:rtl w:val="true"/>
          <w:lang w:bidi="fa-IR"/>
        </w:rPr>
        <w:t>.</w:t>
      </w:r>
      <w:bookmarkStart w:id="37" w:name="pg2952_28454"/>
    </w:p>
    <w:p>
      <w:pPr>
        <w:pStyle w:val="BookText"/>
        <w:rPr/>
      </w:pPr>
      <w:bookmarkEnd w:id="37"/>
      <w:r>
        <w:rPr>
          <w:rFonts w:ascii="IRNazanin" w:hAnsi="IRNazanin" w:eastAsia="IRNazanin"/>
          <w:color w:val="111111"/>
          <w:sz w:val="28"/>
          <w:sz w:val="28"/>
          <w:szCs w:val="28"/>
          <w:rtl w:val="true"/>
          <w:lang w:bidi="fa-IR"/>
        </w:rPr>
        <w:t>فیکون البحث فی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السجود علی الأرض وما أنبتته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حصره فیما ذکر وعدم جواز السجود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شیء معین للسجود لیس ببدعة کما کان المتعارف فی زمان النبی صلی الله علیه وآله وسلم وأهل بیته علیهم السلام اتخاذ الخُمرة والحصی وغیرهما</w:t>
      </w:r>
      <w:r>
        <w:rPr>
          <w:rFonts w:eastAsia="IRNazanin" w:cs="IRNazanin"/>
          <w:color w:val="111111"/>
          <w:sz w:val="28"/>
          <w:szCs w:val="28"/>
          <w:rtl w:val="true"/>
          <w:lang w:bidi="fa-IR"/>
        </w:rPr>
        <w:t>.</w:t>
      </w:r>
    </w:p>
    <w:p>
      <w:pPr>
        <w:pStyle w:val="Heading3"/>
        <w:numPr>
          <w:ilvl w:val="2"/>
          <w:numId w:val="1"/>
        </w:numPr>
        <w:rPr/>
      </w:pPr>
      <w:bookmarkStart w:id="38" w:name="__RefHeading___Toc163877_2749589250"/>
      <w:bookmarkStart w:id="39" w:name="_Toc14"/>
      <w:bookmarkEnd w:id="38"/>
      <w:r>
        <w:rPr>
          <w:rtl w:val="true"/>
        </w:rPr>
        <w:t>والدلیل علی إثبات الأمر الأول وجوه</w:t>
      </w:r>
      <w:r>
        <w:rPr>
          <w:rtl w:val="true"/>
        </w:rPr>
        <w:t>:</w:t>
      </w:r>
      <w:bookmarkEnd w:id="39"/>
    </w:p>
    <w:p>
      <w:pPr>
        <w:pStyle w:val="BookText"/>
        <w:rPr/>
      </w:pPr>
      <w:r>
        <w:rPr>
          <w:rFonts w:ascii="IRNazanin" w:hAnsi="IRNazanin" w:eastAsia="IRNazanin"/>
          <w:color w:val="111111"/>
          <w:sz w:val="28"/>
          <w:sz w:val="28"/>
          <w:szCs w:val="28"/>
          <w:rtl w:val="true"/>
          <w:lang w:bidi="fa-IR"/>
        </w:rPr>
        <w:t>منها الإجماع الذی تقدم من الفریقین علی جواز السجود علی الأرض، وأما ما عدا الأرض فلم یتحقق فیه إجماع علی جواز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الأحادیث الواردة عن طرق السنة والشیعة، أما أحادیث السنة فهی کثیرة یجدها المتصفح فی کتبهم والمتتبع فی أحادیثهم منها ما مر فی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البیهقی فی باب إمکان الجبهة من الأرض، حکایة صلاة النبی صلی الله علیه وآله وسلم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فیسجد فیمکن جبهته الأرض</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والعبادات شرعیة تعبدیة توقیفیة لابد وأن تتم بدلیل، وقد قال صلی الله علیه وآله وسلم فیما رواه الفریقان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القرطبی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مما یتعلق بجباههم من الأرض عند السجود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وبه قال سعید بن جبیر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سعید رواه البیهقی فی تفسیر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 الطهور</w:t>
      </w:r>
      <w:r>
        <w:rPr>
          <w:rStyle w:val="FootnoteAnchor"/>
          <w:rtl w:val="true"/>
        </w:rPr>
        <w:footnoteReference w:id="16"/>
      </w:r>
      <w:r>
        <w:rPr>
          <w:rFonts w:ascii="IRNazanin" w:hAnsi="IRNazanin" w:eastAsia="IRNazanin"/>
          <w:color w:val="111111"/>
          <w:sz w:val="28"/>
          <w:sz w:val="28"/>
          <w:szCs w:val="28"/>
          <w:rtl w:val="true"/>
          <w:lang w:bidi="fa-IR"/>
        </w:rPr>
        <w:t>وثری الأرض</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نعیم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رأی غلاماً لنا یقال له أفلح ینفخ إذا سجد 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أفلح ترّب وجهک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عساکر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صلی الله علیه وآله وسلم لغلام 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رباح ترّب وجهک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التربة التی تسجد علیها الشیعة، قطعة من الأرض لا من غیرها فیتعین السجود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علی الأمر الثانی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حصر الجواز علی الأرض وما أنبتت غیر المأکول والملبوس، روایات من طرق العامة والخاصة</w:t>
      </w:r>
      <w:r>
        <w:rPr>
          <w:rFonts w:eastAsia="IRNazanin" w:cs="IRNazanin"/>
          <w:color w:val="111111"/>
          <w:sz w:val="28"/>
          <w:szCs w:val="28"/>
          <w:rtl w:val="true"/>
          <w:lang w:bidi="fa-IR"/>
        </w:rPr>
        <w:t>.</w:t>
      </w:r>
      <w:bookmarkStart w:id="40" w:name="pg2952_28460"/>
    </w:p>
    <w:p>
      <w:pPr>
        <w:pStyle w:val="Heading3"/>
        <w:numPr>
          <w:ilvl w:val="2"/>
          <w:numId w:val="1"/>
        </w:numPr>
        <w:rPr/>
      </w:pPr>
      <w:bookmarkStart w:id="41" w:name="__RefHeading___Toc163879_2749589250"/>
      <w:bookmarkStart w:id="42" w:name="_Toc15"/>
      <w:bookmarkEnd w:id="40"/>
      <w:bookmarkEnd w:id="41"/>
      <w:r>
        <w:rPr>
          <w:rtl w:val="true"/>
        </w:rPr>
        <w:t>أما من العامة فمنها</w:t>
      </w:r>
      <w:r>
        <w:rPr>
          <w:rtl w:val="true"/>
        </w:rPr>
        <w:t>:</w:t>
      </w:r>
      <w:bookmarkEnd w:id="42"/>
    </w:p>
    <w:p>
      <w:pPr>
        <w:pStyle w:val="BookText"/>
        <w:rPr/>
      </w:pPr>
      <w:r>
        <w:rPr>
          <w:rFonts w:ascii="IRNazanin" w:hAnsi="IRNazanin" w:eastAsia="IRNazanin"/>
          <w:color w:val="111111"/>
          <w:sz w:val="28"/>
          <w:sz w:val="28"/>
          <w:szCs w:val="28"/>
          <w:rtl w:val="true"/>
          <w:lang w:bidi="fa-IR"/>
        </w:rPr>
        <w:t>روایة القرطبی فی تفسیره،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الحدیث الصحیح إنه صلی الله علیه وآله وسلم صلی صبیحة أحد وعشرین من رمضان وقد وکف</w:t>
      </w:r>
      <w:r>
        <w:rPr>
          <w:rStyle w:val="FootnoteAnchor"/>
          <w:rtl w:val="true"/>
        </w:rPr>
        <w:footnoteReference w:id="20"/>
      </w:r>
      <w:r>
        <w:rPr>
          <w:rFonts w:ascii="IRNazanin" w:hAnsi="IRNazanin" w:eastAsia="IRNazanin"/>
          <w:color w:val="111111"/>
          <w:sz w:val="28"/>
          <w:sz w:val="28"/>
          <w:szCs w:val="28"/>
          <w:rtl w:val="true"/>
          <w:lang w:bidi="fa-IR"/>
        </w:rPr>
        <w:t>المسجد وکان علی عریش</w:t>
      </w:r>
      <w:r>
        <w:rPr>
          <w:rStyle w:val="FootnoteAnchor"/>
          <w:rtl w:val="true"/>
        </w:rPr>
        <w:footnoteReference w:id="21"/>
      </w:r>
      <w:r>
        <w:rPr>
          <w:rFonts w:ascii="IRNazanin" w:hAnsi="IRNazanin" w:eastAsia="IRNazanin"/>
          <w:color w:val="111111"/>
          <w:sz w:val="28"/>
          <w:sz w:val="28"/>
          <w:szCs w:val="28"/>
          <w:rtl w:val="true"/>
          <w:lang w:bidi="fa-IR"/>
        </w:rPr>
        <w:t>، فانصرف النبی صلی الله علیه وآله وسلم من صلاته وعلی جبهته وأرنبته</w:t>
      </w:r>
      <w:r>
        <w:rPr>
          <w:rStyle w:val="FootnoteAnchor"/>
          <w:rtl w:val="true"/>
        </w:rPr>
        <w:footnoteReference w:id="22"/>
      </w:r>
      <w:r>
        <w:rPr>
          <w:rFonts w:ascii="IRNazanin" w:hAnsi="IRNazanin" w:eastAsia="IRNazanin"/>
          <w:color w:val="111111"/>
          <w:sz w:val="28"/>
          <w:sz w:val="28"/>
          <w:szCs w:val="28"/>
          <w:rtl w:val="true"/>
          <w:lang w:bidi="fa-IR"/>
        </w:rPr>
        <w:t>أثر الماء والطین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ولو جاز السجود علی غیر الأرض لکان له مندوحة</w:t>
      </w:r>
      <w:r>
        <w:rPr>
          <w:rStyle w:val="FootnoteAnchor"/>
          <w:rtl w:val="true"/>
        </w:rPr>
        <w:footnoteReference w:id="24"/>
      </w:r>
      <w:r>
        <w:rPr>
          <w:rFonts w:ascii="IRNazanin" w:hAnsi="IRNazanin" w:eastAsia="IRNazanin"/>
          <w:color w:val="111111"/>
          <w:sz w:val="28"/>
          <w:sz w:val="28"/>
          <w:szCs w:val="28"/>
          <w:rtl w:val="true"/>
          <w:lang w:bidi="fa-IR"/>
        </w:rPr>
        <w:t>أن یصلی علی الثیاب أو الفرش ونحوها، کی لا تتلطخ جبهته الشریفة بالماء والطین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البخاری فی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وآله وسلم سجد علی الطین فی یوم مطیر حتی رأی الأصحاب اثر الطین فی جبهته الشریفة</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لا یعقل کون النبی صلی الله علیه وآله وسلم، وأصحابه کلهم عراة فی ذلک الحال، ولم یکن عندهم ثیاب ولا فراش حتی اضطروا إلی السجود علی الطین، فمن ترک الرسول صلی الله علیه وآله وسلم السجود علی الثیاب والفرش، واختیاره السجود علی الطین فضلاً عن الأرض یکاد المسلم یقطع بأنه لا یجوز السجود علی الثیاب والفرش، وبالجملة أنه لو کان من الجائز السجود علی غیر التراب، لما لوث النبی صلی الله علیه وآله وسلم جبهته الشریفة بالطین، وکان یمکنه السجود علی الثوب وغیره حفظاً لجبهته من التلوث والطین، ویعلم من سجوده علی الطین سجوده علی التراب بطریق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ــ یا تری ــ یجوز للشیعة السجود علی غیر التراب وهم یقتفون أثره؟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البیهقی فی سننه، عن الخباب بن الأرت</w:t>
      </w:r>
      <w:r>
        <w:rPr>
          <w:rStyle w:val="FootnoteAnchor"/>
          <w:rtl w:val="true"/>
        </w:rPr>
        <w:footnoteReference w:id="26"/>
      </w:r>
      <w:r>
        <w:rPr>
          <w:rFonts w:ascii="IRNazanin" w:hAnsi="IRNazanin" w:eastAsia="IRNazanin"/>
          <w:color w:val="111111"/>
          <w:sz w:val="28"/>
          <w:sz w:val="28"/>
          <w:szCs w:val="28"/>
          <w:rtl w:val="true"/>
          <w:lang w:bidi="fa-IR"/>
        </w:rPr>
        <w:t>قال شکونا إلی رسول الله صلی الله علیه وآله وسلم شدة الحر فی جباهنا وأکفنا فلم یشکنا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ولو جاز السجود علی غیر الأرض، لأذن النبی صلی الله علیه وآله وسلم لهم فی أن یسجدوا علی شیء یمنع عن وجوههم رمضاء الهجیر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بطلان السجود علی غیر الأرض من المأکول والملبوس ما رواه الدارقطنی عن النبی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 أحدکم فلیحسر العمامة</w:t>
      </w:r>
      <w:r>
        <w:rPr>
          <w:rStyle w:val="FootnoteAnchor"/>
          <w:rtl w:val="true"/>
        </w:rPr>
        <w:footnoteReference w:id="28"/>
      </w:r>
      <w:r>
        <w:rPr>
          <w:rFonts w:ascii="IRNazanin" w:hAnsi="IRNazanin" w:eastAsia="IRNazanin"/>
          <w:color w:val="111111"/>
          <w:sz w:val="28"/>
          <w:sz w:val="28"/>
          <w:szCs w:val="28"/>
          <w:rtl w:val="true"/>
          <w:lang w:bidi="fa-IR"/>
        </w:rPr>
        <w:t>عن جبهته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فی صحیح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وآله وسلم کان یکره الصلاة علی شیء دون الأرض</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انتهی، والکراهة هنا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أورده من أنه صلی الله علیه وآله وسلم صلی علی بساط فقد فسر البساط فیما رواه البیهقی فی السنن عن انس بن مالک</w:t>
      </w:r>
      <w:r>
        <w:rPr>
          <w:rStyle w:val="FootnoteAnchor"/>
          <w:rtl w:val="true"/>
        </w:rPr>
        <w:footnoteReference w:id="3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بساطهم من جرید النخل</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فدل علی أن البساط کان مما أنبتته الأرض من غیر المأکول والملبوس وهو الذی أفتینا بجواز السجود علیه کما ورد أیضاً من أنه صلی الله علیه وآله وسلم صلی علی الحصیر وعلی الخُمرة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لسان العرب، الخمرة الحصیرة أصغر من المصلی، وقیل الخمرة الحصیرة التی یسجد علیها</w:t>
      </w:r>
      <w:r>
        <w:rPr>
          <w:rStyle w:val="FootnoteAnchor"/>
          <w:rtl w:val="true"/>
        </w:rPr>
        <w:footnoteReference w:id="33"/>
      </w:r>
      <w:r>
        <w:rPr>
          <w:rFonts w:ascii="IRNazanin" w:hAnsi="IRNazanin" w:eastAsia="IRNazanin"/>
          <w:color w:val="111111"/>
          <w:sz w:val="28"/>
          <w:sz w:val="28"/>
          <w:szCs w:val="28"/>
          <w:rtl w:val="true"/>
          <w:lang w:bidi="fa-IR"/>
        </w:rPr>
        <w:t>، وفی الحدیث، أن النبی صلی الله علیه وآله</w:t>
      </w:r>
    </w:p>
    <w:p>
      <w:pPr>
        <w:pStyle w:val="BookText"/>
        <w:rPr/>
      </w:pPr>
      <w:r>
        <w:rPr>
          <w:rFonts w:ascii="IRNazanin" w:hAnsi="IRNazanin" w:eastAsia="IRNazanin"/>
          <w:color w:val="111111"/>
          <w:sz w:val="28"/>
          <w:sz w:val="28"/>
          <w:szCs w:val="28"/>
          <w:rtl w:val="true"/>
          <w:lang w:bidi="fa-IR"/>
        </w:rPr>
        <w:t>وسلم کان یسجد علی الخمرة وهو حصیر صغیر قدر ما یسجد علیه، ینسج من السعف، وفی حدیث أم سلمة،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وهی حائض ناولینی الخمرة</w:t>
      </w:r>
      <w:r>
        <w:rPr>
          <w:rStyle w:val="FootnoteAnchor"/>
          <w:rtl w:val="true"/>
        </w:rPr>
        <w:footnoteReference w:id="34"/>
      </w:r>
      <w:r>
        <w:rPr>
          <w:rFonts w:ascii="IRNazanin" w:hAnsi="IRNazanin" w:eastAsia="IRNazanin"/>
          <w:color w:val="111111"/>
          <w:sz w:val="28"/>
          <w:sz w:val="28"/>
          <w:szCs w:val="28"/>
          <w:rtl w:val="true"/>
          <w:lang w:bidi="fa-IR"/>
        </w:rPr>
        <w:t>، وهی مقدار ما یضع الرجل علیه وجهه فی سجوده من حصیر أو نسیجة خوص ونحوه من النبات قال ولا تکون الخمرة إلا فی هذا المقدار، وسمیت خمرة لأن خیوطها مستورة بسعفها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تاج العروس،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فلان علی الخمرة، وهی حصیرة صغیرة، تنسج من السعف</w:t>
      </w:r>
      <w:r>
        <w:rPr>
          <w:rStyle w:val="FootnoteAnchor"/>
          <w:rtl w:val="true"/>
        </w:rPr>
        <w:footnoteReference w:id="35"/>
      </w:r>
      <w:r>
        <w:rPr>
          <w:rFonts w:ascii="IRNazanin" w:hAnsi="IRNazanin" w:eastAsia="IRNazanin"/>
          <w:color w:val="111111"/>
          <w:sz w:val="28"/>
          <w:sz w:val="28"/>
          <w:szCs w:val="28"/>
          <w:rtl w:val="true"/>
          <w:lang w:bidi="fa-IR"/>
        </w:rPr>
        <w:t xml:space="preserve">، أی سعف النخل وترمل بالخیوط،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خیوطها مستورة بسعفها، وقد تکرر ذکرها فی الحدیث وهکذا فُسرت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تأمل القاری کلام اللسان والتاج</w:t>
      </w:r>
      <w:r>
        <w:rPr>
          <w:rStyle w:val="FootnoteAnchor"/>
          <w:rtl w:val="true"/>
        </w:rPr>
        <w:footnoteReference w:id="36"/>
      </w:r>
      <w:r>
        <w:rPr>
          <w:rFonts w:ascii="IRNazanin" w:hAnsi="IRNazanin" w:eastAsia="IRNazanin"/>
          <w:color w:val="111111"/>
          <w:sz w:val="28"/>
          <w:sz w:val="28"/>
          <w:szCs w:val="28"/>
          <w:rtl w:val="true"/>
          <w:lang w:bidi="fa-IR"/>
        </w:rPr>
        <w:t>وجد فیهما الدلالة علی المطلوب من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یستنتج من أحادیث الخمرة أن السجود کما یجوز علی الأرض یجوز علی نباتها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یستکشف من قوله صلی الله علیه وآله وسلم من خوص ونحوه من النبات، أن النبات الذی یصح علیه هو ما کان غیر المأکول والملبوس، کالقطن ونحوه لا یصح السجود علیه، ولهذا کانت خیوطها مستورة بسعفها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علی الأمر الثالث؛ أی اتخاذ شیء معین للسجود جائز وغیر بدعة من وجوه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أخبار الخمرة السابقة الذکر آنفا، یفهم منها أن اتخاذ قطعة صغیرة مما یصح السجود علیه کالنبات والحصاة والطین والتراب، لا مانع منه بل راجح معمول به بین المسلمین منذ عهد النبی صلی الله علیه وآله وسلم والصحابة والتابعین لهم بإحسان إلی یومنا هذا، فإنهم کانوا یتخذون الخمر والحصباء مسجداً یسجدوا علیه لله فی صلاتهم ولم یکونوا بذلک مشرکین خارجین عن الدین، حاشی نبی الإسلام ومن آمن به من الأنام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أخرجه البیهقی فی السنن عن ابن الولید،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ابن عمر عما کان بدء هذه الحصباء التی فی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مطرنا فی اللیل فخرجنا لصلاة الغداة فجعل الرجل یمر علی البطحاء</w:t>
      </w:r>
      <w:r>
        <w:rPr>
          <w:rStyle w:val="FootnoteAnchor"/>
          <w:rtl w:val="true"/>
        </w:rPr>
        <w:footnoteReference w:id="37"/>
      </w:r>
      <w:r>
        <w:rPr>
          <w:rFonts w:ascii="IRNazanin" w:hAnsi="IRNazanin" w:eastAsia="IRNazanin"/>
          <w:color w:val="111111"/>
          <w:sz w:val="28"/>
          <w:sz w:val="28"/>
          <w:szCs w:val="28"/>
          <w:rtl w:val="true"/>
          <w:lang w:bidi="fa-IR"/>
        </w:rPr>
        <w:t>، فیجعل فی</w:t>
      </w:r>
    </w:p>
    <w:p>
      <w:pPr>
        <w:pStyle w:val="BookText"/>
        <w:rPr/>
      </w:pPr>
      <w:r>
        <w:rPr>
          <w:rFonts w:ascii="IRNazanin" w:hAnsi="IRNazanin" w:eastAsia="IRNazanin"/>
          <w:color w:val="111111"/>
          <w:sz w:val="28"/>
          <w:sz w:val="28"/>
          <w:szCs w:val="28"/>
          <w:rtl w:val="true"/>
          <w:lang w:bidi="fa-IR"/>
        </w:rPr>
        <w:t>ثوبه من الحصباء فیصلی علیه، فلما رأی رسول الله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هذا البساط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ذلک بدأه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یعلم أن المسلمین من عهد النبی ما کانوا یرون جواز السجود علی کل شیء حتی الثیاب والفرش، بل کانوا یرون السجود لابد وأن یکون علی الأرض فحیث إنهم أمطروا عمدوا إلی الحصباء فجعلوه فی ثیابهم یسجدون علیه، فرخص لهم النبی فی السجود علی البساط أیضاً، لأنه کان من جرید النخل کما یدلنا هذا الحدیث علی أن المسلمین کانوا یجعلون الحصباء فی مساجدهم لیسجد علیها المصلون فسأل ابن عمر عن بدء هذه الحصباء التی تری فی المساجد کما نضع الآن نحن الترب فی مساجدنا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من اتخذ لوحة من الأرض للسجود علیها هو نبینا محمد صلی الله علیه وآله وسلم</w:t>
      </w:r>
      <w:r>
        <w:rPr>
          <w:rStyle w:val="FootnoteAnchor"/>
          <w:rtl w:val="true"/>
        </w:rPr>
        <w:footnoteReference w:id="39"/>
      </w:r>
      <w:r>
        <w:rPr>
          <w:rFonts w:ascii="IRNazanin" w:hAnsi="IRNazanin" w:eastAsia="IRNazanin"/>
          <w:color w:val="111111"/>
          <w:sz w:val="28"/>
          <w:sz w:val="28"/>
          <w:szCs w:val="28"/>
          <w:rtl w:val="true"/>
          <w:lang w:bidi="fa-IR"/>
        </w:rPr>
        <w:t>فی السنة الثالثة من الهجرة لما وقعت الحرب الهائلة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المسلمین وقریش فی أحد وانهدم فیها أعظم رکن للإسلام وأقوی حامیة من حماته وهو حمزة بن عبد المطلب عم رسول الله صلی الله علیه وآله وسلم، فعظمت مصیبته علی النبی صلی الله علیه وآله وسلم وعلی عموم المسلمین، ولاسیما وقد مثلت به بنو أمیة ــ أعنی بها هنداً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تلک المثلة الشنیعة فقطعت أعضاءه واستخرجت کبده، أمر النبی صلی الله علیه وآله وسلم نساء المسلمین بالنیاحة علیه فی کل مأتم واتسع الأمر فی تکریمه إلی أن صاروا یأخذون من تراب قبره فیتبرکون به ویسجدون علیه لله تعالی ویعملون المسبحات منه</w:t>
      </w:r>
      <w:r>
        <w:rPr>
          <w:rStyle w:val="FootnoteAnchor"/>
          <w:rtl w:val="true"/>
        </w:rPr>
        <w:footnoteReference w:id="40"/>
      </w:r>
      <w:r>
        <w:rPr>
          <w:rFonts w:ascii="IRNazanin" w:hAnsi="IRNazanin" w:eastAsia="IRNazanin"/>
          <w:color w:val="111111"/>
          <w:sz w:val="28"/>
          <w:sz w:val="28"/>
          <w:szCs w:val="28"/>
          <w:rtl w:val="true"/>
          <w:lang w:bidi="fa-IR"/>
        </w:rPr>
        <w:t xml:space="preserve">کما 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والتربة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أصحابه ومنهم الفقیه الکبیر المتفق علیه مسروق بن الأجدع</w:t>
      </w:r>
      <w:r>
        <w:rPr>
          <w:rStyle w:val="FootnoteAnchor"/>
          <w:rtl w:val="true"/>
        </w:rPr>
        <w:footnoteReference w:id="41"/>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تابعی عظیم من رجال</w:t>
      </w:r>
    </w:p>
    <w:p>
      <w:pPr>
        <w:pStyle w:val="BookText"/>
        <w:rPr/>
      </w:pPr>
      <w:r>
        <w:rPr>
          <w:rFonts w:ascii="IRNazanin" w:hAnsi="IRNazanin" w:eastAsia="IRNazanin"/>
          <w:color w:val="111111"/>
          <w:sz w:val="28"/>
          <w:sz w:val="28"/>
          <w:szCs w:val="28"/>
          <w:rtl w:val="true"/>
          <w:lang w:bidi="fa-IR"/>
        </w:rPr>
        <w:t>الصحاح الستة، کان یأخذ فی أسفاره لبنة</w:t>
      </w:r>
      <w:r>
        <w:rPr>
          <w:rStyle w:val="FootnoteAnchor"/>
          <w:rtl w:val="true"/>
        </w:rPr>
        <w:footnoteReference w:id="42"/>
      </w:r>
      <w:r>
        <w:rPr>
          <w:rFonts w:ascii="IRNazanin" w:hAnsi="IRNazanin" w:eastAsia="IRNazanin"/>
          <w:color w:val="111111"/>
          <w:sz w:val="28"/>
          <w:sz w:val="28"/>
          <w:szCs w:val="28"/>
          <w:rtl w:val="true"/>
          <w:lang w:bidi="fa-IR"/>
        </w:rPr>
        <w:t>من تربة المدینة المنورة یسجد علیها ما أخرجه شیخ المشایخ الحافظ إمام السنة أبو بکر بن أبی شیبة فی کتابه المصنف فی المجلد الثانی فی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یحمل فی السفینة شیئا یسجد علیه فأخرجه بإسنادین، إن مسروقاً کان إذا سافر حمل معه فی السفینة لبنة من تربة المدینة المنورة یسجد علیه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والشیعة علی هذا منذ عهد النبی صلی الله علیه وآله وسلم إلی هذا الیوم لیس فیهم من یعبد الحجر، ومن السخافة والعصبیة الحمقاء قول بعض من یحمل أسوأ البغض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التربة التی یسجدون علیها صنم یسجدون له، هذا مع أن الشیعة لا یزالون یهتفون ویعلنون فی ألسنتهم ومؤلفاتهم أن السجود لا یجوز إلا لله تعالی وأن السجود علی التربة لله لا سجود للتربة، ولکن هنا من لا یحسنون الفرق بین السجود للشیء والسجود علی الشیء، السجود لله عز شأنه علی الأرض المقدسة والتربة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یسجدون علی هذه التربة لا لأجل وجوبها علینا بل یرون جواز السجود علی مطلق وجه الأرض وما أنبتت من غیر المأکول والملبوس وإنما اعتاد الشیعة السجود علیها، لأنها تربة طاهرة من أرض دفن فیها سید شباب أهل الجنة وریحانة رسول الله صلی الله علیه وآله وسلم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أن السجود علیها أفضل لشرفها وقداستها وطهارة من دفن فیها، فالأرض وإن کانت کلها مسجداً إلا أن الدلیل قد خص بعضها بالکراهة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کالأرض السبخة</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وبعضها بالرجحان والاستحباب کأرض کربلاء</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ومن حدیث کربلا والکعبة</w:t>
      </w:r>
    </w:p>
    <w:p>
      <w:pPr>
        <w:pStyle w:val="BookText"/>
        <w:rPr/>
      </w:pPr>
      <w:r>
        <w:rPr>
          <w:rFonts w:ascii="IRNazanin" w:hAnsi="IRNazanin" w:eastAsia="IRNazanin"/>
          <w:color w:val="111111"/>
          <w:sz w:val="28"/>
          <w:sz w:val="28"/>
          <w:szCs w:val="28"/>
          <w:rtl w:val="true"/>
          <w:lang w:bidi="fa-IR"/>
        </w:rPr>
        <w:t>لکربلا بان علو الرتبة</w:t>
      </w:r>
    </w:p>
    <w:p>
      <w:pPr>
        <w:pStyle w:val="BookText"/>
        <w:rPr/>
      </w:pPr>
      <w:r>
        <w:rPr>
          <w:rFonts w:ascii="IRNazanin" w:hAnsi="IRNazanin" w:eastAsia="IRNazanin"/>
          <w:color w:val="111111"/>
          <w:sz w:val="28"/>
          <w:sz w:val="28"/>
          <w:szCs w:val="28"/>
          <w:rtl w:val="true"/>
          <w:lang w:bidi="fa-IR"/>
        </w:rPr>
        <w:t>فقد ورد الحدیث عن أئمة العترة الطاهرة علیهم السلام، فی أن السجود علیها ینور الأرض إلی السماء السابعة وفی آخر یخرق الحجب السبعة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آخر یقبل الله صلاة من یسجد علیها ما لم یقبله من غیرها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أن السجود علی طین قبر الحسین ینور الأرضین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الکبیر کاشف الغطاء</w:t>
      </w:r>
      <w:r>
        <w:rPr>
          <w:rStyle w:val="FootnoteAnchor"/>
          <w:rtl w:val="true"/>
        </w:rPr>
        <w:footnoteReference w:id="46"/>
      </w:r>
      <w:r>
        <w:rPr>
          <w:rFonts w:ascii="IRNazanin" w:hAnsi="IRNazanin" w:eastAsia="IRNazanin"/>
          <w:color w:val="111111"/>
          <w:sz w:val="28"/>
          <w:sz w:val="28"/>
          <w:szCs w:val="28"/>
          <w:rtl w:val="true"/>
          <w:lang w:bidi="fa-IR"/>
        </w:rPr>
        <w:t xml:space="preserve">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والتربة الحسینیة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أول من صلی علیها من المسلمین بل من أئمة المسلمین، فالذی استفدته من الآثار وتلقیته من حملة أخبار أهل البیت ومهدة الحدیث من أساتیذی الأساطین</w:t>
      </w:r>
      <w:r>
        <w:rPr>
          <w:rStyle w:val="FootnoteAnchor"/>
          <w:rtl w:val="true"/>
        </w:rPr>
        <w:footnoteReference w:id="47"/>
      </w:r>
      <w:r>
        <w:rPr>
          <w:rFonts w:ascii="IRNazanin" w:hAnsi="IRNazanin" w:eastAsia="IRNazanin"/>
          <w:color w:val="111111"/>
          <w:sz w:val="28"/>
          <w:sz w:val="28"/>
          <w:szCs w:val="28"/>
          <w:rtl w:val="true"/>
          <w:lang w:bidi="fa-IR"/>
        </w:rPr>
        <w:t>الذین تخرجت علیهم برهة من العمر هو أن زین العابدین بن الحسین علیهما السلام بعد أن فرغ من دفن أبیه وأهل بیته وأنصاره وأخذ قبضة من التربة التی وضع علیها الجسد الشریف الذی بضّعته السیوف کلحم علی وضم</w:t>
      </w:r>
      <w:r>
        <w:rPr>
          <w:rStyle w:val="FootnoteAnchor"/>
          <w:rtl w:val="true"/>
        </w:rPr>
        <w:footnoteReference w:id="48"/>
      </w:r>
      <w:r>
        <w:rPr>
          <w:rFonts w:ascii="IRNazanin" w:hAnsi="IRNazanin" w:eastAsia="IRNazanin"/>
          <w:color w:val="111111"/>
          <w:sz w:val="28"/>
          <w:sz w:val="28"/>
          <w:szCs w:val="28"/>
          <w:rtl w:val="true"/>
          <w:lang w:bidi="fa-IR"/>
        </w:rPr>
        <w:t>، فشد تلک التربة فی صرة وعمل منها سجادة ومسبحة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رجع الإمام علیه السلام هو وأهل بیته إلی المدینة وصار یتبرک بتلک التربة ویسجد علیها ویعالج بعض مرضی عائلته بها، فشاع هذا عند العلویین ومن یقتدی بهم، فأول من صلی علی هذه التربة، واستعملها هو الإمام زین العابدین علیه السلام الإمام الرابع من أئمة الشیعة الاثنی عشر المعصومین ویشیر إلی ذلک المجلد الحادی عشر من</w:t>
      </w:r>
    </w:p>
    <w:p>
      <w:pPr>
        <w:pStyle w:val="BookText"/>
        <w:rPr/>
      </w:pPr>
      <w:r>
        <w:rPr>
          <w:rFonts w:ascii="IRNazanin" w:hAnsi="IRNazanin" w:eastAsia="IRNazanin"/>
          <w:color w:val="111111"/>
          <w:sz w:val="28"/>
          <w:sz w:val="28"/>
          <w:szCs w:val="28"/>
          <w:rtl w:val="true"/>
          <w:lang w:bidi="fa-IR"/>
        </w:rPr>
        <w:t>البحار فی أحوال الإمام المزبور</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تلاه ولده الباقر علیه السلام، الإمام الخامس ثم زاد علی ذلک ولده جعفر الصادق ــ سلام الله علیه ــ فإنه نوّه بها لشیعته، وکانت الشیعة قد تکاثرت فی عهده وصارت من کبریات طوائف المسلمین وحملة الآثار، کذا ذکر العلامة الشهیر کاشف الغطاء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الشیعة وأصولها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مصباح المتهجد لشیخ الطائفة الشیخ الطوسی ــ قدس سره ــ روی بسنده أنه کان لأبی عبد الله الصادق علیه السلام خریطة من دیباج أصفر فیها تربة أبی عبد الله الحسین علیه السلام؛ فکان إذا حضرته الصلاة صبه علی سجادته وسجد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السجود علی تربة أبی عبد الله علیه السلام یخرق الحجب السبع</w:t>
      </w:r>
      <w:r>
        <w:rPr>
          <w:rStyle w:val="FootnoteAnchor"/>
          <w:rtl w:val="true"/>
        </w:rPr>
        <w:footnoteReference w:id="51"/>
      </w:r>
      <w:r>
        <w:rPr>
          <w:rFonts w:ascii="IRNazanin" w:hAnsi="IRNazanin" w:eastAsia="IRNazanin"/>
          <w:color w:val="111111"/>
          <w:sz w:val="28"/>
          <w:sz w:val="28"/>
          <w:szCs w:val="28"/>
          <w:rtl w:val="true"/>
          <w:lang w:bidi="fa-IR"/>
        </w:rPr>
        <w:t>، وهی کنایة عن قبول الصلاة ورفعها إلی السماء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صاحب الوسائل عن الدیلمی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الصادق علیه السلام لا یسجد إلا علی تربة الحسین علیه السلام تذللاً لله واستکانة إلیه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ولم تزل أئمة من أولاده وأحفاده تحرک العواطف وتوفر الدواعی إلی السجود علیها والالتزام بها وبیان تضاعف الأجر والثواب فی التبرک بها والمواظبة علیها حتی التزمت بها الشیعة إلی هذا الیوم هذا الالتزام مع عظیم الاهتمام، ولم یمض علی زمن الصادق علیه السلام قرن واحد</w:t>
      </w:r>
    </w:p>
    <w:p>
      <w:pPr>
        <w:pStyle w:val="BookText"/>
        <w:rPr/>
      </w:pPr>
      <w:r>
        <w:rPr>
          <w:rFonts w:ascii="IRNazanin" w:hAnsi="IRNazanin" w:eastAsia="IRNazanin"/>
          <w:color w:val="111111"/>
          <w:sz w:val="28"/>
          <w:sz w:val="28"/>
          <w:szCs w:val="28"/>
          <w:rtl w:val="true"/>
          <w:lang w:bidi="fa-IR"/>
        </w:rPr>
        <w:t>حتی صارت الشیعة تصنعها ألواحاً وتضعها فی جیوبها کما هو المتعارف الیوم، فقد روی فی الوسائل، عن الإمام الثانی عشر الحجة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الحمیری</w:t>
      </w:r>
      <w:r>
        <w:rPr>
          <w:rStyle w:val="FootnoteAnchor"/>
          <w:rtl w:val="true"/>
        </w:rPr>
        <w:footnoteReference w:id="53"/>
      </w:r>
      <w:r>
        <w:rPr>
          <w:rFonts w:ascii="IRNazanin" w:hAnsi="IRNazanin" w:eastAsia="IRNazanin"/>
          <w:color w:val="111111"/>
          <w:sz w:val="28"/>
          <w:sz w:val="28"/>
          <w:szCs w:val="28"/>
          <w:rtl w:val="true"/>
          <w:lang w:bidi="fa-IR"/>
        </w:rPr>
        <w:t xml:space="preserve">کتب إلیه یسأله عن السجدة علی لوح طین قبر الحسین، هل فیه فضل؟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وفیه الفضل ثم سأله عنها لسبحة فأجاب عجل الله تعالی فرجه الشریف بمثل ذلک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أن صنع التربة أقراصاً وألواحاً کما هو متعارف من ذلک العصر أی منتصف القرن الثالث حدود المائتین والخمسین من الهجرة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وأحادیث فضل هذه التربة الحسینیة وقداستها لیست منحصرة بأحادیث الأئمة علیهم السلام، إذ إن أمثال هذه الأحادیث لها شهرة وافرة فی أمّات کتب بقیة الفرق الإسلامیة عن طریق علمائهم ورواتهم، وهی التربة التی یسمیها أبو ریحان البیرونی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التربة المسعودة فی کربلاء</w:t>
      </w:r>
      <w:r>
        <w:rPr>
          <w:rStyle w:val="FootnoteAnchor"/>
          <w:rtl w:val="true"/>
        </w:rPr>
        <w:footnoteReference w:id="55"/>
      </w:r>
      <w:r>
        <w:rPr>
          <w:rFonts w:ascii="IRNazanin" w:hAnsi="IRNazanin" w:eastAsia="IRNazanin"/>
          <w:color w:val="111111"/>
          <w:sz w:val="28"/>
          <w:sz w:val="28"/>
          <w:szCs w:val="28"/>
          <w:rtl w:val="true"/>
          <w:lang w:bidi="fa-IR"/>
        </w:rPr>
        <w:t xml:space="preserve">ومنها ما رواه السیوطی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p>
    <w:p>
      <w:pPr>
        <w:pStyle w:val="BookText"/>
        <w:rPr/>
      </w:pP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 طبع حیدر آباد فی باب إخبار النبی صلی الله علیه وآله وسلم بقتل الحسین علیه السلام وروی فیه ما یناهز العشرین حدیثاً عن أکابر ثقاتهم کالحاکم والبیهقی وأبی نعیم والطبری والهیثمی فی المجمع </w:t>
      </w:r>
      <w:r>
        <w:rPr>
          <w:rFonts w:eastAsia="IRNazanin" w:cs="IRNazanin"/>
          <w:color w:val="111111"/>
          <w:sz w:val="28"/>
          <w:szCs w:val="28"/>
          <w:lang w:bidi="fa-IR"/>
        </w:rPr>
        <w:t>9/191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 من مشاهیر رواتهم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ومن أراد الوقوف علی أکثر من هذا فلیراجع الکتب المبسوطة فی الفقه والحدیث ولاسیما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والتربة الحسینیة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التی ألفها آیة الله الشیخ محمد حسین آل کاشف الغطاء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الإبداع فی حسم النزاع</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تألیف البحاثة السید محمد القزوینی نزیل البصرة، من صحیفة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صحیفة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الأمینی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وسنتنا وسیرة نبینا وسنته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ذکرت فی نشرة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الثامن الدورة الأولی ما ورد فی فضیلة کربلاء صحیفة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فالشیعة إنما اتخذت التربة مسجداً لأنها أفضل أفراد الواجب ولأنهم یشترطون فی المسجد أن یکون أرضاً أو ما ینبت منها ویشترطون طهارة</w:t>
      </w:r>
    </w:p>
    <w:p>
      <w:pPr>
        <w:pStyle w:val="BookText"/>
        <w:rPr/>
      </w:pPr>
      <w:r>
        <w:rPr>
          <w:rFonts w:ascii="IRNazanin" w:hAnsi="IRNazanin" w:eastAsia="IRNazanin"/>
          <w:color w:val="111111"/>
          <w:sz w:val="28"/>
          <w:sz w:val="28"/>
          <w:szCs w:val="28"/>
          <w:rtl w:val="true"/>
          <w:lang w:bidi="fa-IR"/>
        </w:rPr>
        <w:t xml:space="preserve">المسجد وإباحته وأن لا یکون من المأکول والملبوس، والإنسان فی حله وترحاله وسفره وحضره قد یتفق أن لا یجد شیئاً طاهراً یصح السجود علیه، فالشیعة یصحبون معهم ألواح الطین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ویتخذونها مساجد للسجود علیها لله اهتماماً بشأن الصلاة، ومحافظة علی آدابها کما أن المسلمین من الصحابة والتابعین کانوا یتخذون الخمر والحصباء مساجد، فشأن هذه الألواح شأن الخمرة فی بدء الإسلام ولکنها البغضاء والشنآن لآل محمد وشیعتهم سبب هذا التحامل الفجیع والإفتراآت المفتعلة والهوسات</w:t>
      </w:r>
      <w:r>
        <w:rPr>
          <w:rStyle w:val="FootnoteAnchor"/>
          <w:rtl w:val="true"/>
        </w:rPr>
        <w:footnoteReference w:id="59"/>
      </w:r>
      <w:r>
        <w:rPr>
          <w:rFonts w:ascii="IRNazanin" w:hAnsi="IRNazanin" w:eastAsia="IRNazanin"/>
          <w:color w:val="111111"/>
          <w:sz w:val="28"/>
          <w:sz w:val="28"/>
          <w:szCs w:val="28"/>
          <w:rtl w:val="true"/>
          <w:lang w:bidi="fa-IR"/>
        </w:rPr>
        <w:t xml:space="preserve">حول الترب ورمیهم بالشرک لأنهم یسجدون علی التربة الحسینیة، ولم یفرقوا أو لم یریدوا أن یفرقوا بین السجود لشیء والسجود علی شیء فالشیعة لا تسجد للتربة لتکون مشرکة وإنما تسجد لله فی صلاتها علی التربة کما سجد النبی صلی الله علیه وآله وسلم لله علی الخمرة والحصیرة والبساط وکذلک المسلمون، ولو کانت الشیعة بسجودها علی التربة مشرکة لکان غیر الشیعة أشرک لأن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تشرک بإله واحد، وغیرهم یشرکون مع الله کل شیء لأنهم یسجدون علی کل شیء نسأل الله معرفة أحکامه ورفع الخلاف من بین المسلمین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الرضا الحسینی المرعشی الشهرستانی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کربلاء ــ العراق</w:t>
      </w:r>
      <w:bookmarkStart w:id="43" w:name="pg2952_28487"/>
    </w:p>
    <w:p>
      <w:pPr>
        <w:pStyle w:val="Heading2"/>
        <w:numPr>
          <w:ilvl w:val="1"/>
          <w:numId w:val="1"/>
        </w:numPr>
        <w:rPr/>
      </w:pPr>
      <w:bookmarkStart w:id="44" w:name="__RefHeading___Toc163881_2749589250"/>
      <w:bookmarkStart w:id="45" w:name="_Toc16"/>
      <w:bookmarkEnd w:id="43"/>
      <w:bookmarkEnd w:id="44"/>
      <w:r>
        <w:rPr>
          <w:rtl w:val="true"/>
        </w:rPr>
        <w:t>المصادر</w:t>
      </w:r>
      <w:bookmarkEnd w:id="4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ــ ابن شهر آشوب، محمد بن علی، المناقب، مکتبة الحیدریة ومطبعتها، النجف الأشرف،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ــ العقّاد، عباس، أبو الشهداء الحسین بن علی علیهما السلام، دار الهلال،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ــ ابن منظور، محمد بن مکرم، لسان العرب، قم، أدب الحوزة،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ــ البیرونی، أبو ریحان محمد بن أحمد، الآثار الباقیة عن القرون الخالیة، لا یبزک،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ــ الحر العاملی، محمد بن الحسن، وسائل الشیعة إلی تحصیل علوم الشریعة، مؤسسة آل البیت علیهم السلام فإحیاء التراث،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ــ الطوسی، محمد بن الحسن، مصباح المتهجد، مؤسسة فقه الشیعة، الطبعة الأولی،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ــ الطوسی، محمد بن الحسن، رجال، تحقیق جواد القیومی، مؤسسة النشر الإسلامی التابعة لجماعة المدرسین،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ــ ابن جعفر، علی، مسائل، مؤسسة آل البیت علیهم السلام لإحیاء التراث، قم،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ــ المجلسی، محمد باقر، بحار الأنوار، دار إحیاء التراث العربی، مؤسسة الوفاء، بیروت، 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ــ الفتلاوی، کاظم، المنتخب من أعلام الفکر والأدب، دار المواهب، بیروت،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ــ البیهقی، أحمد بن الحسن، السنن الکبری،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ــ البخاری، محمد بن إسماعیل الجعفی، صحیح، طبعت بالأوفست علی طبعة دار الطباعة العامرة بإسطنبول، دار الفکر،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ــ النیسابوری، مسلم بن الحجاج القشیری، صحیح،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ــ الصنعانی، عبد الرزاق بن همام، المصنف، تحقیق حبیب الرحمن الأعظمی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ــ النوری، حسین بن فضل الله، مستدرک الوسائل، مؤسسة آل البیت علیهم السلام لإحیاء التراث، الطبعة الأولی،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ــ الطریحی، فخر الدین، مجمع البحرین، تحقیق السید أحمد الحسینی، مکتب نشر الثقافة الإسلامیة،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ــ ابن عبد البر، یوسف بن عبد الله، الاستیعاب فی معرفة الأصحاب، تحقیق علی محمد البجاوی، مکتبة نهضة مصر ومطبعتها،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ــ الهیثمی، علی بن أبی بکر، مجمع الزوائد، دار الکتب العلمیة،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ــ العسقلانی، شهاب الدین بن حجر، فتح الباری، دار المعرفة، الطبعة الثانیة، بیروت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ــ المتقی الهندی، علی بن حسام الدین، کنز العمال، ضبطه بکر حیانی وصفوة السقا، مؤسسة 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ــ ابن الأثیر، علی بن محمد الشیبانی، أسد الغابة، انتشارات اسماعیلیان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ــ ابن حنبل، أحمد بن محمد، مسند، مطبعة المعارف، القاهرة،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ــ الریشهری، محمد، أهل البیت فی الکتاب والسنة، الطبعة الثانیة، دار الحدیث الثقافیة،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ــ القرطبی، محمد بن أحمد الأنصاری، تفسیر، دار إحیاء التراث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ــ ابن خلکان،أحمد بن محمد، وفیات الأعیان، حققه محمد محی الدین عبد الحمید، مکتبة النهضة، مطبعة السعادة، القاهرة،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ــ ابن سعد، محمد، الطبقات الکبری،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ــ الحمیری، عبد الله بن جعفر، قرب الإسناد، مؤسسة آل البیت علیهم السلام لإحیاء التراث، قم، الطبعة 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ــ الحسینی المرعشی الشهرستانی، عبد الرضا، الطریق القویم إلی جنة النعیم، مطبعة الأعلمی، طهران،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ــ کاشف الغطاء، محمد الحسینی، الأرض والتربة الحسینیة، مطبوعات مکتبة النجاح، القاهرة، الطبعة السادسة،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ــ العسکری، نجم الدین، الوضوء فی الکتاب والسنّة، مطبوعات مکتبة النجاح، القاهرة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ــ الأعلمی، محمد حسین، منار الهدی فی الأنساب، تحقیق أحمد الحائری، مکتبة آیة الله المرعشی العامة، مرکز الدراسات لتحقیق أنساب الأشراف، قم، الطبعة الأولی،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bookmarkStart w:id="46" w:name="pg2952_28493"/>
    </w:p>
    <w:p>
      <w:pPr>
        <w:pStyle w:val="Heading2"/>
        <w:numPr>
          <w:ilvl w:val="1"/>
          <w:numId w:val="1"/>
        </w:numPr>
        <w:rPr/>
      </w:pPr>
      <w:bookmarkStart w:id="47" w:name="__RefHeading___Toc163883_2749589250"/>
      <w:bookmarkStart w:id="48" w:name="_Toc17"/>
      <w:bookmarkEnd w:id="46"/>
      <w:bookmarkEnd w:id="47"/>
      <w:r>
        <w:rPr>
          <w:rtl w:val="true"/>
        </w:rPr>
        <w:t>المحتویات</w:t>
      </w:r>
      <w:bookmarkEnd w:id="48"/>
    </w:p>
    <w:p>
      <w:pPr>
        <w:pStyle w:val="BookText"/>
        <w:rPr/>
      </w:pPr>
      <w:r>
        <w:rPr>
          <w:rFonts w:ascii="Amiri" w:hAnsi="Amiri" w:eastAsia="Amiri" w:cs="Amiri"/>
          <w:color w:val="111111"/>
          <w:sz w:val="28"/>
          <w:sz w:val="28"/>
          <w:szCs w:val="28"/>
          <w:rtl w:val="true"/>
          <w:lang w:bidi="ar-SA"/>
        </w:rPr>
        <w:t>مقدمة المحقق</w:t>
      </w:r>
    </w:p>
    <w:p>
      <w:pPr>
        <w:pStyle w:val="BookText"/>
        <w:rPr/>
      </w:pPr>
      <w:r>
        <w:rPr>
          <w:rFonts w:ascii="IRNazanin" w:hAnsi="IRNazanin" w:eastAsia="IRNazanin"/>
          <w:color w:val="111111"/>
          <w:sz w:val="28"/>
          <w:sz w:val="28"/>
          <w:szCs w:val="28"/>
          <w:rtl w:val="true"/>
          <w:lang w:bidi="fa-IR"/>
        </w:rPr>
        <w:t>منهجنا فی التحقیق</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حیاته العامة</w:t>
      </w:r>
    </w:p>
    <w:p>
      <w:pPr>
        <w:pStyle w:val="BookText"/>
        <w:rPr/>
      </w:pPr>
      <w:r>
        <w:rPr>
          <w:rFonts w:ascii="IRNazanin" w:hAnsi="IRNazanin" w:eastAsia="IRNazanin"/>
          <w:color w:val="111111"/>
          <w:sz w:val="28"/>
          <w:sz w:val="28"/>
          <w:szCs w:val="28"/>
          <w:rtl w:val="true"/>
          <w:lang w:bidi="fa-IR"/>
        </w:rPr>
        <w:t>حیاته العامة</w:t>
      </w:r>
    </w:p>
    <w:p>
      <w:pPr>
        <w:pStyle w:val="BookText"/>
        <w:rPr/>
      </w:pPr>
      <w:r>
        <w:rPr>
          <w:rFonts w:ascii="IRNazanin" w:hAnsi="IRNazanin" w:eastAsia="IRNazanin"/>
          <w:color w:val="111111"/>
          <w:sz w:val="28"/>
          <w:sz w:val="28"/>
          <w:szCs w:val="28"/>
          <w:rtl w:val="true"/>
          <w:lang w:bidi="fa-IR"/>
        </w:rPr>
        <w:t>صفاته</w:t>
      </w:r>
    </w:p>
    <w:p>
      <w:pPr>
        <w:pStyle w:val="BookText"/>
        <w:rPr/>
      </w:pPr>
      <w:r>
        <w:rPr>
          <w:rFonts w:ascii="IRNazanin" w:hAnsi="IRNazanin" w:eastAsia="IRNazanin"/>
          <w:color w:val="111111"/>
          <w:sz w:val="28"/>
          <w:sz w:val="28"/>
          <w:szCs w:val="28"/>
          <w:rtl w:val="true"/>
          <w:lang w:bidi="fa-IR"/>
        </w:rPr>
        <w:t>أعماله وآثاره</w:t>
      </w:r>
    </w:p>
    <w:p>
      <w:pPr>
        <w:pStyle w:val="BookText"/>
        <w:rPr/>
      </w:pPr>
      <w:r>
        <w:rPr>
          <w:rFonts w:ascii="IRNazanin" w:hAnsi="IRNazanin" w:eastAsia="IRNazanin"/>
          <w:color w:val="111111"/>
          <w:sz w:val="28"/>
          <w:sz w:val="28"/>
          <w:szCs w:val="28"/>
          <w:rtl w:val="true"/>
          <w:lang w:bidi="fa-IR"/>
        </w:rPr>
        <w:t>أما المخطوط منها فنذکر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والدلیل علی إثبات الأمر الأول وجوه</w:t>
      </w:r>
    </w:p>
    <w:p>
      <w:pPr>
        <w:pStyle w:val="BookText"/>
        <w:rPr/>
      </w:pPr>
      <w:r>
        <w:rPr>
          <w:rFonts w:ascii="Amiri" w:hAnsi="Amiri" w:eastAsia="Amiri" w:cs="Amiri"/>
          <w:color w:val="111111"/>
          <w:sz w:val="28"/>
          <w:sz w:val="28"/>
          <w:szCs w:val="28"/>
          <w:rtl w:val="true"/>
          <w:lang w:bidi="ar-SA"/>
        </w:rPr>
        <w:t>أما من العامة فمنها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نذکر سلسلة النسب الطاهرة التی ینمی إلیها السید عبد الرضا الشهرستانی، کما أثبتها بنفسه فی مقدمة کتاب الطریق القویم إلی جنة النعیم والصراط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سنة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هـ، الفتلاوی، المنتخب من أعلام الفکر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طعمة، مقالة عن السید عبد الرضا الشهرستانی منشورة فی مجلة الموسم العدد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حدثنی بذلک السید سلمان آل طعمة الذی عاصر السید عبد الرضا، بل کان من المقربین إلیه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حصل اشتباه وخلط فی اسم هذا الکتاب ونسبته، فالاسم الحقیقی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النعیم والصراط المستقیم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محمد حسین الشهرستانی جد السید عبد الرضا، الذی قام بتحقیق الکتاب والتعلیق علیه، فأسماه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القویم إلی جنة النعیم والصراط المستقیم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الکتاب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منار الهدی فی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الفتلاوی، المنتخب من أعلام الفکر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القرطبی،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سعید بن جبیر بن هشام الأسدی الوالبی، مولاهم الکوفی، أحد أعلام التابعین، وقد صحب الإمام علی بن الحسین زین العابدین علیه السلام وسمع ابن عباس وعدی بن حاتم وابن عمر وعنه یروی عطاء بن السائب والأعمش وأیوب وغیرهم، قتله الحجاج بن یوسف الثقفی سنة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هـ بواسط، ولم یبق بعده سوی أیام ومات شر میتة، 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الطهور بضم الطاء التطهر، وبالفتح الماء الذی یتطهر به، والطهور لغة الطاهر المطهر، لأنه لا یکون طهوراً إلا وهو یتطهر به، 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السجود الحاصل یترتب من ماء الوضوء المتبقی علی الوجه أو دقائق التراب التی تعلق فی الجبهة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نقلت الروایة بطریق أبی نعیم عن أم سلمة، کما أنّ أفلح هذا هو موضع تأمل، فقد عدّ مولی لرسول الله صلی الله علیه وآله وسلم، وأخری مولی لأم سلمة، ویروی عنه حبیب المکی،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ــ</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صالح، مولی لطلحة بن عبید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أم سلمة زوج النبی صلی الله علیه وآله وسلم، فأتاها ذو قرابة لها فقام یصلی، فلما ذهب یسجد نفخ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فإن رسول الله صلی الله علیه وآله وسلم کان یقول لغلام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رباح ترّب وجهک، والروایتان المتقدمتان یا أفلح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رباح روتهما أم سلمة، وهناک حدیث آخر ولکن وجهه رسول الله لرجل یقال له یسار، بروایة أم سلمة أیضاً، وقد ورد عن عبد الرزاق عن معمر عن خالد الحذاء،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النبی صهیباً یسجد، کأنه یتقی التراب فقال له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 وجهک یا صهیب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وکف البیت وکفاً، أی هطل وقطر، ووکف المسجد أی تقاطر من سقفه الماء، 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الطریحی،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رأیت العرب تسمی المظال التی تسوی من جرید النخل ویطرح فوقها الثمام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عُرشا، والواحد منها عریش، 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أنفه، وأرنبة الأنف طرفه المحدد، العسقلانی،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وروی أبو هریرة، عن النبی صلی الله علیه وآله وسلم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تبیت بلیلة القدر، ورأیت کأنی أسجد علی الطین، فلما کانت لیلة ثلاث وعشرین، مطرنا مطرا شدیدا حتی وکف علینا المسجد، فسجدنا علی الطین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عن هذا الأمر مندوحة أی سعة أو متسع، 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البیهقی،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خباب بن الأرت بن جندلة بن سعد بن خزیمة التمیمی، أبو یحیی وقیل أبو عبد الله، سادس ستة الإسلام، کان فاضلا من المهاجرین شهد بدرا والمشاهد کلها، مات 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هـ، صلی علیه الإمام علی علیه السلام، وهو أول من ظهر له قبر بظهر الکوفة، 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 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أبعدها عن جبهته وردها إلی الخلف کی یمکن جبهته من السجود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مالک بن النضر بن ضمضم الأنصاری الخزرجی النجاری، أبو حمزة کان خادما لرسول الله صلی الله علیه وآله وسلم وروی عنه توفی فی العقد التسعین من القرن الهجری الأول، وهو آخر من توفی بالبصرة من الصحابة، الریشهری، أهل البیت فی الکتاب والسنة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الحدیث مرویا عن أم أیمن تارة، فعن أم أیمن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ناولینی الخمرة، من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حائض، قال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حیضتک لیست فی یدک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وتارة نجد الحدیث المتقدم یروی بسند مرفوع إلی عائشة وفیه قال لها النبی ناولینی 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إشارة لکتاب لسان العرب لابن منظور، والتاج إشارة لتاج العروس للزبیدی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بطحاء الوادی تراب لین مما جرته السیول، 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نعلم هل کانت الألواح تلک نفسها المتعارف علیها الیوم، حیث یمزج التراب الطاهر مع الماء بحیث یُشکل المزج شکلا هندسیا معینا بسبب وضعه فی القالب، ثم یترک لیجف والظاهر أن النبی صلی الله علیه وآله وسلم یسجد علی التراب، ولم یتخذ لوحا للسجود علیه، لأن الإمام زین العابدین علیه السلام کان یسجد علی تراب من أرض کربلاء، ولم تحدثنا الروایات بأنه عمل لوحا بالطریقة التی ذکرناها وکذلک الإمام الصادق علیه السلام والله أعلم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أنهم کانوا یتخذون السبح من تربة حمزة علیه السلام قبل قتل الحسین علیه السلام، وعن فاطمة علیها السلام کانت لها مسبحة منها، وعن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بنت رسول الله علیهما السلام کانت سبحتها من خیط صوف مفتل معقود علیه عدد التکبیرات، وکانت علیها السلام تدیرها بیدها تکبر وتسبح، حتی قتل حمزة بن عبد المطلب، فاستعملت تربته، وعملت التسابیح فاستعملها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بن الأجدع الهمدانی الکوفی، أبو عائشة، ابن أخت عمرو بن معد یکرب، ثقة فقیه، عابد مخضرم، أخذ العلم عن علی ومعاذ وابن مسعود وعائشة، روی عنه إبراهیم والشعبی وغیرهما، مات سنة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هـ،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لبنة، مفرد لبن کحمل ما یعمل من الطین ویبنی به، 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ابن الإمام جعفر الصادق سألت أبا الحسن عن الصلاة فی الأرض السبخة، أیصلی فیها؟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إلا أن یکون فیها نبت، إلا أن یخاف فوت الصلاة، فیصلی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جعفر،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السید محمد مهدی بحر العلوم إلی فضل کربلاء المقدسة حتی علی الکعبة المشرفة بقوله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المصلح الشیخ محمد الحسین ابن الشیخ علی ابن الشیخ محمد رضا ابن المصلح بین الدولتین الشیخ موسی ابن الشیخ الأکبر جعفر کاشف الغطاء، الذی یعد من أوائل الذین ألفوا رسالة مستقلة فی السجود علی الأرض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الأساطین، جمع أسطوانة، وهی الساریة وإنما شبههم بالأساطین لأنهم رحمهم الله کانوا بمنزلة الدعائم التی أرسی علیها الإسلام قواعده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 کل شیء یوضع علیها اللحم، من خشب أو باریة یوقی به من الأرض، وترکهم لحماً علی وضم أوقع بهم فذللهم وأوجعهم، 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المزبور أی المذکور والمکتوب عنه فی ذلک الکتاب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جعفر الحمیری بن الحسین بن جعفر بن جامع بن مالک الحمیری، یکنی أبا جعفر الثمی تارة، وأخری أبا العباس شیخ القمیین ووجههم، قدم الکوفة سنة نیف وتسعین ومائتین، کان ثقة وجها، من أصحاب الإمام الحسن العسکری، کاتب صاحب الأمر عجل الله تعالی فرجه الشریف وسأله مسائل، عده الشیخ من رجاله، ممن لم یرو عنهم ثلاث مرات، له عدة کتب منها قرب الإسناد وغیرها،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کتاب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الباقیة عن القرون الخالیة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ألف فی هذا المجال البحاثة المحقق السید محمد مهدی الموسوی الخرسان کتاباً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السجود علی التربة الحسینیة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أفاض فی البحث، ولم یترک شاردة أو واردة إلا وتتبعها حتی أشبع الموضوع بحثاً وتحقیقاً وتحلیلاً بالدلیل الناصع والقول الحاسم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الکتاب للسید محمد کاظم القزوینی یتناول استعراض عقائد الشیعة ردا علی کتاب الصراع بین الإسلام والثنیة لعبد الله بن علی القصیمی، ومنها مسألة السجود علی التربة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الهوس طرف من الجنون، وهوس الناس وقعوا فی اختلاط وفساد، 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5536</Words>
  <Characters>26049</Characters>
  <CharactersWithSpaces>31342</CharactersWithSpaces>
  <Paragraphs>331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2026-08-17T19:02:33Z</dcterms:created>
  <dc:creator>ghaemiyeh.com</dc:creator>
  <dc:description/>
  <dc:language>en-US</dc:language>
  <cp:lastModifiedBy/>
  <dcterms:modified xsi:type="dcterms:W3CDTF">2026-08-17T22:32:34Z</dcterms:modified>
  <cp:revision>1</cp:revision>
  <dc:subject/>
  <dc:title>السجود علی التربه الحسینیه</dc:title>
</cp:coreProperties>
</file>

<file path=docProps/custom.xml><?xml version="1.0" encoding="utf-8"?>
<Properties xmlns="http://schemas.openxmlformats.org/officeDocument/2006/custom-properties" xmlns:vt="http://schemas.openxmlformats.org/officeDocument/2006/docPropsVTypes"/>
</file>